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4C84" w:rsidRDefault="004D4C84" w:rsidP="004D4C84">
      <w:pPr>
        <w:pStyle w:val="HA"/>
        <w:jc w:val="both"/>
        <w:rPr>
          <w:b/>
        </w:rPr>
        <w:sectPr w:rsidR="004D4C84" w:rsidSect="00D30E2D">
          <w:footerReference w:type="default" r:id="rId9"/>
          <w:headerReference w:type="first" r:id="rId10"/>
          <w:pgSz w:w="11906" w:h="16838" w:code="9"/>
          <w:pgMar w:top="720" w:right="720" w:bottom="720" w:left="720" w:header="0" w:footer="0" w:gutter="0"/>
          <w:pgNumType w:start="1"/>
          <w:cols w:space="708"/>
          <w:titlePg/>
          <w:docGrid w:linePitch="360"/>
        </w:sectPr>
      </w:pPr>
    </w:p>
    <w:p w:rsidR="0037324C" w:rsidRPr="00572160" w:rsidRDefault="0037324C" w:rsidP="0037324C">
      <w:pPr>
        <w:pStyle w:val="HA"/>
        <w:tabs>
          <w:tab w:val="left" w:pos="7350"/>
        </w:tabs>
        <w:jc w:val="both"/>
        <w:rPr>
          <w:b/>
          <w:color w:val="auto"/>
          <w:sz w:val="18"/>
        </w:rPr>
      </w:pPr>
      <w:r w:rsidRPr="00572160">
        <w:rPr>
          <w:b/>
        </w:rPr>
        <w:lastRenderedPageBreak/>
        <w:t>Victoria's Grain Industry</w:t>
      </w:r>
      <w:r w:rsidRPr="00572160">
        <w:rPr>
          <w:b/>
          <w:color w:val="auto"/>
          <w:sz w:val="18"/>
        </w:rPr>
        <w:tab/>
      </w:r>
    </w:p>
    <w:p w:rsidR="0037324C" w:rsidRPr="009F35C8" w:rsidRDefault="0037324C" w:rsidP="0037324C">
      <w:pPr>
        <w:pStyle w:val="Body"/>
        <w:jc w:val="both"/>
        <w:rPr>
          <w:b/>
          <w:sz w:val="24"/>
          <w:lang w:val="en-US"/>
        </w:rPr>
      </w:pPr>
      <w:r>
        <w:rPr>
          <w:b/>
          <w:sz w:val="24"/>
          <w:lang w:val="en-US"/>
        </w:rPr>
        <w:t>December 2014 U</w:t>
      </w:r>
      <w:r w:rsidRPr="009F35C8">
        <w:rPr>
          <w:b/>
          <w:sz w:val="24"/>
          <w:lang w:val="en-US"/>
        </w:rPr>
        <w:t>pdate</w:t>
      </w:r>
    </w:p>
    <w:p w:rsidR="0037324C" w:rsidRDefault="0037324C" w:rsidP="0037324C">
      <w:pPr>
        <w:pStyle w:val="HB"/>
        <w:jc w:val="both"/>
        <w:rPr>
          <w:lang w:val="en-US"/>
        </w:rPr>
      </w:pPr>
      <w:r w:rsidRPr="007C4FDD">
        <w:rPr>
          <w:lang w:val="en-US"/>
        </w:rPr>
        <w:t>Key points</w:t>
      </w:r>
    </w:p>
    <w:p w:rsidR="0037324C" w:rsidRPr="00142829" w:rsidRDefault="0037324C" w:rsidP="0037324C">
      <w:pPr>
        <w:pStyle w:val="Body"/>
        <w:numPr>
          <w:ilvl w:val="0"/>
          <w:numId w:val="7"/>
        </w:numPr>
        <w:spacing w:after="80" w:line="240" w:lineRule="auto"/>
        <w:ind w:left="284" w:hanging="284"/>
        <w:jc w:val="both"/>
        <w:rPr>
          <w:lang w:val="en-US"/>
        </w:rPr>
      </w:pPr>
      <w:r>
        <w:rPr>
          <w:lang w:val="en-US"/>
        </w:rPr>
        <w:t>This</w:t>
      </w:r>
      <w:r w:rsidRPr="00142829">
        <w:rPr>
          <w:lang w:val="en-US"/>
        </w:rPr>
        <w:t xml:space="preserve"> </w:t>
      </w:r>
      <w:r>
        <w:rPr>
          <w:lang w:val="en-US"/>
        </w:rPr>
        <w:t>Grain</w:t>
      </w:r>
      <w:r w:rsidRPr="00142829">
        <w:rPr>
          <w:lang w:val="en-US"/>
        </w:rPr>
        <w:t xml:space="preserve"> Industry </w:t>
      </w:r>
      <w:r>
        <w:rPr>
          <w:lang w:val="en-US"/>
        </w:rPr>
        <w:t>P</w:t>
      </w:r>
      <w:r w:rsidRPr="00142829">
        <w:rPr>
          <w:lang w:val="en-US"/>
        </w:rPr>
        <w:t xml:space="preserve">rofile provides an overview of </w:t>
      </w:r>
      <w:r w:rsidR="00A77D22">
        <w:t xml:space="preserve">the location, structure, production </w:t>
      </w:r>
      <w:r w:rsidR="00A77D22" w:rsidRPr="007C1402">
        <w:t xml:space="preserve">and </w:t>
      </w:r>
      <w:r w:rsidR="00A77D22">
        <w:t xml:space="preserve">performance </w:t>
      </w:r>
      <w:r w:rsidR="00A77D22" w:rsidRPr="007C1402">
        <w:t xml:space="preserve">of </w:t>
      </w:r>
      <w:r w:rsidRPr="00142829">
        <w:rPr>
          <w:lang w:val="en-US"/>
        </w:rPr>
        <w:t xml:space="preserve">Victoria’s </w:t>
      </w:r>
      <w:r>
        <w:rPr>
          <w:lang w:val="en-US"/>
        </w:rPr>
        <w:t>grain</w:t>
      </w:r>
      <w:r w:rsidRPr="00142829">
        <w:rPr>
          <w:lang w:val="en-US"/>
        </w:rPr>
        <w:t xml:space="preserve"> industry.</w:t>
      </w:r>
    </w:p>
    <w:p w:rsidR="0037324C" w:rsidRDefault="0037324C" w:rsidP="0037324C">
      <w:pPr>
        <w:pStyle w:val="Body"/>
        <w:numPr>
          <w:ilvl w:val="0"/>
          <w:numId w:val="7"/>
        </w:numPr>
        <w:spacing w:after="80" w:line="240" w:lineRule="auto"/>
        <w:ind w:left="284" w:hanging="284"/>
        <w:jc w:val="both"/>
        <w:rPr>
          <w:lang w:val="en-US"/>
        </w:rPr>
      </w:pPr>
      <w:r w:rsidRPr="00142829">
        <w:rPr>
          <w:lang w:val="en-US"/>
        </w:rPr>
        <w:t xml:space="preserve">In 2012-13, Victoria produced 7 million </w:t>
      </w:r>
      <w:proofErr w:type="spellStart"/>
      <w:r w:rsidRPr="00142829">
        <w:rPr>
          <w:lang w:val="en-US"/>
        </w:rPr>
        <w:t>tonnes</w:t>
      </w:r>
      <w:proofErr w:type="spellEnd"/>
      <w:r w:rsidRPr="00142829">
        <w:rPr>
          <w:lang w:val="en-US"/>
        </w:rPr>
        <w:t xml:space="preserve"> of </w:t>
      </w:r>
      <w:r>
        <w:rPr>
          <w:lang w:val="en-US"/>
        </w:rPr>
        <w:t>grain</w:t>
      </w:r>
      <w:r w:rsidRPr="00142829">
        <w:rPr>
          <w:lang w:val="en-US"/>
        </w:rPr>
        <w:t xml:space="preserve"> </w:t>
      </w:r>
      <w:r>
        <w:rPr>
          <w:lang w:val="en-US"/>
        </w:rPr>
        <w:t>from</w:t>
      </w:r>
      <w:r w:rsidRPr="00142829">
        <w:rPr>
          <w:lang w:val="en-US"/>
        </w:rPr>
        <w:t xml:space="preserve"> 3.6 million hectares</w:t>
      </w:r>
      <w:r>
        <w:rPr>
          <w:lang w:val="en-US"/>
        </w:rPr>
        <w:t>. This comprised of</w:t>
      </w:r>
      <w:r w:rsidRPr="00142829">
        <w:rPr>
          <w:lang w:val="en-US"/>
        </w:rPr>
        <w:t xml:space="preserve"> 3.42 million </w:t>
      </w:r>
      <w:proofErr w:type="spellStart"/>
      <w:r w:rsidRPr="00142829">
        <w:rPr>
          <w:lang w:val="en-US"/>
        </w:rPr>
        <w:t>tonnes</w:t>
      </w:r>
      <w:proofErr w:type="spellEnd"/>
      <w:r w:rsidRPr="00142829">
        <w:rPr>
          <w:lang w:val="en-US"/>
        </w:rPr>
        <w:t xml:space="preserve"> of wheat, 1.95 million </w:t>
      </w:r>
      <w:proofErr w:type="spellStart"/>
      <w:r w:rsidRPr="00142829">
        <w:rPr>
          <w:lang w:val="en-US"/>
        </w:rPr>
        <w:t>tonnes</w:t>
      </w:r>
      <w:proofErr w:type="spellEnd"/>
      <w:r w:rsidRPr="00142829">
        <w:rPr>
          <w:lang w:val="en-US"/>
        </w:rPr>
        <w:t xml:space="preserve"> of barley, 866,000 </w:t>
      </w:r>
      <w:proofErr w:type="spellStart"/>
      <w:r w:rsidRPr="00142829">
        <w:rPr>
          <w:lang w:val="en-US"/>
        </w:rPr>
        <w:t>tonnes</w:t>
      </w:r>
      <w:proofErr w:type="spellEnd"/>
      <w:r w:rsidRPr="00142829">
        <w:rPr>
          <w:lang w:val="en-US"/>
        </w:rPr>
        <w:t xml:space="preserve"> of canola and 384,000 </w:t>
      </w:r>
      <w:proofErr w:type="spellStart"/>
      <w:r w:rsidRPr="00142829">
        <w:rPr>
          <w:lang w:val="en-US"/>
        </w:rPr>
        <w:t>tonnes</w:t>
      </w:r>
      <w:proofErr w:type="spellEnd"/>
      <w:r w:rsidRPr="00142829">
        <w:rPr>
          <w:lang w:val="en-US"/>
        </w:rPr>
        <w:t xml:space="preserve"> of pulses (lentils, chickpeas, </w:t>
      </w:r>
      <w:proofErr w:type="spellStart"/>
      <w:r w:rsidRPr="00142829">
        <w:rPr>
          <w:lang w:val="en-US"/>
        </w:rPr>
        <w:t>faba</w:t>
      </w:r>
      <w:proofErr w:type="spellEnd"/>
      <w:r w:rsidRPr="00142829">
        <w:rPr>
          <w:lang w:val="en-US"/>
        </w:rPr>
        <w:t xml:space="preserve"> beans, field peas, broad beans and </w:t>
      </w:r>
      <w:proofErr w:type="spellStart"/>
      <w:r w:rsidRPr="00142829">
        <w:rPr>
          <w:lang w:val="en-US"/>
        </w:rPr>
        <w:t>lupins</w:t>
      </w:r>
      <w:proofErr w:type="spellEnd"/>
      <w:r w:rsidRPr="00142829">
        <w:rPr>
          <w:lang w:val="en-US"/>
        </w:rPr>
        <w:t>).</w:t>
      </w:r>
      <w:r w:rsidRPr="007F427A">
        <w:rPr>
          <w:lang w:val="en-US"/>
        </w:rPr>
        <w:t xml:space="preserve"> </w:t>
      </w:r>
    </w:p>
    <w:p w:rsidR="0037324C" w:rsidRPr="00142829" w:rsidRDefault="0037324C" w:rsidP="0037324C">
      <w:pPr>
        <w:pStyle w:val="Body"/>
        <w:numPr>
          <w:ilvl w:val="0"/>
          <w:numId w:val="7"/>
        </w:numPr>
        <w:spacing w:after="80" w:line="240" w:lineRule="auto"/>
        <w:ind w:left="284" w:hanging="284"/>
        <w:jc w:val="both"/>
        <w:rPr>
          <w:lang w:val="en-US"/>
        </w:rPr>
      </w:pPr>
      <w:bookmarkStart w:id="0" w:name="_GoBack"/>
      <w:bookmarkEnd w:id="0"/>
      <w:r>
        <w:rPr>
          <w:lang w:val="en-US"/>
        </w:rPr>
        <w:t>In 2012-13, the gross value of Victoria’s grain production was $2.31 billion.</w:t>
      </w:r>
    </w:p>
    <w:p w:rsidR="0037324C" w:rsidRPr="007F427A" w:rsidRDefault="0037324C" w:rsidP="0037324C">
      <w:pPr>
        <w:pStyle w:val="Body"/>
        <w:numPr>
          <w:ilvl w:val="0"/>
          <w:numId w:val="7"/>
        </w:numPr>
        <w:spacing w:after="80" w:line="240" w:lineRule="auto"/>
        <w:ind w:left="284" w:hanging="284"/>
        <w:jc w:val="both"/>
      </w:pPr>
      <w:r w:rsidRPr="00142829">
        <w:rPr>
          <w:lang w:val="en-US"/>
        </w:rPr>
        <w:t>In 2013-14, Victoria’s grain exports were valued at $1.96 billion</w:t>
      </w:r>
      <w:r>
        <w:rPr>
          <w:lang w:val="en-US"/>
        </w:rPr>
        <w:t>,</w:t>
      </w:r>
      <w:r w:rsidRPr="00142829">
        <w:rPr>
          <w:lang w:val="en-US"/>
        </w:rPr>
        <w:t xml:space="preserve"> 10 per cent </w:t>
      </w:r>
      <w:r>
        <w:rPr>
          <w:lang w:val="en-US"/>
        </w:rPr>
        <w:t>lower than</w:t>
      </w:r>
      <w:r w:rsidRPr="00142829">
        <w:rPr>
          <w:lang w:val="en-US"/>
        </w:rPr>
        <w:t xml:space="preserve"> </w:t>
      </w:r>
      <w:r>
        <w:rPr>
          <w:lang w:val="en-US"/>
        </w:rPr>
        <w:t>in</w:t>
      </w:r>
      <w:r w:rsidRPr="00142829">
        <w:rPr>
          <w:lang w:val="en-US"/>
        </w:rPr>
        <w:t xml:space="preserve"> 2012-13.</w:t>
      </w:r>
      <w:r>
        <w:rPr>
          <w:lang w:val="en-US"/>
        </w:rPr>
        <w:t xml:space="preserve"> </w:t>
      </w:r>
      <w:r w:rsidRPr="007F427A">
        <w:rPr>
          <w:lang w:val="en-US"/>
        </w:rPr>
        <w:t xml:space="preserve">Victoria accounted for 16% of the national grain exports. Wheat exports were valued at $1 billion, representing 53% of Victoria’s </w:t>
      </w:r>
      <w:r>
        <w:rPr>
          <w:lang w:val="en-US"/>
        </w:rPr>
        <w:t>grain</w:t>
      </w:r>
      <w:r w:rsidRPr="007F427A">
        <w:rPr>
          <w:lang w:val="en-US"/>
        </w:rPr>
        <w:t xml:space="preserve"> exports</w:t>
      </w:r>
      <w:r>
        <w:rPr>
          <w:lang w:val="en-US"/>
        </w:rPr>
        <w:t>.</w:t>
      </w:r>
    </w:p>
    <w:p w:rsidR="0037324C" w:rsidRPr="007F427A" w:rsidRDefault="004E6CF9" w:rsidP="0037324C">
      <w:pPr>
        <w:pStyle w:val="Body"/>
        <w:numPr>
          <w:ilvl w:val="0"/>
          <w:numId w:val="7"/>
        </w:numPr>
        <w:spacing w:after="80" w:line="240" w:lineRule="auto"/>
        <w:ind w:left="284" w:hanging="284"/>
        <w:jc w:val="both"/>
      </w:pPr>
      <w:r>
        <w:rPr>
          <w:lang w:val="en-US"/>
        </w:rPr>
        <w:t xml:space="preserve">In 2013-14, </w:t>
      </w:r>
      <w:r w:rsidR="0037324C" w:rsidRPr="007F427A">
        <w:rPr>
          <w:lang w:val="en-US"/>
        </w:rPr>
        <w:t>China was the most valuable market for Victorian grain exports, valued at $289 million, followed by Indonesia at $142 million</w:t>
      </w:r>
    </w:p>
    <w:p w:rsidR="0037324C" w:rsidRPr="00142829" w:rsidRDefault="0037324C" w:rsidP="0037324C">
      <w:pPr>
        <w:pStyle w:val="Body"/>
        <w:numPr>
          <w:ilvl w:val="0"/>
          <w:numId w:val="7"/>
        </w:numPr>
        <w:spacing w:after="80" w:line="240" w:lineRule="auto"/>
        <w:ind w:left="284" w:hanging="284"/>
        <w:jc w:val="both"/>
        <w:rPr>
          <w:lang w:val="en-US"/>
        </w:rPr>
      </w:pPr>
      <w:r w:rsidRPr="00142829">
        <w:rPr>
          <w:lang w:val="en-US"/>
        </w:rPr>
        <w:t xml:space="preserve">Victoria’s grain growing areas are </w:t>
      </w:r>
      <w:r>
        <w:rPr>
          <w:lang w:val="en-US"/>
        </w:rPr>
        <w:t>mainly</w:t>
      </w:r>
      <w:r w:rsidRPr="00142829">
        <w:rPr>
          <w:lang w:val="en-US"/>
        </w:rPr>
        <w:t xml:space="preserve"> located in western and northern Victoria, </w:t>
      </w:r>
      <w:r>
        <w:rPr>
          <w:lang w:val="en-US"/>
        </w:rPr>
        <w:t>predominant</w:t>
      </w:r>
      <w:r w:rsidRPr="00142829">
        <w:rPr>
          <w:lang w:val="en-US"/>
        </w:rPr>
        <w:t xml:space="preserve">ly in the </w:t>
      </w:r>
      <w:proofErr w:type="spellStart"/>
      <w:r w:rsidRPr="00142829">
        <w:rPr>
          <w:lang w:val="en-US"/>
        </w:rPr>
        <w:t>Mallee</w:t>
      </w:r>
      <w:proofErr w:type="spellEnd"/>
      <w:r w:rsidRPr="00142829">
        <w:rPr>
          <w:lang w:val="en-US"/>
        </w:rPr>
        <w:t xml:space="preserve"> and </w:t>
      </w:r>
      <w:proofErr w:type="spellStart"/>
      <w:r w:rsidRPr="00142829">
        <w:rPr>
          <w:lang w:val="en-US"/>
        </w:rPr>
        <w:t>Wimmera</w:t>
      </w:r>
      <w:proofErr w:type="spellEnd"/>
      <w:r w:rsidRPr="00142829">
        <w:rPr>
          <w:lang w:val="en-US"/>
        </w:rPr>
        <w:t xml:space="preserve"> regions. </w:t>
      </w:r>
    </w:p>
    <w:p w:rsidR="0037324C" w:rsidRDefault="0037324C" w:rsidP="0037324C">
      <w:pPr>
        <w:pStyle w:val="Body"/>
        <w:numPr>
          <w:ilvl w:val="0"/>
          <w:numId w:val="7"/>
        </w:numPr>
        <w:spacing w:after="80" w:line="240" w:lineRule="auto"/>
        <w:ind w:left="284" w:hanging="284"/>
        <w:jc w:val="both"/>
        <w:rPr>
          <w:lang w:val="en-US"/>
        </w:rPr>
      </w:pPr>
      <w:r w:rsidRPr="003A6BC0">
        <w:rPr>
          <w:lang w:val="en-US"/>
        </w:rPr>
        <w:t>The Commonwealth Government has introduced the Mandatory Port Access Code of Conduct for Grain Export Terminals</w:t>
      </w:r>
      <w:r>
        <w:rPr>
          <w:lang w:val="en-US"/>
        </w:rPr>
        <w:t xml:space="preserve"> in </w:t>
      </w:r>
      <w:r w:rsidRPr="003A6BC0">
        <w:rPr>
          <w:lang w:val="en-US"/>
        </w:rPr>
        <w:t>2014</w:t>
      </w:r>
      <w:r>
        <w:rPr>
          <w:lang w:val="en-US"/>
        </w:rPr>
        <w:t>,</w:t>
      </w:r>
      <w:r w:rsidRPr="003A6BC0">
        <w:rPr>
          <w:lang w:val="en-US"/>
        </w:rPr>
        <w:t xml:space="preserve"> replac</w:t>
      </w:r>
      <w:r>
        <w:rPr>
          <w:lang w:val="en-US"/>
        </w:rPr>
        <w:t>ing</w:t>
      </w:r>
      <w:r w:rsidRPr="003A6BC0">
        <w:rPr>
          <w:lang w:val="en-US"/>
        </w:rPr>
        <w:t xml:space="preserve"> the </w:t>
      </w:r>
      <w:r w:rsidRPr="004E6CF9">
        <w:rPr>
          <w:i/>
          <w:lang w:val="en-US"/>
        </w:rPr>
        <w:t>Wheat Export Marketing Act 2008</w:t>
      </w:r>
      <w:r w:rsidRPr="00142829">
        <w:rPr>
          <w:lang w:val="en-US"/>
        </w:rPr>
        <w:t>.</w:t>
      </w:r>
    </w:p>
    <w:p w:rsidR="0037324C" w:rsidRDefault="0037324C" w:rsidP="0037324C">
      <w:pPr>
        <w:pStyle w:val="HB"/>
        <w:jc w:val="both"/>
      </w:pPr>
      <w:r>
        <w:t>Location of Victoria’s grain farms</w:t>
      </w:r>
    </w:p>
    <w:p w:rsidR="0037324C" w:rsidRDefault="0037324C" w:rsidP="0037324C">
      <w:pPr>
        <w:pStyle w:val="Body"/>
        <w:jc w:val="both"/>
        <w:rPr>
          <w:lang w:val="en-US"/>
        </w:rPr>
      </w:pPr>
      <w:r w:rsidRPr="00142829">
        <w:rPr>
          <w:lang w:val="en-US"/>
        </w:rPr>
        <w:t xml:space="preserve">Victoria’s grain farms are predominantly located in western and northern Victoria, with the majority in the </w:t>
      </w:r>
      <w:proofErr w:type="spellStart"/>
      <w:r w:rsidRPr="00142829">
        <w:rPr>
          <w:lang w:val="en-US"/>
        </w:rPr>
        <w:t>Mallee</w:t>
      </w:r>
      <w:proofErr w:type="spellEnd"/>
      <w:r w:rsidRPr="00142829">
        <w:rPr>
          <w:lang w:val="en-US"/>
        </w:rPr>
        <w:t xml:space="preserve"> and </w:t>
      </w:r>
      <w:proofErr w:type="spellStart"/>
      <w:r w:rsidRPr="00142829">
        <w:rPr>
          <w:lang w:val="en-US"/>
        </w:rPr>
        <w:t>Wimmera</w:t>
      </w:r>
      <w:proofErr w:type="spellEnd"/>
      <w:r w:rsidRPr="00142829">
        <w:rPr>
          <w:lang w:val="en-US"/>
        </w:rPr>
        <w:t xml:space="preserve"> regions (Figure 1).</w:t>
      </w:r>
      <w:r>
        <w:rPr>
          <w:lang w:val="en-US"/>
        </w:rPr>
        <w:t xml:space="preserve"> </w:t>
      </w:r>
      <w:r w:rsidRPr="00142829">
        <w:rPr>
          <w:lang w:val="en-US"/>
        </w:rPr>
        <w:t xml:space="preserve">Grain growing in Victoria is continuing to expand into the high rainfall zones of southern Victoria </w:t>
      </w:r>
      <w:r>
        <w:rPr>
          <w:lang w:val="en-US"/>
        </w:rPr>
        <w:t xml:space="preserve">and </w:t>
      </w:r>
      <w:r w:rsidRPr="00142829">
        <w:rPr>
          <w:lang w:val="en-US"/>
        </w:rPr>
        <w:t xml:space="preserve">to a lesser extent </w:t>
      </w:r>
      <w:proofErr w:type="spellStart"/>
      <w:r w:rsidRPr="00142829">
        <w:rPr>
          <w:lang w:val="en-US"/>
        </w:rPr>
        <w:t>Gippsland</w:t>
      </w:r>
      <w:proofErr w:type="spellEnd"/>
      <w:r w:rsidRPr="00142829">
        <w:rPr>
          <w:lang w:val="en-US"/>
        </w:rPr>
        <w:t>, on land previously used exclusively for pasture production.</w:t>
      </w:r>
    </w:p>
    <w:p w:rsidR="0037324C" w:rsidRDefault="0037324C" w:rsidP="0037324C">
      <w:pPr>
        <w:pStyle w:val="TableTitle"/>
        <w:jc w:val="both"/>
        <w:rPr>
          <w:lang w:val="en-US"/>
        </w:rPr>
      </w:pPr>
    </w:p>
    <w:p w:rsidR="0037324C" w:rsidRDefault="0037324C" w:rsidP="0037324C">
      <w:pPr>
        <w:pStyle w:val="TableTitle"/>
        <w:rPr>
          <w:lang w:val="en-US"/>
        </w:rPr>
      </w:pPr>
      <w:r w:rsidRPr="00441D7F">
        <w:rPr>
          <w:lang w:val="en-US"/>
        </w:rPr>
        <w:t>Figure 1</w:t>
      </w:r>
      <w:r>
        <w:rPr>
          <w:lang w:val="en-US"/>
        </w:rPr>
        <w:t xml:space="preserve"> –</w:t>
      </w:r>
      <w:r w:rsidRPr="00441D7F">
        <w:rPr>
          <w:lang w:val="en-US"/>
        </w:rPr>
        <w:t xml:space="preserve"> </w:t>
      </w:r>
      <w:r>
        <w:rPr>
          <w:lang w:val="en-US"/>
        </w:rPr>
        <w:t>Major grain p</w:t>
      </w:r>
      <w:r w:rsidRPr="00441D7F">
        <w:rPr>
          <w:lang w:val="en-US"/>
        </w:rPr>
        <w:t>roduc</w:t>
      </w:r>
      <w:r>
        <w:rPr>
          <w:lang w:val="en-US"/>
        </w:rPr>
        <w:t>i</w:t>
      </w:r>
      <w:r w:rsidRPr="00441D7F">
        <w:rPr>
          <w:lang w:val="en-US"/>
        </w:rPr>
        <w:t>n</w:t>
      </w:r>
      <w:r>
        <w:rPr>
          <w:lang w:val="en-US"/>
        </w:rPr>
        <w:t>g areas</w:t>
      </w:r>
      <w:r w:rsidRPr="00441D7F">
        <w:rPr>
          <w:lang w:val="en-US"/>
        </w:rPr>
        <w:t xml:space="preserve"> in Victoria</w:t>
      </w:r>
      <w:r>
        <w:rPr>
          <w:rStyle w:val="EndnoteReference"/>
          <w:lang w:val="en-US"/>
        </w:rPr>
        <w:endnoteReference w:id="1"/>
      </w:r>
    </w:p>
    <w:p w:rsidR="0037324C" w:rsidRDefault="0037324C" w:rsidP="0037324C">
      <w:pPr>
        <w:pStyle w:val="Body"/>
        <w:rPr>
          <w:lang w:val="en-US"/>
        </w:rPr>
      </w:pPr>
      <w:r>
        <w:rPr>
          <w:noProof/>
          <w:lang w:eastAsia="en-AU"/>
        </w:rPr>
        <w:drawing>
          <wp:inline distT="0" distB="0" distL="0" distR="0" wp14:anchorId="751F782C" wp14:editId="53521BE1">
            <wp:extent cx="3818965" cy="2563906"/>
            <wp:effectExtent l="19050" t="19050" r="10160" b="27305"/>
            <wp:docPr id="1" name="Picture 1" descr="Map of Victoria showing regions that produce grain"/>
            <wp:cNvGraphicFramePr/>
            <a:graphic xmlns:a="http://schemas.openxmlformats.org/drawingml/2006/main">
              <a:graphicData uri="http://schemas.openxmlformats.org/drawingml/2006/picture">
                <pic:pic xmlns:pic="http://schemas.openxmlformats.org/drawingml/2006/picture">
                  <pic:nvPicPr>
                    <pic:cNvPr id="4" name="Picture 4" descr="Map of Victoria showing regions that produce grain"/>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19269" cy="2564110"/>
                    </a:xfrm>
                    <a:prstGeom prst="rect">
                      <a:avLst/>
                    </a:prstGeom>
                    <a:noFill/>
                    <a:ln w="3175">
                      <a:solidFill>
                        <a:schemeClr val="tx1"/>
                      </a:solidFill>
                    </a:ln>
                  </pic:spPr>
                </pic:pic>
              </a:graphicData>
            </a:graphic>
          </wp:inline>
        </w:drawing>
      </w:r>
    </w:p>
    <w:p w:rsidR="0037324C" w:rsidRDefault="0037324C" w:rsidP="0037324C">
      <w:pPr>
        <w:pStyle w:val="HB"/>
        <w:jc w:val="both"/>
        <w:rPr>
          <w:lang w:val="en-US"/>
        </w:rPr>
      </w:pPr>
      <w:r>
        <w:rPr>
          <w:lang w:val="en-US"/>
        </w:rPr>
        <w:t>Structure of Victoria’s grain industry</w:t>
      </w:r>
    </w:p>
    <w:p w:rsidR="0037324C" w:rsidRDefault="0037324C" w:rsidP="0037324C">
      <w:pPr>
        <w:pStyle w:val="Body"/>
        <w:jc w:val="both"/>
        <w:rPr>
          <w:lang w:val="en-US"/>
        </w:rPr>
      </w:pPr>
      <w:r w:rsidRPr="00B60BD5">
        <w:rPr>
          <w:lang w:val="en-US"/>
        </w:rPr>
        <w:t>Grain is grown on approximately 5,500 farms in Victoria</w:t>
      </w:r>
      <w:r>
        <w:rPr>
          <w:lang w:val="en-US"/>
        </w:rPr>
        <w:t>. A</w:t>
      </w:r>
      <w:r w:rsidRPr="00B60BD5">
        <w:rPr>
          <w:lang w:val="en-US"/>
        </w:rPr>
        <w:t xml:space="preserve">round 3,000 </w:t>
      </w:r>
      <w:r>
        <w:rPr>
          <w:lang w:val="en-US"/>
        </w:rPr>
        <w:t xml:space="preserve">are </w:t>
      </w:r>
      <w:r w:rsidRPr="00B60BD5">
        <w:rPr>
          <w:lang w:val="en-US"/>
        </w:rPr>
        <w:t xml:space="preserve">grain ‘specialists’ and 2,500 </w:t>
      </w:r>
      <w:r>
        <w:rPr>
          <w:lang w:val="en-US"/>
        </w:rPr>
        <w:t xml:space="preserve">growers </w:t>
      </w:r>
      <w:r w:rsidRPr="00B60BD5">
        <w:rPr>
          <w:lang w:val="en-US"/>
        </w:rPr>
        <w:t xml:space="preserve">produce grain as part of a mixed farming enterprise. Victoria’s grain farms are primarily family run enterprises </w:t>
      </w:r>
      <w:proofErr w:type="spellStart"/>
      <w:r w:rsidRPr="00B60BD5">
        <w:rPr>
          <w:lang w:val="en-US"/>
        </w:rPr>
        <w:t>characterised</w:t>
      </w:r>
      <w:proofErr w:type="spellEnd"/>
      <w:r w:rsidRPr="00B60BD5">
        <w:rPr>
          <w:lang w:val="en-US"/>
        </w:rPr>
        <w:t xml:space="preserve"> by a large number of small farms and a small number of large farms. Victoria is the third largest state in terms of number of grain establishments (22 per cent) and area planted (15 per cent)</w:t>
      </w:r>
      <w:r>
        <w:rPr>
          <w:rStyle w:val="EndnoteReference"/>
          <w:lang w:val="en-US"/>
        </w:rPr>
        <w:endnoteReference w:id="2"/>
      </w:r>
      <w:r>
        <w:rPr>
          <w:lang w:val="en-US"/>
        </w:rPr>
        <w:t>. In 2010-11, 7,956 people were employed on grain producing farms in Victoria. Of these, 4,448 were on mixed grain-livestock farms and 3,508 were on grain specialist farms</w:t>
      </w:r>
      <w:r>
        <w:rPr>
          <w:rStyle w:val="EndnoteReference"/>
          <w:lang w:val="en-US"/>
        </w:rPr>
        <w:endnoteReference w:id="3"/>
      </w:r>
      <w:r>
        <w:rPr>
          <w:lang w:val="en-US"/>
        </w:rPr>
        <w:t>.</w:t>
      </w:r>
    </w:p>
    <w:p w:rsidR="0037324C" w:rsidRDefault="0037324C" w:rsidP="0037324C">
      <w:pPr>
        <w:pStyle w:val="Body"/>
        <w:jc w:val="both"/>
        <w:rPr>
          <w:lang w:val="en-US"/>
        </w:rPr>
      </w:pPr>
      <w:r w:rsidRPr="00F65E62">
        <w:rPr>
          <w:lang w:val="en-US"/>
        </w:rPr>
        <w:t>Figure 2</w:t>
      </w:r>
      <w:r>
        <w:rPr>
          <w:lang w:val="en-US"/>
        </w:rPr>
        <w:t xml:space="preserve"> illustrates t</w:t>
      </w:r>
      <w:r w:rsidRPr="00F65E62">
        <w:rPr>
          <w:lang w:val="en-US"/>
        </w:rPr>
        <w:t xml:space="preserve">he supply chain of </w:t>
      </w:r>
      <w:r>
        <w:rPr>
          <w:lang w:val="en-US"/>
        </w:rPr>
        <w:t xml:space="preserve">grain, </w:t>
      </w:r>
      <w:r w:rsidRPr="00F65E62">
        <w:rPr>
          <w:lang w:val="en-US"/>
        </w:rPr>
        <w:t>using canola as an example.</w:t>
      </w:r>
      <w:r>
        <w:rPr>
          <w:lang w:val="en-US"/>
        </w:rPr>
        <w:t xml:space="preserve"> Growers store their g</w:t>
      </w:r>
      <w:r w:rsidRPr="00F65E62">
        <w:rPr>
          <w:lang w:val="en-US"/>
        </w:rPr>
        <w:t xml:space="preserve">rain either on or off-farm silos or bunkers for subsequent transport by train or truck for the export or domestic markets. Grain is delivered to off-farm storage sites by truck in either </w:t>
      </w:r>
      <w:r>
        <w:rPr>
          <w:lang w:val="en-US"/>
        </w:rPr>
        <w:t>the</w:t>
      </w:r>
      <w:r w:rsidRPr="00F65E62">
        <w:rPr>
          <w:lang w:val="en-US"/>
        </w:rPr>
        <w:t xml:space="preserve"> farmer’s own truck or by a haulage company. Once </w:t>
      </w:r>
      <w:r>
        <w:rPr>
          <w:lang w:val="en-US"/>
        </w:rPr>
        <w:t>in</w:t>
      </w:r>
      <w:r w:rsidRPr="00F65E62">
        <w:rPr>
          <w:lang w:val="en-US"/>
        </w:rPr>
        <w:t xml:space="preserve"> a storage site, grain marketers contract to buy the grain</w:t>
      </w:r>
      <w:r>
        <w:rPr>
          <w:lang w:val="en-US"/>
        </w:rPr>
        <w:t xml:space="preserve"> </w:t>
      </w:r>
      <w:r w:rsidRPr="00F65E62">
        <w:rPr>
          <w:lang w:val="en-US"/>
        </w:rPr>
        <w:t>from the grower. Improved grain transport efficiency is resulting in fewer, but larger, off-farm storage sites</w:t>
      </w:r>
      <w:r>
        <w:rPr>
          <w:rStyle w:val="EndnoteReference"/>
          <w:lang w:val="en-US"/>
        </w:rPr>
        <w:endnoteReference w:id="4"/>
      </w:r>
      <w:r>
        <w:rPr>
          <w:lang w:val="en-US"/>
        </w:rPr>
        <w:t>.</w:t>
      </w:r>
    </w:p>
    <w:p w:rsidR="0037324C" w:rsidRPr="00D913CE" w:rsidRDefault="0037324C" w:rsidP="0037324C">
      <w:pPr>
        <w:pStyle w:val="Body"/>
        <w:jc w:val="both"/>
        <w:rPr>
          <w:lang w:val="en-US"/>
        </w:rPr>
      </w:pPr>
      <w:r w:rsidRPr="00D913CE">
        <w:rPr>
          <w:lang w:val="en-US"/>
        </w:rPr>
        <w:t xml:space="preserve">A substantial percentage of off-farm silos are owned and operated by </w:t>
      </w:r>
      <w:proofErr w:type="spellStart"/>
      <w:r w:rsidRPr="00D913CE">
        <w:rPr>
          <w:lang w:val="en-US"/>
        </w:rPr>
        <w:t>GrainCorp</w:t>
      </w:r>
      <w:proofErr w:type="spellEnd"/>
      <w:r w:rsidRPr="00D913CE">
        <w:rPr>
          <w:lang w:val="en-US"/>
        </w:rPr>
        <w:t xml:space="preserve"> Ltd, a large bulk grain handler with integrated ‘end to end’ grain handling and processing infrastructure in Australia and overseas.</w:t>
      </w:r>
    </w:p>
    <w:p w:rsidR="0037324C" w:rsidRDefault="0037324C" w:rsidP="0037324C">
      <w:pPr>
        <w:pStyle w:val="Body"/>
        <w:jc w:val="both"/>
        <w:rPr>
          <w:lang w:val="en-US"/>
        </w:rPr>
      </w:pPr>
      <w:r w:rsidRPr="00D913CE">
        <w:rPr>
          <w:lang w:val="en-US"/>
        </w:rPr>
        <w:t xml:space="preserve">These off-farm silos are supplemented by significant on-farm storage, which currently totals around 3 million </w:t>
      </w:r>
      <w:proofErr w:type="spellStart"/>
      <w:r w:rsidRPr="00D913CE">
        <w:rPr>
          <w:lang w:val="en-US"/>
        </w:rPr>
        <w:t>tonnes</w:t>
      </w:r>
      <w:proofErr w:type="spellEnd"/>
      <w:r>
        <w:rPr>
          <w:rStyle w:val="EndnoteReference"/>
          <w:lang w:val="en-US"/>
        </w:rPr>
        <w:endnoteReference w:id="5"/>
      </w:r>
      <w:r w:rsidRPr="00D913CE">
        <w:rPr>
          <w:lang w:val="en-US"/>
        </w:rPr>
        <w:t xml:space="preserve">. The growth in on-farm storage has increased growers’ </w:t>
      </w:r>
      <w:r>
        <w:rPr>
          <w:lang w:val="en-US"/>
        </w:rPr>
        <w:t>ability</w:t>
      </w:r>
      <w:r w:rsidRPr="00D913CE">
        <w:rPr>
          <w:lang w:val="en-US"/>
        </w:rPr>
        <w:t xml:space="preserve"> to </w:t>
      </w:r>
      <w:proofErr w:type="spellStart"/>
      <w:r w:rsidRPr="00D913CE">
        <w:rPr>
          <w:lang w:val="en-US"/>
        </w:rPr>
        <w:t>capitalise</w:t>
      </w:r>
      <w:proofErr w:type="spellEnd"/>
      <w:r w:rsidRPr="00D913CE">
        <w:rPr>
          <w:lang w:val="en-US"/>
        </w:rPr>
        <w:t xml:space="preserve"> on post-harvest price rises.</w:t>
      </w:r>
    </w:p>
    <w:p w:rsidR="0037324C" w:rsidRDefault="0037324C" w:rsidP="0037324C">
      <w:pPr>
        <w:pStyle w:val="Body"/>
        <w:jc w:val="both"/>
        <w:rPr>
          <w:lang w:val="en-US"/>
        </w:rPr>
      </w:pPr>
      <w:r w:rsidRPr="00B72608">
        <w:rPr>
          <w:lang w:val="en-US"/>
        </w:rPr>
        <w:t xml:space="preserve">Victoria has three grain export terminals in Melbourne (operated by Emerald Grain), Geelong and Portland (both owned and operated by </w:t>
      </w:r>
      <w:proofErr w:type="spellStart"/>
      <w:r w:rsidRPr="00B72608">
        <w:rPr>
          <w:lang w:val="en-US"/>
        </w:rPr>
        <w:t>GrainCorp</w:t>
      </w:r>
      <w:proofErr w:type="spellEnd"/>
      <w:r w:rsidRPr="00B72608">
        <w:rPr>
          <w:lang w:val="en-US"/>
        </w:rPr>
        <w:t xml:space="preserve"> Ltd). Victoria’s main grain exporters are </w:t>
      </w:r>
      <w:proofErr w:type="spellStart"/>
      <w:r w:rsidRPr="00B72608">
        <w:rPr>
          <w:lang w:val="en-US"/>
        </w:rPr>
        <w:t>GrainCorp</w:t>
      </w:r>
      <w:proofErr w:type="spellEnd"/>
      <w:r w:rsidRPr="00B72608">
        <w:rPr>
          <w:lang w:val="en-US"/>
        </w:rPr>
        <w:t xml:space="preserve"> Ltd, Emerald Grain, Cargill Australia</w:t>
      </w:r>
      <w:r>
        <w:rPr>
          <w:lang w:val="en-US"/>
        </w:rPr>
        <w:t xml:space="preserve"> and </w:t>
      </w:r>
      <w:proofErr w:type="spellStart"/>
      <w:r>
        <w:rPr>
          <w:lang w:val="en-US"/>
        </w:rPr>
        <w:t>Glencore</w:t>
      </w:r>
      <w:proofErr w:type="spellEnd"/>
      <w:r>
        <w:rPr>
          <w:lang w:val="en-US"/>
        </w:rPr>
        <w:t>. T</w:t>
      </w:r>
      <w:r w:rsidRPr="00B72608">
        <w:rPr>
          <w:lang w:val="en-US"/>
        </w:rPr>
        <w:t xml:space="preserve">he number of grain exporters has </w:t>
      </w:r>
      <w:r>
        <w:rPr>
          <w:lang w:val="en-US"/>
        </w:rPr>
        <w:t xml:space="preserve">increased </w:t>
      </w:r>
      <w:r w:rsidRPr="00B72608">
        <w:rPr>
          <w:lang w:val="en-US"/>
        </w:rPr>
        <w:t>since deregulation of the wheat export market.</w:t>
      </w:r>
    </w:p>
    <w:p w:rsidR="0037324C" w:rsidRDefault="0037324C" w:rsidP="0037324C">
      <w:pPr>
        <w:pStyle w:val="Body"/>
        <w:jc w:val="both"/>
        <w:rPr>
          <w:lang w:val="en-US"/>
        </w:rPr>
      </w:pPr>
    </w:p>
    <w:p w:rsidR="0037324C" w:rsidRDefault="0037324C" w:rsidP="0037324C">
      <w:pPr>
        <w:pStyle w:val="TableTitle"/>
        <w:rPr>
          <w:lang w:val="en-US"/>
        </w:rPr>
      </w:pPr>
      <w:r w:rsidRPr="00B72608">
        <w:rPr>
          <w:lang w:val="en-US"/>
        </w:rPr>
        <w:t>Figure 2</w:t>
      </w:r>
      <w:r>
        <w:rPr>
          <w:lang w:val="en-US"/>
        </w:rPr>
        <w:t xml:space="preserve"> – G</w:t>
      </w:r>
      <w:r w:rsidRPr="00B72608">
        <w:rPr>
          <w:lang w:val="en-US"/>
        </w:rPr>
        <w:t xml:space="preserve">rain </w:t>
      </w:r>
      <w:r>
        <w:rPr>
          <w:lang w:val="en-US"/>
        </w:rPr>
        <w:t>s</w:t>
      </w:r>
      <w:r w:rsidRPr="00B72608">
        <w:rPr>
          <w:lang w:val="en-US"/>
        </w:rPr>
        <w:t xml:space="preserve">upply </w:t>
      </w:r>
      <w:r>
        <w:rPr>
          <w:lang w:val="en-US"/>
        </w:rPr>
        <w:t>chain in Victoria</w:t>
      </w:r>
    </w:p>
    <w:p w:rsidR="0037324C" w:rsidRDefault="0037324C" w:rsidP="0037324C">
      <w:pPr>
        <w:pStyle w:val="Body"/>
        <w:rPr>
          <w:lang w:val="en-US"/>
        </w:rPr>
      </w:pPr>
      <w:r>
        <w:rPr>
          <w:noProof/>
          <w:lang w:eastAsia="en-AU"/>
        </w:rPr>
        <w:drawing>
          <wp:inline distT="0" distB="0" distL="0" distR="0" wp14:anchorId="10047629" wp14:editId="1635BA32">
            <wp:extent cx="3272117" cy="2438400"/>
            <wp:effectExtent l="19050" t="19050" r="24130" b="19050"/>
            <wp:docPr id="2" name="Picture 4" descr="Figure 3.3 Schematic of the canola supply chain in Victoria"/>
            <wp:cNvGraphicFramePr/>
            <a:graphic xmlns:a="http://schemas.openxmlformats.org/drawingml/2006/main">
              <a:graphicData uri="http://schemas.openxmlformats.org/drawingml/2006/picture">
                <pic:pic xmlns:pic="http://schemas.openxmlformats.org/drawingml/2006/picture">
                  <pic:nvPicPr>
                    <pic:cNvPr id="1" name="Picture 4" descr="Figure 3.3 Schematic of the canola supply chain in Victoria"/>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2194" cy="2438457"/>
                    </a:xfrm>
                    <a:prstGeom prst="rect">
                      <a:avLst/>
                    </a:prstGeom>
                    <a:noFill/>
                    <a:ln w="12700">
                      <a:solidFill>
                        <a:schemeClr val="tx1"/>
                      </a:solidFill>
                    </a:ln>
                  </pic:spPr>
                </pic:pic>
              </a:graphicData>
            </a:graphic>
          </wp:inline>
        </w:drawing>
      </w:r>
    </w:p>
    <w:p w:rsidR="0037324C" w:rsidRPr="00B72608" w:rsidRDefault="0037324C" w:rsidP="0037324C">
      <w:pPr>
        <w:pStyle w:val="HB"/>
        <w:jc w:val="both"/>
        <w:rPr>
          <w:lang w:val="en-US"/>
        </w:rPr>
      </w:pPr>
      <w:r w:rsidRPr="00B72608">
        <w:rPr>
          <w:lang w:val="en-US"/>
        </w:rPr>
        <w:t>Victoria’s grain production</w:t>
      </w:r>
    </w:p>
    <w:p w:rsidR="0037324C" w:rsidRPr="00B72608" w:rsidRDefault="0037324C" w:rsidP="0037324C">
      <w:pPr>
        <w:pStyle w:val="Body"/>
        <w:jc w:val="both"/>
        <w:rPr>
          <w:lang w:val="en-US"/>
        </w:rPr>
      </w:pPr>
      <w:r w:rsidRPr="00B72608">
        <w:rPr>
          <w:lang w:val="en-US"/>
        </w:rPr>
        <w:t>In 2012-13, Victoria was Australia’s fourth largest grain producing state, accounting for approximately 11 pe</w:t>
      </w:r>
      <w:r>
        <w:rPr>
          <w:lang w:val="en-US"/>
        </w:rPr>
        <w:t>r cent of Australia’s production</w:t>
      </w:r>
      <w:r>
        <w:rPr>
          <w:rStyle w:val="EndnoteReference"/>
          <w:lang w:val="en-US"/>
        </w:rPr>
        <w:endnoteReference w:id="6"/>
      </w:r>
      <w:r w:rsidRPr="00B72608">
        <w:rPr>
          <w:lang w:val="en-US"/>
        </w:rPr>
        <w:t>. Victoria’s grain production has fluctuated over recent years</w:t>
      </w:r>
      <w:r>
        <w:rPr>
          <w:lang w:val="en-US"/>
        </w:rPr>
        <w:t xml:space="preserve"> p</w:t>
      </w:r>
      <w:r w:rsidRPr="00B72608">
        <w:rPr>
          <w:lang w:val="en-US"/>
        </w:rPr>
        <w:t>rimarily due to weather events</w:t>
      </w:r>
      <w:r>
        <w:rPr>
          <w:lang w:val="en-US"/>
        </w:rPr>
        <w:t xml:space="preserve">. It peaked </w:t>
      </w:r>
      <w:r w:rsidRPr="00B72608">
        <w:rPr>
          <w:lang w:val="en-US"/>
        </w:rPr>
        <w:t xml:space="preserve">at 7.7 million </w:t>
      </w:r>
      <w:proofErr w:type="spellStart"/>
      <w:r w:rsidRPr="00B72608">
        <w:rPr>
          <w:lang w:val="en-US"/>
        </w:rPr>
        <w:t>tonnes</w:t>
      </w:r>
      <w:proofErr w:type="spellEnd"/>
      <w:r w:rsidRPr="00B72608">
        <w:rPr>
          <w:lang w:val="en-US"/>
        </w:rPr>
        <w:t xml:space="preserve"> in 2010-11 and </w:t>
      </w:r>
      <w:r>
        <w:rPr>
          <w:lang w:val="en-US"/>
        </w:rPr>
        <w:t>recorded</w:t>
      </w:r>
      <w:r w:rsidRPr="00B72608">
        <w:rPr>
          <w:lang w:val="en-US"/>
        </w:rPr>
        <w:t xml:space="preserve"> a low of 1.8 million </w:t>
      </w:r>
      <w:proofErr w:type="spellStart"/>
      <w:r w:rsidRPr="00B72608">
        <w:rPr>
          <w:lang w:val="en-US"/>
        </w:rPr>
        <w:t>tonnes</w:t>
      </w:r>
      <w:proofErr w:type="spellEnd"/>
      <w:r w:rsidRPr="00B72608">
        <w:rPr>
          <w:lang w:val="en-US"/>
        </w:rPr>
        <w:t xml:space="preserve"> in 2006-07.</w:t>
      </w:r>
    </w:p>
    <w:p w:rsidR="0037324C" w:rsidRDefault="0037324C" w:rsidP="0037324C">
      <w:pPr>
        <w:pStyle w:val="Body"/>
        <w:jc w:val="both"/>
        <w:rPr>
          <w:lang w:val="en-US"/>
        </w:rPr>
      </w:pPr>
      <w:r>
        <w:rPr>
          <w:lang w:val="en-US"/>
        </w:rPr>
        <w:t xml:space="preserve">Grain industry consists of three types of </w:t>
      </w:r>
      <w:proofErr w:type="spellStart"/>
      <w:r>
        <w:rPr>
          <w:lang w:val="en-US"/>
        </w:rPr>
        <w:t>broadacre</w:t>
      </w:r>
      <w:proofErr w:type="spellEnd"/>
      <w:r>
        <w:rPr>
          <w:lang w:val="en-US"/>
        </w:rPr>
        <w:t xml:space="preserve"> crops, cereals, oilseeds and pulses. </w:t>
      </w:r>
      <w:r w:rsidRPr="00B72608">
        <w:rPr>
          <w:lang w:val="en-US"/>
        </w:rPr>
        <w:t xml:space="preserve">Cereal (mainly wheat and barley) production represents 82 per cent of </w:t>
      </w:r>
      <w:r>
        <w:rPr>
          <w:lang w:val="en-US"/>
        </w:rPr>
        <w:t xml:space="preserve">Victoria’s grain </w:t>
      </w:r>
      <w:r w:rsidRPr="00B72608">
        <w:rPr>
          <w:lang w:val="en-US"/>
        </w:rPr>
        <w:t xml:space="preserve">production, with wheat accounting for around 60 per cent of </w:t>
      </w:r>
      <w:r>
        <w:rPr>
          <w:lang w:val="en-US"/>
        </w:rPr>
        <w:t xml:space="preserve">the </w:t>
      </w:r>
      <w:r w:rsidRPr="00B72608">
        <w:rPr>
          <w:lang w:val="en-US"/>
        </w:rPr>
        <w:t xml:space="preserve">total cereal crop. Since 1980, production of oilseeds and pulses has grown rapidly from 1 per cent to almost 20 per cent of total </w:t>
      </w:r>
      <w:r>
        <w:rPr>
          <w:lang w:val="en-US"/>
        </w:rPr>
        <w:t xml:space="preserve">grain </w:t>
      </w:r>
      <w:r w:rsidRPr="00B72608">
        <w:rPr>
          <w:lang w:val="en-US"/>
        </w:rPr>
        <w:t xml:space="preserve">production. </w:t>
      </w:r>
    </w:p>
    <w:p w:rsidR="0037324C" w:rsidRDefault="0037324C" w:rsidP="0037324C">
      <w:pPr>
        <w:pStyle w:val="Body"/>
        <w:jc w:val="both"/>
        <w:rPr>
          <w:lang w:val="en-US"/>
        </w:rPr>
      </w:pPr>
      <w:r w:rsidRPr="00BD17E3">
        <w:rPr>
          <w:lang w:val="en-US"/>
        </w:rPr>
        <w:t>Area, production and estimated average yield of the major grain crops over the past years are shown in Table 1.</w:t>
      </w:r>
      <w:r>
        <w:rPr>
          <w:lang w:val="en-US"/>
        </w:rPr>
        <w:t xml:space="preserve"> In 2012-13, grain crops were grown on</w:t>
      </w:r>
      <w:r w:rsidRPr="00227847">
        <w:rPr>
          <w:lang w:val="en-US"/>
        </w:rPr>
        <w:t xml:space="preserve"> 3.6 million hectares</w:t>
      </w:r>
      <w:r>
        <w:rPr>
          <w:lang w:val="en-US"/>
        </w:rPr>
        <w:t>. All crop yields were low in 2006-07 because of the poor seasonal conditions, but the yields were maintained afterwards at reasonable levels with a small dip in 2008-09 and a peak in 2010-11. Area under canola increased while other crop areas remained relatively stable.</w:t>
      </w:r>
    </w:p>
    <w:p w:rsidR="0037324C" w:rsidRDefault="0037324C" w:rsidP="0037324C">
      <w:pPr>
        <w:pStyle w:val="Body"/>
        <w:jc w:val="both"/>
        <w:rPr>
          <w:lang w:val="en-US"/>
        </w:rPr>
      </w:pPr>
      <w:r>
        <w:rPr>
          <w:lang w:val="en-US"/>
        </w:rPr>
        <w:t xml:space="preserve">In 2012-13, the total value of grain crops produced in Victoria was $2.31 billion, the bulk of which from cereals (see </w:t>
      </w:r>
      <w:r w:rsidRPr="00B72608">
        <w:rPr>
          <w:lang w:val="en-US"/>
        </w:rPr>
        <w:t>Figure 3</w:t>
      </w:r>
      <w:r>
        <w:rPr>
          <w:lang w:val="en-US"/>
        </w:rPr>
        <w:t xml:space="preserve">). </w:t>
      </w:r>
      <w:r w:rsidRPr="00B72608">
        <w:rPr>
          <w:lang w:val="en-US"/>
        </w:rPr>
        <w:t>Canola constitutes 99 per cent of the value of all oilseeds. Figure 4 indicates the breakdown of th</w:t>
      </w:r>
      <w:r>
        <w:rPr>
          <w:lang w:val="en-US"/>
        </w:rPr>
        <w:t xml:space="preserve">e value from cereals and pulses into the main crops. </w:t>
      </w:r>
      <w:r w:rsidRPr="00227847">
        <w:rPr>
          <w:lang w:val="en-US"/>
        </w:rPr>
        <w:t>In 2012-13, the gross value of Victoria’s</w:t>
      </w:r>
      <w:r>
        <w:rPr>
          <w:lang w:val="en-US"/>
        </w:rPr>
        <w:t xml:space="preserve"> production from the major grain crops was</w:t>
      </w:r>
      <w:r w:rsidRPr="00227847">
        <w:rPr>
          <w:lang w:val="en-US"/>
        </w:rPr>
        <w:t xml:space="preserve"> $1,039 million</w:t>
      </w:r>
      <w:r>
        <w:rPr>
          <w:lang w:val="en-US"/>
        </w:rPr>
        <w:t xml:space="preserve"> from </w:t>
      </w:r>
      <w:r w:rsidRPr="00227847">
        <w:rPr>
          <w:lang w:val="en-US"/>
        </w:rPr>
        <w:t>wheat, $533 mil</w:t>
      </w:r>
      <w:r>
        <w:rPr>
          <w:lang w:val="en-US"/>
        </w:rPr>
        <w:t xml:space="preserve">lion from </w:t>
      </w:r>
      <w:r w:rsidRPr="00227847">
        <w:rPr>
          <w:lang w:val="en-US"/>
        </w:rPr>
        <w:t xml:space="preserve">barley </w:t>
      </w:r>
      <w:r>
        <w:rPr>
          <w:lang w:val="en-US"/>
        </w:rPr>
        <w:t>and $455 million from canola</w:t>
      </w:r>
      <w:r w:rsidRPr="00227847">
        <w:rPr>
          <w:lang w:val="en-US"/>
        </w:rPr>
        <w:t>.</w:t>
      </w:r>
      <w:r>
        <w:rPr>
          <w:lang w:val="en-US"/>
        </w:rPr>
        <w:t xml:space="preserve"> </w:t>
      </w:r>
    </w:p>
    <w:p w:rsidR="0037324C" w:rsidRDefault="0037324C" w:rsidP="0037324C">
      <w:pPr>
        <w:pStyle w:val="Body"/>
        <w:jc w:val="both"/>
        <w:rPr>
          <w:lang w:val="en-US"/>
        </w:rPr>
      </w:pPr>
    </w:p>
    <w:p w:rsidR="0037324C" w:rsidRDefault="0037324C" w:rsidP="0037324C">
      <w:pPr>
        <w:jc w:val="both"/>
        <w:rPr>
          <w:rFonts w:ascii="Arial" w:hAnsi="Arial" w:cs="Arial"/>
          <w:b/>
          <w:color w:val="404040"/>
          <w:sz w:val="18"/>
          <w:szCs w:val="18"/>
          <w:lang w:val="en-US"/>
        </w:rPr>
      </w:pPr>
      <w:r>
        <w:rPr>
          <w:lang w:val="en-US"/>
        </w:rPr>
        <w:br w:type="page"/>
      </w:r>
    </w:p>
    <w:p w:rsidR="0037324C" w:rsidRPr="009F35C8" w:rsidRDefault="0037324C" w:rsidP="0037324C">
      <w:pPr>
        <w:pStyle w:val="TableTitle"/>
        <w:rPr>
          <w:lang w:val="en-US"/>
        </w:rPr>
      </w:pPr>
      <w:r w:rsidRPr="009F35C8">
        <w:rPr>
          <w:lang w:val="en-US"/>
        </w:rPr>
        <w:t>Table 1 – Victoria’s grain production by crop</w:t>
      </w:r>
      <w:r w:rsidRPr="009F35C8">
        <w:rPr>
          <w:rStyle w:val="EndnoteReference"/>
          <w:b w:val="0"/>
          <w:lang w:val="en-US"/>
        </w:rPr>
        <w:endnoteReference w:id="7"/>
      </w:r>
    </w:p>
    <w:tbl>
      <w:tblPr>
        <w:tblStyle w:val="ColorfulGrid-Accent6"/>
        <w:tblW w:w="0" w:type="auto"/>
        <w:jc w:val="center"/>
        <w:tblLook w:val="04A0" w:firstRow="1" w:lastRow="0" w:firstColumn="1" w:lastColumn="0" w:noHBand="0" w:noVBand="1"/>
      </w:tblPr>
      <w:tblGrid>
        <w:gridCol w:w="939"/>
        <w:gridCol w:w="1620"/>
        <w:gridCol w:w="954"/>
        <w:gridCol w:w="954"/>
        <w:gridCol w:w="955"/>
        <w:gridCol w:w="955"/>
        <w:gridCol w:w="955"/>
        <w:gridCol w:w="955"/>
        <w:gridCol w:w="955"/>
      </w:tblGrid>
      <w:tr w:rsidR="0037324C" w:rsidRPr="00C81E3E" w:rsidTr="0006661B">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100000000000" w:firstRow="1" w:lastRow="0" w:firstColumn="0" w:lastColumn="0" w:oddVBand="0" w:evenVBand="0" w:oddHBand="0" w:evenHBand="0" w:firstRowFirstColumn="0" w:firstRowLastColumn="0" w:lastRowFirstColumn="0" w:lastRowLastColumn="0"/>
              <w:rPr>
                <w:sz w:val="16"/>
                <w:szCs w:val="16"/>
              </w:rPr>
            </w:pPr>
          </w:p>
        </w:tc>
        <w:tc>
          <w:tcPr>
            <w:tcW w:w="954"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2006-07</w:t>
            </w:r>
          </w:p>
        </w:tc>
        <w:tc>
          <w:tcPr>
            <w:tcW w:w="954"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2007-08</w:t>
            </w:r>
          </w:p>
        </w:tc>
        <w:tc>
          <w:tcPr>
            <w:tcW w:w="955"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2008-09</w:t>
            </w:r>
          </w:p>
        </w:tc>
        <w:tc>
          <w:tcPr>
            <w:tcW w:w="955"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2009-10</w:t>
            </w:r>
          </w:p>
        </w:tc>
        <w:tc>
          <w:tcPr>
            <w:tcW w:w="955"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2010-11</w:t>
            </w:r>
          </w:p>
        </w:tc>
        <w:tc>
          <w:tcPr>
            <w:tcW w:w="955"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2011-12</w:t>
            </w:r>
          </w:p>
        </w:tc>
        <w:tc>
          <w:tcPr>
            <w:tcW w:w="955" w:type="dxa"/>
            <w:noWrap/>
            <w:hideMark/>
          </w:tcPr>
          <w:p w:rsidR="0037324C" w:rsidRPr="009F35C8" w:rsidRDefault="0037324C" w:rsidP="0037324C">
            <w:pPr>
              <w:pStyle w:val="Body"/>
              <w:spacing w:after="0" w:line="240" w:lineRule="auto"/>
              <w:jc w:val="right"/>
              <w:cnfStyle w:val="100000000000" w:firstRow="1" w:lastRow="0" w:firstColumn="0" w:lastColumn="0" w:oddVBand="0" w:evenVBand="0" w:oddHBand="0" w:evenHBand="0" w:firstRowFirstColumn="0" w:firstRowLastColumn="0" w:lastRowFirstColumn="0" w:lastRowLastColumn="0"/>
              <w:rPr>
                <w:sz w:val="16"/>
                <w:szCs w:val="16"/>
              </w:rPr>
            </w:pPr>
            <w:r w:rsidRPr="009F35C8">
              <w:rPr>
                <w:sz w:val="16"/>
                <w:szCs w:val="16"/>
              </w:rPr>
              <w:t>2012-13</w:t>
            </w:r>
          </w:p>
        </w:tc>
      </w:tr>
      <w:tr w:rsidR="0037324C" w:rsidRPr="00C81E3E" w:rsidTr="0006661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val="restart"/>
            <w:noWrap/>
            <w:hideMark/>
          </w:tcPr>
          <w:p w:rsidR="0037324C" w:rsidRPr="009F35C8" w:rsidRDefault="0037324C" w:rsidP="0006661B">
            <w:pPr>
              <w:pStyle w:val="Body"/>
              <w:spacing w:after="0" w:line="240" w:lineRule="auto"/>
              <w:jc w:val="both"/>
              <w:rPr>
                <w:sz w:val="16"/>
                <w:szCs w:val="16"/>
              </w:rPr>
            </w:pPr>
            <w:r w:rsidRPr="009F35C8">
              <w:rPr>
                <w:sz w:val="16"/>
                <w:szCs w:val="16"/>
              </w:rPr>
              <w:t>Wheat</w:t>
            </w:r>
          </w:p>
        </w:tc>
        <w:tc>
          <w:tcPr>
            <w:tcW w:w="1620" w:type="dxa"/>
            <w:noWrap/>
            <w:hideMark/>
          </w:tcPr>
          <w:p w:rsidR="0037324C" w:rsidRPr="009F35C8" w:rsidRDefault="0037324C" w:rsidP="0006661B">
            <w:pPr>
              <w:pStyle w:val="Body"/>
              <w:spacing w:after="0" w:line="240"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Area '000 ha</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1,347</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1,514</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1,534</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1,801</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1,793</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1,669</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1,577</w:t>
            </w:r>
          </w:p>
        </w:tc>
      </w:tr>
      <w:tr w:rsidR="0037324C" w:rsidRPr="00C81E3E" w:rsidTr="0006661B">
        <w:trPr>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Production '000 t</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879</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1,995</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1,756</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2,995</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4,412</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3,943</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3,423</w:t>
            </w:r>
          </w:p>
        </w:tc>
      </w:tr>
      <w:tr w:rsidR="0037324C" w:rsidRPr="00C81E3E" w:rsidTr="0006661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Yield t/ha</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0.7</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1.3</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1.1</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1.7</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2.4</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2.2</w:t>
            </w:r>
          </w:p>
        </w:tc>
      </w:tr>
      <w:tr w:rsidR="0037324C" w:rsidRPr="00C81E3E" w:rsidTr="0006661B">
        <w:trPr>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val="restart"/>
            <w:noWrap/>
            <w:hideMark/>
          </w:tcPr>
          <w:p w:rsidR="0037324C" w:rsidRPr="009F35C8" w:rsidRDefault="0037324C" w:rsidP="0006661B">
            <w:pPr>
              <w:pStyle w:val="Body"/>
              <w:spacing w:after="0" w:line="240" w:lineRule="auto"/>
              <w:jc w:val="both"/>
              <w:rPr>
                <w:sz w:val="16"/>
                <w:szCs w:val="16"/>
              </w:rPr>
            </w:pPr>
            <w:r w:rsidRPr="009F35C8">
              <w:rPr>
                <w:sz w:val="16"/>
                <w:szCs w:val="16"/>
              </w:rPr>
              <w:t>Barley</w:t>
            </w:r>
          </w:p>
        </w:tc>
        <w:tc>
          <w:tcPr>
            <w:tcW w:w="1620" w:type="dxa"/>
            <w:noWrap/>
            <w:hideMark/>
          </w:tcPr>
          <w:p w:rsidR="0037324C" w:rsidRPr="009F35C8" w:rsidRDefault="0037324C" w:rsidP="0006661B">
            <w:pPr>
              <w:pStyle w:val="Body"/>
              <w:spacing w:after="0" w:line="240"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Area '000 ha</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913</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1,107</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1,136</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976</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802</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831</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844</w:t>
            </w:r>
          </w:p>
        </w:tc>
      </w:tr>
      <w:tr w:rsidR="0037324C" w:rsidRPr="00C81E3E" w:rsidTr="0006661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Production '000 t</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605</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1,789</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1,461</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1,865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1,945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2,005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1,952</w:t>
            </w:r>
          </w:p>
        </w:tc>
      </w:tr>
      <w:tr w:rsidR="0037324C" w:rsidRPr="00C81E3E" w:rsidTr="0006661B">
        <w:trPr>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Yield t/ha</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0.7</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1.6</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1.3</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1.9</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2.4</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2.4</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2.3</w:t>
            </w:r>
          </w:p>
        </w:tc>
      </w:tr>
      <w:tr w:rsidR="0037324C" w:rsidRPr="00C81E3E" w:rsidTr="0006661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val="restart"/>
            <w:noWrap/>
            <w:hideMark/>
          </w:tcPr>
          <w:p w:rsidR="0037324C" w:rsidRPr="009F35C8" w:rsidRDefault="0037324C" w:rsidP="0006661B">
            <w:pPr>
              <w:pStyle w:val="Body"/>
              <w:spacing w:after="0" w:line="240" w:lineRule="auto"/>
              <w:jc w:val="both"/>
              <w:rPr>
                <w:sz w:val="16"/>
                <w:szCs w:val="16"/>
              </w:rPr>
            </w:pPr>
            <w:r w:rsidRPr="009F35C8">
              <w:rPr>
                <w:sz w:val="16"/>
                <w:szCs w:val="16"/>
              </w:rPr>
              <w:t>Canola</w:t>
            </w:r>
          </w:p>
        </w:tc>
        <w:tc>
          <w:tcPr>
            <w:tcW w:w="1620" w:type="dxa"/>
            <w:noWrap/>
            <w:hideMark/>
          </w:tcPr>
          <w:p w:rsidR="0037324C" w:rsidRPr="009F35C8" w:rsidRDefault="0037324C" w:rsidP="0006661B">
            <w:pPr>
              <w:pStyle w:val="Body"/>
              <w:spacing w:after="0" w:line="240"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Area '000 ha</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179</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196</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285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231</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323</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477</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628</w:t>
            </w:r>
          </w:p>
        </w:tc>
      </w:tr>
      <w:tr w:rsidR="0037324C" w:rsidRPr="00C81E3E" w:rsidTr="0006661B">
        <w:trPr>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Production '000 t</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42</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220</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233</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331</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476</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689</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866</w:t>
            </w:r>
          </w:p>
        </w:tc>
      </w:tr>
      <w:tr w:rsidR="0037324C" w:rsidRPr="00C81E3E" w:rsidTr="0006661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Yield t/ha</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0.2</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1.1</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0.8</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1.4</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1.4</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1.4</w:t>
            </w:r>
          </w:p>
        </w:tc>
      </w:tr>
      <w:tr w:rsidR="0037324C" w:rsidRPr="00C81E3E" w:rsidTr="0006661B">
        <w:trPr>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val="restart"/>
            <w:noWrap/>
            <w:hideMark/>
          </w:tcPr>
          <w:p w:rsidR="0037324C" w:rsidRPr="009F35C8" w:rsidRDefault="0037324C" w:rsidP="0006661B">
            <w:pPr>
              <w:pStyle w:val="Body"/>
              <w:spacing w:after="0" w:line="240" w:lineRule="auto"/>
              <w:jc w:val="both"/>
              <w:rPr>
                <w:sz w:val="16"/>
                <w:szCs w:val="16"/>
              </w:rPr>
            </w:pPr>
            <w:r w:rsidRPr="009F35C8">
              <w:rPr>
                <w:sz w:val="16"/>
                <w:szCs w:val="16"/>
              </w:rPr>
              <w:t>Lentils</w:t>
            </w:r>
          </w:p>
        </w:tc>
        <w:tc>
          <w:tcPr>
            <w:tcW w:w="1620" w:type="dxa"/>
            <w:noWrap/>
            <w:hideMark/>
          </w:tcPr>
          <w:p w:rsidR="0037324C" w:rsidRPr="009F35C8" w:rsidRDefault="0037324C" w:rsidP="0006661B">
            <w:pPr>
              <w:pStyle w:val="Body"/>
              <w:spacing w:after="0" w:line="240"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Area '000 ha</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122</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67</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71</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52</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110</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N/A</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N/A</w:t>
            </w:r>
          </w:p>
        </w:tc>
      </w:tr>
      <w:tr w:rsidR="0037324C" w:rsidRPr="00C81E3E" w:rsidTr="0006661B">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Production '000 t</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5</w:t>
            </w:r>
          </w:p>
        </w:tc>
        <w:tc>
          <w:tcPr>
            <w:tcW w:w="954"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62</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25</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50</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156</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N/A</w:t>
            </w:r>
          </w:p>
        </w:tc>
        <w:tc>
          <w:tcPr>
            <w:tcW w:w="955" w:type="dxa"/>
            <w:noWrap/>
            <w:hideMark/>
          </w:tcPr>
          <w:p w:rsidR="0037324C" w:rsidRPr="009F35C8" w:rsidRDefault="0037324C" w:rsidP="0037324C">
            <w:pPr>
              <w:pStyle w:val="Body"/>
              <w:spacing w:after="0" w:line="240" w:lineRule="auto"/>
              <w:jc w:val="right"/>
              <w:cnfStyle w:val="000000100000" w:firstRow="0" w:lastRow="0" w:firstColumn="0" w:lastColumn="0" w:oddVBand="0" w:evenVBand="0" w:oddHBand="1" w:evenHBand="0" w:firstRowFirstColumn="0" w:firstRowLastColumn="0" w:lastRowFirstColumn="0" w:lastRowLastColumn="0"/>
              <w:rPr>
                <w:sz w:val="16"/>
                <w:szCs w:val="16"/>
              </w:rPr>
            </w:pPr>
            <w:r w:rsidRPr="009F35C8">
              <w:rPr>
                <w:sz w:val="16"/>
                <w:szCs w:val="16"/>
              </w:rPr>
              <w:t>N/A</w:t>
            </w:r>
          </w:p>
        </w:tc>
      </w:tr>
      <w:tr w:rsidR="0037324C" w:rsidRPr="00C81E3E" w:rsidTr="0006661B">
        <w:trPr>
          <w:trHeight w:val="300"/>
          <w:jc w:val="center"/>
        </w:trPr>
        <w:tc>
          <w:tcPr>
            <w:cnfStyle w:val="001000000000" w:firstRow="0" w:lastRow="0" w:firstColumn="1" w:lastColumn="0" w:oddVBand="0" w:evenVBand="0" w:oddHBand="0" w:evenHBand="0" w:firstRowFirstColumn="0" w:firstRowLastColumn="0" w:lastRowFirstColumn="0" w:lastRowLastColumn="0"/>
            <w:tcW w:w="939" w:type="dxa"/>
            <w:vMerge/>
            <w:noWrap/>
            <w:hideMark/>
          </w:tcPr>
          <w:p w:rsidR="0037324C" w:rsidRPr="009F35C8" w:rsidRDefault="0037324C" w:rsidP="0006661B">
            <w:pPr>
              <w:pStyle w:val="Body"/>
              <w:spacing w:after="0" w:line="240" w:lineRule="auto"/>
              <w:jc w:val="both"/>
              <w:rPr>
                <w:sz w:val="16"/>
                <w:szCs w:val="16"/>
              </w:rPr>
            </w:pPr>
          </w:p>
        </w:tc>
        <w:tc>
          <w:tcPr>
            <w:tcW w:w="1620" w:type="dxa"/>
            <w:noWrap/>
            <w:hideMark/>
          </w:tcPr>
          <w:p w:rsidR="0037324C" w:rsidRPr="009F35C8" w:rsidRDefault="0037324C" w:rsidP="0006661B">
            <w:pPr>
              <w:pStyle w:val="Body"/>
              <w:spacing w:after="0" w:line="240" w:lineRule="auto"/>
              <w:jc w:val="both"/>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Yield t/ha</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0.0</w:t>
            </w:r>
          </w:p>
        </w:tc>
        <w:tc>
          <w:tcPr>
            <w:tcW w:w="954"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0.9</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0.3</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1.0</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1.4</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N/A</w:t>
            </w:r>
          </w:p>
        </w:tc>
        <w:tc>
          <w:tcPr>
            <w:tcW w:w="955" w:type="dxa"/>
            <w:noWrap/>
            <w:hideMark/>
          </w:tcPr>
          <w:p w:rsidR="0037324C" w:rsidRPr="009F35C8" w:rsidRDefault="0037324C" w:rsidP="0037324C">
            <w:pPr>
              <w:pStyle w:val="Body"/>
              <w:spacing w:after="0" w:line="240" w:lineRule="auto"/>
              <w:jc w:val="right"/>
              <w:cnfStyle w:val="000000000000" w:firstRow="0" w:lastRow="0" w:firstColumn="0" w:lastColumn="0" w:oddVBand="0" w:evenVBand="0" w:oddHBand="0" w:evenHBand="0" w:firstRowFirstColumn="0" w:firstRowLastColumn="0" w:lastRowFirstColumn="0" w:lastRowLastColumn="0"/>
              <w:rPr>
                <w:sz w:val="16"/>
                <w:szCs w:val="16"/>
              </w:rPr>
            </w:pPr>
            <w:r w:rsidRPr="009F35C8">
              <w:rPr>
                <w:sz w:val="16"/>
                <w:szCs w:val="16"/>
              </w:rPr>
              <w:t>N/A</w:t>
            </w:r>
          </w:p>
        </w:tc>
      </w:tr>
    </w:tbl>
    <w:p w:rsidR="0037324C" w:rsidRDefault="0037324C" w:rsidP="0037324C">
      <w:pPr>
        <w:pStyle w:val="Body"/>
        <w:rPr>
          <w:lang w:val="en-US"/>
        </w:rPr>
      </w:pPr>
      <w:r>
        <w:rPr>
          <w:b/>
          <w:lang w:val="en-US"/>
        </w:rPr>
        <w:t xml:space="preserve">  </w:t>
      </w:r>
      <w:r w:rsidRPr="00817A2D">
        <w:rPr>
          <w:b/>
          <w:lang w:val="en-US"/>
        </w:rPr>
        <w:t>N/A</w:t>
      </w:r>
      <w:r>
        <w:rPr>
          <w:lang w:val="en-US"/>
        </w:rPr>
        <w:t xml:space="preserve"> Not available.</w:t>
      </w:r>
    </w:p>
    <w:p w:rsidR="0037324C" w:rsidRDefault="0037324C" w:rsidP="0037324C">
      <w:pPr>
        <w:pStyle w:val="Body"/>
        <w:jc w:val="both"/>
        <w:rPr>
          <w:lang w:val="en-US"/>
        </w:rPr>
      </w:pPr>
    </w:p>
    <w:p w:rsidR="0037324C" w:rsidRDefault="0037324C" w:rsidP="0037324C">
      <w:pPr>
        <w:pStyle w:val="TableTitle"/>
        <w:rPr>
          <w:lang w:val="en-US"/>
        </w:rPr>
      </w:pPr>
      <w:r w:rsidRPr="00227847">
        <w:rPr>
          <w:lang w:val="en-US"/>
        </w:rPr>
        <w:t>Figure 3</w:t>
      </w:r>
      <w:r>
        <w:rPr>
          <w:lang w:val="en-US"/>
        </w:rPr>
        <w:t xml:space="preserve"> – V</w:t>
      </w:r>
      <w:r w:rsidRPr="00227847">
        <w:rPr>
          <w:lang w:val="en-US"/>
        </w:rPr>
        <w:t xml:space="preserve">alue of </w:t>
      </w:r>
      <w:r>
        <w:rPr>
          <w:lang w:val="en-US"/>
        </w:rPr>
        <w:t xml:space="preserve">all </w:t>
      </w:r>
      <w:r w:rsidRPr="00227847">
        <w:rPr>
          <w:lang w:val="en-US"/>
        </w:rPr>
        <w:t>grain produced</w:t>
      </w:r>
      <w:r>
        <w:rPr>
          <w:rStyle w:val="EndnoteReference"/>
          <w:lang w:val="en-US"/>
        </w:rPr>
        <w:endnoteReference w:id="8"/>
      </w:r>
    </w:p>
    <w:p w:rsidR="0037324C" w:rsidRDefault="0037324C" w:rsidP="0037324C">
      <w:pPr>
        <w:pStyle w:val="Body"/>
        <w:rPr>
          <w:lang w:val="en-US"/>
        </w:rPr>
      </w:pPr>
      <w:r w:rsidRPr="00D30E2D">
        <w:rPr>
          <w:noProof/>
          <w:shd w:val="clear" w:color="auto" w:fill="FFFFFF" w:themeFill="background1"/>
          <w:lang w:eastAsia="en-AU"/>
        </w:rPr>
        <w:drawing>
          <wp:inline distT="0" distB="0" distL="0" distR="0" wp14:anchorId="7CD97440" wp14:editId="3D4DBA8E">
            <wp:extent cx="5400000" cy="2520000"/>
            <wp:effectExtent l="0" t="0" r="10795" b="1397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7324C" w:rsidRDefault="0037324C" w:rsidP="0037324C">
      <w:pPr>
        <w:pStyle w:val="TableTitle"/>
        <w:jc w:val="both"/>
        <w:rPr>
          <w:lang w:val="en-US"/>
        </w:rPr>
      </w:pPr>
    </w:p>
    <w:p w:rsidR="0037324C" w:rsidRDefault="0037324C" w:rsidP="0037324C">
      <w:pPr>
        <w:pStyle w:val="TableTitle"/>
        <w:rPr>
          <w:lang w:val="en-US"/>
        </w:rPr>
      </w:pPr>
      <w:r w:rsidRPr="00227847">
        <w:rPr>
          <w:lang w:val="en-US"/>
        </w:rPr>
        <w:t>Figure 4</w:t>
      </w:r>
      <w:r>
        <w:rPr>
          <w:lang w:val="en-US"/>
        </w:rPr>
        <w:t xml:space="preserve"> – V</w:t>
      </w:r>
      <w:r w:rsidRPr="00227847">
        <w:rPr>
          <w:lang w:val="en-US"/>
        </w:rPr>
        <w:t>alue of cereals</w:t>
      </w:r>
      <w:r>
        <w:rPr>
          <w:lang w:val="en-US"/>
        </w:rPr>
        <w:t xml:space="preserve"> (left)</w:t>
      </w:r>
      <w:r w:rsidRPr="00227847">
        <w:rPr>
          <w:lang w:val="en-US"/>
        </w:rPr>
        <w:t xml:space="preserve"> and pulses</w:t>
      </w:r>
      <w:r>
        <w:rPr>
          <w:lang w:val="en-US"/>
        </w:rPr>
        <w:t xml:space="preserve"> (right)</w:t>
      </w:r>
      <w:r w:rsidRPr="00227847">
        <w:rPr>
          <w:lang w:val="en-US"/>
        </w:rPr>
        <w:t xml:space="preserve"> produced</w:t>
      </w:r>
      <w:r>
        <w:rPr>
          <w:rStyle w:val="EndnoteReference"/>
          <w:lang w:val="en-US"/>
        </w:rPr>
        <w:endnoteReference w:id="9"/>
      </w:r>
    </w:p>
    <w:p w:rsidR="0037324C" w:rsidRDefault="0037324C" w:rsidP="0037324C">
      <w:pPr>
        <w:pStyle w:val="Body"/>
        <w:rPr>
          <w:lang w:val="en-US"/>
        </w:rPr>
      </w:pPr>
      <w:r>
        <w:rPr>
          <w:noProof/>
          <w:lang w:eastAsia="en-AU"/>
        </w:rPr>
        <w:drawing>
          <wp:inline distT="0" distB="0" distL="0" distR="0" wp14:anchorId="2834FDCC" wp14:editId="13F95314">
            <wp:extent cx="2474258" cy="1775011"/>
            <wp:effectExtent l="38100" t="0" r="59690" b="1587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Pr>
          <w:noProof/>
          <w:lang w:eastAsia="en-AU"/>
        </w:rPr>
        <w:drawing>
          <wp:inline distT="0" distB="0" distL="0" distR="0" wp14:anchorId="5EF4E32E" wp14:editId="73BC4F66">
            <wp:extent cx="2659487" cy="1770845"/>
            <wp:effectExtent l="38100" t="0" r="64770" b="2032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37324C" w:rsidRDefault="0037324C" w:rsidP="0037324C">
      <w:pPr>
        <w:jc w:val="both"/>
        <w:rPr>
          <w:rFonts w:ascii="Arial" w:hAnsi="Arial" w:cs="Arial"/>
          <w:b/>
          <w:color w:val="F58426"/>
          <w:lang w:val="en-US"/>
        </w:rPr>
      </w:pPr>
      <w:r>
        <w:rPr>
          <w:lang w:val="en-US"/>
        </w:rPr>
        <w:br w:type="page"/>
      </w:r>
    </w:p>
    <w:p w:rsidR="0037324C" w:rsidRPr="00525780" w:rsidRDefault="0037324C" w:rsidP="0037324C">
      <w:pPr>
        <w:pStyle w:val="HB"/>
        <w:jc w:val="both"/>
        <w:rPr>
          <w:lang w:val="en-US"/>
        </w:rPr>
      </w:pPr>
      <w:r w:rsidRPr="00525780">
        <w:rPr>
          <w:lang w:val="en-US"/>
        </w:rPr>
        <w:t>Outlook for the 2014-15 season</w:t>
      </w:r>
    </w:p>
    <w:p w:rsidR="0037324C" w:rsidRPr="00525780" w:rsidRDefault="0037324C" w:rsidP="0037324C">
      <w:pPr>
        <w:pStyle w:val="Body"/>
        <w:jc w:val="both"/>
        <w:rPr>
          <w:lang w:val="en-US"/>
        </w:rPr>
      </w:pPr>
      <w:r w:rsidRPr="00525780">
        <w:rPr>
          <w:lang w:val="en-US"/>
        </w:rPr>
        <w:t xml:space="preserve">The 2014-15 seasonal conditions in Victoria were generally </w:t>
      </w:r>
      <w:proofErr w:type="spellStart"/>
      <w:r w:rsidRPr="00525780">
        <w:rPr>
          <w:lang w:val="en-US"/>
        </w:rPr>
        <w:t>favourable</w:t>
      </w:r>
      <w:proofErr w:type="spellEnd"/>
      <w:r w:rsidRPr="00525780">
        <w:rPr>
          <w:lang w:val="en-US"/>
        </w:rPr>
        <w:t xml:space="preserve"> for planting and early crop development but dry during winter. </w:t>
      </w:r>
      <w:r>
        <w:rPr>
          <w:lang w:val="en-US"/>
        </w:rPr>
        <w:t>F</w:t>
      </w:r>
      <w:r w:rsidRPr="00525780">
        <w:rPr>
          <w:lang w:val="en-US"/>
        </w:rPr>
        <w:t xml:space="preserve">rost </w:t>
      </w:r>
      <w:r>
        <w:rPr>
          <w:lang w:val="en-US"/>
        </w:rPr>
        <w:t>in</w:t>
      </w:r>
      <w:r w:rsidRPr="00525780">
        <w:rPr>
          <w:lang w:val="en-US"/>
        </w:rPr>
        <w:t xml:space="preserve"> August adversely affected crops in the </w:t>
      </w:r>
      <w:proofErr w:type="spellStart"/>
      <w:r w:rsidRPr="00525780">
        <w:rPr>
          <w:lang w:val="en-US"/>
        </w:rPr>
        <w:t>Mallee</w:t>
      </w:r>
      <w:proofErr w:type="spellEnd"/>
      <w:r w:rsidRPr="00525780">
        <w:rPr>
          <w:lang w:val="en-US"/>
        </w:rPr>
        <w:t xml:space="preserve"> region. Sufficient rainfall at the right time during spring is critical</w:t>
      </w:r>
      <w:r>
        <w:rPr>
          <w:lang w:val="en-US"/>
        </w:rPr>
        <w:t>.</w:t>
      </w:r>
      <w:r w:rsidRPr="00525780">
        <w:rPr>
          <w:lang w:val="en-US"/>
        </w:rPr>
        <w:t xml:space="preserve"> </w:t>
      </w:r>
      <w:r>
        <w:rPr>
          <w:lang w:val="en-US"/>
        </w:rPr>
        <w:t>T</w:t>
      </w:r>
      <w:r w:rsidRPr="00525780">
        <w:rPr>
          <w:lang w:val="en-US"/>
        </w:rPr>
        <w:t>he Bureau of Meteorology’s latest three-month outlook (September to November</w:t>
      </w:r>
      <w:r>
        <w:rPr>
          <w:lang w:val="en-US"/>
        </w:rPr>
        <w:t xml:space="preserve"> 2014</w:t>
      </w:r>
      <w:r w:rsidRPr="00525780">
        <w:rPr>
          <w:lang w:val="en-US"/>
        </w:rPr>
        <w:t xml:space="preserve">) </w:t>
      </w:r>
      <w:r>
        <w:rPr>
          <w:lang w:val="en-US"/>
        </w:rPr>
        <w:t xml:space="preserve">however </w:t>
      </w:r>
      <w:r w:rsidRPr="00525780">
        <w:rPr>
          <w:lang w:val="en-US"/>
        </w:rPr>
        <w:t xml:space="preserve">suggests slightly drier and warmer conditions across the state. Winter </w:t>
      </w:r>
      <w:r>
        <w:rPr>
          <w:lang w:val="en-US"/>
        </w:rPr>
        <w:t xml:space="preserve">grain </w:t>
      </w:r>
      <w:r w:rsidRPr="00525780">
        <w:rPr>
          <w:lang w:val="en-US"/>
        </w:rPr>
        <w:t xml:space="preserve">crop production in Victoria is forecast </w:t>
      </w:r>
      <w:r>
        <w:rPr>
          <w:lang w:val="en-US"/>
        </w:rPr>
        <w:t>at</w:t>
      </w:r>
      <w:r w:rsidRPr="00525780">
        <w:rPr>
          <w:lang w:val="en-US"/>
        </w:rPr>
        <w:t xml:space="preserve"> around 6.3 million </w:t>
      </w:r>
      <w:proofErr w:type="spellStart"/>
      <w:r w:rsidRPr="00525780">
        <w:rPr>
          <w:lang w:val="en-US"/>
        </w:rPr>
        <w:t>tonnes</w:t>
      </w:r>
      <w:proofErr w:type="spellEnd"/>
      <w:r w:rsidRPr="00525780">
        <w:rPr>
          <w:lang w:val="en-US"/>
        </w:rPr>
        <w:t xml:space="preserve"> in 2014-15</w:t>
      </w:r>
      <w:r>
        <w:rPr>
          <w:lang w:val="en-US"/>
        </w:rPr>
        <w:t xml:space="preserve">, a decline of </w:t>
      </w:r>
      <w:r w:rsidRPr="00525780">
        <w:rPr>
          <w:lang w:val="en-US"/>
        </w:rPr>
        <w:t>11 per cent</w:t>
      </w:r>
      <w:r>
        <w:rPr>
          <w:lang w:val="en-US"/>
        </w:rPr>
        <w:t xml:space="preserve"> from 2013-14 levels</w:t>
      </w:r>
      <w:r w:rsidRPr="00525780">
        <w:rPr>
          <w:lang w:val="en-US"/>
        </w:rPr>
        <w:t xml:space="preserve"> </w:t>
      </w:r>
      <w:r>
        <w:rPr>
          <w:rStyle w:val="EndnoteReference"/>
          <w:lang w:val="en-US"/>
        </w:rPr>
        <w:endnoteReference w:id="10"/>
      </w:r>
      <w:r w:rsidRPr="00525780">
        <w:rPr>
          <w:lang w:val="en-US"/>
        </w:rPr>
        <w:t>.</w:t>
      </w:r>
    </w:p>
    <w:p w:rsidR="0037324C" w:rsidRDefault="0037324C" w:rsidP="0037324C">
      <w:pPr>
        <w:pStyle w:val="Body"/>
        <w:jc w:val="both"/>
        <w:rPr>
          <w:lang w:val="en-US"/>
        </w:rPr>
      </w:pPr>
      <w:r w:rsidRPr="00525780">
        <w:rPr>
          <w:lang w:val="en-US"/>
        </w:rPr>
        <w:t>Domestic grain prices closely track international prices and</w:t>
      </w:r>
      <w:r w:rsidRPr="006D1A40">
        <w:rPr>
          <w:lang w:val="en-US"/>
        </w:rPr>
        <w:t xml:space="preserve"> </w:t>
      </w:r>
      <w:r w:rsidRPr="00525780">
        <w:rPr>
          <w:lang w:val="en-US"/>
        </w:rPr>
        <w:t xml:space="preserve">are subject to significant fluctuations, as with all internationally traded commodities. The 2014-15 grain prices are likely to be around 10 </w:t>
      </w:r>
      <w:r>
        <w:rPr>
          <w:lang w:val="en-US"/>
        </w:rPr>
        <w:t xml:space="preserve">per cent </w:t>
      </w:r>
      <w:r w:rsidRPr="00525780">
        <w:rPr>
          <w:lang w:val="en-US"/>
        </w:rPr>
        <w:t>lower than 2013-14 prices on average, due to increases in world supply and reductions in world trade</w:t>
      </w:r>
      <w:r>
        <w:rPr>
          <w:lang w:val="en-US"/>
        </w:rPr>
        <w:t xml:space="preserve"> caused by the growing domestic production in importing countries</w:t>
      </w:r>
      <w:r>
        <w:rPr>
          <w:rStyle w:val="EndnoteReference"/>
          <w:lang w:val="en-US"/>
        </w:rPr>
        <w:endnoteReference w:id="11"/>
      </w:r>
      <w:r w:rsidRPr="00525780">
        <w:rPr>
          <w:lang w:val="en-US"/>
        </w:rPr>
        <w:t>.</w:t>
      </w:r>
    </w:p>
    <w:p w:rsidR="0037324C" w:rsidRPr="00D24FC1" w:rsidRDefault="0037324C" w:rsidP="0037324C">
      <w:pPr>
        <w:pStyle w:val="HB"/>
        <w:jc w:val="both"/>
        <w:rPr>
          <w:lang w:val="en-US"/>
        </w:rPr>
      </w:pPr>
      <w:r>
        <w:rPr>
          <w:lang w:val="en-US"/>
        </w:rPr>
        <w:t>Victoria's exports and domestic consumption of grain</w:t>
      </w:r>
    </w:p>
    <w:p w:rsidR="0037324C" w:rsidRDefault="0037324C" w:rsidP="0037324C">
      <w:pPr>
        <w:pStyle w:val="Body"/>
        <w:jc w:val="both"/>
        <w:rPr>
          <w:lang w:val="en-US"/>
        </w:rPr>
      </w:pPr>
      <w:r w:rsidRPr="00D24FC1">
        <w:rPr>
          <w:lang w:val="en-US"/>
        </w:rPr>
        <w:t xml:space="preserve">Victoria’s domestic grain consumption is </w:t>
      </w:r>
      <w:r>
        <w:rPr>
          <w:lang w:val="en-US"/>
        </w:rPr>
        <w:t>around</w:t>
      </w:r>
      <w:r w:rsidRPr="00D24FC1">
        <w:rPr>
          <w:lang w:val="en-US"/>
        </w:rPr>
        <w:t xml:space="preserve"> </w:t>
      </w:r>
      <w:r>
        <w:rPr>
          <w:lang w:val="en-US"/>
        </w:rPr>
        <w:t>3</w:t>
      </w:r>
      <w:r w:rsidRPr="00D24FC1">
        <w:rPr>
          <w:lang w:val="en-US"/>
        </w:rPr>
        <w:t xml:space="preserve"> million </w:t>
      </w:r>
      <w:proofErr w:type="spellStart"/>
      <w:r w:rsidRPr="00D24FC1">
        <w:rPr>
          <w:lang w:val="en-US"/>
        </w:rPr>
        <w:t>tonnes</w:t>
      </w:r>
      <w:proofErr w:type="spellEnd"/>
      <w:r w:rsidRPr="00D24FC1">
        <w:rPr>
          <w:lang w:val="en-US"/>
        </w:rPr>
        <w:t xml:space="preserve"> </w:t>
      </w:r>
      <w:r>
        <w:rPr>
          <w:lang w:val="en-US"/>
        </w:rPr>
        <w:t>on average,</w:t>
      </w:r>
      <w:r w:rsidRPr="00D24FC1">
        <w:rPr>
          <w:lang w:val="en-US"/>
        </w:rPr>
        <w:t xml:space="preserve"> underpinned by relatively stable demand from the dairy, intensive livestock</w:t>
      </w:r>
      <w:r>
        <w:rPr>
          <w:lang w:val="en-US"/>
        </w:rPr>
        <w:t>,</w:t>
      </w:r>
      <w:r w:rsidRPr="00D24FC1">
        <w:rPr>
          <w:lang w:val="en-US"/>
        </w:rPr>
        <w:t xml:space="preserve"> malting, oilseed crushing and milling</w:t>
      </w:r>
      <w:r>
        <w:rPr>
          <w:lang w:val="en-US"/>
        </w:rPr>
        <w:t xml:space="preserve"> sectors</w:t>
      </w:r>
      <w:r>
        <w:rPr>
          <w:rStyle w:val="EndnoteReference"/>
          <w:lang w:val="en-US"/>
        </w:rPr>
        <w:endnoteReference w:id="12"/>
      </w:r>
      <w:r w:rsidRPr="00D24FC1">
        <w:rPr>
          <w:lang w:val="en-US"/>
        </w:rPr>
        <w:t xml:space="preserve">. The remainder of Victoria’s </w:t>
      </w:r>
      <w:r>
        <w:rPr>
          <w:lang w:val="en-US"/>
        </w:rPr>
        <w:t xml:space="preserve">grain is </w:t>
      </w:r>
      <w:r w:rsidRPr="00D24FC1">
        <w:rPr>
          <w:lang w:val="en-US"/>
        </w:rPr>
        <w:t>ex</w:t>
      </w:r>
      <w:r>
        <w:rPr>
          <w:lang w:val="en-US"/>
        </w:rPr>
        <w:t xml:space="preserve">ported. Grain exports increased from 1.8 million </w:t>
      </w:r>
      <w:proofErr w:type="spellStart"/>
      <w:r>
        <w:rPr>
          <w:lang w:val="en-US"/>
        </w:rPr>
        <w:t>tonnes</w:t>
      </w:r>
      <w:proofErr w:type="spellEnd"/>
      <w:r>
        <w:rPr>
          <w:lang w:val="en-US"/>
        </w:rPr>
        <w:t xml:space="preserve"> in 2009-10 to 4.6 million </w:t>
      </w:r>
      <w:proofErr w:type="spellStart"/>
      <w:r>
        <w:rPr>
          <w:lang w:val="en-US"/>
        </w:rPr>
        <w:t>tonnes</w:t>
      </w:r>
      <w:proofErr w:type="spellEnd"/>
      <w:r>
        <w:rPr>
          <w:lang w:val="en-US"/>
        </w:rPr>
        <w:t xml:space="preserve"> in 2013-14 (Figure 5).</w:t>
      </w:r>
      <w:r w:rsidRPr="00502B23">
        <w:rPr>
          <w:lang w:val="en-US"/>
        </w:rPr>
        <w:t xml:space="preserve"> </w:t>
      </w:r>
    </w:p>
    <w:p w:rsidR="0037324C" w:rsidRDefault="0037324C" w:rsidP="00146FE8">
      <w:pPr>
        <w:pStyle w:val="TableTitle"/>
        <w:rPr>
          <w:lang w:val="en-US"/>
        </w:rPr>
      </w:pPr>
      <w:r w:rsidRPr="00D24FC1">
        <w:rPr>
          <w:lang w:val="en-US"/>
        </w:rPr>
        <w:t xml:space="preserve">Figure </w:t>
      </w:r>
      <w:r>
        <w:rPr>
          <w:lang w:val="en-US"/>
        </w:rPr>
        <w:t>5 – Victorian grain e</w:t>
      </w:r>
      <w:r w:rsidRPr="00D24FC1">
        <w:rPr>
          <w:lang w:val="en-US"/>
        </w:rPr>
        <w:t>xports</w:t>
      </w:r>
      <w:r>
        <w:rPr>
          <w:lang w:val="en-US"/>
        </w:rPr>
        <w:t xml:space="preserve"> over past five years</w:t>
      </w:r>
      <w:r>
        <w:rPr>
          <w:rStyle w:val="EndnoteReference"/>
          <w:lang w:val="en-US"/>
        </w:rPr>
        <w:endnoteReference w:id="13"/>
      </w:r>
    </w:p>
    <w:p w:rsidR="0037324C" w:rsidRDefault="0037324C" w:rsidP="00146FE8">
      <w:pPr>
        <w:pStyle w:val="Body"/>
        <w:rPr>
          <w:lang w:val="en-US"/>
        </w:rPr>
      </w:pPr>
      <w:r>
        <w:rPr>
          <w:noProof/>
          <w:lang w:eastAsia="en-AU"/>
        </w:rPr>
        <w:drawing>
          <wp:inline distT="0" distB="0" distL="0" distR="0" wp14:anchorId="1A3EE748" wp14:editId="7A3B65EE">
            <wp:extent cx="5400000" cy="2880000"/>
            <wp:effectExtent l="0" t="0" r="10795" b="15875"/>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37324C" w:rsidRDefault="0037324C" w:rsidP="0037324C">
      <w:pPr>
        <w:pStyle w:val="Body"/>
        <w:jc w:val="both"/>
        <w:rPr>
          <w:lang w:val="en-US"/>
        </w:rPr>
      </w:pPr>
    </w:p>
    <w:p w:rsidR="0037324C" w:rsidRDefault="0037324C" w:rsidP="0037324C">
      <w:pPr>
        <w:pStyle w:val="Body"/>
        <w:jc w:val="both"/>
        <w:rPr>
          <w:lang w:val="en-US"/>
        </w:rPr>
      </w:pPr>
      <w:r w:rsidRPr="00080467">
        <w:rPr>
          <w:lang w:val="en-US"/>
        </w:rPr>
        <w:t>In 2013-14, Victoria’s grain exports were valued at $1.96 billion reduc</w:t>
      </w:r>
      <w:r>
        <w:rPr>
          <w:lang w:val="en-US"/>
        </w:rPr>
        <w:t>ed</w:t>
      </w:r>
      <w:r w:rsidRPr="00080467">
        <w:rPr>
          <w:lang w:val="en-US"/>
        </w:rPr>
        <w:t xml:space="preserve"> by 10 per cent compared to 2012-13. Victoria accounted for approximately 16 per cent of Australia’s </w:t>
      </w:r>
      <w:r>
        <w:rPr>
          <w:lang w:val="en-US"/>
        </w:rPr>
        <w:t>grain</w:t>
      </w:r>
      <w:r w:rsidRPr="00080467">
        <w:rPr>
          <w:lang w:val="en-US"/>
        </w:rPr>
        <w:t xml:space="preserve"> exports in 2013-14</w:t>
      </w:r>
      <w:r>
        <w:rPr>
          <w:lang w:val="en-US"/>
        </w:rPr>
        <w:t xml:space="preserve"> (see Figure 6)</w:t>
      </w:r>
      <w:r w:rsidRPr="00080467">
        <w:rPr>
          <w:lang w:val="en-US"/>
        </w:rPr>
        <w:t xml:space="preserve">. </w:t>
      </w:r>
      <w:r>
        <w:rPr>
          <w:lang w:val="en-US"/>
        </w:rPr>
        <w:t>Only</w:t>
      </w:r>
      <w:r w:rsidRPr="00080467">
        <w:rPr>
          <w:lang w:val="en-US"/>
        </w:rPr>
        <w:t xml:space="preserve"> WA (approx. 32 per cent) and SA (approx. 16 per cent)</w:t>
      </w:r>
      <w:r>
        <w:rPr>
          <w:lang w:val="en-US"/>
        </w:rPr>
        <w:t xml:space="preserve"> exceed Victoria’s grain exports</w:t>
      </w:r>
      <w:r w:rsidRPr="00080467">
        <w:rPr>
          <w:lang w:val="en-US"/>
        </w:rPr>
        <w:t>.</w:t>
      </w:r>
    </w:p>
    <w:p w:rsidR="0037324C" w:rsidRDefault="0037324C" w:rsidP="0037324C">
      <w:pPr>
        <w:pStyle w:val="Body"/>
        <w:jc w:val="both"/>
        <w:rPr>
          <w:lang w:val="en-US"/>
        </w:rPr>
      </w:pPr>
      <w:r w:rsidRPr="00C21B00">
        <w:rPr>
          <w:lang w:val="en-US"/>
        </w:rPr>
        <w:t>In 2013</w:t>
      </w:r>
      <w:r>
        <w:rPr>
          <w:lang w:val="en-US"/>
        </w:rPr>
        <w:t>-</w:t>
      </w:r>
      <w:r w:rsidRPr="00C21B00">
        <w:rPr>
          <w:lang w:val="en-US"/>
        </w:rPr>
        <w:t>14, Victoria’s major grain export markets were China ($289 million), Indonesia ($142 million), Yemen ($135 million), Vietnam ($118 million) and Japan ($90 million).</w:t>
      </w:r>
    </w:p>
    <w:p w:rsidR="0037324C" w:rsidRDefault="0037324C" w:rsidP="0037324C">
      <w:pPr>
        <w:pStyle w:val="Body"/>
        <w:jc w:val="both"/>
        <w:rPr>
          <w:lang w:val="en-US"/>
        </w:rPr>
      </w:pPr>
      <w:r>
        <w:rPr>
          <w:lang w:val="en-US"/>
        </w:rPr>
        <w:t xml:space="preserve">The value of </w:t>
      </w:r>
      <w:r w:rsidRPr="00080467">
        <w:rPr>
          <w:lang w:val="en-US"/>
        </w:rPr>
        <w:t>Victoria’s wheat exports ha</w:t>
      </w:r>
      <w:r>
        <w:rPr>
          <w:lang w:val="en-US"/>
        </w:rPr>
        <w:t>s</w:t>
      </w:r>
      <w:r w:rsidRPr="00080467">
        <w:rPr>
          <w:lang w:val="en-US"/>
        </w:rPr>
        <w:t xml:space="preserve"> increas</w:t>
      </w:r>
      <w:r>
        <w:rPr>
          <w:lang w:val="en-US"/>
        </w:rPr>
        <w:t xml:space="preserve">ed </w:t>
      </w:r>
      <w:r w:rsidRPr="00080467">
        <w:rPr>
          <w:lang w:val="en-US"/>
        </w:rPr>
        <w:t>by three-fold</w:t>
      </w:r>
      <w:r>
        <w:rPr>
          <w:lang w:val="en-US"/>
        </w:rPr>
        <w:t xml:space="preserve"> o</w:t>
      </w:r>
      <w:r w:rsidRPr="00080467">
        <w:rPr>
          <w:lang w:val="en-US"/>
        </w:rPr>
        <w:t>ver the past five years</w:t>
      </w:r>
      <w:r>
        <w:rPr>
          <w:lang w:val="en-US"/>
        </w:rPr>
        <w:t>. Volume of wheat as well as all grain exported peaked in 2011-12</w:t>
      </w:r>
      <w:r w:rsidRPr="00080467">
        <w:rPr>
          <w:lang w:val="en-US"/>
        </w:rPr>
        <w:t xml:space="preserve"> </w:t>
      </w:r>
      <w:r>
        <w:rPr>
          <w:lang w:val="en-US"/>
        </w:rPr>
        <w:t>(Figures 5 and 7)</w:t>
      </w:r>
      <w:r w:rsidRPr="00080467">
        <w:rPr>
          <w:lang w:val="en-US"/>
        </w:rPr>
        <w:t>.</w:t>
      </w:r>
    </w:p>
    <w:p w:rsidR="0037324C" w:rsidRDefault="0037324C" w:rsidP="0037324C">
      <w:pPr>
        <w:pStyle w:val="TableTitle"/>
        <w:jc w:val="both"/>
        <w:rPr>
          <w:lang w:val="en-US"/>
        </w:rPr>
      </w:pPr>
    </w:p>
    <w:p w:rsidR="0037324C" w:rsidRDefault="0037324C" w:rsidP="0037324C">
      <w:pPr>
        <w:jc w:val="both"/>
        <w:rPr>
          <w:rFonts w:ascii="Arial" w:hAnsi="Arial" w:cs="Arial"/>
          <w:b/>
          <w:color w:val="404040"/>
          <w:sz w:val="18"/>
          <w:szCs w:val="18"/>
          <w:lang w:val="en-US"/>
        </w:rPr>
      </w:pPr>
      <w:r>
        <w:rPr>
          <w:lang w:val="en-US"/>
        </w:rPr>
        <w:br w:type="page"/>
      </w:r>
    </w:p>
    <w:p w:rsidR="0037324C" w:rsidRDefault="0037324C" w:rsidP="00146FE8">
      <w:pPr>
        <w:pStyle w:val="TableTitle"/>
        <w:rPr>
          <w:lang w:val="en-US"/>
        </w:rPr>
      </w:pPr>
      <w:r w:rsidRPr="00D24FC1">
        <w:rPr>
          <w:lang w:val="en-US"/>
        </w:rPr>
        <w:t xml:space="preserve">Figure </w:t>
      </w:r>
      <w:r>
        <w:rPr>
          <w:lang w:val="en-US"/>
        </w:rPr>
        <w:t>6 – Value of Australian grain e</w:t>
      </w:r>
      <w:r w:rsidRPr="00D24FC1">
        <w:rPr>
          <w:lang w:val="en-US"/>
        </w:rPr>
        <w:t>xports</w:t>
      </w:r>
      <w:r>
        <w:rPr>
          <w:lang w:val="en-US"/>
        </w:rPr>
        <w:t xml:space="preserve"> by state of origin 2013-14</w:t>
      </w:r>
    </w:p>
    <w:p w:rsidR="0037324C" w:rsidRDefault="0037324C" w:rsidP="00146FE8">
      <w:pPr>
        <w:pStyle w:val="Body"/>
        <w:rPr>
          <w:lang w:val="en-US"/>
        </w:rPr>
      </w:pPr>
      <w:r>
        <w:rPr>
          <w:noProof/>
          <w:lang w:eastAsia="en-AU"/>
        </w:rPr>
        <w:drawing>
          <wp:inline distT="0" distB="0" distL="0" distR="0" wp14:anchorId="53C2652E" wp14:editId="63B06A01">
            <wp:extent cx="5423647" cy="2976283"/>
            <wp:effectExtent l="0" t="0" r="24765" b="14605"/>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37324C" w:rsidRPr="00146FE8" w:rsidRDefault="0037324C" w:rsidP="00146FE8">
      <w:pPr>
        <w:pStyle w:val="Body"/>
        <w:rPr>
          <w:sz w:val="16"/>
          <w:szCs w:val="16"/>
          <w:lang w:val="en-US"/>
        </w:rPr>
      </w:pPr>
      <w:r w:rsidRPr="00146FE8">
        <w:rPr>
          <w:sz w:val="16"/>
          <w:szCs w:val="16"/>
          <w:lang w:val="en-US"/>
        </w:rPr>
        <w:t>* “Other” refers to export data from the ACT, NT, re-exports, and exports for which no state details are released for confidentiality.</w:t>
      </w:r>
    </w:p>
    <w:p w:rsidR="0037324C" w:rsidRPr="00080467" w:rsidRDefault="0037324C" w:rsidP="0037324C">
      <w:pPr>
        <w:pStyle w:val="Body"/>
        <w:jc w:val="both"/>
        <w:rPr>
          <w:lang w:val="en-US"/>
        </w:rPr>
      </w:pPr>
    </w:p>
    <w:p w:rsidR="0037324C" w:rsidRDefault="0037324C" w:rsidP="00146FE8">
      <w:pPr>
        <w:pStyle w:val="TableTitle"/>
        <w:rPr>
          <w:lang w:val="en-US"/>
        </w:rPr>
      </w:pPr>
      <w:r w:rsidRPr="00D24FC1">
        <w:rPr>
          <w:lang w:val="en-US"/>
        </w:rPr>
        <w:t xml:space="preserve">Figure </w:t>
      </w:r>
      <w:r>
        <w:rPr>
          <w:lang w:val="en-US"/>
        </w:rPr>
        <w:t>7 – Victorian e</w:t>
      </w:r>
      <w:r w:rsidRPr="00D24FC1">
        <w:rPr>
          <w:lang w:val="en-US"/>
        </w:rPr>
        <w:t>xports</w:t>
      </w:r>
      <w:r>
        <w:rPr>
          <w:lang w:val="en-US"/>
        </w:rPr>
        <w:t xml:space="preserve"> of wheat and other grain types</w:t>
      </w:r>
      <w:r>
        <w:rPr>
          <w:rStyle w:val="EndnoteReference"/>
          <w:lang w:val="en-US"/>
        </w:rPr>
        <w:endnoteReference w:id="14"/>
      </w:r>
    </w:p>
    <w:p w:rsidR="0037324C" w:rsidRPr="00080467" w:rsidRDefault="0037324C" w:rsidP="00146FE8">
      <w:pPr>
        <w:pStyle w:val="Body"/>
        <w:rPr>
          <w:lang w:val="en-US"/>
        </w:rPr>
      </w:pPr>
      <w:r>
        <w:rPr>
          <w:noProof/>
          <w:lang w:eastAsia="en-AU"/>
        </w:rPr>
        <w:drawing>
          <wp:inline distT="0" distB="0" distL="0" distR="0" wp14:anchorId="01DF8F78" wp14:editId="788F9FAB">
            <wp:extent cx="5400000" cy="2880000"/>
            <wp:effectExtent l="0" t="0" r="10795" b="1587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7324C" w:rsidRPr="00C21B00" w:rsidRDefault="0037324C" w:rsidP="0037324C">
      <w:pPr>
        <w:pStyle w:val="HB"/>
        <w:jc w:val="both"/>
        <w:rPr>
          <w:lang w:val="en-US"/>
        </w:rPr>
      </w:pPr>
      <w:r w:rsidRPr="00C21B00">
        <w:rPr>
          <w:lang w:val="en-US"/>
        </w:rPr>
        <w:t>Total factor productivity</w:t>
      </w:r>
    </w:p>
    <w:p w:rsidR="0037324C" w:rsidRDefault="0037324C" w:rsidP="0037324C">
      <w:pPr>
        <w:pStyle w:val="Body"/>
        <w:jc w:val="both"/>
        <w:rPr>
          <w:lang w:val="en-US"/>
        </w:rPr>
      </w:pPr>
      <w:r w:rsidRPr="00C21B00">
        <w:rPr>
          <w:lang w:val="en-US"/>
        </w:rPr>
        <w:t xml:space="preserve">Total factor productivity in Australia’s </w:t>
      </w:r>
      <w:proofErr w:type="spellStart"/>
      <w:r>
        <w:rPr>
          <w:lang w:val="en-US"/>
        </w:rPr>
        <w:t>broadacre</w:t>
      </w:r>
      <w:proofErr w:type="spellEnd"/>
      <w:r>
        <w:rPr>
          <w:lang w:val="en-US"/>
        </w:rPr>
        <w:t xml:space="preserve"> </w:t>
      </w:r>
      <w:r w:rsidRPr="00C21B00">
        <w:rPr>
          <w:lang w:val="en-US"/>
        </w:rPr>
        <w:t xml:space="preserve">cropping industry </w:t>
      </w:r>
      <w:r>
        <w:rPr>
          <w:lang w:val="en-US"/>
        </w:rPr>
        <w:t>differs</w:t>
      </w:r>
      <w:r w:rsidRPr="00C21B00">
        <w:rPr>
          <w:lang w:val="en-US"/>
        </w:rPr>
        <w:t xml:space="preserve"> across regions. </w:t>
      </w:r>
      <w:r w:rsidRPr="00782F17">
        <w:rPr>
          <w:lang w:val="en-US"/>
        </w:rPr>
        <w:t xml:space="preserve">In recognition of </w:t>
      </w:r>
      <w:r>
        <w:rPr>
          <w:lang w:val="en-US"/>
        </w:rPr>
        <w:t>differences</w:t>
      </w:r>
      <w:r w:rsidRPr="00782F17">
        <w:rPr>
          <w:lang w:val="en-US"/>
        </w:rPr>
        <w:t xml:space="preserve"> in growing conditions</w:t>
      </w:r>
      <w:r>
        <w:rPr>
          <w:lang w:val="en-US"/>
        </w:rPr>
        <w:t xml:space="preserve"> across Australia</w:t>
      </w:r>
      <w:r w:rsidRPr="00782F17">
        <w:rPr>
          <w:lang w:val="en-US"/>
        </w:rPr>
        <w:t xml:space="preserve">, the </w:t>
      </w:r>
      <w:r>
        <w:rPr>
          <w:lang w:val="en-US"/>
        </w:rPr>
        <w:t>Grains Research and Development Corporation</w:t>
      </w:r>
      <w:r w:rsidRPr="00782F17">
        <w:rPr>
          <w:lang w:val="en-US"/>
        </w:rPr>
        <w:t xml:space="preserve"> </w:t>
      </w:r>
      <w:r>
        <w:rPr>
          <w:lang w:val="en-US"/>
        </w:rPr>
        <w:t>(</w:t>
      </w:r>
      <w:r w:rsidRPr="00782F17">
        <w:rPr>
          <w:lang w:val="en-US"/>
        </w:rPr>
        <w:t>GRDC</w:t>
      </w:r>
      <w:r>
        <w:rPr>
          <w:lang w:val="en-US"/>
        </w:rPr>
        <w:t>)</w:t>
      </w:r>
      <w:r w:rsidRPr="00782F17">
        <w:rPr>
          <w:lang w:val="en-US"/>
        </w:rPr>
        <w:t xml:space="preserve"> distinguishes three broad agro</w:t>
      </w:r>
      <w:r>
        <w:rPr>
          <w:lang w:val="en-US"/>
        </w:rPr>
        <w:t>-</w:t>
      </w:r>
      <w:r w:rsidRPr="00782F17">
        <w:rPr>
          <w:lang w:val="en-US"/>
        </w:rPr>
        <w:t>ecological grain growing regions</w:t>
      </w:r>
      <w:r>
        <w:rPr>
          <w:lang w:val="en-US"/>
        </w:rPr>
        <w:t xml:space="preserve">, Southern, Northern and Western. </w:t>
      </w:r>
    </w:p>
    <w:p w:rsidR="0037324C" w:rsidRDefault="0037324C" w:rsidP="0037324C">
      <w:pPr>
        <w:pStyle w:val="Body"/>
        <w:jc w:val="both"/>
        <w:rPr>
          <w:lang w:val="en-US"/>
        </w:rPr>
      </w:pPr>
      <w:r w:rsidRPr="00782F17">
        <w:rPr>
          <w:lang w:val="en-US"/>
        </w:rPr>
        <w:t xml:space="preserve">The Southern region encompasses south-eastern Australia, including central and southern New South Wales, Victoria, Tasmania and </w:t>
      </w:r>
      <w:r>
        <w:rPr>
          <w:lang w:val="en-US"/>
        </w:rPr>
        <w:t xml:space="preserve">south-eastern </w:t>
      </w:r>
      <w:r w:rsidRPr="00782F17">
        <w:rPr>
          <w:lang w:val="en-US"/>
        </w:rPr>
        <w:t>South Australia.</w:t>
      </w:r>
      <w:r>
        <w:rPr>
          <w:lang w:val="en-US"/>
        </w:rPr>
        <w:t xml:space="preserve"> </w:t>
      </w:r>
      <w:r w:rsidRPr="00C21B00">
        <w:rPr>
          <w:lang w:val="en-US"/>
        </w:rPr>
        <w:t>Between 1977</w:t>
      </w:r>
      <w:r>
        <w:rPr>
          <w:lang w:val="en-US"/>
        </w:rPr>
        <w:t>-</w:t>
      </w:r>
      <w:r w:rsidRPr="00C21B00">
        <w:rPr>
          <w:lang w:val="en-US"/>
        </w:rPr>
        <w:t>78 and 20</w:t>
      </w:r>
      <w:r>
        <w:rPr>
          <w:lang w:val="en-US"/>
        </w:rPr>
        <w:t>11-12</w:t>
      </w:r>
      <w:r w:rsidRPr="00C21B00">
        <w:rPr>
          <w:lang w:val="en-US"/>
        </w:rPr>
        <w:t xml:space="preserve">, cropping </w:t>
      </w:r>
      <w:r>
        <w:rPr>
          <w:lang w:val="en-US"/>
        </w:rPr>
        <w:t>specialists in the southern region of Australia</w:t>
      </w:r>
      <w:r w:rsidRPr="00C21B00">
        <w:rPr>
          <w:lang w:val="en-US"/>
        </w:rPr>
        <w:t xml:space="preserve"> achieved an annual productiv</w:t>
      </w:r>
      <w:r>
        <w:rPr>
          <w:lang w:val="en-US"/>
        </w:rPr>
        <w:t>ity growth rate of 1.7 per cent</w:t>
      </w:r>
      <w:r>
        <w:rPr>
          <w:rStyle w:val="EndnoteReference"/>
          <w:lang w:val="en-US"/>
        </w:rPr>
        <w:endnoteReference w:id="15"/>
      </w:r>
      <w:r w:rsidRPr="00C21B00">
        <w:rPr>
          <w:lang w:val="en-US"/>
        </w:rPr>
        <w:t>. Total factor productivity for Australian cropping industr</w:t>
      </w:r>
      <w:r>
        <w:rPr>
          <w:lang w:val="en-US"/>
        </w:rPr>
        <w:t>y</w:t>
      </w:r>
      <w:r w:rsidRPr="00C21B00">
        <w:rPr>
          <w:lang w:val="en-US"/>
        </w:rPr>
        <w:t xml:space="preserve"> has </w:t>
      </w:r>
      <w:r>
        <w:rPr>
          <w:lang w:val="en-US"/>
        </w:rPr>
        <w:t>fluctuated</w:t>
      </w:r>
      <w:r w:rsidRPr="00C21B00">
        <w:rPr>
          <w:lang w:val="en-US"/>
        </w:rPr>
        <w:t xml:space="preserve"> considerably over the last three decades. Cropping shows much greater productivity volatility than other </w:t>
      </w:r>
      <w:proofErr w:type="spellStart"/>
      <w:r w:rsidRPr="00C21B00">
        <w:rPr>
          <w:lang w:val="en-US"/>
        </w:rPr>
        <w:t>broadacre</w:t>
      </w:r>
      <w:proofErr w:type="spellEnd"/>
      <w:r w:rsidRPr="00C21B00">
        <w:rPr>
          <w:lang w:val="en-US"/>
        </w:rPr>
        <w:t xml:space="preserve"> sub-sectors because it is so closely tied to seasonal conditions. </w:t>
      </w:r>
    </w:p>
    <w:p w:rsidR="0037324C" w:rsidRDefault="0037324C" w:rsidP="0037324C">
      <w:pPr>
        <w:pStyle w:val="Body"/>
        <w:jc w:val="both"/>
        <w:rPr>
          <w:lang w:val="en-US"/>
        </w:rPr>
      </w:pPr>
      <w:r>
        <w:rPr>
          <w:lang w:val="en-US"/>
        </w:rPr>
        <w:t>In Victoria, c</w:t>
      </w:r>
      <w:r w:rsidRPr="00514931">
        <w:rPr>
          <w:lang w:val="en-US"/>
        </w:rPr>
        <w:t>ropping productivity growth was 4.</w:t>
      </w:r>
      <w:r>
        <w:rPr>
          <w:lang w:val="en-US"/>
        </w:rPr>
        <w:t>3</w:t>
      </w:r>
      <w:r w:rsidRPr="00514931">
        <w:rPr>
          <w:lang w:val="en-US"/>
        </w:rPr>
        <w:t xml:space="preserve"> per cent per annum from 1977-78 </w:t>
      </w:r>
      <w:r>
        <w:rPr>
          <w:lang w:val="en-US"/>
        </w:rPr>
        <w:t xml:space="preserve">up </w:t>
      </w:r>
      <w:r w:rsidRPr="00514931">
        <w:rPr>
          <w:lang w:val="en-US"/>
        </w:rPr>
        <w:t xml:space="preserve">to 1993-94. Productivity growth for the industry dropped to </w:t>
      </w:r>
      <w:r>
        <w:rPr>
          <w:lang w:val="en-US"/>
        </w:rPr>
        <w:t>1.5</w:t>
      </w:r>
      <w:r w:rsidRPr="00514931">
        <w:rPr>
          <w:lang w:val="en-US"/>
        </w:rPr>
        <w:t xml:space="preserve"> per cent per annum for the period from 1993-94 to 2011-12</w:t>
      </w:r>
      <w:r>
        <w:rPr>
          <w:rStyle w:val="EndnoteReference"/>
          <w:lang w:val="en-US"/>
        </w:rPr>
        <w:endnoteReference w:id="16"/>
      </w:r>
      <w:r w:rsidRPr="00514931">
        <w:rPr>
          <w:lang w:val="en-US"/>
        </w:rPr>
        <w:t>.</w:t>
      </w:r>
      <w:r w:rsidRPr="00C21B00">
        <w:rPr>
          <w:lang w:val="en-US"/>
        </w:rPr>
        <w:t xml:space="preserve"> In recent years</w:t>
      </w:r>
      <w:r>
        <w:rPr>
          <w:lang w:val="en-US"/>
        </w:rPr>
        <w:t>,</w:t>
      </w:r>
      <w:r w:rsidRPr="00C21B00">
        <w:rPr>
          <w:lang w:val="en-US"/>
        </w:rPr>
        <w:t xml:space="preserve"> productivity growth across all agricultural industries has slowed, in part due to the prevalence of dry seasons.</w:t>
      </w:r>
    </w:p>
    <w:p w:rsidR="0037324C" w:rsidRPr="00BA3C71" w:rsidRDefault="0037324C" w:rsidP="0037324C">
      <w:pPr>
        <w:pStyle w:val="HB"/>
        <w:jc w:val="both"/>
        <w:rPr>
          <w:lang w:val="en-US"/>
        </w:rPr>
      </w:pPr>
      <w:r w:rsidRPr="00BA3C71">
        <w:rPr>
          <w:lang w:val="en-US"/>
        </w:rPr>
        <w:t>Farm financial performance</w:t>
      </w:r>
    </w:p>
    <w:p w:rsidR="0037324C" w:rsidRDefault="0037324C" w:rsidP="0037324C">
      <w:pPr>
        <w:pStyle w:val="Body"/>
        <w:jc w:val="both"/>
        <w:rPr>
          <w:lang w:val="en-US"/>
        </w:rPr>
      </w:pPr>
      <w:r w:rsidRPr="00BA3C71">
        <w:rPr>
          <w:lang w:val="en-US"/>
        </w:rPr>
        <w:t xml:space="preserve">Table </w:t>
      </w:r>
      <w:r>
        <w:rPr>
          <w:lang w:val="en-US"/>
        </w:rPr>
        <w:t>2</w:t>
      </w:r>
      <w:r w:rsidRPr="00BA3C71">
        <w:rPr>
          <w:lang w:val="en-US"/>
        </w:rPr>
        <w:t xml:space="preserve"> </w:t>
      </w:r>
      <w:r>
        <w:rPr>
          <w:lang w:val="en-US"/>
        </w:rPr>
        <w:t xml:space="preserve">shows </w:t>
      </w:r>
      <w:r w:rsidRPr="00BA3C71">
        <w:rPr>
          <w:lang w:val="en-US"/>
        </w:rPr>
        <w:t xml:space="preserve">average </w:t>
      </w:r>
      <w:r>
        <w:rPr>
          <w:lang w:val="en-US"/>
        </w:rPr>
        <w:t xml:space="preserve">farm </w:t>
      </w:r>
      <w:r w:rsidRPr="00BA3C71">
        <w:rPr>
          <w:lang w:val="en-US"/>
        </w:rPr>
        <w:t xml:space="preserve">costs and receipts for </w:t>
      </w:r>
      <w:r>
        <w:rPr>
          <w:lang w:val="en-US"/>
        </w:rPr>
        <w:t>grain producing farms in the GRDC’s Southern region</w:t>
      </w:r>
      <w:r w:rsidRPr="00BA3C71">
        <w:rPr>
          <w:lang w:val="en-US"/>
        </w:rPr>
        <w:t>.</w:t>
      </w:r>
      <w:r>
        <w:rPr>
          <w:lang w:val="en-US"/>
        </w:rPr>
        <w:t xml:space="preserve"> These farms comprise both specialist grain producing farms and mixed grain/livestock farms.</w:t>
      </w:r>
      <w:r w:rsidRPr="00BA3C71">
        <w:rPr>
          <w:lang w:val="en-US"/>
        </w:rPr>
        <w:t xml:space="preserve"> </w:t>
      </w:r>
      <w:r>
        <w:rPr>
          <w:lang w:val="en-US"/>
        </w:rPr>
        <w:t>In 2013-14, grain receipts are estimated to have increased by around 8 per cent from 2012-13 as a result of increased production</w:t>
      </w:r>
      <w:r>
        <w:rPr>
          <w:rStyle w:val="EndnoteReference"/>
          <w:lang w:val="en-US"/>
        </w:rPr>
        <w:endnoteReference w:id="17"/>
      </w:r>
      <w:r>
        <w:rPr>
          <w:lang w:val="en-US"/>
        </w:rPr>
        <w:t xml:space="preserve">. Total cash costs increased by around 3 per cent compared with 2012-13. As a result, the farm cash income and farm business profit increased by 16 and 38 per cent, respectively. Rate of return to total capital is expected to increase from 3.0 to 4.4 per cent in 2013-14. </w:t>
      </w:r>
    </w:p>
    <w:p w:rsidR="0037324C" w:rsidRDefault="0037324C" w:rsidP="0037324C">
      <w:pPr>
        <w:pStyle w:val="TableTitle"/>
        <w:jc w:val="both"/>
        <w:rPr>
          <w:lang w:val="en-US"/>
        </w:rPr>
      </w:pPr>
    </w:p>
    <w:p w:rsidR="0037324C" w:rsidRDefault="0037324C" w:rsidP="00146FE8">
      <w:pPr>
        <w:pStyle w:val="TableTitle"/>
        <w:rPr>
          <w:lang w:val="en-US"/>
        </w:rPr>
      </w:pPr>
      <w:r>
        <w:rPr>
          <w:lang w:val="en-US"/>
        </w:rPr>
        <w:t>Table 2 – F</w:t>
      </w:r>
      <w:r w:rsidRPr="00426B0F">
        <w:rPr>
          <w:lang w:val="en-US"/>
        </w:rPr>
        <w:t xml:space="preserve">inancial </w:t>
      </w:r>
      <w:r>
        <w:rPr>
          <w:lang w:val="en-US"/>
        </w:rPr>
        <w:t>p</w:t>
      </w:r>
      <w:r w:rsidRPr="00426B0F">
        <w:rPr>
          <w:lang w:val="en-US"/>
        </w:rPr>
        <w:t xml:space="preserve">erformance </w:t>
      </w:r>
      <w:r>
        <w:rPr>
          <w:lang w:val="en-US"/>
        </w:rPr>
        <w:t>of grain producing</w:t>
      </w:r>
      <w:r w:rsidRPr="00426B0F">
        <w:rPr>
          <w:lang w:val="en-US"/>
        </w:rPr>
        <w:t xml:space="preserve"> </w:t>
      </w:r>
      <w:r>
        <w:rPr>
          <w:lang w:val="en-US"/>
        </w:rPr>
        <w:t>farms in the southern region of Australia</w:t>
      </w:r>
      <w:r>
        <w:rPr>
          <w:rStyle w:val="EndnoteReference"/>
          <w:lang w:val="en-US"/>
        </w:rPr>
        <w:endnoteReference w:id="18"/>
      </w:r>
    </w:p>
    <w:tbl>
      <w:tblPr>
        <w:tblStyle w:val="ColorfulGrid-Accent6"/>
        <w:tblW w:w="0" w:type="auto"/>
        <w:tblLook w:val="04A0" w:firstRow="1" w:lastRow="0" w:firstColumn="1" w:lastColumn="0" w:noHBand="0" w:noVBand="1"/>
      </w:tblPr>
      <w:tblGrid>
        <w:gridCol w:w="3020"/>
        <w:gridCol w:w="1356"/>
        <w:gridCol w:w="1356"/>
        <w:gridCol w:w="1356"/>
      </w:tblGrid>
      <w:tr w:rsidR="00146FE8" w:rsidRPr="00146FE8" w:rsidTr="00146FE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0" w:type="dxa"/>
            <w:noWrap/>
            <w:hideMark/>
          </w:tcPr>
          <w:p w:rsidR="0037324C" w:rsidRPr="00146FE8" w:rsidRDefault="0037324C" w:rsidP="0006661B">
            <w:pPr>
              <w:pStyle w:val="Body"/>
              <w:jc w:val="both"/>
              <w:rPr>
                <w:b w:val="0"/>
                <w:color w:val="000000" w:themeColor="text1"/>
                <w:sz w:val="16"/>
                <w:szCs w:val="16"/>
              </w:rPr>
            </w:pPr>
            <w:r w:rsidRPr="00146FE8">
              <w:rPr>
                <w:color w:val="000000" w:themeColor="text1"/>
                <w:sz w:val="16"/>
                <w:szCs w:val="16"/>
              </w:rPr>
              <w:t>Average per farm</w:t>
            </w:r>
          </w:p>
        </w:tc>
        <w:tc>
          <w:tcPr>
            <w:tcW w:w="1356" w:type="dxa"/>
            <w:noWrap/>
            <w:hideMark/>
          </w:tcPr>
          <w:p w:rsidR="0037324C" w:rsidRPr="00146FE8" w:rsidRDefault="0037324C" w:rsidP="0006661B">
            <w:pPr>
              <w:pStyle w:val="Body"/>
              <w:jc w:val="both"/>
              <w:cnfStyle w:val="100000000000" w:firstRow="1" w:lastRow="0" w:firstColumn="0" w:lastColumn="0" w:oddVBand="0" w:evenVBand="0" w:oddHBand="0" w:evenHBand="0" w:firstRowFirstColumn="0" w:firstRowLastColumn="0" w:lastRowFirstColumn="0" w:lastRowLastColumn="0"/>
              <w:rPr>
                <w:b w:val="0"/>
                <w:sz w:val="16"/>
                <w:szCs w:val="16"/>
              </w:rPr>
            </w:pPr>
            <w:r w:rsidRPr="00146FE8">
              <w:rPr>
                <w:sz w:val="16"/>
                <w:szCs w:val="16"/>
              </w:rPr>
              <w:t>2011-12</w:t>
            </w:r>
          </w:p>
        </w:tc>
        <w:tc>
          <w:tcPr>
            <w:tcW w:w="1356" w:type="dxa"/>
            <w:noWrap/>
            <w:hideMark/>
          </w:tcPr>
          <w:p w:rsidR="0037324C" w:rsidRPr="00146FE8" w:rsidRDefault="0037324C" w:rsidP="0006661B">
            <w:pPr>
              <w:pStyle w:val="Body"/>
              <w:jc w:val="both"/>
              <w:cnfStyle w:val="100000000000" w:firstRow="1" w:lastRow="0" w:firstColumn="0" w:lastColumn="0" w:oddVBand="0" w:evenVBand="0" w:oddHBand="0" w:evenHBand="0" w:firstRowFirstColumn="0" w:firstRowLastColumn="0" w:lastRowFirstColumn="0" w:lastRowLastColumn="0"/>
              <w:rPr>
                <w:b w:val="0"/>
                <w:sz w:val="16"/>
                <w:szCs w:val="16"/>
              </w:rPr>
            </w:pPr>
            <w:r w:rsidRPr="00146FE8">
              <w:rPr>
                <w:sz w:val="16"/>
                <w:szCs w:val="16"/>
              </w:rPr>
              <w:t>2012-13p</w:t>
            </w:r>
          </w:p>
        </w:tc>
        <w:tc>
          <w:tcPr>
            <w:tcW w:w="1356" w:type="dxa"/>
            <w:noWrap/>
            <w:hideMark/>
          </w:tcPr>
          <w:p w:rsidR="0037324C" w:rsidRPr="00146FE8" w:rsidRDefault="0037324C" w:rsidP="0006661B">
            <w:pPr>
              <w:pStyle w:val="Body"/>
              <w:jc w:val="both"/>
              <w:cnfStyle w:val="100000000000" w:firstRow="1" w:lastRow="0" w:firstColumn="0" w:lastColumn="0" w:oddVBand="0" w:evenVBand="0" w:oddHBand="0" w:evenHBand="0" w:firstRowFirstColumn="0" w:firstRowLastColumn="0" w:lastRowFirstColumn="0" w:lastRowLastColumn="0"/>
              <w:rPr>
                <w:b w:val="0"/>
                <w:sz w:val="16"/>
                <w:szCs w:val="16"/>
              </w:rPr>
            </w:pPr>
            <w:r w:rsidRPr="00146FE8">
              <w:rPr>
                <w:sz w:val="16"/>
                <w:szCs w:val="16"/>
              </w:rPr>
              <w:t>2013-14y</w:t>
            </w:r>
          </w:p>
        </w:tc>
      </w:tr>
      <w:tr w:rsidR="00146FE8" w:rsidRPr="00146FE8" w:rsidTr="00146F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0" w:type="dxa"/>
            <w:noWrap/>
            <w:hideMark/>
          </w:tcPr>
          <w:p w:rsidR="0037324C" w:rsidRPr="00D30E2D" w:rsidRDefault="0037324C" w:rsidP="0006661B">
            <w:pPr>
              <w:pStyle w:val="Body"/>
              <w:jc w:val="both"/>
              <w:rPr>
                <w:sz w:val="16"/>
                <w:szCs w:val="16"/>
              </w:rPr>
            </w:pPr>
            <w:r w:rsidRPr="00D30E2D">
              <w:rPr>
                <w:sz w:val="16"/>
                <w:szCs w:val="16"/>
              </w:rPr>
              <w:t>Total cash receipts ($)</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573,010</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600,100</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643,000</w:t>
            </w:r>
          </w:p>
        </w:tc>
      </w:tr>
      <w:tr w:rsidR="00146FE8" w:rsidRPr="00146FE8" w:rsidTr="00146FE8">
        <w:trPr>
          <w:trHeight w:val="300"/>
        </w:trPr>
        <w:tc>
          <w:tcPr>
            <w:cnfStyle w:val="001000000000" w:firstRow="0" w:lastRow="0" w:firstColumn="1" w:lastColumn="0" w:oddVBand="0" w:evenVBand="0" w:oddHBand="0" w:evenHBand="0" w:firstRowFirstColumn="0" w:firstRowLastColumn="0" w:lastRowFirstColumn="0" w:lastRowLastColumn="0"/>
            <w:tcW w:w="3020" w:type="dxa"/>
            <w:noWrap/>
            <w:hideMark/>
          </w:tcPr>
          <w:p w:rsidR="0037324C" w:rsidRPr="00D30E2D" w:rsidRDefault="0037324C" w:rsidP="0006661B">
            <w:pPr>
              <w:pStyle w:val="Body"/>
              <w:jc w:val="both"/>
              <w:rPr>
                <w:sz w:val="16"/>
                <w:szCs w:val="16"/>
              </w:rPr>
            </w:pPr>
            <w:r w:rsidRPr="00D30E2D">
              <w:rPr>
                <w:sz w:val="16"/>
                <w:szCs w:val="16"/>
              </w:rPr>
              <w:t>Total cash costs ($)</w:t>
            </w:r>
          </w:p>
        </w:tc>
        <w:tc>
          <w:tcPr>
            <w:tcW w:w="1356" w:type="dxa"/>
            <w:noWrap/>
            <w:hideMark/>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401,970</w:t>
            </w:r>
          </w:p>
        </w:tc>
        <w:tc>
          <w:tcPr>
            <w:tcW w:w="1356" w:type="dxa"/>
            <w:noWrap/>
            <w:hideMark/>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406,400</w:t>
            </w:r>
          </w:p>
        </w:tc>
        <w:tc>
          <w:tcPr>
            <w:tcW w:w="1356" w:type="dxa"/>
            <w:noWrap/>
            <w:hideMark/>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418,000</w:t>
            </w:r>
          </w:p>
        </w:tc>
      </w:tr>
      <w:tr w:rsidR="00146FE8" w:rsidRPr="00146FE8" w:rsidTr="00146F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0" w:type="dxa"/>
            <w:noWrap/>
            <w:hideMark/>
          </w:tcPr>
          <w:p w:rsidR="0037324C" w:rsidRPr="00D30E2D" w:rsidRDefault="0037324C" w:rsidP="0006661B">
            <w:pPr>
              <w:pStyle w:val="Body"/>
              <w:jc w:val="both"/>
              <w:rPr>
                <w:sz w:val="16"/>
                <w:szCs w:val="16"/>
              </w:rPr>
            </w:pPr>
            <w:r w:rsidRPr="00D30E2D">
              <w:rPr>
                <w:sz w:val="16"/>
                <w:szCs w:val="16"/>
              </w:rPr>
              <w:t>Farm cash income ($)</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171,040</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193,700</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225,000</w:t>
            </w:r>
          </w:p>
        </w:tc>
      </w:tr>
      <w:tr w:rsidR="00146FE8" w:rsidRPr="00146FE8" w:rsidTr="00146FE8">
        <w:trPr>
          <w:trHeight w:val="300"/>
        </w:trPr>
        <w:tc>
          <w:tcPr>
            <w:cnfStyle w:val="001000000000" w:firstRow="0" w:lastRow="0" w:firstColumn="1" w:lastColumn="0" w:oddVBand="0" w:evenVBand="0" w:oddHBand="0" w:evenHBand="0" w:firstRowFirstColumn="0" w:firstRowLastColumn="0" w:lastRowFirstColumn="0" w:lastRowLastColumn="0"/>
            <w:tcW w:w="3020" w:type="dxa"/>
            <w:noWrap/>
            <w:hideMark/>
          </w:tcPr>
          <w:p w:rsidR="0037324C" w:rsidRPr="00D30E2D" w:rsidRDefault="0037324C" w:rsidP="0006661B">
            <w:pPr>
              <w:pStyle w:val="Body"/>
              <w:jc w:val="both"/>
              <w:rPr>
                <w:sz w:val="16"/>
                <w:szCs w:val="16"/>
              </w:rPr>
            </w:pPr>
            <w:r w:rsidRPr="00D30E2D">
              <w:rPr>
                <w:sz w:val="16"/>
                <w:szCs w:val="16"/>
              </w:rPr>
              <w:t>Farm business profit ($)</w:t>
            </w:r>
          </w:p>
        </w:tc>
        <w:tc>
          <w:tcPr>
            <w:tcW w:w="1356" w:type="dxa"/>
            <w:noWrap/>
            <w:hideMark/>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34,490</w:t>
            </w:r>
          </w:p>
        </w:tc>
        <w:tc>
          <w:tcPr>
            <w:tcW w:w="1356" w:type="dxa"/>
            <w:noWrap/>
            <w:hideMark/>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69,100</w:t>
            </w:r>
          </w:p>
        </w:tc>
        <w:tc>
          <w:tcPr>
            <w:tcW w:w="1356" w:type="dxa"/>
            <w:noWrap/>
            <w:hideMark/>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95,000</w:t>
            </w:r>
          </w:p>
        </w:tc>
      </w:tr>
      <w:tr w:rsidR="00146FE8" w:rsidRPr="00146FE8" w:rsidTr="00146F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0" w:type="dxa"/>
            <w:noWrap/>
            <w:hideMark/>
          </w:tcPr>
          <w:p w:rsidR="0037324C" w:rsidRPr="00D30E2D" w:rsidRDefault="0037324C" w:rsidP="0006661B">
            <w:pPr>
              <w:pStyle w:val="Body"/>
              <w:jc w:val="both"/>
              <w:rPr>
                <w:sz w:val="16"/>
                <w:szCs w:val="16"/>
              </w:rPr>
            </w:pPr>
            <w:r w:rsidRPr="00D30E2D">
              <w:rPr>
                <w:sz w:val="16"/>
                <w:szCs w:val="16"/>
              </w:rPr>
              <w:t>Equity ratio (%)</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83</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84</w:t>
            </w:r>
          </w:p>
        </w:tc>
        <w:tc>
          <w:tcPr>
            <w:tcW w:w="1356" w:type="dxa"/>
            <w:noWrap/>
            <w:hideMark/>
          </w:tcPr>
          <w:p w:rsidR="0037324C" w:rsidRPr="00146FE8" w:rsidRDefault="0037324C" w:rsidP="0006661B">
            <w:pPr>
              <w:pStyle w:val="Body"/>
              <w:jc w:val="both"/>
              <w:cnfStyle w:val="000000100000" w:firstRow="0" w:lastRow="0" w:firstColumn="0" w:lastColumn="0" w:oddVBand="0" w:evenVBand="0" w:oddHBand="1" w:evenHBand="0" w:firstRowFirstColumn="0" w:firstRowLastColumn="0" w:lastRowFirstColumn="0" w:lastRowLastColumn="0"/>
              <w:rPr>
                <w:sz w:val="16"/>
                <w:szCs w:val="16"/>
              </w:rPr>
            </w:pPr>
            <w:r w:rsidRPr="00146FE8">
              <w:rPr>
                <w:sz w:val="16"/>
                <w:szCs w:val="16"/>
              </w:rPr>
              <w:t>N/A</w:t>
            </w:r>
          </w:p>
        </w:tc>
      </w:tr>
      <w:tr w:rsidR="00146FE8" w:rsidRPr="00146FE8" w:rsidTr="00146FE8">
        <w:trPr>
          <w:trHeight w:val="300"/>
        </w:trPr>
        <w:tc>
          <w:tcPr>
            <w:cnfStyle w:val="001000000000" w:firstRow="0" w:lastRow="0" w:firstColumn="1" w:lastColumn="0" w:oddVBand="0" w:evenVBand="0" w:oddHBand="0" w:evenHBand="0" w:firstRowFirstColumn="0" w:firstRowLastColumn="0" w:lastRowFirstColumn="0" w:lastRowLastColumn="0"/>
            <w:tcW w:w="3020" w:type="dxa"/>
            <w:noWrap/>
          </w:tcPr>
          <w:p w:rsidR="0037324C" w:rsidRPr="00D30E2D" w:rsidRDefault="0037324C" w:rsidP="0006661B">
            <w:pPr>
              <w:pStyle w:val="Body"/>
              <w:jc w:val="both"/>
              <w:rPr>
                <w:sz w:val="16"/>
                <w:szCs w:val="16"/>
              </w:rPr>
            </w:pPr>
            <w:r w:rsidRPr="00D30E2D">
              <w:rPr>
                <w:sz w:val="16"/>
                <w:szCs w:val="16"/>
              </w:rPr>
              <w:t>Rate of return to total capital (%)</w:t>
            </w:r>
          </w:p>
        </w:tc>
        <w:tc>
          <w:tcPr>
            <w:tcW w:w="1356" w:type="dxa"/>
            <w:noWrap/>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2.2</w:t>
            </w:r>
          </w:p>
        </w:tc>
        <w:tc>
          <w:tcPr>
            <w:tcW w:w="1356" w:type="dxa"/>
            <w:noWrap/>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3.0</w:t>
            </w:r>
          </w:p>
        </w:tc>
        <w:tc>
          <w:tcPr>
            <w:tcW w:w="1356" w:type="dxa"/>
            <w:noWrap/>
          </w:tcPr>
          <w:p w:rsidR="0037324C" w:rsidRPr="00146FE8" w:rsidRDefault="0037324C" w:rsidP="0006661B">
            <w:pPr>
              <w:pStyle w:val="Body"/>
              <w:jc w:val="both"/>
              <w:cnfStyle w:val="000000000000" w:firstRow="0" w:lastRow="0" w:firstColumn="0" w:lastColumn="0" w:oddVBand="0" w:evenVBand="0" w:oddHBand="0" w:evenHBand="0" w:firstRowFirstColumn="0" w:firstRowLastColumn="0" w:lastRowFirstColumn="0" w:lastRowLastColumn="0"/>
              <w:rPr>
                <w:sz w:val="16"/>
                <w:szCs w:val="16"/>
              </w:rPr>
            </w:pPr>
            <w:r w:rsidRPr="00146FE8">
              <w:rPr>
                <w:sz w:val="16"/>
                <w:szCs w:val="16"/>
              </w:rPr>
              <w:t>4.4</w:t>
            </w:r>
          </w:p>
        </w:tc>
      </w:tr>
    </w:tbl>
    <w:p w:rsidR="0037324C" w:rsidRPr="00146FE8" w:rsidRDefault="0037324C" w:rsidP="00146FE8">
      <w:pPr>
        <w:pStyle w:val="Body"/>
        <w:rPr>
          <w:sz w:val="16"/>
          <w:szCs w:val="16"/>
          <w:lang w:val="en-US"/>
        </w:rPr>
      </w:pPr>
      <w:r w:rsidRPr="00146FE8">
        <w:rPr>
          <w:b/>
          <w:sz w:val="16"/>
          <w:szCs w:val="16"/>
          <w:lang w:val="en-US"/>
        </w:rPr>
        <w:t>p</w:t>
      </w:r>
      <w:r w:rsidRPr="00146FE8">
        <w:rPr>
          <w:sz w:val="16"/>
          <w:szCs w:val="16"/>
          <w:lang w:val="en-US"/>
        </w:rPr>
        <w:t xml:space="preserve"> Preliminary estimate; </w:t>
      </w:r>
      <w:r w:rsidRPr="00146FE8">
        <w:rPr>
          <w:b/>
          <w:sz w:val="16"/>
          <w:szCs w:val="16"/>
          <w:lang w:val="en-US"/>
        </w:rPr>
        <w:t>y</w:t>
      </w:r>
      <w:r w:rsidRPr="00146FE8">
        <w:rPr>
          <w:sz w:val="16"/>
          <w:szCs w:val="16"/>
          <w:lang w:val="en-US"/>
        </w:rPr>
        <w:t xml:space="preserve"> Provisional estimate; </w:t>
      </w:r>
      <w:r w:rsidRPr="00146FE8">
        <w:rPr>
          <w:b/>
          <w:sz w:val="16"/>
          <w:szCs w:val="16"/>
          <w:lang w:val="en-US"/>
        </w:rPr>
        <w:t>N/A</w:t>
      </w:r>
      <w:r w:rsidRPr="00146FE8">
        <w:rPr>
          <w:sz w:val="16"/>
          <w:szCs w:val="16"/>
          <w:lang w:val="en-US"/>
        </w:rPr>
        <w:t xml:space="preserve"> Not available.</w:t>
      </w:r>
    </w:p>
    <w:p w:rsidR="0037324C" w:rsidRDefault="0037324C" w:rsidP="0037324C">
      <w:pPr>
        <w:pStyle w:val="Body"/>
        <w:jc w:val="both"/>
        <w:rPr>
          <w:lang w:val="en-US"/>
        </w:rPr>
      </w:pPr>
      <w:r>
        <w:rPr>
          <w:lang w:val="en-US"/>
        </w:rPr>
        <w:t>The larger the area planted to grain, the better the profitability measures in general. On average, specialist grain producing farms have maintained higher farm cash income than the average among all grain producing farms in the Southern region in each of the past 20 years to 2013-14. Over the five years to 2012-13, the top performing 25 per cent of grain producing farms in the region recorded average rates of return to total capital of 8.1 per cent. These top farms also received on average, more than double the farm cash incomes and farm business profits as the averages among all specialist grain growers.</w:t>
      </w:r>
    </w:p>
    <w:p w:rsidR="0037324C" w:rsidRDefault="0037324C" w:rsidP="0037324C">
      <w:pPr>
        <w:pStyle w:val="HB"/>
        <w:jc w:val="both"/>
        <w:rPr>
          <w:lang w:val="en-US"/>
        </w:rPr>
      </w:pPr>
      <w:r>
        <w:rPr>
          <w:lang w:val="en-US"/>
        </w:rPr>
        <w:t>Opportunities and challenges</w:t>
      </w:r>
    </w:p>
    <w:p w:rsidR="0037324C" w:rsidRPr="00907309" w:rsidRDefault="0037324C" w:rsidP="0037324C">
      <w:pPr>
        <w:pStyle w:val="Body"/>
        <w:jc w:val="both"/>
        <w:rPr>
          <w:lang w:val="en-US"/>
        </w:rPr>
      </w:pPr>
      <w:r>
        <w:rPr>
          <w:lang w:val="en-US"/>
        </w:rPr>
        <w:t>Grain is a</w:t>
      </w:r>
      <w:r w:rsidRPr="001B48AE">
        <w:rPr>
          <w:lang w:val="en-US"/>
        </w:rPr>
        <w:t xml:space="preserve"> major </w:t>
      </w:r>
      <w:r w:rsidR="00F445A3">
        <w:rPr>
          <w:lang w:val="en-US"/>
        </w:rPr>
        <w:t xml:space="preserve">food </w:t>
      </w:r>
      <w:r w:rsidRPr="001B48AE">
        <w:rPr>
          <w:lang w:val="en-US"/>
        </w:rPr>
        <w:t>exporting industry</w:t>
      </w:r>
      <w:r>
        <w:rPr>
          <w:lang w:val="en-US"/>
        </w:rPr>
        <w:t xml:space="preserve"> and the</w:t>
      </w:r>
      <w:r w:rsidRPr="001B48AE">
        <w:rPr>
          <w:lang w:val="en-US"/>
        </w:rPr>
        <w:t xml:space="preserve"> demand from Asia is growing.</w:t>
      </w:r>
      <w:r>
        <w:rPr>
          <w:lang w:val="en-US"/>
        </w:rPr>
        <w:t xml:space="preserve"> However, g</w:t>
      </w:r>
      <w:r w:rsidRPr="001B48AE">
        <w:rPr>
          <w:lang w:val="en-US"/>
        </w:rPr>
        <w:t>lobal commodity markets are volatile.</w:t>
      </w:r>
      <w:r>
        <w:rPr>
          <w:lang w:val="en-US"/>
        </w:rPr>
        <w:t xml:space="preserve"> Specific challenges in international grain trading are the protectionism in terms of tariff barriers and subsidies in competitor grain export countries and the growth of domestic grain production in major importing countries. There is a n</w:t>
      </w:r>
      <w:r w:rsidRPr="009C31BE">
        <w:rPr>
          <w:lang w:val="en-US"/>
        </w:rPr>
        <w:t>eed to in</w:t>
      </w:r>
      <w:r>
        <w:rPr>
          <w:lang w:val="en-US"/>
        </w:rPr>
        <w:t>crease total factor productivity</w:t>
      </w:r>
      <w:r w:rsidRPr="009C31BE">
        <w:rPr>
          <w:lang w:val="en-US"/>
        </w:rPr>
        <w:t xml:space="preserve"> in order to offset continuing decline in terms of trade.</w:t>
      </w:r>
      <w:r>
        <w:rPr>
          <w:lang w:val="en-US"/>
        </w:rPr>
        <w:t xml:space="preserve"> This can be achieved through the adoption of e</w:t>
      </w:r>
      <w:r w:rsidRPr="001B48AE">
        <w:rPr>
          <w:lang w:val="en-US"/>
        </w:rPr>
        <w:t xml:space="preserve">fficient production methods </w:t>
      </w:r>
      <w:r>
        <w:rPr>
          <w:lang w:val="en-US"/>
        </w:rPr>
        <w:t xml:space="preserve">that </w:t>
      </w:r>
      <w:r w:rsidRPr="001B48AE">
        <w:rPr>
          <w:lang w:val="en-US"/>
        </w:rPr>
        <w:t>are</w:t>
      </w:r>
      <w:r>
        <w:rPr>
          <w:lang w:val="en-US"/>
        </w:rPr>
        <w:t xml:space="preserve"> currently</w:t>
      </w:r>
      <w:r w:rsidRPr="001B48AE">
        <w:rPr>
          <w:lang w:val="en-US"/>
        </w:rPr>
        <w:t xml:space="preserve"> av</w:t>
      </w:r>
      <w:r>
        <w:rPr>
          <w:lang w:val="en-US"/>
        </w:rPr>
        <w:t>ailable and are being developed</w:t>
      </w:r>
      <w:r w:rsidRPr="001B48AE">
        <w:rPr>
          <w:lang w:val="en-US"/>
        </w:rPr>
        <w:t>.</w:t>
      </w:r>
      <w:r>
        <w:rPr>
          <w:lang w:val="en-US"/>
        </w:rPr>
        <w:t xml:space="preserve"> C</w:t>
      </w:r>
      <w:r w:rsidRPr="001B48AE">
        <w:rPr>
          <w:lang w:val="en-US"/>
        </w:rPr>
        <w:t xml:space="preserve">ropping </w:t>
      </w:r>
      <w:r>
        <w:rPr>
          <w:lang w:val="en-US"/>
        </w:rPr>
        <w:t xml:space="preserve">is expanding </w:t>
      </w:r>
      <w:r w:rsidRPr="001B48AE">
        <w:rPr>
          <w:lang w:val="en-US"/>
        </w:rPr>
        <w:t>into the high rainfall zone</w:t>
      </w:r>
      <w:r>
        <w:rPr>
          <w:lang w:val="en-US"/>
        </w:rPr>
        <w:t xml:space="preserve"> of Victoria</w:t>
      </w:r>
      <w:r w:rsidRPr="001B48AE">
        <w:rPr>
          <w:lang w:val="en-US"/>
        </w:rPr>
        <w:t xml:space="preserve"> replacing pasture and livestock</w:t>
      </w:r>
      <w:r>
        <w:rPr>
          <w:lang w:val="en-US"/>
        </w:rPr>
        <w:t>, providing opportunities for growth in the industry</w:t>
      </w:r>
      <w:r w:rsidRPr="001B48AE">
        <w:rPr>
          <w:lang w:val="en-US"/>
        </w:rPr>
        <w:t>.</w:t>
      </w:r>
      <w:r>
        <w:rPr>
          <w:lang w:val="en-US"/>
        </w:rPr>
        <w:t xml:space="preserve"> However, grain cropping is h</w:t>
      </w:r>
      <w:r w:rsidRPr="006A5E37">
        <w:rPr>
          <w:lang w:val="en-US"/>
        </w:rPr>
        <w:t>ighly dependent on climate, therefore, production risk should be managed.</w:t>
      </w:r>
      <w:r>
        <w:rPr>
          <w:lang w:val="en-US"/>
        </w:rPr>
        <w:t xml:space="preserve"> </w:t>
      </w:r>
      <w:r w:rsidRPr="006A5E37">
        <w:rPr>
          <w:lang w:val="en-US"/>
        </w:rPr>
        <w:t>Road, rail and storage logistics</w:t>
      </w:r>
      <w:r>
        <w:rPr>
          <w:lang w:val="en-US"/>
        </w:rPr>
        <w:t xml:space="preserve"> become increasingly important with the improvement in crop yields and production volumes</w:t>
      </w:r>
      <w:r w:rsidRPr="006A5E37">
        <w:rPr>
          <w:lang w:val="en-US"/>
        </w:rPr>
        <w:t>, especially in areas where grain growing is expanding into.</w:t>
      </w:r>
      <w:r w:rsidR="00E73FF4">
        <w:rPr>
          <w:lang w:val="en-US"/>
        </w:rPr>
        <w:t xml:space="preserve"> Exports of Victorian grain in containers has also grown significantly</w:t>
      </w:r>
      <w:r w:rsidR="00227778">
        <w:rPr>
          <w:lang w:val="en-US"/>
        </w:rPr>
        <w:t xml:space="preserve">, </w:t>
      </w:r>
      <w:r w:rsidR="00E73FF4">
        <w:rPr>
          <w:lang w:val="en-US"/>
        </w:rPr>
        <w:t>see separate container grains industry profile</w:t>
      </w:r>
      <w:r w:rsidR="00227778">
        <w:rPr>
          <w:lang w:val="en-US"/>
        </w:rPr>
        <w:t>.</w:t>
      </w:r>
    </w:p>
    <w:p w:rsidR="0037324C" w:rsidRPr="00FD0B77" w:rsidRDefault="0037324C" w:rsidP="0037324C">
      <w:pPr>
        <w:pStyle w:val="HB"/>
        <w:jc w:val="both"/>
        <w:rPr>
          <w:lang w:val="en-US"/>
        </w:rPr>
      </w:pPr>
      <w:r w:rsidRPr="00FD0B77">
        <w:rPr>
          <w:lang w:val="en-US"/>
        </w:rPr>
        <w:t>Government policy/regulation influences</w:t>
      </w:r>
    </w:p>
    <w:p w:rsidR="0037324C" w:rsidRDefault="0037324C" w:rsidP="0037324C">
      <w:pPr>
        <w:pStyle w:val="Body"/>
        <w:jc w:val="both"/>
        <w:rPr>
          <w:lang w:val="en-US"/>
        </w:rPr>
      </w:pPr>
      <w:r>
        <w:rPr>
          <w:lang w:val="en-US"/>
        </w:rPr>
        <w:t>On 19 September 2014, t</w:t>
      </w:r>
      <w:r w:rsidRPr="00BF303F">
        <w:rPr>
          <w:lang w:val="en-US"/>
        </w:rPr>
        <w:t>he Commonwealth Government introduced the Mandatory Port Access Code of Conduct for Grain Export Terminals</w:t>
      </w:r>
      <w:r>
        <w:rPr>
          <w:lang w:val="en-US"/>
        </w:rPr>
        <w:t>.</w:t>
      </w:r>
      <w:r w:rsidRPr="00BF303F">
        <w:rPr>
          <w:lang w:val="en-US"/>
        </w:rPr>
        <w:t xml:space="preserve"> The Code of Conduct replaces the </w:t>
      </w:r>
      <w:r w:rsidRPr="006F2701">
        <w:rPr>
          <w:i/>
          <w:lang w:val="en-US"/>
        </w:rPr>
        <w:t>Wheat Export Marketing</w:t>
      </w:r>
      <w:r w:rsidRPr="00BF303F">
        <w:rPr>
          <w:lang w:val="en-US"/>
        </w:rPr>
        <w:t xml:space="preserve"> Act 2008 and regulates the </w:t>
      </w:r>
      <w:r>
        <w:rPr>
          <w:lang w:val="en-US"/>
        </w:rPr>
        <w:t>use</w:t>
      </w:r>
      <w:r w:rsidRPr="00BF303F">
        <w:rPr>
          <w:lang w:val="en-US"/>
        </w:rPr>
        <w:t xml:space="preserve"> of bulk wheat port terminal</w:t>
      </w:r>
      <w:r>
        <w:rPr>
          <w:lang w:val="en-US"/>
        </w:rPr>
        <w:t>s</w:t>
      </w:r>
      <w:r w:rsidRPr="00BF303F">
        <w:rPr>
          <w:lang w:val="en-US"/>
        </w:rPr>
        <w:t xml:space="preserve"> </w:t>
      </w:r>
      <w:r>
        <w:rPr>
          <w:lang w:val="en-US"/>
        </w:rPr>
        <w:t xml:space="preserve">by </w:t>
      </w:r>
      <w:r w:rsidRPr="00BF303F">
        <w:rPr>
          <w:lang w:val="en-US"/>
        </w:rPr>
        <w:t>service providers and exporters.</w:t>
      </w:r>
      <w:r>
        <w:rPr>
          <w:lang w:val="en-US"/>
        </w:rPr>
        <w:t xml:space="preserve"> </w:t>
      </w:r>
      <w:r w:rsidRPr="00BF303F">
        <w:rPr>
          <w:lang w:val="en-US"/>
        </w:rPr>
        <w:t xml:space="preserve">The Code of Conduct seeks to make transparent the terms and conditions for access to bulk wheat port terminal services for all exporters. </w:t>
      </w:r>
    </w:p>
    <w:p w:rsidR="0037324C" w:rsidRDefault="0037324C" w:rsidP="0037324C">
      <w:pPr>
        <w:pStyle w:val="Body"/>
        <w:jc w:val="both"/>
        <w:rPr>
          <w:lang w:val="en-US"/>
        </w:rPr>
      </w:pPr>
      <w:r w:rsidRPr="00BF303F">
        <w:rPr>
          <w:lang w:val="en-US"/>
        </w:rPr>
        <w:t xml:space="preserve">In 2013, the Commonwealth Government rejected American grain company, Archer Daniels Midland’s (ADM) $3.4 million bid to take over </w:t>
      </w:r>
      <w:proofErr w:type="spellStart"/>
      <w:r w:rsidRPr="00BF303F">
        <w:rPr>
          <w:lang w:val="en-US"/>
        </w:rPr>
        <w:t>GrainCorp</w:t>
      </w:r>
      <w:proofErr w:type="spellEnd"/>
      <w:r w:rsidRPr="00BF303F">
        <w:rPr>
          <w:lang w:val="en-US"/>
        </w:rPr>
        <w:t>, a decision that was welcomed by farmer representative groups, despite a loss in infrastructure funding promised by ADM.</w:t>
      </w:r>
    </w:p>
    <w:p w:rsidR="0037324C" w:rsidRDefault="0037324C" w:rsidP="00F445A3">
      <w:pPr>
        <w:pStyle w:val="Body"/>
        <w:jc w:val="both"/>
        <w:rPr>
          <w:lang w:val="en-US"/>
        </w:rPr>
      </w:pPr>
      <w:r>
        <w:rPr>
          <w:lang w:val="en-US"/>
        </w:rPr>
        <w:br w:type="page"/>
      </w:r>
    </w:p>
    <w:sectPr w:rsidR="0037324C" w:rsidSect="00146FE8">
      <w:footerReference w:type="default" r:id="rId19"/>
      <w:pgSz w:w="11906" w:h="16838"/>
      <w:pgMar w:top="1134" w:right="1247" w:bottom="1134" w:left="1247"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4697B" w:rsidRDefault="00A4697B" w:rsidP="004D4C84">
      <w:r>
        <w:separator/>
      </w:r>
    </w:p>
  </w:endnote>
  <w:endnote w:type="continuationSeparator" w:id="0">
    <w:p w:rsidR="00A4697B" w:rsidRDefault="00A4697B" w:rsidP="004D4C84">
      <w:r>
        <w:continuationSeparator/>
      </w:r>
    </w:p>
  </w:endnote>
  <w:endnote w:id="1">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Australian Bureau of Statistics (ABS), Based on AGS2011 Mesh Block Boundaries</w:t>
      </w:r>
    </w:p>
  </w:endnote>
  <w:endnote w:id="2">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Agricultural Commodities, Australia, 7121.0, 2012-13</w:t>
      </w:r>
    </w:p>
  </w:endnote>
  <w:endnote w:id="3">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2010-11 census of population and housing</w:t>
      </w:r>
    </w:p>
  </w:endnote>
  <w:endnote w:id="4">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Grains Logistics Taskforce Report 2011, Department of Transport, Victoria</w:t>
      </w:r>
    </w:p>
  </w:endnote>
  <w:endnote w:id="5">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Agricultural Commodities, Australia, 7121.0, 2009-10</w:t>
      </w:r>
    </w:p>
  </w:endnote>
  <w:endnote w:id="6">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Agricultural Commodities, Australia, 7121.0, 2012-13</w:t>
      </w:r>
    </w:p>
  </w:endnote>
  <w:endnote w:id="7">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Agricultural Commodities, Australia, 7121.0, 2012-13</w:t>
      </w:r>
    </w:p>
  </w:endnote>
  <w:endnote w:id="8">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Value of Agricultural Commodities Produced, Australia, 7503.0, 2012–13</w:t>
      </w:r>
    </w:p>
  </w:endnote>
  <w:endnote w:id="9">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ABS, Value of Agricultural Commodities Produced, Australia, 7503.0, 2012–13</w:t>
      </w:r>
    </w:p>
  </w:endnote>
  <w:endnote w:id="10">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Australian Bureau of Agricultural and Resource Economics and Sciences (ABARES), Australian Crop Report, September 2014</w:t>
      </w:r>
    </w:p>
  </w:endnote>
  <w:endnote w:id="11">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ABARES, Agricultural Commodities, September Quarter, 2014</w:t>
      </w:r>
    </w:p>
  </w:endnote>
  <w:endnote w:id="12">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Based on: ABS, Agricultural Commodities, Australia, 7121.0, 2012-13; Department of Environment and Primary Industries (DEPI), Victorian Food and Fibre Export Performance Report 2013-14</w:t>
      </w:r>
    </w:p>
  </w:endnote>
  <w:endnote w:id="13">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Based on: DEPI, Victorian Food and Fibre Export Performance Report 2013-14</w:t>
      </w:r>
    </w:p>
  </w:endnote>
  <w:endnote w:id="14">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Based on: DEPI, Victorian Food and Fibre Export Performance Report 2013-14</w:t>
      </w:r>
    </w:p>
  </w:endnote>
  <w:endnote w:id="15">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ABARES, Australian farm survey results 2011-12 to 2013-14, March 2014</w:t>
      </w:r>
    </w:p>
  </w:endnote>
  <w:endnote w:id="16">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ABARES, 2014, unpublished data</w:t>
      </w:r>
    </w:p>
  </w:endnote>
  <w:endnote w:id="17">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ABARES, Financial performance of grain producing farms, 2011/12 to 2013/14, Research report 14.12, September 2014</w:t>
      </w:r>
    </w:p>
  </w:endnote>
  <w:endnote w:id="18">
    <w:p w:rsidR="0037324C" w:rsidRPr="009F35C8" w:rsidRDefault="0037324C" w:rsidP="0037324C">
      <w:pPr>
        <w:pStyle w:val="Body"/>
        <w:spacing w:after="60" w:line="240" w:lineRule="auto"/>
        <w:rPr>
          <w:sz w:val="16"/>
          <w:szCs w:val="16"/>
        </w:rPr>
      </w:pPr>
      <w:r w:rsidRPr="009F35C8">
        <w:rPr>
          <w:rStyle w:val="EndnoteReference"/>
          <w:sz w:val="16"/>
          <w:szCs w:val="16"/>
        </w:rPr>
        <w:endnoteRef/>
      </w:r>
      <w:r w:rsidRPr="009F35C8">
        <w:rPr>
          <w:sz w:val="16"/>
          <w:szCs w:val="16"/>
        </w:rPr>
        <w:t xml:space="preserve"> ABARES, Financial performance of grain producing farms, 2011/12 to 2013/14, Research report 14.12, September 2014</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9745263"/>
      <w:docPartObj>
        <w:docPartGallery w:val="Page Numbers (Bottom of Page)"/>
        <w:docPartUnique/>
      </w:docPartObj>
    </w:sdtPr>
    <w:sdtEndPr>
      <w:rPr>
        <w:noProof/>
      </w:rPr>
    </w:sdtEndPr>
    <w:sdtContent>
      <w:p w:rsidR="004D4C84" w:rsidRDefault="004D4C84">
        <w:pPr>
          <w:pStyle w:val="Footer"/>
          <w:jc w:val="center"/>
        </w:pPr>
        <w:r>
          <w:fldChar w:fldCharType="begin"/>
        </w:r>
        <w:r>
          <w:instrText xml:space="preserve"> PAGE   \* MERGEFORMAT </w:instrText>
        </w:r>
        <w:r>
          <w:fldChar w:fldCharType="separate"/>
        </w:r>
        <w:r w:rsidR="008F6D15">
          <w:rPr>
            <w:noProof/>
          </w:rPr>
          <w:t>6</w:t>
        </w:r>
        <w:r>
          <w:rPr>
            <w:noProof/>
          </w:rPr>
          <w:fldChar w:fldCharType="end"/>
        </w:r>
      </w:p>
    </w:sdtContent>
  </w:sdt>
  <w:p w:rsidR="004D4C84" w:rsidRDefault="004D4C8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9544650"/>
      <w:docPartObj>
        <w:docPartGallery w:val="Page Numbers (Bottom of Page)"/>
        <w:docPartUnique/>
      </w:docPartObj>
    </w:sdtPr>
    <w:sdtEndPr>
      <w:rPr>
        <w:noProof/>
      </w:rPr>
    </w:sdtEndPr>
    <w:sdtContent>
      <w:p w:rsidR="003A45AC" w:rsidRDefault="00A4697B" w:rsidP="00146FE8">
        <w:pPr>
          <w:pStyle w:val="Footer"/>
          <w:jc w:val="center"/>
        </w:pPr>
        <w:r>
          <w:fldChar w:fldCharType="begin"/>
        </w:r>
        <w:r>
          <w:instrText xml:space="preserve"> PAGE   \* MERGEFORMAT </w:instrText>
        </w:r>
        <w:r>
          <w:fldChar w:fldCharType="separate"/>
        </w:r>
        <w:r w:rsidR="00A77D22">
          <w:rPr>
            <w:noProof/>
          </w:rPr>
          <w:t>7</w:t>
        </w:r>
        <w:r>
          <w:rPr>
            <w:noProof/>
          </w:rPr>
          <w:fldChar w:fldCharType="end"/>
        </w:r>
      </w:p>
    </w:sdtContent>
  </w:sdt>
  <w:p w:rsidR="003A45AC" w:rsidRDefault="00A77D22" w:rsidP="009A7E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4697B" w:rsidRDefault="00A4697B" w:rsidP="004D4C84">
      <w:r>
        <w:separator/>
      </w:r>
    </w:p>
  </w:footnote>
  <w:footnote w:type="continuationSeparator" w:id="0">
    <w:p w:rsidR="00A4697B" w:rsidRDefault="00A4697B" w:rsidP="004D4C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0E2D" w:rsidRDefault="00D30E2D">
    <w:pPr>
      <w:pStyle w:val="Header"/>
    </w:pPr>
    <w:r>
      <w:rPr>
        <w:noProof/>
      </w:rPr>
      <w:drawing>
        <wp:anchor distT="0" distB="0" distL="114300" distR="114300" simplePos="0" relativeHeight="251658240" behindDoc="0" locked="0" layoutInCell="1" allowOverlap="1">
          <wp:simplePos x="457200" y="0"/>
          <wp:positionH relativeFrom="margin">
            <wp:align>center</wp:align>
          </wp:positionH>
          <wp:positionV relativeFrom="margin">
            <wp:align>center</wp:align>
          </wp:positionV>
          <wp:extent cx="7552800" cy="10681200"/>
          <wp:effectExtent l="0" t="0" r="0" b="635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ustry Profile Fact Sheet Covers_Collage Icons_v3-0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2800" cy="10681200"/>
                  </a:xfrm>
                  <a:prstGeom prst="rect">
                    <a:avLst/>
                  </a:prstGeom>
                </pic:spPr>
              </pic:pic>
            </a:graphicData>
          </a:graphic>
          <wp14:sizeRelH relativeFrom="margin">
            <wp14:pctWidth>0</wp14:pctWidth>
          </wp14:sizeRelH>
          <wp14:sizeRelV relativeFrom="margin">
            <wp14:pctHeight>0</wp14:pctHeight>
          </wp14:sizeRelV>
        </wp:anchor>
      </w:drawing>
    </w:r>
  </w:p>
  <w:p w:rsidR="00227778" w:rsidRDefault="0022777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B66EDC"/>
    <w:multiLevelType w:val="multilevel"/>
    <w:tmpl w:val="3EC0C9EE"/>
    <w:lvl w:ilvl="0">
      <w:start w:val="1"/>
      <w:numFmt w:val="none"/>
      <w:pStyle w:val="BodyText"/>
      <w:suff w:val="nothing"/>
      <w:lvlText w:val="%1"/>
      <w:lvlJc w:val="left"/>
      <w:rPr>
        <w:rFonts w:ascii="Arial" w:hAnsi="Arial" w:cs="Times New Roman" w:hint="default"/>
        <w:b w:val="0"/>
        <w:i w:val="0"/>
        <w:sz w:val="18"/>
      </w:rPr>
    </w:lvl>
    <w:lvl w:ilvl="1">
      <w:start w:val="1"/>
      <w:numFmt w:val="decimal"/>
      <w:pStyle w:val="ListNumber"/>
      <w:lvlText w:val="%2."/>
      <w:lvlJc w:val="left"/>
      <w:pPr>
        <w:tabs>
          <w:tab w:val="num" w:pos="284"/>
        </w:tabs>
        <w:ind w:left="284" w:hanging="284"/>
      </w:pPr>
      <w:rPr>
        <w:rFonts w:ascii="Arial" w:hAnsi="Arial" w:cs="Times New Roman" w:hint="default"/>
        <w:b w:val="0"/>
        <w:i w:val="0"/>
        <w:caps w:val="0"/>
        <w:strike w:val="0"/>
        <w:dstrike w:val="0"/>
        <w:vanish w:val="0"/>
        <w:color w:val="auto"/>
        <w:spacing w:val="0"/>
        <w:w w:val="100"/>
        <w:kern w:val="0"/>
        <w:position w:val="0"/>
        <w:sz w:val="18"/>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ListNumber2"/>
      <w:lvlText w:val=""/>
      <w:lvlJc w:val="left"/>
      <w:pPr>
        <w:tabs>
          <w:tab w:val="num" w:pos="454"/>
        </w:tabs>
        <w:ind w:left="454" w:hanging="170"/>
      </w:pPr>
      <w:rPr>
        <w:rFonts w:ascii="Symbol" w:hAnsi="Symbol" w:hint="default"/>
        <w:position w:val="2"/>
        <w:sz w:val="16"/>
      </w:rPr>
    </w:lvl>
    <w:lvl w:ilvl="3">
      <w:start w:val="1"/>
      <w:numFmt w:val="bullet"/>
      <w:pStyle w:val="ListNumber3"/>
      <w:lvlText w:val=""/>
      <w:lvlJc w:val="left"/>
      <w:pPr>
        <w:tabs>
          <w:tab w:val="num" w:pos="624"/>
        </w:tabs>
        <w:ind w:left="624" w:hanging="170"/>
      </w:pPr>
      <w:rPr>
        <w:rFonts w:ascii="Symbol" w:hAnsi="Symbol"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
    <w:nsid w:val="29DC2077"/>
    <w:multiLevelType w:val="hybridMultilevel"/>
    <w:tmpl w:val="53348C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6852B58"/>
    <w:multiLevelType w:val="hybridMultilevel"/>
    <w:tmpl w:val="025A916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
    <w:nsid w:val="5EB479C9"/>
    <w:multiLevelType w:val="hybridMultilevel"/>
    <w:tmpl w:val="B19C61DA"/>
    <w:lvl w:ilvl="0" w:tplc="7E7A92D6">
      <w:numFmt w:val="bullet"/>
      <w:lvlText w:val=""/>
      <w:lvlJc w:val="left"/>
      <w:pPr>
        <w:ind w:left="720" w:hanging="360"/>
      </w:pPr>
      <w:rPr>
        <w:rFonts w:ascii="Symbol" w:eastAsiaTheme="minorHAnsi"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6094486F"/>
    <w:multiLevelType w:val="hybridMultilevel"/>
    <w:tmpl w:val="1F8EDD6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nsid w:val="64CA66AB"/>
    <w:multiLevelType w:val="hybridMultilevel"/>
    <w:tmpl w:val="FBDCE83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6CB363EA"/>
    <w:multiLevelType w:val="hybridMultilevel"/>
    <w:tmpl w:val="A884446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3"/>
  </w:num>
  <w:num w:numId="2">
    <w:abstractNumId w:val="1"/>
  </w:num>
  <w:num w:numId="3">
    <w:abstractNumId w:val="5"/>
  </w:num>
  <w:num w:numId="4">
    <w:abstractNumId w:val="0"/>
  </w:num>
  <w:num w:numId="5">
    <w:abstractNumId w:val="6"/>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5EB"/>
    <w:rsid w:val="00146FE8"/>
    <w:rsid w:val="00220DB0"/>
    <w:rsid w:val="00227778"/>
    <w:rsid w:val="00237F97"/>
    <w:rsid w:val="002B4ECA"/>
    <w:rsid w:val="002C0F29"/>
    <w:rsid w:val="002D3CD9"/>
    <w:rsid w:val="00332D70"/>
    <w:rsid w:val="0037324C"/>
    <w:rsid w:val="003921DB"/>
    <w:rsid w:val="004C2AC6"/>
    <w:rsid w:val="004D4C84"/>
    <w:rsid w:val="004E6CF9"/>
    <w:rsid w:val="00654605"/>
    <w:rsid w:val="006705EF"/>
    <w:rsid w:val="007605EB"/>
    <w:rsid w:val="008266B1"/>
    <w:rsid w:val="008D3886"/>
    <w:rsid w:val="008F6D15"/>
    <w:rsid w:val="009A67F8"/>
    <w:rsid w:val="009E4A6F"/>
    <w:rsid w:val="00A4697B"/>
    <w:rsid w:val="00A77D22"/>
    <w:rsid w:val="00B26A13"/>
    <w:rsid w:val="00B309BD"/>
    <w:rsid w:val="00B54261"/>
    <w:rsid w:val="00B5798E"/>
    <w:rsid w:val="00B61749"/>
    <w:rsid w:val="00B6644B"/>
    <w:rsid w:val="00B75BA7"/>
    <w:rsid w:val="00BB7BE6"/>
    <w:rsid w:val="00CF3114"/>
    <w:rsid w:val="00D30E2D"/>
    <w:rsid w:val="00E12390"/>
    <w:rsid w:val="00E73FF4"/>
    <w:rsid w:val="00E80738"/>
    <w:rsid w:val="00ED2355"/>
    <w:rsid w:val="00F445A3"/>
    <w:rsid w:val="00FA4BF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4C84"/>
    <w:pPr>
      <w:spacing w:after="0" w:line="240" w:lineRule="auto"/>
    </w:pPr>
    <w:rPr>
      <w:rFonts w:ascii="Times New Roman" w:eastAsia="Times New Roman" w:hAnsi="Times New Roman" w:cs="Times New Roman"/>
      <w:sz w:val="24"/>
      <w:szCs w:val="24"/>
      <w:lang w:eastAsia="en-AU"/>
    </w:rPr>
  </w:style>
  <w:style w:type="paragraph" w:styleId="Heading2">
    <w:name w:val="heading 2"/>
    <w:basedOn w:val="Normal"/>
    <w:next w:val="Normal"/>
    <w:link w:val="Heading2Char"/>
    <w:uiPriority w:val="9"/>
    <w:semiHidden/>
    <w:unhideWhenUsed/>
    <w:qFormat/>
    <w:rsid w:val="00E807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qFormat/>
    <w:rsid w:val="00BB7BE6"/>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B7BE6"/>
    <w:pPr>
      <w:ind w:left="720"/>
      <w:contextualSpacing/>
    </w:pPr>
  </w:style>
  <w:style w:type="character" w:customStyle="1" w:styleId="Heading4Char">
    <w:name w:val="Heading 4 Char"/>
    <w:basedOn w:val="DefaultParagraphFont"/>
    <w:link w:val="Heading4"/>
    <w:rsid w:val="00BB7BE6"/>
    <w:rPr>
      <w:rFonts w:ascii="Times New Roman" w:eastAsia="Times New Roman" w:hAnsi="Times New Roman" w:cs="Times New Roman"/>
      <w:b/>
      <w:bCs/>
      <w:sz w:val="24"/>
      <w:szCs w:val="24"/>
      <w:lang w:eastAsia="en-AU"/>
    </w:rPr>
  </w:style>
  <w:style w:type="paragraph" w:styleId="NormalWeb">
    <w:name w:val="Normal (Web)"/>
    <w:basedOn w:val="Normal"/>
    <w:rsid w:val="00BB7BE6"/>
    <w:pPr>
      <w:spacing w:before="100" w:beforeAutospacing="1" w:after="100" w:afterAutospacing="1"/>
    </w:pPr>
  </w:style>
  <w:style w:type="paragraph" w:styleId="BalloonText">
    <w:name w:val="Balloon Text"/>
    <w:basedOn w:val="Normal"/>
    <w:link w:val="BalloonTextChar"/>
    <w:uiPriority w:val="99"/>
    <w:semiHidden/>
    <w:unhideWhenUsed/>
    <w:rsid w:val="00BB7BE6"/>
    <w:rPr>
      <w:rFonts w:ascii="Tahoma" w:hAnsi="Tahoma" w:cs="Tahoma"/>
      <w:sz w:val="16"/>
      <w:szCs w:val="16"/>
    </w:rPr>
  </w:style>
  <w:style w:type="character" w:customStyle="1" w:styleId="BalloonTextChar">
    <w:name w:val="Balloon Text Char"/>
    <w:basedOn w:val="DefaultParagraphFont"/>
    <w:link w:val="BalloonText"/>
    <w:uiPriority w:val="99"/>
    <w:semiHidden/>
    <w:rsid w:val="00BB7BE6"/>
    <w:rPr>
      <w:rFonts w:ascii="Tahoma" w:hAnsi="Tahoma" w:cs="Tahoma"/>
      <w:sz w:val="16"/>
      <w:szCs w:val="16"/>
    </w:rPr>
  </w:style>
  <w:style w:type="character" w:customStyle="1" w:styleId="Heading2Char">
    <w:name w:val="Heading 2 Char"/>
    <w:basedOn w:val="DefaultParagraphFont"/>
    <w:link w:val="Heading2"/>
    <w:uiPriority w:val="9"/>
    <w:semiHidden/>
    <w:rsid w:val="00E80738"/>
    <w:rPr>
      <w:rFonts w:asciiTheme="majorHAnsi" w:eastAsiaTheme="majorEastAsia" w:hAnsiTheme="majorHAnsi" w:cstheme="majorBidi"/>
      <w:b/>
      <w:bCs/>
      <w:color w:val="4F81BD" w:themeColor="accent1"/>
      <w:sz w:val="26"/>
      <w:szCs w:val="26"/>
    </w:rPr>
  </w:style>
  <w:style w:type="character" w:styleId="Strong">
    <w:name w:val="Strong"/>
    <w:qFormat/>
    <w:rsid w:val="00E80738"/>
    <w:rPr>
      <w:b/>
      <w:bCs/>
    </w:rPr>
  </w:style>
  <w:style w:type="paragraph" w:customStyle="1" w:styleId="HA">
    <w:name w:val="_HA"/>
    <w:next w:val="Normal"/>
    <w:uiPriority w:val="2"/>
    <w:qFormat/>
    <w:rsid w:val="00654605"/>
    <w:pPr>
      <w:spacing w:after="600" w:line="460" w:lineRule="atLeast"/>
      <w:outlineLvl w:val="0"/>
    </w:pPr>
    <w:rPr>
      <w:rFonts w:ascii="Arial" w:eastAsia="Times New Roman" w:hAnsi="Arial" w:cs="Arial"/>
      <w:color w:val="F58426"/>
      <w:sz w:val="40"/>
      <w:szCs w:val="24"/>
      <w:lang w:val="en-US"/>
    </w:rPr>
  </w:style>
  <w:style w:type="paragraph" w:customStyle="1" w:styleId="HB">
    <w:name w:val="_HB"/>
    <w:next w:val="Normal"/>
    <w:uiPriority w:val="2"/>
    <w:qFormat/>
    <w:rsid w:val="00654605"/>
    <w:pPr>
      <w:spacing w:before="180" w:after="113" w:line="300" w:lineRule="atLeast"/>
      <w:outlineLvl w:val="0"/>
    </w:pPr>
    <w:rPr>
      <w:rFonts w:ascii="Arial" w:eastAsia="Times New Roman" w:hAnsi="Arial" w:cs="Arial"/>
      <w:b/>
      <w:color w:val="F58426"/>
      <w:sz w:val="24"/>
      <w:szCs w:val="24"/>
    </w:rPr>
  </w:style>
  <w:style w:type="paragraph" w:customStyle="1" w:styleId="HC">
    <w:name w:val="_HC"/>
    <w:next w:val="Normal"/>
    <w:uiPriority w:val="2"/>
    <w:qFormat/>
    <w:rsid w:val="00654605"/>
    <w:pPr>
      <w:spacing w:before="140" w:after="57" w:line="220" w:lineRule="atLeast"/>
    </w:pPr>
    <w:rPr>
      <w:rFonts w:ascii="Arial" w:eastAsia="Times New Roman" w:hAnsi="Arial" w:cs="Arial"/>
      <w:b/>
      <w:sz w:val="18"/>
      <w:szCs w:val="24"/>
    </w:rPr>
  </w:style>
  <w:style w:type="paragraph" w:customStyle="1" w:styleId="Body">
    <w:name w:val="_Body"/>
    <w:qFormat/>
    <w:rsid w:val="00654605"/>
    <w:pPr>
      <w:spacing w:after="113" w:line="240" w:lineRule="atLeast"/>
    </w:pPr>
    <w:rPr>
      <w:rFonts w:ascii="Arial" w:eastAsia="Times New Roman" w:hAnsi="Arial" w:cs="Arial"/>
      <w:sz w:val="18"/>
      <w:szCs w:val="24"/>
    </w:rPr>
  </w:style>
  <w:style w:type="paragraph" w:customStyle="1" w:styleId="TableTitle">
    <w:name w:val="_TableTitle"/>
    <w:qFormat/>
    <w:rsid w:val="00654605"/>
    <w:pPr>
      <w:spacing w:after="120" w:line="220" w:lineRule="atLeast"/>
    </w:pPr>
    <w:rPr>
      <w:rFonts w:ascii="Arial" w:eastAsia="Times New Roman" w:hAnsi="Arial" w:cs="Arial"/>
      <w:b/>
      <w:color w:val="404040"/>
      <w:sz w:val="18"/>
      <w:szCs w:val="18"/>
    </w:rPr>
  </w:style>
  <w:style w:type="character" w:styleId="CommentReference">
    <w:name w:val="annotation reference"/>
    <w:basedOn w:val="DefaultParagraphFont"/>
    <w:uiPriority w:val="99"/>
    <w:semiHidden/>
    <w:unhideWhenUsed/>
    <w:rsid w:val="009E4A6F"/>
    <w:rPr>
      <w:sz w:val="16"/>
      <w:szCs w:val="16"/>
    </w:rPr>
  </w:style>
  <w:style w:type="paragraph" w:styleId="CommentText">
    <w:name w:val="annotation text"/>
    <w:basedOn w:val="Normal"/>
    <w:link w:val="CommentTextChar"/>
    <w:uiPriority w:val="99"/>
    <w:semiHidden/>
    <w:unhideWhenUsed/>
    <w:rsid w:val="009E4A6F"/>
    <w:rPr>
      <w:sz w:val="20"/>
      <w:szCs w:val="20"/>
    </w:rPr>
  </w:style>
  <w:style w:type="character" w:customStyle="1" w:styleId="CommentTextChar">
    <w:name w:val="Comment Text Char"/>
    <w:basedOn w:val="DefaultParagraphFont"/>
    <w:link w:val="CommentText"/>
    <w:uiPriority w:val="99"/>
    <w:semiHidden/>
    <w:rsid w:val="009E4A6F"/>
    <w:rPr>
      <w:sz w:val="20"/>
      <w:szCs w:val="20"/>
    </w:rPr>
  </w:style>
  <w:style w:type="paragraph" w:styleId="CommentSubject">
    <w:name w:val="annotation subject"/>
    <w:basedOn w:val="CommentText"/>
    <w:next w:val="CommentText"/>
    <w:link w:val="CommentSubjectChar"/>
    <w:uiPriority w:val="99"/>
    <w:semiHidden/>
    <w:unhideWhenUsed/>
    <w:rsid w:val="009E4A6F"/>
    <w:rPr>
      <w:b/>
      <w:bCs/>
    </w:rPr>
  </w:style>
  <w:style w:type="character" w:customStyle="1" w:styleId="CommentSubjectChar">
    <w:name w:val="Comment Subject Char"/>
    <w:basedOn w:val="CommentTextChar"/>
    <w:link w:val="CommentSubject"/>
    <w:uiPriority w:val="99"/>
    <w:semiHidden/>
    <w:rsid w:val="009E4A6F"/>
    <w:rPr>
      <w:b/>
      <w:bCs/>
      <w:sz w:val="20"/>
      <w:szCs w:val="20"/>
    </w:rPr>
  </w:style>
  <w:style w:type="paragraph" w:styleId="EndnoteText">
    <w:name w:val="endnote text"/>
    <w:basedOn w:val="Normal"/>
    <w:link w:val="EndnoteTextChar"/>
    <w:uiPriority w:val="99"/>
    <w:rsid w:val="004D4C84"/>
    <w:rPr>
      <w:sz w:val="20"/>
      <w:szCs w:val="20"/>
    </w:rPr>
  </w:style>
  <w:style w:type="character" w:customStyle="1" w:styleId="EndnoteTextChar">
    <w:name w:val="Endnote Text Char"/>
    <w:basedOn w:val="DefaultParagraphFont"/>
    <w:link w:val="EndnoteText"/>
    <w:uiPriority w:val="99"/>
    <w:rsid w:val="004D4C84"/>
    <w:rPr>
      <w:rFonts w:ascii="Times New Roman" w:eastAsia="Times New Roman" w:hAnsi="Times New Roman" w:cs="Times New Roman"/>
      <w:sz w:val="20"/>
      <w:szCs w:val="20"/>
      <w:lang w:eastAsia="en-AU"/>
    </w:rPr>
  </w:style>
  <w:style w:type="character" w:styleId="EndnoteReference">
    <w:name w:val="endnote reference"/>
    <w:uiPriority w:val="99"/>
    <w:rsid w:val="004D4C84"/>
    <w:rPr>
      <w:vertAlign w:val="superscript"/>
    </w:rPr>
  </w:style>
  <w:style w:type="paragraph" w:styleId="Footer">
    <w:name w:val="footer"/>
    <w:basedOn w:val="Normal"/>
    <w:link w:val="FooterChar"/>
    <w:uiPriority w:val="99"/>
    <w:rsid w:val="004D4C84"/>
    <w:pPr>
      <w:tabs>
        <w:tab w:val="center" w:pos="4513"/>
        <w:tab w:val="right" w:pos="9026"/>
      </w:tabs>
    </w:pPr>
  </w:style>
  <w:style w:type="character" w:customStyle="1" w:styleId="FooterChar">
    <w:name w:val="Footer Char"/>
    <w:basedOn w:val="DefaultParagraphFont"/>
    <w:link w:val="Footer"/>
    <w:uiPriority w:val="99"/>
    <w:rsid w:val="004D4C84"/>
    <w:rPr>
      <w:rFonts w:ascii="Times New Roman" w:eastAsia="Times New Roman" w:hAnsi="Times New Roman" w:cs="Times New Roman"/>
      <w:sz w:val="24"/>
      <w:szCs w:val="24"/>
      <w:lang w:eastAsia="en-AU"/>
    </w:rPr>
  </w:style>
  <w:style w:type="character" w:styleId="Hyperlink">
    <w:name w:val="Hyperlink"/>
    <w:basedOn w:val="DefaultParagraphFont"/>
    <w:uiPriority w:val="99"/>
    <w:unhideWhenUsed/>
    <w:rsid w:val="008F6D15"/>
    <w:rPr>
      <w:color w:val="0000FF" w:themeColor="hyperlink"/>
      <w:u w:val="single"/>
    </w:rPr>
  </w:style>
  <w:style w:type="paragraph" w:styleId="BodyText">
    <w:name w:val="Body Text"/>
    <w:basedOn w:val="Normal"/>
    <w:link w:val="BodyTextChar"/>
    <w:uiPriority w:val="99"/>
    <w:rsid w:val="008F6D15"/>
    <w:pPr>
      <w:numPr>
        <w:numId w:val="4"/>
      </w:numPr>
      <w:spacing w:before="180" w:line="276" w:lineRule="auto"/>
    </w:pPr>
    <w:rPr>
      <w:rFonts w:ascii="Arial" w:hAnsi="Arial"/>
      <w:sz w:val="18"/>
      <w:szCs w:val="20"/>
      <w:lang w:eastAsia="en-US"/>
    </w:rPr>
  </w:style>
  <w:style w:type="character" w:customStyle="1" w:styleId="BodyTextChar">
    <w:name w:val="Body Text Char"/>
    <w:basedOn w:val="DefaultParagraphFont"/>
    <w:link w:val="BodyText"/>
    <w:uiPriority w:val="99"/>
    <w:rsid w:val="008F6D15"/>
    <w:rPr>
      <w:rFonts w:ascii="Arial" w:eastAsia="Times New Roman" w:hAnsi="Arial" w:cs="Times New Roman"/>
      <w:sz w:val="18"/>
      <w:szCs w:val="20"/>
    </w:rPr>
  </w:style>
  <w:style w:type="paragraph" w:styleId="ListNumber">
    <w:name w:val="List Number"/>
    <w:basedOn w:val="BodyText"/>
    <w:uiPriority w:val="99"/>
    <w:rsid w:val="008F6D15"/>
    <w:pPr>
      <w:numPr>
        <w:ilvl w:val="1"/>
      </w:numPr>
    </w:pPr>
  </w:style>
  <w:style w:type="paragraph" w:styleId="ListNumber3">
    <w:name w:val="List Number 3"/>
    <w:basedOn w:val="ListNumber"/>
    <w:uiPriority w:val="99"/>
    <w:rsid w:val="008F6D15"/>
    <w:pPr>
      <w:numPr>
        <w:ilvl w:val="3"/>
      </w:numPr>
    </w:pPr>
  </w:style>
  <w:style w:type="paragraph" w:styleId="ListNumber2">
    <w:name w:val="List Number 2"/>
    <w:basedOn w:val="ListNumber"/>
    <w:uiPriority w:val="99"/>
    <w:rsid w:val="008F6D15"/>
    <w:pPr>
      <w:numPr>
        <w:ilvl w:val="2"/>
      </w:numPr>
    </w:pPr>
  </w:style>
  <w:style w:type="table" w:styleId="MediumGrid3-Accent6">
    <w:name w:val="Medium Grid 3 Accent 6"/>
    <w:basedOn w:val="TableNormal"/>
    <w:uiPriority w:val="69"/>
    <w:rsid w:val="008F6D1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ColorfulGrid-Accent6">
    <w:name w:val="Colorful Grid Accent 6"/>
    <w:basedOn w:val="TableNormal"/>
    <w:uiPriority w:val="73"/>
    <w:rsid w:val="0037324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Header">
    <w:name w:val="header"/>
    <w:basedOn w:val="Normal"/>
    <w:link w:val="HeaderChar"/>
    <w:uiPriority w:val="99"/>
    <w:unhideWhenUsed/>
    <w:rsid w:val="00146FE8"/>
    <w:pPr>
      <w:tabs>
        <w:tab w:val="center" w:pos="4513"/>
        <w:tab w:val="right" w:pos="9026"/>
      </w:tabs>
    </w:pPr>
  </w:style>
  <w:style w:type="character" w:customStyle="1" w:styleId="HeaderChar">
    <w:name w:val="Header Char"/>
    <w:basedOn w:val="DefaultParagraphFont"/>
    <w:link w:val="Header"/>
    <w:uiPriority w:val="99"/>
    <w:rsid w:val="00146FE8"/>
    <w:rPr>
      <w:rFonts w:ascii="Times New Roman" w:eastAsia="Times New Roman" w:hAnsi="Times New Roman" w:cs="Times New Roman"/>
      <w:sz w:val="24"/>
      <w:szCs w:val="24"/>
      <w:lang w:eastAsia="en-A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D4C84"/>
    <w:pPr>
      <w:spacing w:after="0" w:line="240" w:lineRule="auto"/>
    </w:pPr>
    <w:rPr>
      <w:rFonts w:ascii="Times New Roman" w:eastAsia="Times New Roman" w:hAnsi="Times New Roman" w:cs="Times New Roman"/>
      <w:sz w:val="24"/>
      <w:szCs w:val="24"/>
      <w:lang w:eastAsia="en-AU"/>
    </w:rPr>
  </w:style>
  <w:style w:type="paragraph" w:styleId="Heading2">
    <w:name w:val="heading 2"/>
    <w:basedOn w:val="Normal"/>
    <w:next w:val="Normal"/>
    <w:link w:val="Heading2Char"/>
    <w:uiPriority w:val="9"/>
    <w:semiHidden/>
    <w:unhideWhenUsed/>
    <w:qFormat/>
    <w:rsid w:val="00E807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qFormat/>
    <w:rsid w:val="00BB7BE6"/>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B7BE6"/>
    <w:pPr>
      <w:ind w:left="720"/>
      <w:contextualSpacing/>
    </w:pPr>
  </w:style>
  <w:style w:type="character" w:customStyle="1" w:styleId="Heading4Char">
    <w:name w:val="Heading 4 Char"/>
    <w:basedOn w:val="DefaultParagraphFont"/>
    <w:link w:val="Heading4"/>
    <w:rsid w:val="00BB7BE6"/>
    <w:rPr>
      <w:rFonts w:ascii="Times New Roman" w:eastAsia="Times New Roman" w:hAnsi="Times New Roman" w:cs="Times New Roman"/>
      <w:b/>
      <w:bCs/>
      <w:sz w:val="24"/>
      <w:szCs w:val="24"/>
      <w:lang w:eastAsia="en-AU"/>
    </w:rPr>
  </w:style>
  <w:style w:type="paragraph" w:styleId="NormalWeb">
    <w:name w:val="Normal (Web)"/>
    <w:basedOn w:val="Normal"/>
    <w:rsid w:val="00BB7BE6"/>
    <w:pPr>
      <w:spacing w:before="100" w:beforeAutospacing="1" w:after="100" w:afterAutospacing="1"/>
    </w:pPr>
  </w:style>
  <w:style w:type="paragraph" w:styleId="BalloonText">
    <w:name w:val="Balloon Text"/>
    <w:basedOn w:val="Normal"/>
    <w:link w:val="BalloonTextChar"/>
    <w:uiPriority w:val="99"/>
    <w:semiHidden/>
    <w:unhideWhenUsed/>
    <w:rsid w:val="00BB7BE6"/>
    <w:rPr>
      <w:rFonts w:ascii="Tahoma" w:hAnsi="Tahoma" w:cs="Tahoma"/>
      <w:sz w:val="16"/>
      <w:szCs w:val="16"/>
    </w:rPr>
  </w:style>
  <w:style w:type="character" w:customStyle="1" w:styleId="BalloonTextChar">
    <w:name w:val="Balloon Text Char"/>
    <w:basedOn w:val="DefaultParagraphFont"/>
    <w:link w:val="BalloonText"/>
    <w:uiPriority w:val="99"/>
    <w:semiHidden/>
    <w:rsid w:val="00BB7BE6"/>
    <w:rPr>
      <w:rFonts w:ascii="Tahoma" w:hAnsi="Tahoma" w:cs="Tahoma"/>
      <w:sz w:val="16"/>
      <w:szCs w:val="16"/>
    </w:rPr>
  </w:style>
  <w:style w:type="character" w:customStyle="1" w:styleId="Heading2Char">
    <w:name w:val="Heading 2 Char"/>
    <w:basedOn w:val="DefaultParagraphFont"/>
    <w:link w:val="Heading2"/>
    <w:uiPriority w:val="9"/>
    <w:semiHidden/>
    <w:rsid w:val="00E80738"/>
    <w:rPr>
      <w:rFonts w:asciiTheme="majorHAnsi" w:eastAsiaTheme="majorEastAsia" w:hAnsiTheme="majorHAnsi" w:cstheme="majorBidi"/>
      <w:b/>
      <w:bCs/>
      <w:color w:val="4F81BD" w:themeColor="accent1"/>
      <w:sz w:val="26"/>
      <w:szCs w:val="26"/>
    </w:rPr>
  </w:style>
  <w:style w:type="character" w:styleId="Strong">
    <w:name w:val="Strong"/>
    <w:qFormat/>
    <w:rsid w:val="00E80738"/>
    <w:rPr>
      <w:b/>
      <w:bCs/>
    </w:rPr>
  </w:style>
  <w:style w:type="paragraph" w:customStyle="1" w:styleId="HA">
    <w:name w:val="_HA"/>
    <w:next w:val="Normal"/>
    <w:uiPriority w:val="2"/>
    <w:qFormat/>
    <w:rsid w:val="00654605"/>
    <w:pPr>
      <w:spacing w:after="600" w:line="460" w:lineRule="atLeast"/>
      <w:outlineLvl w:val="0"/>
    </w:pPr>
    <w:rPr>
      <w:rFonts w:ascii="Arial" w:eastAsia="Times New Roman" w:hAnsi="Arial" w:cs="Arial"/>
      <w:color w:val="F58426"/>
      <w:sz w:val="40"/>
      <w:szCs w:val="24"/>
      <w:lang w:val="en-US"/>
    </w:rPr>
  </w:style>
  <w:style w:type="paragraph" w:customStyle="1" w:styleId="HB">
    <w:name w:val="_HB"/>
    <w:next w:val="Normal"/>
    <w:uiPriority w:val="2"/>
    <w:qFormat/>
    <w:rsid w:val="00654605"/>
    <w:pPr>
      <w:spacing w:before="180" w:after="113" w:line="300" w:lineRule="atLeast"/>
      <w:outlineLvl w:val="0"/>
    </w:pPr>
    <w:rPr>
      <w:rFonts w:ascii="Arial" w:eastAsia="Times New Roman" w:hAnsi="Arial" w:cs="Arial"/>
      <w:b/>
      <w:color w:val="F58426"/>
      <w:sz w:val="24"/>
      <w:szCs w:val="24"/>
    </w:rPr>
  </w:style>
  <w:style w:type="paragraph" w:customStyle="1" w:styleId="HC">
    <w:name w:val="_HC"/>
    <w:next w:val="Normal"/>
    <w:uiPriority w:val="2"/>
    <w:qFormat/>
    <w:rsid w:val="00654605"/>
    <w:pPr>
      <w:spacing w:before="140" w:after="57" w:line="220" w:lineRule="atLeast"/>
    </w:pPr>
    <w:rPr>
      <w:rFonts w:ascii="Arial" w:eastAsia="Times New Roman" w:hAnsi="Arial" w:cs="Arial"/>
      <w:b/>
      <w:sz w:val="18"/>
      <w:szCs w:val="24"/>
    </w:rPr>
  </w:style>
  <w:style w:type="paragraph" w:customStyle="1" w:styleId="Body">
    <w:name w:val="_Body"/>
    <w:qFormat/>
    <w:rsid w:val="00654605"/>
    <w:pPr>
      <w:spacing w:after="113" w:line="240" w:lineRule="atLeast"/>
    </w:pPr>
    <w:rPr>
      <w:rFonts w:ascii="Arial" w:eastAsia="Times New Roman" w:hAnsi="Arial" w:cs="Arial"/>
      <w:sz w:val="18"/>
      <w:szCs w:val="24"/>
    </w:rPr>
  </w:style>
  <w:style w:type="paragraph" w:customStyle="1" w:styleId="TableTitle">
    <w:name w:val="_TableTitle"/>
    <w:qFormat/>
    <w:rsid w:val="00654605"/>
    <w:pPr>
      <w:spacing w:after="120" w:line="220" w:lineRule="atLeast"/>
    </w:pPr>
    <w:rPr>
      <w:rFonts w:ascii="Arial" w:eastAsia="Times New Roman" w:hAnsi="Arial" w:cs="Arial"/>
      <w:b/>
      <w:color w:val="404040"/>
      <w:sz w:val="18"/>
      <w:szCs w:val="18"/>
    </w:rPr>
  </w:style>
  <w:style w:type="character" w:styleId="CommentReference">
    <w:name w:val="annotation reference"/>
    <w:basedOn w:val="DefaultParagraphFont"/>
    <w:uiPriority w:val="99"/>
    <w:semiHidden/>
    <w:unhideWhenUsed/>
    <w:rsid w:val="009E4A6F"/>
    <w:rPr>
      <w:sz w:val="16"/>
      <w:szCs w:val="16"/>
    </w:rPr>
  </w:style>
  <w:style w:type="paragraph" w:styleId="CommentText">
    <w:name w:val="annotation text"/>
    <w:basedOn w:val="Normal"/>
    <w:link w:val="CommentTextChar"/>
    <w:uiPriority w:val="99"/>
    <w:semiHidden/>
    <w:unhideWhenUsed/>
    <w:rsid w:val="009E4A6F"/>
    <w:rPr>
      <w:sz w:val="20"/>
      <w:szCs w:val="20"/>
    </w:rPr>
  </w:style>
  <w:style w:type="character" w:customStyle="1" w:styleId="CommentTextChar">
    <w:name w:val="Comment Text Char"/>
    <w:basedOn w:val="DefaultParagraphFont"/>
    <w:link w:val="CommentText"/>
    <w:uiPriority w:val="99"/>
    <w:semiHidden/>
    <w:rsid w:val="009E4A6F"/>
    <w:rPr>
      <w:sz w:val="20"/>
      <w:szCs w:val="20"/>
    </w:rPr>
  </w:style>
  <w:style w:type="paragraph" w:styleId="CommentSubject">
    <w:name w:val="annotation subject"/>
    <w:basedOn w:val="CommentText"/>
    <w:next w:val="CommentText"/>
    <w:link w:val="CommentSubjectChar"/>
    <w:uiPriority w:val="99"/>
    <w:semiHidden/>
    <w:unhideWhenUsed/>
    <w:rsid w:val="009E4A6F"/>
    <w:rPr>
      <w:b/>
      <w:bCs/>
    </w:rPr>
  </w:style>
  <w:style w:type="character" w:customStyle="1" w:styleId="CommentSubjectChar">
    <w:name w:val="Comment Subject Char"/>
    <w:basedOn w:val="CommentTextChar"/>
    <w:link w:val="CommentSubject"/>
    <w:uiPriority w:val="99"/>
    <w:semiHidden/>
    <w:rsid w:val="009E4A6F"/>
    <w:rPr>
      <w:b/>
      <w:bCs/>
      <w:sz w:val="20"/>
      <w:szCs w:val="20"/>
    </w:rPr>
  </w:style>
  <w:style w:type="paragraph" w:styleId="EndnoteText">
    <w:name w:val="endnote text"/>
    <w:basedOn w:val="Normal"/>
    <w:link w:val="EndnoteTextChar"/>
    <w:uiPriority w:val="99"/>
    <w:rsid w:val="004D4C84"/>
    <w:rPr>
      <w:sz w:val="20"/>
      <w:szCs w:val="20"/>
    </w:rPr>
  </w:style>
  <w:style w:type="character" w:customStyle="1" w:styleId="EndnoteTextChar">
    <w:name w:val="Endnote Text Char"/>
    <w:basedOn w:val="DefaultParagraphFont"/>
    <w:link w:val="EndnoteText"/>
    <w:uiPriority w:val="99"/>
    <w:rsid w:val="004D4C84"/>
    <w:rPr>
      <w:rFonts w:ascii="Times New Roman" w:eastAsia="Times New Roman" w:hAnsi="Times New Roman" w:cs="Times New Roman"/>
      <w:sz w:val="20"/>
      <w:szCs w:val="20"/>
      <w:lang w:eastAsia="en-AU"/>
    </w:rPr>
  </w:style>
  <w:style w:type="character" w:styleId="EndnoteReference">
    <w:name w:val="endnote reference"/>
    <w:uiPriority w:val="99"/>
    <w:rsid w:val="004D4C84"/>
    <w:rPr>
      <w:vertAlign w:val="superscript"/>
    </w:rPr>
  </w:style>
  <w:style w:type="paragraph" w:styleId="Footer">
    <w:name w:val="footer"/>
    <w:basedOn w:val="Normal"/>
    <w:link w:val="FooterChar"/>
    <w:uiPriority w:val="99"/>
    <w:rsid w:val="004D4C84"/>
    <w:pPr>
      <w:tabs>
        <w:tab w:val="center" w:pos="4513"/>
        <w:tab w:val="right" w:pos="9026"/>
      </w:tabs>
    </w:pPr>
  </w:style>
  <w:style w:type="character" w:customStyle="1" w:styleId="FooterChar">
    <w:name w:val="Footer Char"/>
    <w:basedOn w:val="DefaultParagraphFont"/>
    <w:link w:val="Footer"/>
    <w:uiPriority w:val="99"/>
    <w:rsid w:val="004D4C84"/>
    <w:rPr>
      <w:rFonts w:ascii="Times New Roman" w:eastAsia="Times New Roman" w:hAnsi="Times New Roman" w:cs="Times New Roman"/>
      <w:sz w:val="24"/>
      <w:szCs w:val="24"/>
      <w:lang w:eastAsia="en-AU"/>
    </w:rPr>
  </w:style>
  <w:style w:type="character" w:styleId="Hyperlink">
    <w:name w:val="Hyperlink"/>
    <w:basedOn w:val="DefaultParagraphFont"/>
    <w:uiPriority w:val="99"/>
    <w:unhideWhenUsed/>
    <w:rsid w:val="008F6D15"/>
    <w:rPr>
      <w:color w:val="0000FF" w:themeColor="hyperlink"/>
      <w:u w:val="single"/>
    </w:rPr>
  </w:style>
  <w:style w:type="paragraph" w:styleId="BodyText">
    <w:name w:val="Body Text"/>
    <w:basedOn w:val="Normal"/>
    <w:link w:val="BodyTextChar"/>
    <w:uiPriority w:val="99"/>
    <w:rsid w:val="008F6D15"/>
    <w:pPr>
      <w:numPr>
        <w:numId w:val="4"/>
      </w:numPr>
      <w:spacing w:before="180" w:line="276" w:lineRule="auto"/>
    </w:pPr>
    <w:rPr>
      <w:rFonts w:ascii="Arial" w:hAnsi="Arial"/>
      <w:sz w:val="18"/>
      <w:szCs w:val="20"/>
      <w:lang w:eastAsia="en-US"/>
    </w:rPr>
  </w:style>
  <w:style w:type="character" w:customStyle="1" w:styleId="BodyTextChar">
    <w:name w:val="Body Text Char"/>
    <w:basedOn w:val="DefaultParagraphFont"/>
    <w:link w:val="BodyText"/>
    <w:uiPriority w:val="99"/>
    <w:rsid w:val="008F6D15"/>
    <w:rPr>
      <w:rFonts w:ascii="Arial" w:eastAsia="Times New Roman" w:hAnsi="Arial" w:cs="Times New Roman"/>
      <w:sz w:val="18"/>
      <w:szCs w:val="20"/>
    </w:rPr>
  </w:style>
  <w:style w:type="paragraph" w:styleId="ListNumber">
    <w:name w:val="List Number"/>
    <w:basedOn w:val="BodyText"/>
    <w:uiPriority w:val="99"/>
    <w:rsid w:val="008F6D15"/>
    <w:pPr>
      <w:numPr>
        <w:ilvl w:val="1"/>
      </w:numPr>
    </w:pPr>
  </w:style>
  <w:style w:type="paragraph" w:styleId="ListNumber3">
    <w:name w:val="List Number 3"/>
    <w:basedOn w:val="ListNumber"/>
    <w:uiPriority w:val="99"/>
    <w:rsid w:val="008F6D15"/>
    <w:pPr>
      <w:numPr>
        <w:ilvl w:val="3"/>
      </w:numPr>
    </w:pPr>
  </w:style>
  <w:style w:type="paragraph" w:styleId="ListNumber2">
    <w:name w:val="List Number 2"/>
    <w:basedOn w:val="ListNumber"/>
    <w:uiPriority w:val="99"/>
    <w:rsid w:val="008F6D15"/>
    <w:pPr>
      <w:numPr>
        <w:ilvl w:val="2"/>
      </w:numPr>
    </w:pPr>
  </w:style>
  <w:style w:type="table" w:styleId="MediumGrid3-Accent6">
    <w:name w:val="Medium Grid 3 Accent 6"/>
    <w:basedOn w:val="TableNormal"/>
    <w:uiPriority w:val="69"/>
    <w:rsid w:val="008F6D15"/>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ColorfulGrid-Accent6">
    <w:name w:val="Colorful Grid Accent 6"/>
    <w:basedOn w:val="TableNormal"/>
    <w:uiPriority w:val="73"/>
    <w:rsid w:val="0037324C"/>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Header">
    <w:name w:val="header"/>
    <w:basedOn w:val="Normal"/>
    <w:link w:val="HeaderChar"/>
    <w:uiPriority w:val="99"/>
    <w:unhideWhenUsed/>
    <w:rsid w:val="00146FE8"/>
    <w:pPr>
      <w:tabs>
        <w:tab w:val="center" w:pos="4513"/>
        <w:tab w:val="right" w:pos="9026"/>
      </w:tabs>
    </w:pPr>
  </w:style>
  <w:style w:type="character" w:customStyle="1" w:styleId="HeaderChar">
    <w:name w:val="Header Char"/>
    <w:basedOn w:val="DefaultParagraphFont"/>
    <w:link w:val="Header"/>
    <w:uiPriority w:val="99"/>
    <w:rsid w:val="00146FE8"/>
    <w:rPr>
      <w:rFonts w:ascii="Times New Roman" w:eastAsia="Times New Roman" w:hAnsi="Times New Roman" w:cs="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chart" Target="charts/chart3.xml"/><Relationship Id="rId10" Type="http://schemas.openxmlformats.org/officeDocument/2006/relationships/header" Target="header1.xm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hart" Target="charts/chart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Grains%20industry\Industry%20profiles\Statistics%20for%20Grains%20Industry%20Profil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Grains%20industry\Industry%20profiles\Statistics%20for%20Grains%20Industry%20Profil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Grains%20industry\Industry%20profiles\Statistics%20for%20Grains%20Industry%20Profile.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Grains%20industry\Industry%20profiles\Statistics%20for%20Grains%20Industry%20Profil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Grains%20industry\Industry%20profiles\Statistics%20for%20Grains%20Industry%20Profile.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Grains%20industry\Industry%20profiles\Statistics%20for%20Grains%20Industry%20Profil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barChart>
        <c:barDir val="col"/>
        <c:grouping val="clustered"/>
        <c:varyColors val="0"/>
        <c:ser>
          <c:idx val="0"/>
          <c:order val="0"/>
          <c:invertIfNegative val="0"/>
          <c:dLbls>
            <c:dLbl>
              <c:idx val="0"/>
              <c:layout/>
              <c:tx>
                <c:rich>
                  <a:bodyPr/>
                  <a:lstStyle/>
                  <a:p>
                    <a:r>
                      <a:rPr lang="en-US" sz="900" b="0"/>
                      <a:t>$1,663m</a:t>
                    </a:r>
                  </a:p>
                  <a:p>
                    <a:r>
                      <a:rPr lang="en-US" sz="900" b="0"/>
                      <a:t>(72%)</a:t>
                    </a:r>
                    <a:endParaRPr lang="en-US"/>
                  </a:p>
                </c:rich>
              </c:tx>
              <c:dLblPos val="ctr"/>
              <c:showLegendKey val="0"/>
              <c:showVal val="1"/>
              <c:showCatName val="1"/>
              <c:showSerName val="0"/>
              <c:showPercent val="0"/>
              <c:showBubbleSize val="0"/>
            </c:dLbl>
            <c:dLbl>
              <c:idx val="1"/>
              <c:layout/>
              <c:tx>
                <c:rich>
                  <a:bodyPr/>
                  <a:lstStyle/>
                  <a:p>
                    <a:r>
                      <a:rPr lang="en-US" sz="900" b="0"/>
                      <a:t>$462m</a:t>
                    </a:r>
                  </a:p>
                  <a:p>
                    <a:r>
                      <a:rPr lang="en-US" sz="900" b="0"/>
                      <a:t>(20%)</a:t>
                    </a:r>
                    <a:endParaRPr lang="en-US"/>
                  </a:p>
                </c:rich>
              </c:tx>
              <c:dLblPos val="ctr"/>
              <c:showLegendKey val="0"/>
              <c:showVal val="1"/>
              <c:showCatName val="1"/>
              <c:showSerName val="0"/>
              <c:showPercent val="0"/>
              <c:showBubbleSize val="0"/>
            </c:dLbl>
            <c:dLbl>
              <c:idx val="2"/>
              <c:layout>
                <c:manualLayout>
                  <c:x val="2.3514841856900103E-3"/>
                  <c:y val="0.11117629325769909"/>
                </c:manualLayout>
              </c:layout>
              <c:tx>
                <c:rich>
                  <a:bodyPr/>
                  <a:lstStyle/>
                  <a:p>
                    <a:r>
                      <a:rPr lang="en-US"/>
                      <a:t>$189m</a:t>
                    </a:r>
                  </a:p>
                  <a:p>
                    <a:r>
                      <a:rPr lang="en-US"/>
                      <a:t>(8%)</a:t>
                    </a:r>
                  </a:p>
                </c:rich>
              </c:tx>
              <c:dLblPos val="outEnd"/>
              <c:showLegendKey val="0"/>
              <c:showVal val="1"/>
              <c:showCatName val="1"/>
              <c:showSerName val="0"/>
              <c:showPercent val="0"/>
              <c:showBubbleSize val="0"/>
            </c:dLbl>
            <c:dLblPos val="ctr"/>
            <c:showLegendKey val="0"/>
            <c:showVal val="1"/>
            <c:showCatName val="1"/>
            <c:showSerName val="0"/>
            <c:showPercent val="0"/>
            <c:showBubbleSize val="0"/>
            <c:showLeaderLines val="0"/>
          </c:dLbls>
          <c:cat>
            <c:strRef>
              <c:f>Value!$AF$11:$AF$13</c:f>
              <c:strCache>
                <c:ptCount val="3"/>
                <c:pt idx="0">
                  <c:v>Cereals</c:v>
                </c:pt>
                <c:pt idx="1">
                  <c:v>Oilseeds</c:v>
                </c:pt>
                <c:pt idx="2">
                  <c:v>Pulses</c:v>
                </c:pt>
              </c:strCache>
            </c:strRef>
          </c:cat>
          <c:val>
            <c:numRef>
              <c:f>Value!$AG$11:$AG$13</c:f>
              <c:numCache>
                <c:formatCode>#,##0</c:formatCode>
                <c:ptCount val="3"/>
                <c:pt idx="0">
                  <c:v>1662.9699999999998</c:v>
                </c:pt>
                <c:pt idx="1">
                  <c:v>461.72</c:v>
                </c:pt>
                <c:pt idx="2">
                  <c:v>189</c:v>
                </c:pt>
              </c:numCache>
            </c:numRef>
          </c:val>
        </c:ser>
        <c:dLbls>
          <c:showLegendKey val="0"/>
          <c:showVal val="0"/>
          <c:showCatName val="0"/>
          <c:showSerName val="0"/>
          <c:showPercent val="0"/>
          <c:showBubbleSize val="0"/>
        </c:dLbls>
        <c:gapWidth val="100"/>
        <c:axId val="181312128"/>
        <c:axId val="181318016"/>
      </c:barChart>
      <c:catAx>
        <c:axId val="181312128"/>
        <c:scaling>
          <c:orientation val="minMax"/>
        </c:scaling>
        <c:delete val="0"/>
        <c:axPos val="b"/>
        <c:majorTickMark val="out"/>
        <c:minorTickMark val="none"/>
        <c:tickLblPos val="nextTo"/>
        <c:crossAx val="181318016"/>
        <c:crosses val="autoZero"/>
        <c:auto val="1"/>
        <c:lblAlgn val="ctr"/>
        <c:lblOffset val="100"/>
        <c:noMultiLvlLbl val="0"/>
      </c:catAx>
      <c:valAx>
        <c:axId val="181318016"/>
        <c:scaling>
          <c:orientation val="minMax"/>
          <c:max val="1750"/>
        </c:scaling>
        <c:delete val="0"/>
        <c:axPos val="l"/>
        <c:majorGridlines/>
        <c:numFmt formatCode="#,##0" sourceLinked="1"/>
        <c:majorTickMark val="out"/>
        <c:minorTickMark val="none"/>
        <c:tickLblPos val="nextTo"/>
        <c:crossAx val="181312128"/>
        <c:crosses val="autoZero"/>
        <c:crossBetween val="between"/>
        <c:majorUnit val="250"/>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
          <c:y val="1.9557984590029991E-2"/>
          <c:w val="1"/>
          <c:h val="0.9538044595946078"/>
        </c:manualLayout>
      </c:layout>
      <c:pie3DChart>
        <c:varyColors val="1"/>
        <c:ser>
          <c:idx val="0"/>
          <c:order val="0"/>
          <c:dLbls>
            <c:dLbl>
              <c:idx val="0"/>
              <c:layout>
                <c:manualLayout>
                  <c:x val="-0.23283647640030669"/>
                  <c:y val="-0.23812063800720651"/>
                </c:manualLayout>
              </c:layout>
              <c:tx>
                <c:rich>
                  <a:bodyPr/>
                  <a:lstStyle/>
                  <a:p>
                    <a:r>
                      <a:rPr lang="en-US" sz="700"/>
                      <a:t>Wheat</a:t>
                    </a:r>
                  </a:p>
                  <a:p>
                    <a:r>
                      <a:rPr lang="en-US" sz="700"/>
                      <a:t>$1,039m</a:t>
                    </a:r>
                  </a:p>
                  <a:p>
                    <a:r>
                      <a:rPr lang="en-US" sz="700"/>
                      <a:t>(62%)</a:t>
                    </a:r>
                    <a:endParaRPr lang="en-US" sz="800"/>
                  </a:p>
                </c:rich>
              </c:tx>
              <c:showLegendKey val="0"/>
              <c:showVal val="1"/>
              <c:showCatName val="1"/>
              <c:showSerName val="0"/>
              <c:showPercent val="1"/>
              <c:showBubbleSize val="0"/>
            </c:dLbl>
            <c:dLbl>
              <c:idx val="1"/>
              <c:layout/>
              <c:tx>
                <c:rich>
                  <a:bodyPr/>
                  <a:lstStyle/>
                  <a:p>
                    <a:r>
                      <a:rPr lang="en-US" sz="700"/>
                      <a:t>Barley</a:t>
                    </a:r>
                  </a:p>
                  <a:p>
                    <a:r>
                      <a:rPr lang="en-US" sz="700"/>
                      <a:t>$533m</a:t>
                    </a:r>
                  </a:p>
                  <a:p>
                    <a:r>
                      <a:rPr lang="en-US" sz="700"/>
                      <a:t>(32%)</a:t>
                    </a:r>
                    <a:endParaRPr lang="en-US" sz="800"/>
                  </a:p>
                </c:rich>
              </c:tx>
              <c:showLegendKey val="0"/>
              <c:showVal val="1"/>
              <c:showCatName val="1"/>
              <c:showSerName val="0"/>
              <c:showPercent val="1"/>
              <c:showBubbleSize val="0"/>
            </c:dLbl>
            <c:dLbl>
              <c:idx val="2"/>
              <c:layout>
                <c:manualLayout>
                  <c:x val="0.10451615098457193"/>
                  <c:y val="6.7641695640014404E-2"/>
                </c:manualLayout>
              </c:layout>
              <c:tx>
                <c:rich>
                  <a:bodyPr/>
                  <a:lstStyle/>
                  <a:p>
                    <a:r>
                      <a:rPr lang="en-US" sz="700"/>
                      <a:t>Other cereals </a:t>
                    </a:r>
                  </a:p>
                  <a:p>
                    <a:r>
                      <a:rPr lang="en-US" sz="700"/>
                      <a:t>$91m </a:t>
                    </a:r>
                  </a:p>
                  <a:p>
                    <a:r>
                      <a:rPr lang="en-US" sz="700"/>
                      <a:t>(6%)</a:t>
                    </a:r>
                    <a:endParaRPr lang="en-US" sz="800"/>
                  </a:p>
                </c:rich>
              </c:tx>
              <c:dLblPos val="bestFit"/>
              <c:showLegendKey val="0"/>
              <c:showVal val="1"/>
              <c:showCatName val="1"/>
              <c:showSerName val="0"/>
              <c:showPercent val="1"/>
              <c:showBubbleSize val="0"/>
            </c:dLbl>
            <c:txPr>
              <a:bodyPr/>
              <a:lstStyle/>
              <a:p>
                <a:pPr>
                  <a:defRPr sz="700"/>
                </a:pPr>
                <a:endParaRPr lang="en-US"/>
              </a:p>
            </c:txPr>
            <c:showLegendKey val="0"/>
            <c:showVal val="1"/>
            <c:showCatName val="1"/>
            <c:showSerName val="0"/>
            <c:showPercent val="1"/>
            <c:showBubbleSize val="0"/>
            <c:showLeaderLines val="1"/>
          </c:dLbls>
          <c:cat>
            <c:strRef>
              <c:f>Value!$AF$15:$AF$17</c:f>
              <c:strCache>
                <c:ptCount val="3"/>
                <c:pt idx="0">
                  <c:v>Wheat</c:v>
                </c:pt>
                <c:pt idx="1">
                  <c:v>Barley</c:v>
                </c:pt>
                <c:pt idx="2">
                  <c:v>Other cereals</c:v>
                </c:pt>
              </c:strCache>
            </c:strRef>
          </c:cat>
          <c:val>
            <c:numRef>
              <c:f>Value!$AG$15:$AG$17</c:f>
              <c:numCache>
                <c:formatCode>#,##0</c:formatCode>
                <c:ptCount val="3"/>
                <c:pt idx="0">
                  <c:v>1038.51</c:v>
                </c:pt>
                <c:pt idx="1">
                  <c:v>533.02</c:v>
                </c:pt>
                <c:pt idx="2">
                  <c:v>91.44</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
          <c:y val="2.8319446646350313E-3"/>
          <c:w val="1"/>
          <c:h val="0.99443005865877498"/>
        </c:manualLayout>
      </c:layout>
      <c:pie3DChart>
        <c:varyColors val="1"/>
        <c:ser>
          <c:idx val="0"/>
          <c:order val="0"/>
          <c:dLbls>
            <c:dLbl>
              <c:idx val="0"/>
              <c:layout>
                <c:manualLayout>
                  <c:x val="-8.3594106586111452E-2"/>
                  <c:y val="4.9611443690658506E-3"/>
                </c:manualLayout>
              </c:layout>
              <c:tx>
                <c:rich>
                  <a:bodyPr/>
                  <a:lstStyle/>
                  <a:p>
                    <a:r>
                      <a:rPr lang="en-US" sz="700">
                        <a:latin typeface="+mn-lt"/>
                        <a:cs typeface="Arial" panose="020B0604020202020204" pitchFamily="34" charset="0"/>
                      </a:rPr>
                      <a:t>Chickpeas</a:t>
                    </a:r>
                  </a:p>
                  <a:p>
                    <a:r>
                      <a:rPr lang="en-US" sz="700">
                        <a:latin typeface="+mn-lt"/>
                        <a:cs typeface="Arial" panose="020B0604020202020204" pitchFamily="34" charset="0"/>
                      </a:rPr>
                      <a:t>$24m</a:t>
                    </a:r>
                  </a:p>
                  <a:p>
                    <a:r>
                      <a:rPr lang="en-US" sz="700">
                        <a:latin typeface="+mn-lt"/>
                        <a:cs typeface="Arial" panose="020B0604020202020204" pitchFamily="34" charset="0"/>
                      </a:rPr>
                      <a:t>(11%)</a:t>
                    </a:r>
                    <a:endParaRPr lang="en-US" sz="700"/>
                  </a:p>
                </c:rich>
              </c:tx>
              <c:showLegendKey val="0"/>
              <c:showVal val="1"/>
              <c:showCatName val="1"/>
              <c:showSerName val="0"/>
              <c:showPercent val="1"/>
              <c:showBubbleSize val="0"/>
            </c:dLbl>
            <c:dLbl>
              <c:idx val="1"/>
              <c:layout>
                <c:manualLayout>
                  <c:x val="-0.1158144226948042"/>
                  <c:y val="4.3773972642726623E-2"/>
                </c:manualLayout>
              </c:layout>
              <c:tx>
                <c:rich>
                  <a:bodyPr/>
                  <a:lstStyle/>
                  <a:p>
                    <a:pPr>
                      <a:defRPr sz="700">
                        <a:latin typeface="+mn-lt"/>
                        <a:cs typeface="Arial" panose="020B0604020202020204" pitchFamily="34" charset="0"/>
                      </a:defRPr>
                    </a:pPr>
                    <a:r>
                      <a:rPr lang="en-US" sz="700">
                        <a:latin typeface="+mn-lt"/>
                        <a:cs typeface="Arial" panose="020B0604020202020204" pitchFamily="34" charset="0"/>
                      </a:rPr>
                      <a:t>Faba beans</a:t>
                    </a:r>
                  </a:p>
                  <a:p>
                    <a:pPr>
                      <a:defRPr sz="700">
                        <a:latin typeface="+mn-lt"/>
                        <a:cs typeface="Arial" panose="020B0604020202020204" pitchFamily="34" charset="0"/>
                      </a:defRPr>
                    </a:pPr>
                    <a:r>
                      <a:rPr lang="en-US" sz="700">
                        <a:latin typeface="+mn-lt"/>
                        <a:cs typeface="Arial" panose="020B0604020202020204" pitchFamily="34" charset="0"/>
                      </a:rPr>
                      <a:t>$40m</a:t>
                    </a:r>
                  </a:p>
                  <a:p>
                    <a:pPr>
                      <a:defRPr sz="700">
                        <a:latin typeface="+mn-lt"/>
                        <a:cs typeface="Arial" panose="020B0604020202020204" pitchFamily="34" charset="0"/>
                      </a:defRPr>
                    </a:pPr>
                    <a:r>
                      <a:rPr lang="en-US" sz="700">
                        <a:latin typeface="+mn-lt"/>
                        <a:cs typeface="Arial" panose="020B0604020202020204" pitchFamily="34" charset="0"/>
                      </a:rPr>
                      <a:t>(18%)</a:t>
                    </a:r>
                    <a:endParaRPr lang="en-US" sz="700"/>
                  </a:p>
                </c:rich>
              </c:tx>
              <c:spPr/>
              <c:showLegendKey val="0"/>
              <c:showVal val="1"/>
              <c:showCatName val="1"/>
              <c:showSerName val="0"/>
              <c:showPercent val="1"/>
              <c:showBubbleSize val="0"/>
            </c:dLbl>
            <c:dLbl>
              <c:idx val="2"/>
              <c:layout/>
              <c:tx>
                <c:rich>
                  <a:bodyPr/>
                  <a:lstStyle/>
                  <a:p>
                    <a:pPr>
                      <a:defRPr sz="700">
                        <a:latin typeface="+mn-lt"/>
                        <a:cs typeface="Arial" panose="020B0604020202020204" pitchFamily="34" charset="0"/>
                      </a:defRPr>
                    </a:pPr>
                    <a:r>
                      <a:rPr lang="en-US" sz="700">
                        <a:latin typeface="+mn-lt"/>
                        <a:cs typeface="Arial" panose="020B0604020202020204" pitchFamily="34" charset="0"/>
                      </a:rPr>
                      <a:t>Field peas</a:t>
                    </a:r>
                  </a:p>
                  <a:p>
                    <a:pPr>
                      <a:defRPr sz="700">
                        <a:latin typeface="+mn-lt"/>
                        <a:cs typeface="Arial" panose="020B0604020202020204" pitchFamily="34" charset="0"/>
                      </a:defRPr>
                    </a:pPr>
                    <a:r>
                      <a:rPr lang="en-US" sz="700">
                        <a:latin typeface="+mn-lt"/>
                        <a:cs typeface="Arial" panose="020B0604020202020204" pitchFamily="34" charset="0"/>
                      </a:rPr>
                      <a:t>$28m</a:t>
                    </a:r>
                  </a:p>
                  <a:p>
                    <a:pPr>
                      <a:defRPr sz="700">
                        <a:latin typeface="+mn-lt"/>
                        <a:cs typeface="Arial" panose="020B0604020202020204" pitchFamily="34" charset="0"/>
                      </a:defRPr>
                    </a:pPr>
                    <a:r>
                      <a:rPr lang="en-US" sz="700">
                        <a:latin typeface="+mn-lt"/>
                        <a:cs typeface="Arial" panose="020B0604020202020204" pitchFamily="34" charset="0"/>
                      </a:rPr>
                      <a:t>(12%)</a:t>
                    </a:r>
                    <a:endParaRPr lang="en-US" sz="700"/>
                  </a:p>
                </c:rich>
              </c:tx>
              <c:spPr/>
              <c:showLegendKey val="0"/>
              <c:showVal val="1"/>
              <c:showCatName val="1"/>
              <c:showSerName val="0"/>
              <c:showPercent val="1"/>
              <c:showBubbleSize val="0"/>
            </c:dLbl>
            <c:dLbl>
              <c:idx val="3"/>
              <c:layout>
                <c:manualLayout>
                  <c:x val="0.20729203769595997"/>
                  <c:y val="-0.26238830219333875"/>
                </c:manualLayout>
              </c:layout>
              <c:tx>
                <c:rich>
                  <a:bodyPr/>
                  <a:lstStyle/>
                  <a:p>
                    <a:r>
                      <a:rPr lang="en-US" sz="700">
                        <a:latin typeface="+mn-lt"/>
                        <a:cs typeface="Arial" panose="020B0604020202020204" pitchFamily="34" charset="0"/>
                      </a:rPr>
                      <a:t>Lentils</a:t>
                    </a:r>
                  </a:p>
                  <a:p>
                    <a:r>
                      <a:rPr lang="en-US" sz="700">
                        <a:latin typeface="+mn-lt"/>
                        <a:cs typeface="Arial" panose="020B0604020202020204" pitchFamily="34" charset="0"/>
                      </a:rPr>
                      <a:t>$108m</a:t>
                    </a:r>
                  </a:p>
                  <a:p>
                    <a:r>
                      <a:rPr lang="en-US" sz="700">
                        <a:latin typeface="+mn-lt"/>
                        <a:cs typeface="Arial" panose="020B0604020202020204" pitchFamily="34" charset="0"/>
                      </a:rPr>
                      <a:t>(49%)</a:t>
                    </a:r>
                    <a:endParaRPr lang="en-US" sz="700"/>
                  </a:p>
                </c:rich>
              </c:tx>
              <c:showLegendKey val="0"/>
              <c:showVal val="1"/>
              <c:showCatName val="1"/>
              <c:showSerName val="0"/>
              <c:showPercent val="1"/>
              <c:showBubbleSize val="0"/>
            </c:dLbl>
            <c:dLbl>
              <c:idx val="4"/>
              <c:layout>
                <c:manualLayout>
                  <c:x val="-0.15633551984984223"/>
                  <c:y val="0"/>
                </c:manualLayout>
              </c:layout>
              <c:tx>
                <c:rich>
                  <a:bodyPr/>
                  <a:lstStyle/>
                  <a:p>
                    <a:r>
                      <a:rPr lang="en-US" sz="700">
                        <a:latin typeface="+mn-lt"/>
                        <a:cs typeface="Arial" panose="020B0604020202020204" pitchFamily="34" charset="0"/>
                      </a:rPr>
                      <a:t>Lupins</a:t>
                    </a:r>
                  </a:p>
                  <a:p>
                    <a:r>
                      <a:rPr lang="en-US" sz="700">
                        <a:latin typeface="+mn-lt"/>
                        <a:cs typeface="Arial" panose="020B0604020202020204" pitchFamily="34" charset="0"/>
                      </a:rPr>
                      <a:t>$17m</a:t>
                    </a:r>
                  </a:p>
                  <a:p>
                    <a:r>
                      <a:rPr lang="en-US" sz="700">
                        <a:latin typeface="+mn-lt"/>
                        <a:cs typeface="Arial" panose="020B0604020202020204" pitchFamily="34" charset="0"/>
                      </a:rPr>
                      <a:t>(8%)</a:t>
                    </a:r>
                    <a:endParaRPr lang="en-US" sz="700"/>
                  </a:p>
                </c:rich>
              </c:tx>
              <c:showLegendKey val="0"/>
              <c:showVal val="1"/>
              <c:showCatName val="1"/>
              <c:showSerName val="0"/>
              <c:showPercent val="1"/>
              <c:showBubbleSize val="0"/>
            </c:dLbl>
            <c:dLbl>
              <c:idx val="5"/>
              <c:delete val="1"/>
            </c:dLbl>
            <c:dLbl>
              <c:idx val="6"/>
              <c:layout>
                <c:manualLayout>
                  <c:x val="4.4881474055335373E-2"/>
                  <c:y val="0"/>
                </c:manualLayout>
              </c:layout>
              <c:tx>
                <c:rich>
                  <a:bodyPr/>
                  <a:lstStyle/>
                  <a:p>
                    <a:pPr>
                      <a:defRPr sz="700">
                        <a:latin typeface="+mn-lt"/>
                        <a:cs typeface="Arial" panose="020B0604020202020204" pitchFamily="34" charset="0"/>
                      </a:defRPr>
                    </a:pPr>
                    <a:r>
                      <a:rPr lang="en-US" sz="700">
                        <a:latin typeface="+mn-lt"/>
                        <a:cs typeface="Arial" panose="020B0604020202020204" pitchFamily="34" charset="0"/>
                      </a:rPr>
                      <a:t>Other pulses</a:t>
                    </a:r>
                  </a:p>
                  <a:p>
                    <a:pPr>
                      <a:defRPr sz="700">
                        <a:latin typeface="+mn-lt"/>
                        <a:cs typeface="Arial" panose="020B0604020202020204" pitchFamily="34" charset="0"/>
                      </a:defRPr>
                    </a:pPr>
                    <a:r>
                      <a:rPr lang="en-US" sz="700">
                        <a:latin typeface="+mn-lt"/>
                        <a:cs typeface="Arial" panose="020B0604020202020204" pitchFamily="34" charset="0"/>
                      </a:rPr>
                      <a:t>$4m</a:t>
                    </a:r>
                  </a:p>
                  <a:p>
                    <a:pPr>
                      <a:defRPr sz="700">
                        <a:latin typeface="+mn-lt"/>
                        <a:cs typeface="Arial" panose="020B0604020202020204" pitchFamily="34" charset="0"/>
                      </a:defRPr>
                    </a:pPr>
                    <a:r>
                      <a:rPr lang="en-US" sz="700">
                        <a:latin typeface="+mn-lt"/>
                        <a:cs typeface="Arial" panose="020B0604020202020204" pitchFamily="34" charset="0"/>
                      </a:rPr>
                      <a:t>(2%)</a:t>
                    </a:r>
                    <a:endParaRPr lang="en-US" sz="700"/>
                  </a:p>
                </c:rich>
              </c:tx>
              <c:spPr/>
              <c:showLegendKey val="0"/>
              <c:showVal val="1"/>
              <c:showCatName val="1"/>
              <c:showSerName val="0"/>
              <c:showPercent val="1"/>
              <c:showBubbleSize val="0"/>
            </c:dLbl>
            <c:txPr>
              <a:bodyPr/>
              <a:lstStyle/>
              <a:p>
                <a:pPr>
                  <a:defRPr sz="800">
                    <a:latin typeface="+mn-lt"/>
                    <a:cs typeface="Arial" panose="020B0604020202020204" pitchFamily="34" charset="0"/>
                  </a:defRPr>
                </a:pPr>
                <a:endParaRPr lang="en-US"/>
              </a:p>
            </c:txPr>
            <c:showLegendKey val="0"/>
            <c:showVal val="1"/>
            <c:showCatName val="1"/>
            <c:showSerName val="0"/>
            <c:showPercent val="1"/>
            <c:showBubbleSize val="0"/>
            <c:showLeaderLines val="1"/>
          </c:dLbls>
          <c:cat>
            <c:strRef>
              <c:f>Value!$A$24:$A$30</c:f>
              <c:strCache>
                <c:ptCount val="7"/>
                <c:pt idx="0">
                  <c:v>Chickpeas</c:v>
                </c:pt>
                <c:pt idx="1">
                  <c:v>Faba beans</c:v>
                </c:pt>
                <c:pt idx="2">
                  <c:v>Field peas</c:v>
                </c:pt>
                <c:pt idx="3">
                  <c:v>Lentils</c:v>
                </c:pt>
                <c:pt idx="4">
                  <c:v>Lupins</c:v>
                </c:pt>
                <c:pt idx="5">
                  <c:v>Mung beans</c:v>
                </c:pt>
                <c:pt idx="6">
                  <c:v>Other pulses</c:v>
                </c:pt>
              </c:strCache>
            </c:strRef>
          </c:cat>
          <c:val>
            <c:numRef>
              <c:f>Value!$W$24:$W$30</c:f>
              <c:numCache>
                <c:formatCode>#,##0</c:formatCode>
                <c:ptCount val="7"/>
                <c:pt idx="0">
                  <c:v>23.7</c:v>
                </c:pt>
                <c:pt idx="1">
                  <c:v>40.1</c:v>
                </c:pt>
                <c:pt idx="2">
                  <c:v>27.8</c:v>
                </c:pt>
                <c:pt idx="3">
                  <c:v>108.2</c:v>
                </c:pt>
                <c:pt idx="4">
                  <c:v>17.399999999999999</c:v>
                </c:pt>
                <c:pt idx="5" formatCode="#,##0.0">
                  <c:v>0.1</c:v>
                </c:pt>
                <c:pt idx="6">
                  <c:v>3.8</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3436443459973829"/>
          <c:y val="2.2176961855611708E-2"/>
          <c:w val="0.71414033586491732"/>
          <c:h val="0.90293864865568763"/>
        </c:manualLayout>
      </c:layout>
      <c:barChart>
        <c:barDir val="col"/>
        <c:grouping val="clustered"/>
        <c:varyColors val="0"/>
        <c:ser>
          <c:idx val="0"/>
          <c:order val="0"/>
          <c:tx>
            <c:strRef>
              <c:f>Export!$A$30</c:f>
              <c:strCache>
                <c:ptCount val="1"/>
                <c:pt idx="0">
                  <c:v>Export volume (left)</c:v>
                </c:pt>
              </c:strCache>
            </c:strRef>
          </c:tx>
          <c:invertIfNegative val="0"/>
          <c:cat>
            <c:strRef>
              <c:f>Export!$B$29:$F$29</c:f>
              <c:strCache>
                <c:ptCount val="5"/>
                <c:pt idx="0">
                  <c:v>2009-10</c:v>
                </c:pt>
                <c:pt idx="1">
                  <c:v>2010-11</c:v>
                </c:pt>
                <c:pt idx="2">
                  <c:v>2011-12</c:v>
                </c:pt>
                <c:pt idx="3">
                  <c:v>2012-13</c:v>
                </c:pt>
                <c:pt idx="4">
                  <c:v>2013-14</c:v>
                </c:pt>
              </c:strCache>
            </c:strRef>
          </c:cat>
          <c:val>
            <c:numRef>
              <c:f>Export!$B$30:$F$30</c:f>
              <c:numCache>
                <c:formatCode>#,##0</c:formatCode>
                <c:ptCount val="5"/>
                <c:pt idx="0">
                  <c:v>1844</c:v>
                </c:pt>
                <c:pt idx="1">
                  <c:v>3239</c:v>
                </c:pt>
                <c:pt idx="2">
                  <c:v>5542</c:v>
                </c:pt>
                <c:pt idx="3">
                  <c:v>5265</c:v>
                </c:pt>
                <c:pt idx="4">
                  <c:v>4578</c:v>
                </c:pt>
              </c:numCache>
            </c:numRef>
          </c:val>
        </c:ser>
        <c:dLbls>
          <c:showLegendKey val="0"/>
          <c:showVal val="0"/>
          <c:showCatName val="0"/>
          <c:showSerName val="0"/>
          <c:showPercent val="0"/>
          <c:showBubbleSize val="0"/>
        </c:dLbls>
        <c:gapWidth val="150"/>
        <c:axId val="181627904"/>
        <c:axId val="181629696"/>
      </c:barChart>
      <c:lineChart>
        <c:grouping val="standard"/>
        <c:varyColors val="0"/>
        <c:ser>
          <c:idx val="1"/>
          <c:order val="1"/>
          <c:tx>
            <c:strRef>
              <c:f>Export!$A$31</c:f>
              <c:strCache>
                <c:ptCount val="1"/>
                <c:pt idx="0">
                  <c:v>Export value (right)</c:v>
                </c:pt>
              </c:strCache>
            </c:strRef>
          </c:tx>
          <c:cat>
            <c:strRef>
              <c:f>Export!$B$29:$F$29</c:f>
              <c:strCache>
                <c:ptCount val="5"/>
                <c:pt idx="0">
                  <c:v>2009-10</c:v>
                </c:pt>
                <c:pt idx="1">
                  <c:v>2010-11</c:v>
                </c:pt>
                <c:pt idx="2">
                  <c:v>2011-12</c:v>
                </c:pt>
                <c:pt idx="3">
                  <c:v>2012-13</c:v>
                </c:pt>
                <c:pt idx="4">
                  <c:v>2013-14</c:v>
                </c:pt>
              </c:strCache>
            </c:strRef>
          </c:cat>
          <c:val>
            <c:numRef>
              <c:f>Export!$B$31:$F$31</c:f>
              <c:numCache>
                <c:formatCode>#,##0</c:formatCode>
                <c:ptCount val="5"/>
                <c:pt idx="0">
                  <c:v>678</c:v>
                </c:pt>
                <c:pt idx="1">
                  <c:v>1121</c:v>
                </c:pt>
                <c:pt idx="2">
                  <c:v>1861</c:v>
                </c:pt>
                <c:pt idx="3">
                  <c:v>2168</c:v>
                </c:pt>
                <c:pt idx="4">
                  <c:v>1955</c:v>
                </c:pt>
              </c:numCache>
            </c:numRef>
          </c:val>
          <c:smooth val="0"/>
        </c:ser>
        <c:dLbls>
          <c:showLegendKey val="0"/>
          <c:showVal val="0"/>
          <c:showCatName val="0"/>
          <c:showSerName val="0"/>
          <c:showPercent val="0"/>
          <c:showBubbleSize val="0"/>
        </c:dLbls>
        <c:marker val="1"/>
        <c:smooth val="0"/>
        <c:axId val="181646080"/>
        <c:axId val="181631616"/>
      </c:lineChart>
      <c:catAx>
        <c:axId val="181627904"/>
        <c:scaling>
          <c:orientation val="minMax"/>
        </c:scaling>
        <c:delete val="0"/>
        <c:axPos val="b"/>
        <c:majorTickMark val="out"/>
        <c:minorTickMark val="none"/>
        <c:tickLblPos val="nextTo"/>
        <c:txPr>
          <a:bodyPr rot="0"/>
          <a:lstStyle/>
          <a:p>
            <a:pPr>
              <a:defRPr/>
            </a:pPr>
            <a:endParaRPr lang="en-US"/>
          </a:p>
        </c:txPr>
        <c:crossAx val="181629696"/>
        <c:crosses val="autoZero"/>
        <c:auto val="1"/>
        <c:lblAlgn val="ctr"/>
        <c:lblOffset val="100"/>
        <c:noMultiLvlLbl val="0"/>
      </c:catAx>
      <c:valAx>
        <c:axId val="181629696"/>
        <c:scaling>
          <c:orientation val="minMax"/>
        </c:scaling>
        <c:delete val="0"/>
        <c:axPos val="l"/>
        <c:majorGridlines/>
        <c:title>
          <c:tx>
            <c:rich>
              <a:bodyPr rot="-5400000" vert="horz"/>
              <a:lstStyle/>
              <a:p>
                <a:pPr>
                  <a:defRPr/>
                </a:pPr>
                <a:r>
                  <a:rPr lang="en-US"/>
                  <a:t>'000 tonnes</a:t>
                </a:r>
              </a:p>
            </c:rich>
          </c:tx>
          <c:layout/>
          <c:overlay val="0"/>
        </c:title>
        <c:numFmt formatCode="#,##0" sourceLinked="1"/>
        <c:majorTickMark val="out"/>
        <c:minorTickMark val="none"/>
        <c:tickLblPos val="nextTo"/>
        <c:crossAx val="181627904"/>
        <c:crosses val="autoZero"/>
        <c:crossBetween val="between"/>
      </c:valAx>
      <c:valAx>
        <c:axId val="181631616"/>
        <c:scaling>
          <c:orientation val="minMax"/>
          <c:max val="3000"/>
        </c:scaling>
        <c:delete val="0"/>
        <c:axPos val="r"/>
        <c:title>
          <c:tx>
            <c:rich>
              <a:bodyPr rot="-5400000" vert="horz"/>
              <a:lstStyle/>
              <a:p>
                <a:pPr>
                  <a:defRPr/>
                </a:pPr>
                <a:r>
                  <a:rPr lang="en-US"/>
                  <a:t>$ million</a:t>
                </a:r>
              </a:p>
            </c:rich>
          </c:tx>
          <c:layout>
            <c:manualLayout>
              <c:xMode val="edge"/>
              <c:yMode val="edge"/>
              <c:x val="0.94443121632581661"/>
              <c:y val="0.43848284124352149"/>
            </c:manualLayout>
          </c:layout>
          <c:overlay val="0"/>
        </c:title>
        <c:numFmt formatCode="#,##0" sourceLinked="1"/>
        <c:majorTickMark val="out"/>
        <c:minorTickMark val="none"/>
        <c:tickLblPos val="nextTo"/>
        <c:crossAx val="181646080"/>
        <c:crosses val="max"/>
        <c:crossBetween val="between"/>
      </c:valAx>
      <c:catAx>
        <c:axId val="181646080"/>
        <c:scaling>
          <c:orientation val="minMax"/>
        </c:scaling>
        <c:delete val="1"/>
        <c:axPos val="b"/>
        <c:majorTickMark val="out"/>
        <c:minorTickMark val="none"/>
        <c:tickLblPos val="nextTo"/>
        <c:crossAx val="181631616"/>
        <c:crosses val="autoZero"/>
        <c:auto val="1"/>
        <c:lblAlgn val="ctr"/>
        <c:lblOffset val="100"/>
        <c:noMultiLvlLbl val="0"/>
      </c:catAx>
    </c:plotArea>
    <c:legend>
      <c:legendPos val="t"/>
      <c:layout/>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barChart>
        <c:barDir val="col"/>
        <c:grouping val="clustered"/>
        <c:varyColors val="0"/>
        <c:ser>
          <c:idx val="0"/>
          <c:order val="0"/>
          <c:invertIfNegative val="0"/>
          <c:dLbls>
            <c:showLegendKey val="0"/>
            <c:showVal val="1"/>
            <c:showCatName val="0"/>
            <c:showSerName val="0"/>
            <c:showPercent val="0"/>
            <c:showBubbleSize val="0"/>
            <c:showLeaderLines val="0"/>
          </c:dLbls>
          <c:cat>
            <c:strRef>
              <c:f>Export!$A$58:$A$64</c:f>
              <c:strCache>
                <c:ptCount val="7"/>
                <c:pt idx="0">
                  <c:v>WA</c:v>
                </c:pt>
                <c:pt idx="1">
                  <c:v>SA</c:v>
                </c:pt>
                <c:pt idx="2">
                  <c:v>Vic</c:v>
                </c:pt>
                <c:pt idx="3">
                  <c:v>NSW</c:v>
                </c:pt>
                <c:pt idx="4">
                  <c:v>Qld</c:v>
                </c:pt>
                <c:pt idx="5">
                  <c:v>Tas</c:v>
                </c:pt>
                <c:pt idx="6">
                  <c:v>Other *</c:v>
                </c:pt>
              </c:strCache>
            </c:strRef>
          </c:cat>
          <c:val>
            <c:numRef>
              <c:f>Export!$F$58:$F$64</c:f>
              <c:numCache>
                <c:formatCode>#,##0</c:formatCode>
                <c:ptCount val="7"/>
                <c:pt idx="0">
                  <c:v>4056</c:v>
                </c:pt>
                <c:pt idx="1">
                  <c:v>2003</c:v>
                </c:pt>
                <c:pt idx="2">
                  <c:v>1955</c:v>
                </c:pt>
                <c:pt idx="3">
                  <c:v>1491</c:v>
                </c:pt>
                <c:pt idx="4">
                  <c:v>770</c:v>
                </c:pt>
                <c:pt idx="5">
                  <c:v>16</c:v>
                </c:pt>
                <c:pt idx="6">
                  <c:v>2238</c:v>
                </c:pt>
              </c:numCache>
            </c:numRef>
          </c:val>
        </c:ser>
        <c:dLbls>
          <c:showLegendKey val="0"/>
          <c:showVal val="0"/>
          <c:showCatName val="0"/>
          <c:showSerName val="0"/>
          <c:showPercent val="0"/>
          <c:showBubbleSize val="0"/>
        </c:dLbls>
        <c:gapWidth val="100"/>
        <c:axId val="181674752"/>
        <c:axId val="181676288"/>
      </c:barChart>
      <c:catAx>
        <c:axId val="181674752"/>
        <c:scaling>
          <c:orientation val="minMax"/>
        </c:scaling>
        <c:delete val="0"/>
        <c:axPos val="b"/>
        <c:majorTickMark val="out"/>
        <c:minorTickMark val="none"/>
        <c:tickLblPos val="nextTo"/>
        <c:crossAx val="181676288"/>
        <c:crosses val="autoZero"/>
        <c:auto val="1"/>
        <c:lblAlgn val="ctr"/>
        <c:lblOffset val="100"/>
        <c:noMultiLvlLbl val="0"/>
      </c:catAx>
      <c:valAx>
        <c:axId val="181676288"/>
        <c:scaling>
          <c:orientation val="minMax"/>
        </c:scaling>
        <c:delete val="0"/>
        <c:axPos val="l"/>
        <c:majorGridlines/>
        <c:title>
          <c:tx>
            <c:rich>
              <a:bodyPr rot="-5400000" vert="horz"/>
              <a:lstStyle/>
              <a:p>
                <a:pPr>
                  <a:defRPr/>
                </a:pPr>
                <a:r>
                  <a:rPr lang="en-AU"/>
                  <a:t>$ million</a:t>
                </a:r>
              </a:p>
            </c:rich>
          </c:tx>
          <c:layout/>
          <c:overlay val="0"/>
        </c:title>
        <c:numFmt formatCode="#,##0" sourceLinked="1"/>
        <c:majorTickMark val="out"/>
        <c:minorTickMark val="none"/>
        <c:tickLblPos val="nextTo"/>
        <c:crossAx val="181674752"/>
        <c:crosses val="autoZero"/>
        <c:crossBetween val="between"/>
        <c:majorUnit val="1000"/>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1636033741029096"/>
          <c:y val="2.2176969562180515E-2"/>
          <c:w val="0.88320564951138136"/>
          <c:h val="0.90293864865568763"/>
        </c:manualLayout>
      </c:layout>
      <c:barChart>
        <c:barDir val="col"/>
        <c:grouping val="clustered"/>
        <c:varyColors val="0"/>
        <c:ser>
          <c:idx val="0"/>
          <c:order val="0"/>
          <c:tx>
            <c:strRef>
              <c:f>Export!$A$71</c:f>
              <c:strCache>
                <c:ptCount val="1"/>
                <c:pt idx="0">
                  <c:v>Wheat</c:v>
                </c:pt>
              </c:strCache>
            </c:strRef>
          </c:tx>
          <c:invertIfNegative val="0"/>
          <c:cat>
            <c:strRef>
              <c:f>Export!$B$69:$F$69</c:f>
              <c:strCache>
                <c:ptCount val="5"/>
                <c:pt idx="0">
                  <c:v>2009-10</c:v>
                </c:pt>
                <c:pt idx="1">
                  <c:v>2010-11</c:v>
                </c:pt>
                <c:pt idx="2">
                  <c:v>2011-12</c:v>
                </c:pt>
                <c:pt idx="3">
                  <c:v>2012-13</c:v>
                </c:pt>
                <c:pt idx="4">
                  <c:v>2013-14</c:v>
                </c:pt>
              </c:strCache>
            </c:strRef>
          </c:cat>
          <c:val>
            <c:numRef>
              <c:f>Export!$B$71:$F$71</c:f>
              <c:numCache>
                <c:formatCode>#,##0</c:formatCode>
                <c:ptCount val="5"/>
                <c:pt idx="0">
                  <c:v>1428</c:v>
                </c:pt>
                <c:pt idx="1">
                  <c:v>2521</c:v>
                </c:pt>
                <c:pt idx="2">
                  <c:v>4326</c:v>
                </c:pt>
                <c:pt idx="3">
                  <c:v>3447</c:v>
                </c:pt>
                <c:pt idx="4">
                  <c:v>3102</c:v>
                </c:pt>
              </c:numCache>
            </c:numRef>
          </c:val>
        </c:ser>
        <c:ser>
          <c:idx val="1"/>
          <c:order val="1"/>
          <c:tx>
            <c:strRef>
              <c:f>Export!$A$72</c:f>
              <c:strCache>
                <c:ptCount val="1"/>
                <c:pt idx="0">
                  <c:v>Oilseeds</c:v>
                </c:pt>
              </c:strCache>
            </c:strRef>
          </c:tx>
          <c:invertIfNegative val="0"/>
          <c:cat>
            <c:strRef>
              <c:f>Export!$B$69:$F$69</c:f>
              <c:strCache>
                <c:ptCount val="5"/>
                <c:pt idx="0">
                  <c:v>2009-10</c:v>
                </c:pt>
                <c:pt idx="1">
                  <c:v>2010-11</c:v>
                </c:pt>
                <c:pt idx="2">
                  <c:v>2011-12</c:v>
                </c:pt>
                <c:pt idx="3">
                  <c:v>2012-13</c:v>
                </c:pt>
                <c:pt idx="4">
                  <c:v>2013-14</c:v>
                </c:pt>
              </c:strCache>
            </c:strRef>
          </c:cat>
          <c:val>
            <c:numRef>
              <c:f>Export!$B$72:$F$72</c:f>
              <c:numCache>
                <c:formatCode>#,##0</c:formatCode>
                <c:ptCount val="5"/>
                <c:pt idx="0">
                  <c:v>64</c:v>
                </c:pt>
                <c:pt idx="1">
                  <c:v>279</c:v>
                </c:pt>
                <c:pt idx="2">
                  <c:v>661</c:v>
                </c:pt>
                <c:pt idx="3">
                  <c:v>1255</c:v>
                </c:pt>
                <c:pt idx="4">
                  <c:v>800</c:v>
                </c:pt>
              </c:numCache>
            </c:numRef>
          </c:val>
        </c:ser>
        <c:ser>
          <c:idx val="2"/>
          <c:order val="2"/>
          <c:tx>
            <c:strRef>
              <c:f>Export!$A$73</c:f>
              <c:strCache>
                <c:ptCount val="1"/>
                <c:pt idx="0">
                  <c:v>Pulses</c:v>
                </c:pt>
              </c:strCache>
            </c:strRef>
          </c:tx>
          <c:invertIfNegative val="0"/>
          <c:cat>
            <c:strRef>
              <c:f>Export!$B$69:$F$69</c:f>
              <c:strCache>
                <c:ptCount val="5"/>
                <c:pt idx="0">
                  <c:v>2009-10</c:v>
                </c:pt>
                <c:pt idx="1">
                  <c:v>2010-11</c:v>
                </c:pt>
                <c:pt idx="2">
                  <c:v>2011-12</c:v>
                </c:pt>
                <c:pt idx="3">
                  <c:v>2012-13</c:v>
                </c:pt>
                <c:pt idx="4">
                  <c:v>2013-14</c:v>
                </c:pt>
              </c:strCache>
            </c:strRef>
          </c:cat>
          <c:val>
            <c:numRef>
              <c:f>Export!$B$73:$F$73</c:f>
              <c:numCache>
                <c:formatCode>#,##0</c:formatCode>
                <c:ptCount val="5"/>
                <c:pt idx="0">
                  <c:v>142</c:v>
                </c:pt>
                <c:pt idx="1">
                  <c:v>207</c:v>
                </c:pt>
                <c:pt idx="2">
                  <c:v>354</c:v>
                </c:pt>
                <c:pt idx="3">
                  <c:v>330</c:v>
                </c:pt>
                <c:pt idx="4">
                  <c:v>441</c:v>
                </c:pt>
              </c:numCache>
            </c:numRef>
          </c:val>
        </c:ser>
        <c:ser>
          <c:idx val="3"/>
          <c:order val="3"/>
          <c:tx>
            <c:strRef>
              <c:f>Export!$A$74</c:f>
              <c:strCache>
                <c:ptCount val="1"/>
                <c:pt idx="0">
                  <c:v>Processed grain</c:v>
                </c:pt>
              </c:strCache>
            </c:strRef>
          </c:tx>
          <c:invertIfNegative val="0"/>
          <c:cat>
            <c:strRef>
              <c:f>Export!$B$69:$F$69</c:f>
              <c:strCache>
                <c:ptCount val="5"/>
                <c:pt idx="0">
                  <c:v>2009-10</c:v>
                </c:pt>
                <c:pt idx="1">
                  <c:v>2010-11</c:v>
                </c:pt>
                <c:pt idx="2">
                  <c:v>2011-12</c:v>
                </c:pt>
                <c:pt idx="3">
                  <c:v>2012-13</c:v>
                </c:pt>
                <c:pt idx="4">
                  <c:v>2013-14</c:v>
                </c:pt>
              </c:strCache>
            </c:strRef>
          </c:cat>
          <c:val>
            <c:numRef>
              <c:f>Export!$B$74:$F$74</c:f>
              <c:numCache>
                <c:formatCode>#,##0</c:formatCode>
                <c:ptCount val="5"/>
                <c:pt idx="0">
                  <c:v>206</c:v>
                </c:pt>
                <c:pt idx="1">
                  <c:v>228</c:v>
                </c:pt>
                <c:pt idx="2">
                  <c:v>192</c:v>
                </c:pt>
                <c:pt idx="3">
                  <c:v>198</c:v>
                </c:pt>
                <c:pt idx="4">
                  <c:v>195</c:v>
                </c:pt>
              </c:numCache>
            </c:numRef>
          </c:val>
        </c:ser>
        <c:dLbls>
          <c:showLegendKey val="0"/>
          <c:showVal val="0"/>
          <c:showCatName val="0"/>
          <c:showSerName val="0"/>
          <c:showPercent val="0"/>
          <c:showBubbleSize val="0"/>
        </c:dLbls>
        <c:gapWidth val="150"/>
        <c:axId val="181715328"/>
        <c:axId val="181716864"/>
      </c:barChart>
      <c:catAx>
        <c:axId val="181715328"/>
        <c:scaling>
          <c:orientation val="minMax"/>
        </c:scaling>
        <c:delete val="0"/>
        <c:axPos val="b"/>
        <c:majorTickMark val="out"/>
        <c:minorTickMark val="none"/>
        <c:tickLblPos val="nextTo"/>
        <c:txPr>
          <a:bodyPr rot="0"/>
          <a:lstStyle/>
          <a:p>
            <a:pPr>
              <a:defRPr/>
            </a:pPr>
            <a:endParaRPr lang="en-US"/>
          </a:p>
        </c:txPr>
        <c:crossAx val="181716864"/>
        <c:crosses val="autoZero"/>
        <c:auto val="1"/>
        <c:lblAlgn val="ctr"/>
        <c:lblOffset val="100"/>
        <c:noMultiLvlLbl val="0"/>
      </c:catAx>
      <c:valAx>
        <c:axId val="181716864"/>
        <c:scaling>
          <c:orientation val="minMax"/>
        </c:scaling>
        <c:delete val="0"/>
        <c:axPos val="l"/>
        <c:majorGridlines/>
        <c:title>
          <c:tx>
            <c:rich>
              <a:bodyPr rot="-5400000" vert="horz"/>
              <a:lstStyle/>
              <a:p>
                <a:pPr>
                  <a:defRPr/>
                </a:pPr>
                <a:r>
                  <a:rPr lang="en-US"/>
                  <a:t>'000 tonnes</a:t>
                </a:r>
              </a:p>
            </c:rich>
          </c:tx>
          <c:layout>
            <c:manualLayout>
              <c:xMode val="edge"/>
              <c:yMode val="edge"/>
              <c:x val="7.8625054731984254E-3"/>
              <c:y val="0.30410785752111752"/>
            </c:manualLayout>
          </c:layout>
          <c:overlay val="0"/>
        </c:title>
        <c:numFmt formatCode="#,##0" sourceLinked="1"/>
        <c:majorTickMark val="out"/>
        <c:minorTickMark val="none"/>
        <c:tickLblPos val="nextTo"/>
        <c:crossAx val="181715328"/>
        <c:crosses val="autoZero"/>
        <c:crossBetween val="between"/>
        <c:majorUnit val="1000"/>
      </c:valAx>
    </c:plotArea>
    <c:legend>
      <c:legendPos val="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147EED-6942-403B-8469-9F840D49F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8</Pages>
  <Words>1990</Words>
  <Characters>11346</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Victorian Government</Company>
  <LinksUpToDate>false</LinksUpToDate>
  <CharactersWithSpaces>13310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Clark</dc:creator>
  <cp:lastModifiedBy>Wimalasuriya</cp:lastModifiedBy>
  <cp:revision>11</cp:revision>
  <cp:lastPrinted>2014-06-04T06:58:00Z</cp:lastPrinted>
  <dcterms:created xsi:type="dcterms:W3CDTF">2014-12-17T22:50:00Z</dcterms:created>
  <dcterms:modified xsi:type="dcterms:W3CDTF">2015-01-27T23:27:00Z</dcterms:modified>
</cp:coreProperties>
</file>