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13F5" w:rsidRDefault="00F813F5" w:rsidP="00F813F5">
      <w:pPr>
        <w:pStyle w:val="HA"/>
        <w:jc w:val="both"/>
        <w:rPr>
          <w:b/>
        </w:rPr>
      </w:pPr>
    </w:p>
    <w:p w:rsidR="00F813F5" w:rsidRDefault="00F813F5" w:rsidP="00F813F5">
      <w:pPr>
        <w:pStyle w:val="HA"/>
        <w:jc w:val="both"/>
        <w:rPr>
          <w:b/>
        </w:rPr>
        <w:sectPr w:rsidR="00F813F5" w:rsidSect="00D32A49">
          <w:footerReference w:type="default" r:id="rId9"/>
          <w:headerReference w:type="first" r:id="rId10"/>
          <w:pgSz w:w="11906" w:h="16838" w:code="9"/>
          <w:pgMar w:top="720" w:right="720" w:bottom="720" w:left="720" w:header="0" w:footer="0" w:gutter="0"/>
          <w:cols w:space="708"/>
          <w:titlePg/>
          <w:docGrid w:linePitch="360"/>
        </w:sectPr>
      </w:pPr>
    </w:p>
    <w:p w:rsidR="00F813F5" w:rsidRPr="00112454" w:rsidRDefault="00F813F5" w:rsidP="00F813F5">
      <w:pPr>
        <w:pStyle w:val="HA"/>
        <w:jc w:val="both"/>
        <w:rPr>
          <w:b/>
        </w:rPr>
      </w:pPr>
      <w:r w:rsidRPr="00112454">
        <w:rPr>
          <w:b/>
        </w:rPr>
        <w:lastRenderedPageBreak/>
        <w:t>Victoria's Dairy Industry</w:t>
      </w:r>
    </w:p>
    <w:p w:rsidR="00F813F5" w:rsidRPr="00112454" w:rsidRDefault="00F813F5" w:rsidP="00F813F5">
      <w:pPr>
        <w:pStyle w:val="HC"/>
        <w:jc w:val="both"/>
        <w:rPr>
          <w:sz w:val="24"/>
        </w:rPr>
      </w:pPr>
      <w:r w:rsidRPr="00112454">
        <w:rPr>
          <w:sz w:val="24"/>
        </w:rPr>
        <w:t>December 2014 Update</w:t>
      </w:r>
    </w:p>
    <w:p w:rsidR="00F813F5" w:rsidRPr="00104493" w:rsidRDefault="00F813F5" w:rsidP="00F813F5">
      <w:pPr>
        <w:pStyle w:val="HB"/>
        <w:jc w:val="both"/>
      </w:pPr>
      <w:r w:rsidRPr="00104493">
        <w:t>Key points</w:t>
      </w:r>
      <w:bookmarkStart w:id="0" w:name="_GoBack"/>
      <w:bookmarkEnd w:id="0"/>
    </w:p>
    <w:p w:rsidR="00F813F5" w:rsidRDefault="00F813F5" w:rsidP="00F813F5">
      <w:pPr>
        <w:pStyle w:val="Body"/>
        <w:numPr>
          <w:ilvl w:val="0"/>
          <w:numId w:val="2"/>
        </w:numPr>
        <w:spacing w:after="80"/>
        <w:ind w:left="284" w:hanging="284"/>
        <w:jc w:val="both"/>
      </w:pPr>
      <w:r>
        <w:t xml:space="preserve">This Dairy Industry Profile provides an overview of </w:t>
      </w:r>
      <w:r w:rsidR="009F3907">
        <w:t xml:space="preserve">the location, structure, production </w:t>
      </w:r>
      <w:r w:rsidR="009F3907" w:rsidRPr="007C1402">
        <w:t xml:space="preserve">and </w:t>
      </w:r>
      <w:r w:rsidR="009F3907">
        <w:t xml:space="preserve">performance </w:t>
      </w:r>
      <w:r w:rsidR="009F3907" w:rsidRPr="007C1402">
        <w:t xml:space="preserve">of </w:t>
      </w:r>
      <w:r>
        <w:t>Victoria’s dairy industry.</w:t>
      </w:r>
    </w:p>
    <w:p w:rsidR="00F813F5" w:rsidRDefault="00F813F5" w:rsidP="00F813F5">
      <w:pPr>
        <w:pStyle w:val="Body"/>
        <w:numPr>
          <w:ilvl w:val="0"/>
          <w:numId w:val="2"/>
        </w:numPr>
        <w:spacing w:after="80"/>
        <w:ind w:left="284" w:hanging="284"/>
        <w:jc w:val="both"/>
      </w:pPr>
      <w:r>
        <w:t>Victoria’s dairy industry has a gross value of milk production of around $</w:t>
      </w:r>
      <w:r w:rsidRPr="00AB1D10">
        <w:t>2.</w:t>
      </w:r>
      <w:r>
        <w:t>3 billion in 2012-13</w:t>
      </w:r>
      <w:r>
        <w:rPr>
          <w:rStyle w:val="EndnoteReference"/>
        </w:rPr>
        <w:endnoteReference w:id="1"/>
      </w:r>
      <w:r>
        <w:t>. The industry is mature, well resourced, well organised and internationally competitive.</w:t>
      </w:r>
    </w:p>
    <w:p w:rsidR="00F813F5" w:rsidRDefault="00F813F5" w:rsidP="00F813F5">
      <w:pPr>
        <w:pStyle w:val="Body"/>
        <w:numPr>
          <w:ilvl w:val="0"/>
          <w:numId w:val="2"/>
        </w:numPr>
        <w:spacing w:after="80"/>
        <w:ind w:left="284" w:hanging="284"/>
        <w:jc w:val="both"/>
      </w:pPr>
      <w:r>
        <w:t xml:space="preserve">In 2013-14, Victorian milk production was 6.12 billion litres, accounting for 66 per cent of Australia’s total milk production. </w:t>
      </w:r>
    </w:p>
    <w:p w:rsidR="00F813F5" w:rsidRDefault="00F813F5" w:rsidP="00F813F5">
      <w:pPr>
        <w:pStyle w:val="Body"/>
        <w:numPr>
          <w:ilvl w:val="0"/>
          <w:numId w:val="2"/>
        </w:numPr>
        <w:spacing w:after="80"/>
        <w:ind w:left="284" w:hanging="284"/>
        <w:jc w:val="both"/>
      </w:pPr>
      <w:r>
        <w:t>Victoria represents around 85 per cent of Australia’s dairy product exports worth around $2.3 billion in 2013-14 (a slight increase from $1.87 billion in 2012-13). As a result, returns to Victorian dairy farmers are strongly connected to world dairy commodity prices and exchange rates.</w:t>
      </w:r>
    </w:p>
    <w:p w:rsidR="00F813F5" w:rsidRPr="00104493" w:rsidRDefault="00F813F5" w:rsidP="00F813F5">
      <w:pPr>
        <w:pStyle w:val="HB"/>
        <w:jc w:val="both"/>
      </w:pPr>
      <w:r w:rsidRPr="00104493">
        <w:t xml:space="preserve">Location of </w:t>
      </w:r>
      <w:smartTag w:uri="urn:schemas-microsoft-com:office:smarttags" w:element="State">
        <w:smartTag w:uri="urn:schemas-microsoft-com:office:smarttags" w:element="place">
          <w:r w:rsidRPr="00104493">
            <w:t>Victoria</w:t>
          </w:r>
        </w:smartTag>
      </w:smartTag>
      <w:r w:rsidRPr="00104493">
        <w:t>’s dairy farms</w:t>
      </w:r>
    </w:p>
    <w:p w:rsidR="00F813F5" w:rsidRDefault="00F813F5" w:rsidP="00F813F5">
      <w:pPr>
        <w:pStyle w:val="Body"/>
        <w:jc w:val="both"/>
      </w:pPr>
      <w:r>
        <w:t xml:space="preserve">Victoria’s dairy farms are predominantly located in the north, south west and Gippsland regions (Figure 1). The northern region is dominated by irrigated farms on the Murray-Goulburn reticulated system, which is undergoing modernisation under the Northern Connections program managed by Goulburn Murray Water Authority. The south west dairy region is largely rainfall based, but augmented by use of ground water. The Gippsland region is rain-fed in South and West Gippsland, but with significant irrigated dairy farming in the </w:t>
      </w:r>
      <w:r w:rsidRPr="00A42B0A">
        <w:t xml:space="preserve">Macalister Irrigation District </w:t>
      </w:r>
      <w:r>
        <w:t>which is centred on Maffra.</w:t>
      </w:r>
    </w:p>
    <w:p w:rsidR="00F813F5" w:rsidRPr="00104493" w:rsidRDefault="00F813F5" w:rsidP="00F813F5">
      <w:pPr>
        <w:pStyle w:val="HB"/>
        <w:jc w:val="both"/>
      </w:pPr>
      <w:r w:rsidRPr="00104493">
        <w:t xml:space="preserve">Structure of </w:t>
      </w:r>
      <w:smartTag w:uri="urn:schemas-microsoft-com:office:smarttags" w:element="State">
        <w:smartTag w:uri="urn:schemas-microsoft-com:office:smarttags" w:element="place">
          <w:r w:rsidRPr="00104493">
            <w:t>Victoria</w:t>
          </w:r>
        </w:smartTag>
      </w:smartTag>
      <w:r w:rsidRPr="00104493">
        <w:t>’s dairy industry</w:t>
      </w:r>
    </w:p>
    <w:p w:rsidR="00F813F5" w:rsidRDefault="0012060F" w:rsidP="00F813F5">
      <w:pPr>
        <w:pStyle w:val="Body"/>
        <w:jc w:val="both"/>
      </w:pPr>
      <w:r>
        <w:t>There we</w:t>
      </w:r>
      <w:r w:rsidR="00F813F5">
        <w:t>re around 4,268 licensed dairy farms in Victoria</w:t>
      </w:r>
      <w:r>
        <w:t xml:space="preserve"> in 2013-14</w:t>
      </w:r>
      <w:r w:rsidR="00F813F5">
        <w:t>, spread relatively evenly between the three production regions</w:t>
      </w:r>
      <w:r w:rsidR="00F813F5">
        <w:rPr>
          <w:rStyle w:val="EndnoteReference"/>
        </w:rPr>
        <w:endnoteReference w:id="2"/>
      </w:r>
      <w:r w:rsidR="00F813F5">
        <w:t xml:space="preserve">. </w:t>
      </w:r>
      <w:r>
        <w:t>T</w:t>
      </w:r>
      <w:r w:rsidR="00F813F5">
        <w:t>he Victorian dairy herd totalled around 1.1 million head, or about 66 per cent of the national dairy herd.</w:t>
      </w:r>
      <w:r w:rsidR="00020AB1">
        <w:t xml:space="preserve"> The average herd size in Victorian dairy farms increased from 167 cows in 1999-00 up to 261 in 2013-14, an increase of 56 per cent over 14 years. </w:t>
      </w:r>
      <w:r w:rsidR="00020AB1" w:rsidRPr="00020AB1">
        <w:t xml:space="preserve">There </w:t>
      </w:r>
      <w:r w:rsidR="00020AB1">
        <w:t>appears to be</w:t>
      </w:r>
      <w:r w:rsidR="00020AB1" w:rsidRPr="00020AB1">
        <w:t xml:space="preserve"> a trend to</w:t>
      </w:r>
      <w:r w:rsidR="00020AB1">
        <w:t>wards</w:t>
      </w:r>
      <w:r w:rsidR="00020AB1" w:rsidRPr="00020AB1">
        <w:t xml:space="preserve"> very large farm operations of over 1,000 </w:t>
      </w:r>
      <w:r w:rsidR="00020AB1">
        <w:t>cows</w:t>
      </w:r>
      <w:r w:rsidR="00020AB1">
        <w:rPr>
          <w:rStyle w:val="EndnoteReference"/>
        </w:rPr>
        <w:endnoteReference w:id="3"/>
      </w:r>
      <w:r w:rsidR="00020AB1">
        <w:t>.</w:t>
      </w:r>
    </w:p>
    <w:p w:rsidR="00F813F5" w:rsidRDefault="00F813F5" w:rsidP="00F813F5">
      <w:pPr>
        <w:pStyle w:val="Body"/>
        <w:jc w:val="both"/>
      </w:pPr>
      <w:r>
        <w:t xml:space="preserve">Dairy producers in </w:t>
      </w:r>
      <w:smartTag w:uri="urn:schemas-microsoft-com:office:smarttags" w:element="State">
        <w:smartTag w:uri="urn:schemas-microsoft-com:office:smarttags" w:element="place">
          <w:r>
            <w:t>Victoria</w:t>
          </w:r>
        </w:smartTag>
      </w:smartTag>
      <w:r>
        <w:t xml:space="preserve"> can sell to either liquid milk or manufactured dairy product processors. In 2013-14, the liquid milk processing plants processed 612 million litres. These plants are located nearer to major population centres. Dairy manufacturing plants are generally located in the dairy production regions. Dairy product manufacturers used </w:t>
      </w:r>
      <w:r w:rsidRPr="00FD7D68">
        <w:t>5.11 billion litres in 2013-14 or 90</w:t>
      </w:r>
      <w:r>
        <w:t xml:space="preserve"> per cent of Victorian milk production. Half of these manufactured milk products are consumed domestically while the rest is exported. There are around 20 major liquid and manufacturing plants in </w:t>
      </w:r>
      <w:smartTag w:uri="urn:schemas-microsoft-com:office:smarttags" w:element="State">
        <w:smartTag w:uri="urn:schemas-microsoft-com:office:smarttags" w:element="place">
          <w:r>
            <w:t>Victoria</w:t>
          </w:r>
        </w:smartTag>
      </w:smartTag>
      <w:r>
        <w:t xml:space="preserve">. Murray-Goulburn Cooperative, Fonterra and Lion (formerly National Foods) are the three largest processors. </w:t>
      </w:r>
    </w:p>
    <w:p w:rsidR="00F813F5" w:rsidRPr="00104493" w:rsidRDefault="00F813F5" w:rsidP="00F813F5">
      <w:pPr>
        <w:pStyle w:val="HB"/>
        <w:jc w:val="both"/>
      </w:pPr>
      <w:r w:rsidRPr="00104493">
        <w:t>Victorian milk production</w:t>
      </w:r>
    </w:p>
    <w:p w:rsidR="00F813F5" w:rsidRDefault="00F813F5" w:rsidP="00F813F5">
      <w:pPr>
        <w:pStyle w:val="Body"/>
        <w:jc w:val="both"/>
      </w:pPr>
      <w:r w:rsidRPr="00557082">
        <w:t>Australia’s milk production finished the 201</w:t>
      </w:r>
      <w:r>
        <w:t>3-</w:t>
      </w:r>
      <w:r w:rsidRPr="00557082">
        <w:t>1</w:t>
      </w:r>
      <w:r>
        <w:t>4</w:t>
      </w:r>
      <w:r w:rsidRPr="00557082">
        <w:t xml:space="preserve"> season at 9.2 billion litres</w:t>
      </w:r>
      <w:r>
        <w:t>, almost unchanged from the previous year</w:t>
      </w:r>
      <w:r>
        <w:rPr>
          <w:rStyle w:val="EndnoteReference"/>
        </w:rPr>
        <w:endnoteReference w:id="4"/>
      </w:r>
      <w:r w:rsidRPr="00557082">
        <w:t xml:space="preserve">. Victorian milk production </w:t>
      </w:r>
      <w:r>
        <w:t>increased</w:t>
      </w:r>
      <w:r w:rsidRPr="00557082">
        <w:t xml:space="preserve"> slightly to 6.</w:t>
      </w:r>
      <w:r>
        <w:t>1</w:t>
      </w:r>
      <w:r w:rsidRPr="00557082">
        <w:t xml:space="preserve"> billion litres </w:t>
      </w:r>
      <w:r>
        <w:t xml:space="preserve">in 2013-14 </w:t>
      </w:r>
      <w:r w:rsidRPr="00557082">
        <w:t>(66 per cent of Australia’s total milk production) from 6.</w:t>
      </w:r>
      <w:r>
        <w:t>04</w:t>
      </w:r>
      <w:r w:rsidRPr="00557082">
        <w:t xml:space="preserve"> billion litres in 201</w:t>
      </w:r>
      <w:r>
        <w:t>2</w:t>
      </w:r>
      <w:r w:rsidRPr="00557082">
        <w:t>-1</w:t>
      </w:r>
      <w:r>
        <w:t>3 (Figure 1)</w:t>
      </w:r>
      <w:r>
        <w:rPr>
          <w:rStyle w:val="EndnoteReference"/>
        </w:rPr>
        <w:endnoteReference w:id="5"/>
      </w:r>
      <w:r>
        <w:t xml:space="preserve"> and is</w:t>
      </w:r>
      <w:r w:rsidRPr="00557082">
        <w:t xml:space="preserve"> above the rolling average for milk production over the last </w:t>
      </w:r>
      <w:r>
        <w:t>five</w:t>
      </w:r>
      <w:r w:rsidRPr="00557082">
        <w:t xml:space="preserve"> years.</w:t>
      </w:r>
      <w:r>
        <w:t xml:space="preserve"> Victoria’s milk production peaked in 2001-02 at 7.4 billion litres, more than double the three billion litres produced in 1980-81. Yield per cow has increased from 3,012 litres in 1979-1980 to 5,611 litres in 2012-13.</w:t>
      </w:r>
    </w:p>
    <w:p w:rsidR="00F813F5" w:rsidRDefault="00F813F5" w:rsidP="00F813F5">
      <w:pPr>
        <w:pStyle w:val="Body"/>
        <w:jc w:val="both"/>
      </w:pPr>
      <w:r>
        <w:t>Across the North in 2013-14, farms experienced very dry conditions with 30 per cent below average rainfall. Some areas had the driest summer on record.</w:t>
      </w:r>
      <w:r w:rsidRPr="002F2E07">
        <w:t xml:space="preserve"> Milk prices rose by 5</w:t>
      </w:r>
      <w:r>
        <w:t xml:space="preserve"> per cent, but the cost of production also rose. In contrast, the South had rainfall that was 15 per cent below average, but </w:t>
      </w:r>
      <w:r w:rsidR="00CF0031">
        <w:t xml:space="preserve">south-eastern Victoria </w:t>
      </w:r>
      <w:r>
        <w:t>generally experienced more favourable seasonal conditions for most of the year. Milk prices</w:t>
      </w:r>
      <w:r w:rsidR="00CF0031">
        <w:t xml:space="preserve"> in the South</w:t>
      </w:r>
      <w:r>
        <w:t xml:space="preserve"> increased by around 11 per cent over the previous year, improving farmer confidence</w:t>
      </w:r>
      <w:r>
        <w:rPr>
          <w:rStyle w:val="EndnoteReference"/>
        </w:rPr>
        <w:endnoteReference w:id="6"/>
      </w:r>
      <w:r>
        <w:t>.</w:t>
      </w:r>
    </w:p>
    <w:p w:rsidR="00F813F5" w:rsidRPr="00104493" w:rsidRDefault="00F813F5" w:rsidP="00F813F5">
      <w:pPr>
        <w:pStyle w:val="HB"/>
        <w:jc w:val="both"/>
      </w:pPr>
      <w:r>
        <w:t>Milk p</w:t>
      </w:r>
      <w:r w:rsidRPr="00104493">
        <w:t>rice</w:t>
      </w:r>
    </w:p>
    <w:p w:rsidR="00F813F5" w:rsidRDefault="00F813F5" w:rsidP="00F813F5">
      <w:pPr>
        <w:pStyle w:val="Body"/>
        <w:jc w:val="both"/>
      </w:pPr>
      <w:r>
        <w:t xml:space="preserve">The liquid milk market only consumes about 10 per cent of Victorian production, with most Victorian dairy farmers supplying to the manufacturing sector. As such, farm gate prices in </w:t>
      </w:r>
      <w:smartTag w:uri="urn:schemas-microsoft-com:office:smarttags" w:element="State">
        <w:smartTag w:uri="urn:schemas-microsoft-com:office:smarttags" w:element="place">
          <w:r>
            <w:t>Victoria</w:t>
          </w:r>
        </w:smartTag>
      </w:smartTag>
      <w:r>
        <w:t xml:space="preserve"> are strongly influenced by global dairy prices and exchange rates. Historically, Victorian farm gate prices (Figure 3) have followed global prices (Figure 4) with only a small lag.</w:t>
      </w:r>
    </w:p>
    <w:p w:rsidR="00F813F5" w:rsidRDefault="00F813F5" w:rsidP="00F813F5">
      <w:pPr>
        <w:pStyle w:val="Body"/>
        <w:jc w:val="both"/>
      </w:pPr>
    </w:p>
    <w:p w:rsidR="00F813F5" w:rsidRDefault="00F813F5" w:rsidP="00F813F5">
      <w:pPr>
        <w:pStyle w:val="TableTitle"/>
        <w:spacing w:before="100" w:beforeAutospacing="1" w:after="100" w:afterAutospacing="1"/>
      </w:pPr>
      <w:r w:rsidRPr="00104493">
        <w:t>Figure 1</w:t>
      </w:r>
      <w:r>
        <w:t xml:space="preserve"> – </w:t>
      </w:r>
      <w:r w:rsidRPr="00104493">
        <w:t>Victoria’s milk production regions</w:t>
      </w:r>
      <w:r>
        <w:rPr>
          <w:rStyle w:val="EndnoteReference"/>
        </w:rPr>
        <w:endnoteReference w:id="7"/>
      </w:r>
    </w:p>
    <w:p w:rsidR="00F813F5" w:rsidRDefault="00F813F5" w:rsidP="00F813F5">
      <w:pPr>
        <w:pStyle w:val="NormalWeb"/>
      </w:pPr>
      <w:r>
        <w:rPr>
          <w:noProof/>
        </w:rPr>
        <w:drawing>
          <wp:inline distT="0" distB="0" distL="0" distR="0" wp14:anchorId="58C75CCA" wp14:editId="733F9D94">
            <wp:extent cx="5375189" cy="4354532"/>
            <wp:effectExtent l="19050" t="19050" r="16510" b="273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90459" cy="4366903"/>
                    </a:xfrm>
                    <a:prstGeom prst="rect">
                      <a:avLst/>
                    </a:prstGeom>
                    <a:noFill/>
                    <a:ln w="12700">
                      <a:solidFill>
                        <a:schemeClr val="tx1"/>
                      </a:solidFill>
                    </a:ln>
                  </pic:spPr>
                </pic:pic>
              </a:graphicData>
            </a:graphic>
          </wp:inline>
        </w:drawing>
      </w:r>
    </w:p>
    <w:p w:rsidR="00F813F5" w:rsidRDefault="00F813F5" w:rsidP="00F813F5">
      <w:pPr>
        <w:pStyle w:val="TableTitle"/>
      </w:pPr>
      <w:r w:rsidRPr="00104493">
        <w:rPr>
          <w:bCs/>
        </w:rPr>
        <w:t>Figure 2</w:t>
      </w:r>
      <w:r w:rsidRPr="00A64981">
        <w:t xml:space="preserve"> </w:t>
      </w:r>
      <w:r w:rsidRPr="00C45FC0">
        <w:rPr>
          <w:color w:val="000000" w:themeColor="text1"/>
        </w:rPr>
        <w:t>–</w:t>
      </w:r>
      <w:r w:rsidRPr="00112454">
        <w:rPr>
          <w:b w:val="0"/>
          <w:color w:val="000000" w:themeColor="text1"/>
        </w:rPr>
        <w:t xml:space="preserve"> </w:t>
      </w:r>
      <w:r w:rsidRPr="00104493">
        <w:rPr>
          <w:bCs/>
        </w:rPr>
        <w:t xml:space="preserve">Victorian </w:t>
      </w:r>
      <w:r>
        <w:rPr>
          <w:bCs/>
        </w:rPr>
        <w:t>m</w:t>
      </w:r>
      <w:r w:rsidRPr="00104493">
        <w:rPr>
          <w:bCs/>
        </w:rPr>
        <w:t xml:space="preserve">ilk </w:t>
      </w:r>
      <w:r>
        <w:rPr>
          <w:bCs/>
        </w:rPr>
        <w:t>p</w:t>
      </w:r>
      <w:r w:rsidRPr="00104493">
        <w:rPr>
          <w:bCs/>
        </w:rPr>
        <w:t>roduction</w:t>
      </w:r>
      <w:r>
        <w:rPr>
          <w:rStyle w:val="EndnoteReference"/>
          <w:bCs/>
        </w:rPr>
        <w:endnoteReference w:id="8"/>
      </w:r>
      <w:r w:rsidRPr="00104493">
        <w:rPr>
          <w:bCs/>
        </w:rPr>
        <w:br/>
      </w:r>
    </w:p>
    <w:p w:rsidR="00F813F5" w:rsidRDefault="00F813F5" w:rsidP="00F813F5">
      <w:pPr>
        <w:pStyle w:val="HB"/>
      </w:pPr>
      <w:r>
        <w:rPr>
          <w:noProof/>
          <w:lang w:eastAsia="en-AU"/>
        </w:rPr>
        <w:drawing>
          <wp:inline distT="0" distB="0" distL="0" distR="0" wp14:anchorId="6A8D1BB1" wp14:editId="426C48EA">
            <wp:extent cx="5400000" cy="2880000"/>
            <wp:effectExtent l="0" t="0" r="10795" b="15875"/>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F813F5" w:rsidRDefault="00F813F5" w:rsidP="00F813F5">
      <w:pPr>
        <w:pStyle w:val="HB"/>
        <w:jc w:val="both"/>
      </w:pPr>
    </w:p>
    <w:p w:rsidR="00F813F5" w:rsidRDefault="00F813F5" w:rsidP="00F813F5">
      <w:pPr>
        <w:rPr>
          <w:rFonts w:ascii="Arial" w:hAnsi="Arial" w:cs="Arial"/>
          <w:b/>
          <w:color w:val="404040"/>
          <w:sz w:val="18"/>
          <w:szCs w:val="18"/>
          <w:lang w:eastAsia="en-US"/>
        </w:rPr>
      </w:pPr>
      <w:r>
        <w:br w:type="page"/>
      </w:r>
    </w:p>
    <w:p w:rsidR="00F813F5" w:rsidRDefault="00F813F5" w:rsidP="00037E04">
      <w:pPr>
        <w:pStyle w:val="TableTitle"/>
        <w:spacing w:before="100" w:beforeAutospacing="1" w:after="100" w:afterAutospacing="1"/>
      </w:pPr>
      <w:r>
        <w:t>Figure 3 – Victorian farm gate milk prices</w:t>
      </w:r>
      <w:r>
        <w:rPr>
          <w:rStyle w:val="EndnoteReference"/>
        </w:rPr>
        <w:endnoteReference w:id="9"/>
      </w:r>
    </w:p>
    <w:p w:rsidR="00F813F5" w:rsidRDefault="00F813F5" w:rsidP="00037E04">
      <w:pPr>
        <w:pStyle w:val="Heading4"/>
        <w:rPr>
          <w:noProof/>
        </w:rPr>
      </w:pPr>
      <w:r>
        <w:rPr>
          <w:noProof/>
        </w:rPr>
        <w:drawing>
          <wp:inline distT="0" distB="0" distL="0" distR="0" wp14:anchorId="4F361D43" wp14:editId="6A0D6E86">
            <wp:extent cx="5400000" cy="2880000"/>
            <wp:effectExtent l="0" t="0" r="10795" b="15875"/>
            <wp:docPr id="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F813F5" w:rsidRDefault="00F813F5" w:rsidP="00F813F5">
      <w:pPr>
        <w:pStyle w:val="Body"/>
        <w:jc w:val="both"/>
      </w:pPr>
      <w:r>
        <w:t>In 2013-14 Victoria’s average milk price increased by 35 per cent compared to 2012-13, from $5.05 to $6.81 per kilogram of milk solids ($/kg MS)</w:t>
      </w:r>
      <w:r>
        <w:rPr>
          <w:rStyle w:val="EndnoteReference"/>
        </w:rPr>
        <w:endnoteReference w:id="10"/>
      </w:r>
      <w:r>
        <w:t>.</w:t>
      </w:r>
      <w:r w:rsidRPr="00DA4953">
        <w:t xml:space="preserve"> </w:t>
      </w:r>
      <w:r>
        <w:t>This price increase followed a 7 per cent decline in milk prices from 2011-12 to 2012-13. Compared to 2012-13, the average milk price in the Northern region increased by 35 per cent to $6.81/kg MS. The average milk price in the South West increased by 41 per cent, closing the year at $6.91/kg MS, while in Gippsland m</w:t>
      </w:r>
      <w:r w:rsidRPr="00AC485C">
        <w:t>ilk price</w:t>
      </w:r>
      <w:r>
        <w:t>s</w:t>
      </w:r>
      <w:r w:rsidRPr="00AC485C">
        <w:t xml:space="preserve"> </w:t>
      </w:r>
      <w:r>
        <w:t>increased by</w:t>
      </w:r>
      <w:r w:rsidRPr="00AC485C">
        <w:t xml:space="preserve"> </w:t>
      </w:r>
      <w:r>
        <w:t>39 per cent</w:t>
      </w:r>
      <w:r w:rsidRPr="00AC485C">
        <w:t xml:space="preserve"> to $</w:t>
      </w:r>
      <w:r>
        <w:t>6.62</w:t>
      </w:r>
      <w:r w:rsidRPr="00AC485C">
        <w:t>/kg</w:t>
      </w:r>
      <w:r>
        <w:t xml:space="preserve"> </w:t>
      </w:r>
      <w:r w:rsidRPr="00AC485C">
        <w:t>MS</w:t>
      </w:r>
      <w:r>
        <w:t>.</w:t>
      </w:r>
    </w:p>
    <w:p w:rsidR="00F813F5" w:rsidRDefault="00F813F5" w:rsidP="00F813F5">
      <w:pPr>
        <w:pStyle w:val="Body"/>
        <w:jc w:val="both"/>
      </w:pPr>
      <w:r>
        <w:t>Both the Victorian farm gate milk price and the global, indicative export price peaked in 2013-14 and 2007-08, with another smaller peak in 2010-11. Prices in below-average years follow the same pattern between the farm gate and global export prices.</w:t>
      </w:r>
    </w:p>
    <w:p w:rsidR="00F813F5" w:rsidRDefault="00F813F5" w:rsidP="00037E04">
      <w:pPr>
        <w:pStyle w:val="TableTitle"/>
        <w:spacing w:before="100" w:beforeAutospacing="1" w:after="100" w:afterAutospacing="1"/>
      </w:pPr>
      <w:r w:rsidRPr="0097469B">
        <w:t xml:space="preserve">Figure 4 </w:t>
      </w:r>
      <w:r w:rsidR="00C45FC0">
        <w:t>–</w:t>
      </w:r>
      <w:r w:rsidRPr="0097469B">
        <w:t xml:space="preserve"> European and Oceania average indicative export price for skim milk powder</w:t>
      </w:r>
      <w:r>
        <w:rPr>
          <w:rStyle w:val="EndnoteReference"/>
        </w:rPr>
        <w:endnoteReference w:id="11"/>
      </w:r>
    </w:p>
    <w:p w:rsidR="00F813F5" w:rsidRPr="0097469B" w:rsidRDefault="00F813F5" w:rsidP="00037E04">
      <w:pPr>
        <w:pStyle w:val="Body"/>
      </w:pPr>
      <w:r>
        <w:rPr>
          <w:noProof/>
          <w:lang w:eastAsia="en-AU"/>
        </w:rPr>
        <w:drawing>
          <wp:inline distT="0" distB="0" distL="0" distR="0" wp14:anchorId="20560D0F" wp14:editId="203FAE06">
            <wp:extent cx="5401056" cy="3145536"/>
            <wp:effectExtent l="0" t="0" r="9525" b="17145"/>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432473" w:rsidRDefault="00432473">
      <w:pPr>
        <w:spacing w:after="200" w:line="276" w:lineRule="auto"/>
        <w:rPr>
          <w:rFonts w:ascii="Arial" w:hAnsi="Arial" w:cs="Arial"/>
          <w:b/>
          <w:color w:val="F58426"/>
          <w:lang w:eastAsia="en-US"/>
        </w:rPr>
      </w:pPr>
      <w:r>
        <w:br w:type="page"/>
      </w:r>
    </w:p>
    <w:p w:rsidR="00F813F5" w:rsidRPr="00104493" w:rsidRDefault="00F813F5" w:rsidP="00F813F5">
      <w:pPr>
        <w:pStyle w:val="HB"/>
        <w:keepNext/>
        <w:jc w:val="both"/>
      </w:pPr>
      <w:r w:rsidRPr="00104493">
        <w:t>Outlook</w:t>
      </w:r>
      <w:r>
        <w:t xml:space="preserve"> for the 2014-15 season</w:t>
      </w:r>
    </w:p>
    <w:p w:rsidR="00F813F5" w:rsidRDefault="00F813F5" w:rsidP="00F813F5">
      <w:pPr>
        <w:pStyle w:val="Body"/>
        <w:jc w:val="both"/>
      </w:pPr>
      <w:r w:rsidRPr="00E9320D">
        <w:t>The farm gate milk price reached an average of $6.79/kg MS in the 2013-14 season</w:t>
      </w:r>
      <w:r>
        <w:t>, which is the second-highest on record since 2006-07. In 2014-15, in contrast, the farm gate milk price is forecast to fall by 10 per cent to an average of around $6.08</w:t>
      </w:r>
      <w:r w:rsidRPr="00E9320D">
        <w:t>/kg MS</w:t>
      </w:r>
      <w:r>
        <w:t>, reflecting mainly lower world dairy product prices</w:t>
      </w:r>
      <w:r>
        <w:rPr>
          <w:rStyle w:val="EndnoteReference"/>
        </w:rPr>
        <w:endnoteReference w:id="12"/>
      </w:r>
      <w:r>
        <w:t>. A predicted depreciation of the Australian dollar will partially offset this.</w:t>
      </w:r>
    </w:p>
    <w:p w:rsidR="00F813F5" w:rsidRPr="00104493" w:rsidRDefault="00F813F5" w:rsidP="00F813F5">
      <w:pPr>
        <w:pStyle w:val="Body"/>
        <w:jc w:val="both"/>
      </w:pPr>
      <w:r>
        <w:t>After an initial slowdown in the early stages of the 2014-15 season, Australian milk production is tracking 2.8 per cent ahead of last season, at 2.34 billion litres from July to September 2014</w:t>
      </w:r>
      <w:r>
        <w:rPr>
          <w:rStyle w:val="EndnoteReference"/>
        </w:rPr>
        <w:endnoteReference w:id="13"/>
      </w:r>
      <w:r>
        <w:t xml:space="preserve">. Weather conditions have been mixed, but a stronger production peak than last year is likely. </w:t>
      </w:r>
      <w:r w:rsidRPr="00583610">
        <w:t xml:space="preserve">Dairy Australia forecasts </w:t>
      </w:r>
      <w:r>
        <w:t>that for 2014-15 growth will remain at around 2 per cent, generating a production range of 9.35 to 9.45 billion litres. The national dairy cow herd is forecast to remain largely unchanged at 1.7 million head.</w:t>
      </w:r>
    </w:p>
    <w:p w:rsidR="00F813F5" w:rsidRPr="00104493" w:rsidRDefault="00F813F5" w:rsidP="00F813F5">
      <w:pPr>
        <w:pStyle w:val="HB"/>
        <w:jc w:val="both"/>
      </w:pPr>
      <w:r w:rsidRPr="00104493">
        <w:t>Victorian export</w:t>
      </w:r>
      <w:r>
        <w:t>s</w:t>
      </w:r>
      <w:r w:rsidRPr="00104493">
        <w:t xml:space="preserve"> and </w:t>
      </w:r>
      <w:r>
        <w:t>d</w:t>
      </w:r>
      <w:r w:rsidRPr="00104493">
        <w:t xml:space="preserve">omestic </w:t>
      </w:r>
      <w:r>
        <w:t>consumption of</w:t>
      </w:r>
      <w:r w:rsidRPr="00104493">
        <w:t xml:space="preserve"> dairy products</w:t>
      </w:r>
    </w:p>
    <w:p w:rsidR="00F813F5" w:rsidRDefault="00F813F5" w:rsidP="00F813F5">
      <w:pPr>
        <w:pStyle w:val="Body"/>
        <w:jc w:val="both"/>
      </w:pPr>
      <w:r>
        <w:t>Over recent years Australia exported around 40 to 45 per cent of its milk production. Australian dairy exports currently account for seven per cent of dairy products entering world trade and are worth around 2.76 billion in 2012-13. The other large suppliers in the world market are New Zealand (37 per cent), the European Union (31 per cent) and the United States of America (11 per cent)</w:t>
      </w:r>
      <w:r>
        <w:rPr>
          <w:rStyle w:val="EndnoteReference"/>
        </w:rPr>
        <w:endnoteReference w:id="14"/>
      </w:r>
      <w:r>
        <w:t>.</w:t>
      </w:r>
    </w:p>
    <w:p w:rsidR="00F813F5" w:rsidRDefault="00F813F5" w:rsidP="00F813F5">
      <w:pPr>
        <w:pStyle w:val="Body"/>
        <w:jc w:val="both"/>
      </w:pPr>
      <w:r>
        <w:t>Victoria’s dairy product exports in 2013-14 were worth $2.3  billion, an increase of 23 per cent from 2012-13</w:t>
      </w:r>
      <w:r>
        <w:rPr>
          <w:rStyle w:val="EndnoteReference"/>
        </w:rPr>
        <w:endnoteReference w:id="15"/>
      </w:r>
      <w:r>
        <w:t xml:space="preserve">. </w:t>
      </w:r>
      <w:smartTag w:uri="urn:schemas-microsoft-com:office:smarttags" w:element="State">
        <w:smartTag w:uri="urn:schemas-microsoft-com:office:smarttags" w:element="place">
          <w:r>
            <w:t>Victoria</w:t>
          </w:r>
        </w:smartTag>
      </w:smartTag>
      <w:r>
        <w:t xml:space="preserve"> supplies around 85 per cent of national dairy exports.</w:t>
      </w:r>
      <w:r w:rsidRPr="002D14AA">
        <w:t xml:space="preserve"> </w:t>
      </w:r>
      <w:r>
        <w:t xml:space="preserve">Milk and cream, and cheese and whey, products dominate Victorian dairy exports (Table 1). In 2013-14, the main markets for Victorian dairy products, by value, were China (16 per cent), </w:t>
      </w:r>
      <w:smartTag w:uri="urn:schemas-microsoft-com:office:smarttags" w:element="country-region">
        <w:r>
          <w:t>Japan</w:t>
        </w:r>
      </w:smartTag>
      <w:r>
        <w:t xml:space="preserve"> (16 per cent), Singapore (10 per cent) and </w:t>
      </w:r>
      <w:smartTag w:uri="urn:schemas-microsoft-com:office:smarttags" w:element="country-region">
        <w:r>
          <w:t>Indonesia</w:t>
        </w:r>
      </w:smartTag>
      <w:r>
        <w:t xml:space="preserve"> (8 per cent).  </w:t>
      </w:r>
    </w:p>
    <w:p w:rsidR="00F813F5" w:rsidRDefault="00F813F5" w:rsidP="00037E04">
      <w:pPr>
        <w:pStyle w:val="TableTitle"/>
        <w:rPr>
          <w:rStyle w:val="Strong"/>
          <w:rFonts w:ascii="Times New Roman" w:hAnsi="Times New Roman" w:cs="Times New Roman"/>
          <w:b/>
          <w:color w:val="auto"/>
          <w:sz w:val="24"/>
          <w:szCs w:val="24"/>
          <w:lang w:eastAsia="en-AU"/>
        </w:rPr>
      </w:pPr>
      <w:r w:rsidRPr="00104493">
        <w:t xml:space="preserve">Table </w:t>
      </w:r>
      <w:r>
        <w:t xml:space="preserve">1 – </w:t>
      </w:r>
      <w:r w:rsidRPr="00104493">
        <w:t>Victorian exports of dairy products</w:t>
      </w:r>
      <w:r>
        <w:t>, 2013-14</w:t>
      </w:r>
    </w:p>
    <w:tbl>
      <w:tblPr>
        <w:tblStyle w:val="ColorfulGrid-Accent6"/>
        <w:tblW w:w="6204" w:type="dxa"/>
        <w:tblLook w:val="04A0" w:firstRow="1" w:lastRow="0" w:firstColumn="1" w:lastColumn="0" w:noHBand="0" w:noVBand="1"/>
      </w:tblPr>
      <w:tblGrid>
        <w:gridCol w:w="4212"/>
        <w:gridCol w:w="1992"/>
      </w:tblGrid>
      <w:tr w:rsidR="00F813F5" w:rsidRPr="00D61CDA" w:rsidTr="00037E0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2" w:type="dxa"/>
          </w:tcPr>
          <w:p w:rsidR="00F813F5" w:rsidRPr="00112454" w:rsidRDefault="00F813F5" w:rsidP="00E05E71">
            <w:pPr>
              <w:pStyle w:val="NormalWeb"/>
              <w:jc w:val="both"/>
              <w:rPr>
                <w:rStyle w:val="Strong"/>
                <w:rFonts w:ascii="Arial" w:hAnsi="Arial" w:cs="Arial"/>
                <w:sz w:val="16"/>
                <w:szCs w:val="16"/>
              </w:rPr>
            </w:pPr>
            <w:r w:rsidRPr="00112454">
              <w:rPr>
                <w:rStyle w:val="Strong"/>
                <w:rFonts w:ascii="Arial" w:hAnsi="Arial" w:cs="Arial"/>
                <w:sz w:val="16"/>
                <w:szCs w:val="16"/>
              </w:rPr>
              <w:t>Product</w:t>
            </w:r>
          </w:p>
        </w:tc>
        <w:tc>
          <w:tcPr>
            <w:tcW w:w="1992" w:type="dxa"/>
          </w:tcPr>
          <w:p w:rsidR="00F813F5" w:rsidRPr="00112454" w:rsidRDefault="00F813F5" w:rsidP="00E05E71">
            <w:pPr>
              <w:pStyle w:val="NormalWeb"/>
              <w:jc w:val="right"/>
              <w:cnfStyle w:val="100000000000" w:firstRow="1" w:lastRow="0" w:firstColumn="0" w:lastColumn="0" w:oddVBand="0" w:evenVBand="0" w:oddHBand="0" w:evenHBand="0" w:firstRowFirstColumn="0" w:firstRowLastColumn="0" w:lastRowFirstColumn="0" w:lastRowLastColumn="0"/>
              <w:rPr>
                <w:rStyle w:val="Strong"/>
                <w:rFonts w:ascii="Arial" w:hAnsi="Arial" w:cs="Arial"/>
                <w:sz w:val="16"/>
                <w:szCs w:val="16"/>
              </w:rPr>
            </w:pPr>
            <w:r w:rsidRPr="00112454">
              <w:rPr>
                <w:rStyle w:val="Strong"/>
                <w:rFonts w:ascii="Arial" w:hAnsi="Arial" w:cs="Arial"/>
                <w:sz w:val="16"/>
                <w:szCs w:val="16"/>
              </w:rPr>
              <w:t>Value ($ million)</w:t>
            </w:r>
          </w:p>
        </w:tc>
      </w:tr>
      <w:tr w:rsidR="00F813F5" w:rsidRPr="00D61CDA" w:rsidTr="00037E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2" w:type="dxa"/>
          </w:tcPr>
          <w:p w:rsidR="00F813F5" w:rsidRPr="00112454" w:rsidRDefault="00F813F5" w:rsidP="00E05E71">
            <w:pPr>
              <w:jc w:val="both"/>
              <w:rPr>
                <w:rFonts w:ascii="Arial" w:hAnsi="Arial" w:cs="Arial"/>
                <w:sz w:val="16"/>
                <w:szCs w:val="16"/>
              </w:rPr>
            </w:pPr>
            <w:r w:rsidRPr="00112454">
              <w:rPr>
                <w:rFonts w:ascii="Arial" w:hAnsi="Arial" w:cs="Arial"/>
                <w:sz w:val="16"/>
                <w:szCs w:val="16"/>
              </w:rPr>
              <w:t>Milk and cream</w:t>
            </w:r>
          </w:p>
        </w:tc>
        <w:tc>
          <w:tcPr>
            <w:tcW w:w="1992" w:type="dxa"/>
          </w:tcPr>
          <w:p w:rsidR="00F813F5" w:rsidRPr="00112454" w:rsidRDefault="00F813F5" w:rsidP="00E05E71">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2454">
              <w:rPr>
                <w:rFonts w:ascii="Arial" w:hAnsi="Arial" w:cs="Arial"/>
                <w:sz w:val="16"/>
                <w:szCs w:val="16"/>
              </w:rPr>
              <w:t xml:space="preserve">1,252   </w:t>
            </w:r>
          </w:p>
        </w:tc>
      </w:tr>
      <w:tr w:rsidR="00F813F5" w:rsidRPr="00D61CDA" w:rsidTr="00037E04">
        <w:tc>
          <w:tcPr>
            <w:cnfStyle w:val="001000000000" w:firstRow="0" w:lastRow="0" w:firstColumn="1" w:lastColumn="0" w:oddVBand="0" w:evenVBand="0" w:oddHBand="0" w:evenHBand="0" w:firstRowFirstColumn="0" w:firstRowLastColumn="0" w:lastRowFirstColumn="0" w:lastRowLastColumn="0"/>
            <w:tcW w:w="4212" w:type="dxa"/>
          </w:tcPr>
          <w:p w:rsidR="00F813F5" w:rsidRPr="00112454" w:rsidRDefault="00F813F5" w:rsidP="00E05E71">
            <w:pPr>
              <w:jc w:val="both"/>
              <w:rPr>
                <w:rFonts w:ascii="Arial" w:hAnsi="Arial" w:cs="Arial"/>
                <w:sz w:val="16"/>
                <w:szCs w:val="16"/>
              </w:rPr>
            </w:pPr>
            <w:r w:rsidRPr="00112454">
              <w:rPr>
                <w:rFonts w:ascii="Arial" w:hAnsi="Arial" w:cs="Arial"/>
                <w:sz w:val="16"/>
                <w:szCs w:val="16"/>
              </w:rPr>
              <w:t>Cheese and whey products</w:t>
            </w:r>
          </w:p>
        </w:tc>
        <w:tc>
          <w:tcPr>
            <w:tcW w:w="1992" w:type="dxa"/>
          </w:tcPr>
          <w:p w:rsidR="00F813F5" w:rsidRPr="00112454" w:rsidRDefault="00F813F5" w:rsidP="00E05E71">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2454">
              <w:rPr>
                <w:rFonts w:ascii="Arial" w:hAnsi="Arial" w:cs="Arial"/>
                <w:sz w:val="16"/>
                <w:szCs w:val="16"/>
              </w:rPr>
              <w:t xml:space="preserve">723    </w:t>
            </w:r>
          </w:p>
        </w:tc>
      </w:tr>
      <w:tr w:rsidR="00F813F5" w:rsidRPr="00D61CDA" w:rsidTr="00037E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2" w:type="dxa"/>
          </w:tcPr>
          <w:p w:rsidR="00F813F5" w:rsidRPr="00112454" w:rsidRDefault="00F813F5" w:rsidP="00E05E71">
            <w:pPr>
              <w:jc w:val="both"/>
              <w:rPr>
                <w:rFonts w:ascii="Arial" w:hAnsi="Arial" w:cs="Arial"/>
                <w:sz w:val="16"/>
                <w:szCs w:val="16"/>
              </w:rPr>
            </w:pPr>
            <w:r w:rsidRPr="00112454">
              <w:rPr>
                <w:rFonts w:ascii="Arial" w:hAnsi="Arial" w:cs="Arial"/>
                <w:sz w:val="16"/>
                <w:szCs w:val="16"/>
              </w:rPr>
              <w:t>Butters, fats and oils</w:t>
            </w:r>
          </w:p>
        </w:tc>
        <w:tc>
          <w:tcPr>
            <w:tcW w:w="1992" w:type="dxa"/>
          </w:tcPr>
          <w:p w:rsidR="00F813F5" w:rsidRPr="00112454" w:rsidRDefault="00F813F5" w:rsidP="00E05E71">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2454">
              <w:rPr>
                <w:rFonts w:ascii="Arial" w:hAnsi="Arial" w:cs="Arial"/>
                <w:sz w:val="16"/>
                <w:szCs w:val="16"/>
              </w:rPr>
              <w:t xml:space="preserve">224    </w:t>
            </w:r>
          </w:p>
        </w:tc>
      </w:tr>
      <w:tr w:rsidR="00F813F5" w:rsidRPr="00D61CDA" w:rsidTr="00037E04">
        <w:tc>
          <w:tcPr>
            <w:cnfStyle w:val="001000000000" w:firstRow="0" w:lastRow="0" w:firstColumn="1" w:lastColumn="0" w:oddVBand="0" w:evenVBand="0" w:oddHBand="0" w:evenHBand="0" w:firstRowFirstColumn="0" w:firstRowLastColumn="0" w:lastRowFirstColumn="0" w:lastRowLastColumn="0"/>
            <w:tcW w:w="4212" w:type="dxa"/>
          </w:tcPr>
          <w:p w:rsidR="00F813F5" w:rsidRPr="00112454" w:rsidRDefault="00F813F5" w:rsidP="00E05E71">
            <w:pPr>
              <w:jc w:val="both"/>
              <w:rPr>
                <w:rFonts w:ascii="Arial" w:hAnsi="Arial" w:cs="Arial"/>
                <w:sz w:val="16"/>
                <w:szCs w:val="16"/>
              </w:rPr>
            </w:pPr>
            <w:r w:rsidRPr="00112454">
              <w:rPr>
                <w:rFonts w:ascii="Arial" w:hAnsi="Arial" w:cs="Arial"/>
                <w:sz w:val="16"/>
                <w:szCs w:val="16"/>
              </w:rPr>
              <w:t>Yoghurt and Fermented drinks</w:t>
            </w:r>
          </w:p>
        </w:tc>
        <w:tc>
          <w:tcPr>
            <w:tcW w:w="1992" w:type="dxa"/>
          </w:tcPr>
          <w:p w:rsidR="00F813F5" w:rsidRPr="00112454" w:rsidRDefault="00F813F5" w:rsidP="00E05E71">
            <w:pPr>
              <w:jc w:val="right"/>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112454">
              <w:rPr>
                <w:rFonts w:ascii="Arial" w:hAnsi="Arial" w:cs="Arial"/>
                <w:sz w:val="16"/>
                <w:szCs w:val="16"/>
              </w:rPr>
              <w:t xml:space="preserve">55      </w:t>
            </w:r>
          </w:p>
        </w:tc>
      </w:tr>
      <w:tr w:rsidR="00F813F5" w:rsidRPr="00D61CDA" w:rsidTr="00037E0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2" w:type="dxa"/>
          </w:tcPr>
          <w:p w:rsidR="00F813F5" w:rsidRPr="00112454" w:rsidRDefault="00F813F5" w:rsidP="00E05E71">
            <w:pPr>
              <w:jc w:val="both"/>
              <w:rPr>
                <w:rFonts w:ascii="Arial" w:hAnsi="Arial" w:cs="Arial"/>
                <w:sz w:val="16"/>
                <w:szCs w:val="16"/>
              </w:rPr>
            </w:pPr>
            <w:r w:rsidRPr="00112454">
              <w:rPr>
                <w:rFonts w:ascii="Arial" w:hAnsi="Arial" w:cs="Arial"/>
                <w:sz w:val="16"/>
                <w:szCs w:val="16"/>
              </w:rPr>
              <w:t>Milk extracts</w:t>
            </w:r>
          </w:p>
        </w:tc>
        <w:tc>
          <w:tcPr>
            <w:tcW w:w="1992" w:type="dxa"/>
          </w:tcPr>
          <w:p w:rsidR="00F813F5" w:rsidRPr="00112454" w:rsidRDefault="00F813F5" w:rsidP="00E05E71">
            <w:pPr>
              <w:jc w:val="right"/>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112454">
              <w:rPr>
                <w:rFonts w:ascii="Arial" w:hAnsi="Arial" w:cs="Arial"/>
                <w:sz w:val="16"/>
                <w:szCs w:val="16"/>
              </w:rPr>
              <w:t xml:space="preserve">41      </w:t>
            </w:r>
          </w:p>
        </w:tc>
      </w:tr>
      <w:tr w:rsidR="00F813F5" w:rsidRPr="00D61CDA" w:rsidTr="00037E04">
        <w:tc>
          <w:tcPr>
            <w:cnfStyle w:val="001000000000" w:firstRow="0" w:lastRow="0" w:firstColumn="1" w:lastColumn="0" w:oddVBand="0" w:evenVBand="0" w:oddHBand="0" w:evenHBand="0" w:firstRowFirstColumn="0" w:firstRowLastColumn="0" w:lastRowFirstColumn="0" w:lastRowLastColumn="0"/>
            <w:tcW w:w="4212" w:type="dxa"/>
          </w:tcPr>
          <w:p w:rsidR="00F813F5" w:rsidRPr="00112454" w:rsidRDefault="00F813F5" w:rsidP="00E05E71">
            <w:pPr>
              <w:jc w:val="both"/>
              <w:rPr>
                <w:rFonts w:ascii="Arial" w:hAnsi="Arial" w:cs="Arial"/>
                <w:b/>
                <w:sz w:val="16"/>
                <w:szCs w:val="16"/>
              </w:rPr>
            </w:pPr>
            <w:r w:rsidRPr="00112454">
              <w:rPr>
                <w:rStyle w:val="Strong"/>
                <w:rFonts w:ascii="Arial" w:hAnsi="Arial" w:cs="Arial"/>
                <w:sz w:val="16"/>
                <w:szCs w:val="16"/>
              </w:rPr>
              <w:t>Total</w:t>
            </w:r>
          </w:p>
        </w:tc>
        <w:tc>
          <w:tcPr>
            <w:tcW w:w="1992" w:type="dxa"/>
          </w:tcPr>
          <w:p w:rsidR="00F813F5" w:rsidRPr="00112454" w:rsidRDefault="00F813F5" w:rsidP="00E05E71">
            <w:pPr>
              <w:jc w:val="right"/>
              <w:cnfStyle w:val="000000000000" w:firstRow="0" w:lastRow="0" w:firstColumn="0" w:lastColumn="0" w:oddVBand="0" w:evenVBand="0" w:oddHBand="0" w:evenHBand="0" w:firstRowFirstColumn="0" w:firstRowLastColumn="0" w:lastRowFirstColumn="0" w:lastRowLastColumn="0"/>
              <w:rPr>
                <w:rFonts w:ascii="Arial" w:hAnsi="Arial" w:cs="Arial"/>
                <w:b/>
                <w:sz w:val="16"/>
                <w:szCs w:val="16"/>
              </w:rPr>
            </w:pPr>
            <w:r w:rsidRPr="00112454">
              <w:rPr>
                <w:rStyle w:val="Strong"/>
                <w:rFonts w:ascii="Arial" w:hAnsi="Arial" w:cs="Arial"/>
                <w:sz w:val="16"/>
                <w:szCs w:val="16"/>
              </w:rPr>
              <w:t xml:space="preserve">2,296   </w:t>
            </w:r>
          </w:p>
        </w:tc>
      </w:tr>
    </w:tbl>
    <w:p w:rsidR="00F813F5" w:rsidRDefault="00F813F5" w:rsidP="00F813F5">
      <w:pPr>
        <w:pStyle w:val="Body"/>
        <w:jc w:val="both"/>
      </w:pPr>
    </w:p>
    <w:p w:rsidR="00F813F5" w:rsidRDefault="00F813F5" w:rsidP="00F813F5">
      <w:pPr>
        <w:pStyle w:val="Body"/>
        <w:jc w:val="both"/>
      </w:pPr>
      <w:r>
        <w:t>Greater China (which includes mainland China, Hong Kong and Macau) is the fastest growing export market for Australian dairy products.</w:t>
      </w:r>
      <w:r w:rsidRPr="000142F3">
        <w:t xml:space="preserve"> </w:t>
      </w:r>
      <w:r>
        <w:t>The Chinese market for premium UHT milk exports is projected to grow by around 50 per cent from 2012 to 2017.</w:t>
      </w:r>
    </w:p>
    <w:p w:rsidR="00F813F5" w:rsidRDefault="00F813F5" w:rsidP="00F813F5">
      <w:pPr>
        <w:pStyle w:val="Body"/>
        <w:jc w:val="both"/>
      </w:pPr>
      <w:r>
        <w:t>The market for premium milk products in China is dominated by foreign suppliers, mainly New Zealand, Australia and the European Union. There has been strong growth in China’s premium dairy imports over recent years. China’s development of large-scale dairy farms (with over 500 cows) is aided by live imports of around 80,000 Victorian dairy heifers per annum. However, perceived safety concerns around domestically produced dairy products in China are driving demand for Victorian dairy products.</w:t>
      </w:r>
    </w:p>
    <w:p w:rsidR="00F813F5" w:rsidRDefault="00F813F5" w:rsidP="00F813F5">
      <w:pPr>
        <w:pStyle w:val="HB"/>
        <w:jc w:val="both"/>
      </w:pPr>
      <w:r>
        <w:t>Total factor productivity</w:t>
      </w:r>
    </w:p>
    <w:p w:rsidR="00F813F5" w:rsidRDefault="00F813F5" w:rsidP="00F813F5">
      <w:pPr>
        <w:pStyle w:val="Body"/>
        <w:jc w:val="both"/>
      </w:pPr>
      <w:r>
        <w:t>Ongoing structural adjustment has transformed the dairy industry in Australia, driving productivity growth. Productivity growth averaged 1.6 per cent a year from 1978-79 to 2011-12, growing most strongly in the decade since deregulation at a rate of 1.9 per cent</w:t>
      </w:r>
      <w:r>
        <w:rPr>
          <w:rStyle w:val="EndnoteReference"/>
        </w:rPr>
        <w:endnoteReference w:id="16"/>
      </w:r>
      <w:r>
        <w:t xml:space="preserve">. Before deregulation in July 2000, total industry output increased as a result of productivity growth and growth in total inputs used. Since the removal of industry price supports in 2000, industry output and input use have trended downward, with inputs contracting more rapidly than output and thereby resulting in productivity gains. Many smaller producers exited the industry, and the production share of small operators remaining in the industry gradually declined. In contrast to industry trends, individual dairy farms on average continued to expand their use of inputs, although at a slower rate than in the decades before deregulation. </w:t>
      </w:r>
    </w:p>
    <w:p w:rsidR="00F813F5" w:rsidRDefault="00F813F5" w:rsidP="00F813F5">
      <w:pPr>
        <w:pStyle w:val="Body"/>
        <w:jc w:val="both"/>
      </w:pPr>
      <w:r>
        <w:t>Victorian dairy industry productivity has grown at an annual average rate of 1.3 per cent from 1977-78 to 2011-12. Tasmania and Western Australia, having the highest proportion of large dairy farms, had the strongest productivity growth at rates above national average.</w:t>
      </w:r>
    </w:p>
    <w:p w:rsidR="00432473" w:rsidRDefault="00432473">
      <w:pPr>
        <w:spacing w:after="200" w:line="276" w:lineRule="auto"/>
        <w:rPr>
          <w:rFonts w:ascii="Arial" w:hAnsi="Arial" w:cs="Arial"/>
          <w:b/>
          <w:color w:val="F58426"/>
          <w:lang w:eastAsia="en-US"/>
        </w:rPr>
      </w:pPr>
      <w:r>
        <w:br w:type="page"/>
      </w:r>
    </w:p>
    <w:p w:rsidR="00F813F5" w:rsidRPr="00104493" w:rsidRDefault="00F813F5" w:rsidP="00F813F5">
      <w:pPr>
        <w:pStyle w:val="HB"/>
        <w:jc w:val="both"/>
      </w:pPr>
      <w:r w:rsidRPr="00104493">
        <w:t>Farm financial performance</w:t>
      </w:r>
    </w:p>
    <w:p w:rsidR="00F813F5" w:rsidRDefault="00F813F5" w:rsidP="00F813F5">
      <w:pPr>
        <w:pStyle w:val="Body"/>
        <w:jc w:val="both"/>
      </w:pPr>
      <w:r>
        <w:t>Dairy farm performance has been tracked by the Victorian Dairy Farm Monitor Project</w:t>
      </w:r>
      <w:r>
        <w:rPr>
          <w:rStyle w:val="EndnoteReference"/>
        </w:rPr>
        <w:endnoteReference w:id="17"/>
      </w:r>
      <w:r>
        <w:t>, which collects information from 75 dairy farms that are equally distributed between the three dairy regions of Victoria.</w:t>
      </w:r>
    </w:p>
    <w:p w:rsidR="00432473" w:rsidRDefault="00F813F5" w:rsidP="00DA06B6">
      <w:pPr>
        <w:pStyle w:val="Body"/>
        <w:jc w:val="both"/>
      </w:pPr>
      <w:r>
        <w:t>Profitability in the surveyed farms improved markedly in 2013-14 compared to the previous year’s performance as a result of favourable operating conditions. The price of milk reached an average of $6.79/kg MS, its second highest recorded level in real terms in the past eight years. Seasonal conditions were relatively favourable across most of the dairying areas. Average farm physical parameters across the survey sample are shown in Table 2 with average farm financial parameters reported in Table 3.</w:t>
      </w:r>
    </w:p>
    <w:p w:rsidR="00F813F5" w:rsidRDefault="00F813F5" w:rsidP="00432473">
      <w:pPr>
        <w:pStyle w:val="TableTitle"/>
      </w:pPr>
      <w:r w:rsidRPr="00DD3C6E">
        <w:t xml:space="preserve">Table 2 </w:t>
      </w:r>
      <w:r w:rsidR="00C45FC0">
        <w:t>–</w:t>
      </w:r>
      <w:r w:rsidRPr="00DD3C6E">
        <w:t xml:space="preserve"> Farm physical parameters of the survey sample, 2013-14</w:t>
      </w:r>
    </w:p>
    <w:tbl>
      <w:tblPr>
        <w:tblStyle w:val="ColorfulGrid-Accent6"/>
        <w:tblW w:w="0" w:type="auto"/>
        <w:tblLook w:val="04A0" w:firstRow="1" w:lastRow="0" w:firstColumn="1" w:lastColumn="0" w:noHBand="0" w:noVBand="1"/>
      </w:tblPr>
      <w:tblGrid>
        <w:gridCol w:w="3652"/>
        <w:gridCol w:w="892"/>
        <w:gridCol w:w="981"/>
        <w:gridCol w:w="1185"/>
        <w:gridCol w:w="1088"/>
      </w:tblGrid>
      <w:tr w:rsidR="00F813F5" w:rsidRPr="007817B7" w:rsidTr="00037E0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b w:val="0"/>
                <w:sz w:val="16"/>
                <w:szCs w:val="16"/>
              </w:rPr>
            </w:pPr>
          </w:p>
        </w:tc>
        <w:tc>
          <w:tcPr>
            <w:tcW w:w="892" w:type="dxa"/>
            <w:noWrap/>
            <w:hideMark/>
          </w:tcPr>
          <w:p w:rsidR="00F813F5" w:rsidRPr="00112454" w:rsidRDefault="00F813F5" w:rsidP="00E05E71">
            <w:pPr>
              <w:pStyle w:val="Body"/>
              <w:jc w:val="right"/>
              <w:cnfStyle w:val="100000000000" w:firstRow="1" w:lastRow="0" w:firstColumn="0" w:lastColumn="0" w:oddVBand="0" w:evenVBand="0" w:oddHBand="0" w:evenHBand="0" w:firstRowFirstColumn="0" w:firstRowLastColumn="0" w:lastRowFirstColumn="0" w:lastRowLastColumn="0"/>
              <w:rPr>
                <w:sz w:val="16"/>
                <w:szCs w:val="16"/>
              </w:rPr>
            </w:pPr>
            <w:r w:rsidRPr="00112454">
              <w:rPr>
                <w:sz w:val="16"/>
                <w:szCs w:val="16"/>
              </w:rPr>
              <w:t>Victoria</w:t>
            </w:r>
          </w:p>
        </w:tc>
        <w:tc>
          <w:tcPr>
            <w:tcW w:w="981" w:type="dxa"/>
            <w:noWrap/>
            <w:hideMark/>
          </w:tcPr>
          <w:p w:rsidR="00F813F5" w:rsidRPr="00112454" w:rsidRDefault="00F813F5" w:rsidP="00E05E71">
            <w:pPr>
              <w:pStyle w:val="Body"/>
              <w:jc w:val="right"/>
              <w:cnfStyle w:val="100000000000" w:firstRow="1" w:lastRow="0" w:firstColumn="0" w:lastColumn="0" w:oddVBand="0" w:evenVBand="0" w:oddHBand="0" w:evenHBand="0" w:firstRowFirstColumn="0" w:firstRowLastColumn="0" w:lastRowFirstColumn="0" w:lastRowLastColumn="0"/>
              <w:rPr>
                <w:sz w:val="16"/>
                <w:szCs w:val="16"/>
              </w:rPr>
            </w:pPr>
            <w:r w:rsidRPr="00112454">
              <w:rPr>
                <w:sz w:val="16"/>
                <w:szCs w:val="16"/>
              </w:rPr>
              <w:t>Northern</w:t>
            </w:r>
          </w:p>
        </w:tc>
        <w:tc>
          <w:tcPr>
            <w:tcW w:w="1185" w:type="dxa"/>
            <w:noWrap/>
            <w:hideMark/>
          </w:tcPr>
          <w:p w:rsidR="00F813F5" w:rsidRPr="00112454" w:rsidRDefault="00F813F5" w:rsidP="00E05E71">
            <w:pPr>
              <w:pStyle w:val="Body"/>
              <w:jc w:val="right"/>
              <w:cnfStyle w:val="100000000000" w:firstRow="1" w:lastRow="0" w:firstColumn="0" w:lastColumn="0" w:oddVBand="0" w:evenVBand="0" w:oddHBand="0" w:evenHBand="0" w:firstRowFirstColumn="0" w:firstRowLastColumn="0" w:lastRowFirstColumn="0" w:lastRowLastColumn="0"/>
              <w:rPr>
                <w:sz w:val="16"/>
                <w:szCs w:val="16"/>
              </w:rPr>
            </w:pPr>
            <w:r w:rsidRPr="00112454">
              <w:rPr>
                <w:sz w:val="16"/>
                <w:szCs w:val="16"/>
              </w:rPr>
              <w:t>South West</w:t>
            </w:r>
          </w:p>
        </w:tc>
        <w:tc>
          <w:tcPr>
            <w:tcW w:w="1088" w:type="dxa"/>
            <w:noWrap/>
            <w:hideMark/>
          </w:tcPr>
          <w:p w:rsidR="00F813F5" w:rsidRPr="00112454" w:rsidRDefault="00F813F5" w:rsidP="00E05E71">
            <w:pPr>
              <w:pStyle w:val="Body"/>
              <w:jc w:val="right"/>
              <w:cnfStyle w:val="100000000000" w:firstRow="1" w:lastRow="0" w:firstColumn="0" w:lastColumn="0" w:oddVBand="0" w:evenVBand="0" w:oddHBand="0" w:evenHBand="0" w:firstRowFirstColumn="0" w:firstRowLastColumn="0" w:lastRowFirstColumn="0" w:lastRowLastColumn="0"/>
              <w:rPr>
                <w:sz w:val="16"/>
                <w:szCs w:val="16"/>
              </w:rPr>
            </w:pPr>
            <w:r w:rsidRPr="00112454">
              <w:rPr>
                <w:sz w:val="16"/>
                <w:szCs w:val="16"/>
              </w:rPr>
              <w:t>Gippsland</w:t>
            </w:r>
          </w:p>
        </w:tc>
      </w:tr>
      <w:tr w:rsidR="00F813F5" w:rsidRPr="007817B7" w:rsidTr="00037E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Herd size (no.</w:t>
            </w:r>
            <w:r>
              <w:rPr>
                <w:sz w:val="16"/>
                <w:szCs w:val="16"/>
              </w:rPr>
              <w:t xml:space="preserve"> </w:t>
            </w:r>
            <w:r w:rsidRPr="00112454">
              <w:rPr>
                <w:sz w:val="16"/>
                <w:szCs w:val="16"/>
              </w:rPr>
              <w:t>of milking cows)</w:t>
            </w:r>
          </w:p>
        </w:tc>
        <w:tc>
          <w:tcPr>
            <w:tcW w:w="892"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335</w:t>
            </w:r>
          </w:p>
        </w:tc>
        <w:tc>
          <w:tcPr>
            <w:tcW w:w="981"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332</w:t>
            </w:r>
          </w:p>
        </w:tc>
        <w:tc>
          <w:tcPr>
            <w:tcW w:w="1185"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390</w:t>
            </w:r>
          </w:p>
        </w:tc>
        <w:tc>
          <w:tcPr>
            <w:tcW w:w="1088"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284</w:t>
            </w:r>
          </w:p>
        </w:tc>
      </w:tr>
      <w:tr w:rsidR="00F813F5" w:rsidRPr="007817B7" w:rsidTr="00037E04">
        <w:trPr>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 xml:space="preserve">Total usable area (ha) </w:t>
            </w:r>
          </w:p>
        </w:tc>
        <w:tc>
          <w:tcPr>
            <w:tcW w:w="892"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242</w:t>
            </w:r>
          </w:p>
        </w:tc>
        <w:tc>
          <w:tcPr>
            <w:tcW w:w="981"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210</w:t>
            </w:r>
          </w:p>
        </w:tc>
        <w:tc>
          <w:tcPr>
            <w:tcW w:w="1185"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330</w:t>
            </w:r>
          </w:p>
        </w:tc>
        <w:tc>
          <w:tcPr>
            <w:tcW w:w="1088"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186</w:t>
            </w:r>
          </w:p>
        </w:tc>
      </w:tr>
      <w:tr w:rsidR="00F813F5" w:rsidRPr="007817B7" w:rsidTr="00037E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 xml:space="preserve">Stocking rate (milking cows/usable ha) </w:t>
            </w:r>
          </w:p>
        </w:tc>
        <w:tc>
          <w:tcPr>
            <w:tcW w:w="892"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1.6</w:t>
            </w:r>
          </w:p>
        </w:tc>
        <w:tc>
          <w:tcPr>
            <w:tcW w:w="981"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1.9</w:t>
            </w:r>
          </w:p>
        </w:tc>
        <w:tc>
          <w:tcPr>
            <w:tcW w:w="1185"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1.2</w:t>
            </w:r>
          </w:p>
        </w:tc>
        <w:tc>
          <w:tcPr>
            <w:tcW w:w="1088"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1.8</w:t>
            </w:r>
          </w:p>
        </w:tc>
      </w:tr>
      <w:tr w:rsidR="00F813F5" w:rsidRPr="007817B7" w:rsidTr="00037E04">
        <w:trPr>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 xml:space="preserve">Milk solids sold (kg MS/cow) </w:t>
            </w:r>
          </w:p>
        </w:tc>
        <w:tc>
          <w:tcPr>
            <w:tcW w:w="892"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498</w:t>
            </w:r>
          </w:p>
        </w:tc>
        <w:tc>
          <w:tcPr>
            <w:tcW w:w="981"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522</w:t>
            </w:r>
          </w:p>
        </w:tc>
        <w:tc>
          <w:tcPr>
            <w:tcW w:w="1185"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503</w:t>
            </w:r>
          </w:p>
        </w:tc>
        <w:tc>
          <w:tcPr>
            <w:tcW w:w="1088"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468</w:t>
            </w:r>
          </w:p>
        </w:tc>
      </w:tr>
      <w:tr w:rsidR="00F813F5" w:rsidRPr="007817B7" w:rsidTr="00037E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 xml:space="preserve">Milk solids sold (kg MS/ha) </w:t>
            </w:r>
          </w:p>
        </w:tc>
        <w:tc>
          <w:tcPr>
            <w:tcW w:w="892"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810</w:t>
            </w:r>
          </w:p>
        </w:tc>
        <w:tc>
          <w:tcPr>
            <w:tcW w:w="981"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995</w:t>
            </w:r>
          </w:p>
        </w:tc>
        <w:tc>
          <w:tcPr>
            <w:tcW w:w="1185"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600</w:t>
            </w:r>
          </w:p>
        </w:tc>
        <w:tc>
          <w:tcPr>
            <w:tcW w:w="1088"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835</w:t>
            </w:r>
          </w:p>
        </w:tc>
      </w:tr>
      <w:tr w:rsidR="00F813F5" w:rsidRPr="007817B7" w:rsidTr="00037E04">
        <w:trPr>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 xml:space="preserve">Milk price received ($/kg MS) </w:t>
            </w:r>
          </w:p>
        </w:tc>
        <w:tc>
          <w:tcPr>
            <w:tcW w:w="892"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6.79</w:t>
            </w:r>
          </w:p>
        </w:tc>
        <w:tc>
          <w:tcPr>
            <w:tcW w:w="981"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6.83</w:t>
            </w:r>
          </w:p>
        </w:tc>
        <w:tc>
          <w:tcPr>
            <w:tcW w:w="1185"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6.91</w:t>
            </w:r>
          </w:p>
        </w:tc>
        <w:tc>
          <w:tcPr>
            <w:tcW w:w="1088"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6.62</w:t>
            </w:r>
          </w:p>
        </w:tc>
      </w:tr>
      <w:tr w:rsidR="00F813F5" w:rsidRPr="007817B7" w:rsidTr="00037E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 xml:space="preserve">Labour efficiency (milking cows/FTE) </w:t>
            </w:r>
          </w:p>
        </w:tc>
        <w:tc>
          <w:tcPr>
            <w:tcW w:w="892"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105</w:t>
            </w:r>
          </w:p>
        </w:tc>
        <w:tc>
          <w:tcPr>
            <w:tcW w:w="981"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109</w:t>
            </w:r>
          </w:p>
        </w:tc>
        <w:tc>
          <w:tcPr>
            <w:tcW w:w="1185"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102</w:t>
            </w:r>
          </w:p>
        </w:tc>
        <w:tc>
          <w:tcPr>
            <w:tcW w:w="1088"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104</w:t>
            </w:r>
          </w:p>
        </w:tc>
      </w:tr>
      <w:tr w:rsidR="00F813F5" w:rsidRPr="007817B7" w:rsidTr="00037E04">
        <w:trPr>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 xml:space="preserve">Labour efficiency (kg MS/FTE) </w:t>
            </w:r>
          </w:p>
        </w:tc>
        <w:tc>
          <w:tcPr>
            <w:tcW w:w="892"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52,251</w:t>
            </w:r>
          </w:p>
        </w:tc>
        <w:tc>
          <w:tcPr>
            <w:tcW w:w="981"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56,611</w:t>
            </w:r>
          </w:p>
        </w:tc>
        <w:tc>
          <w:tcPr>
            <w:tcW w:w="1185"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51,524</w:t>
            </w:r>
          </w:p>
        </w:tc>
        <w:tc>
          <w:tcPr>
            <w:tcW w:w="1088"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48,617</w:t>
            </w:r>
          </w:p>
        </w:tc>
      </w:tr>
    </w:tbl>
    <w:p w:rsidR="00F813F5" w:rsidRDefault="00F813F5" w:rsidP="00F813F5">
      <w:pPr>
        <w:pStyle w:val="Body"/>
        <w:jc w:val="both"/>
      </w:pPr>
    </w:p>
    <w:p w:rsidR="00F813F5" w:rsidRDefault="00F813F5" w:rsidP="00037E04">
      <w:pPr>
        <w:pStyle w:val="TableTitle"/>
      </w:pPr>
      <w:r w:rsidRPr="00DD3C6E">
        <w:t xml:space="preserve">Table 3 </w:t>
      </w:r>
      <w:r w:rsidR="00C45FC0">
        <w:t>–</w:t>
      </w:r>
      <w:r w:rsidRPr="00DD3C6E">
        <w:t xml:space="preserve"> Farm financial parameters of the survey sample, 2013-14</w:t>
      </w:r>
    </w:p>
    <w:tbl>
      <w:tblPr>
        <w:tblStyle w:val="ColorfulGrid-Accent6"/>
        <w:tblW w:w="0" w:type="auto"/>
        <w:tblLook w:val="04A0" w:firstRow="1" w:lastRow="0" w:firstColumn="1" w:lastColumn="0" w:noHBand="0" w:noVBand="1"/>
      </w:tblPr>
      <w:tblGrid>
        <w:gridCol w:w="3652"/>
        <w:gridCol w:w="892"/>
        <w:gridCol w:w="981"/>
        <w:gridCol w:w="1185"/>
        <w:gridCol w:w="1088"/>
      </w:tblGrid>
      <w:tr w:rsidR="00F813F5" w:rsidRPr="007817B7" w:rsidTr="00037E0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b w:val="0"/>
                <w:sz w:val="16"/>
                <w:szCs w:val="16"/>
              </w:rPr>
            </w:pPr>
          </w:p>
        </w:tc>
        <w:tc>
          <w:tcPr>
            <w:tcW w:w="892" w:type="dxa"/>
            <w:noWrap/>
            <w:hideMark/>
          </w:tcPr>
          <w:p w:rsidR="00F813F5" w:rsidRPr="00112454" w:rsidRDefault="00F813F5" w:rsidP="00E05E71">
            <w:pPr>
              <w:pStyle w:val="Body"/>
              <w:jc w:val="right"/>
              <w:cnfStyle w:val="100000000000" w:firstRow="1" w:lastRow="0" w:firstColumn="0" w:lastColumn="0" w:oddVBand="0" w:evenVBand="0" w:oddHBand="0" w:evenHBand="0" w:firstRowFirstColumn="0" w:firstRowLastColumn="0" w:lastRowFirstColumn="0" w:lastRowLastColumn="0"/>
              <w:rPr>
                <w:sz w:val="16"/>
                <w:szCs w:val="16"/>
              </w:rPr>
            </w:pPr>
            <w:r w:rsidRPr="00112454">
              <w:rPr>
                <w:sz w:val="16"/>
                <w:szCs w:val="16"/>
              </w:rPr>
              <w:t>Victoria</w:t>
            </w:r>
          </w:p>
        </w:tc>
        <w:tc>
          <w:tcPr>
            <w:tcW w:w="981" w:type="dxa"/>
            <w:noWrap/>
            <w:hideMark/>
          </w:tcPr>
          <w:p w:rsidR="00F813F5" w:rsidRPr="00112454" w:rsidRDefault="00F813F5" w:rsidP="00E05E71">
            <w:pPr>
              <w:pStyle w:val="Body"/>
              <w:jc w:val="right"/>
              <w:cnfStyle w:val="100000000000" w:firstRow="1" w:lastRow="0" w:firstColumn="0" w:lastColumn="0" w:oddVBand="0" w:evenVBand="0" w:oddHBand="0" w:evenHBand="0" w:firstRowFirstColumn="0" w:firstRowLastColumn="0" w:lastRowFirstColumn="0" w:lastRowLastColumn="0"/>
              <w:rPr>
                <w:sz w:val="16"/>
                <w:szCs w:val="16"/>
              </w:rPr>
            </w:pPr>
            <w:r w:rsidRPr="00112454">
              <w:rPr>
                <w:sz w:val="16"/>
                <w:szCs w:val="16"/>
              </w:rPr>
              <w:t>Northern</w:t>
            </w:r>
          </w:p>
        </w:tc>
        <w:tc>
          <w:tcPr>
            <w:tcW w:w="1185" w:type="dxa"/>
            <w:noWrap/>
            <w:hideMark/>
          </w:tcPr>
          <w:p w:rsidR="00F813F5" w:rsidRPr="00112454" w:rsidRDefault="00F813F5" w:rsidP="00E05E71">
            <w:pPr>
              <w:pStyle w:val="Body"/>
              <w:jc w:val="right"/>
              <w:cnfStyle w:val="100000000000" w:firstRow="1" w:lastRow="0" w:firstColumn="0" w:lastColumn="0" w:oddVBand="0" w:evenVBand="0" w:oddHBand="0" w:evenHBand="0" w:firstRowFirstColumn="0" w:firstRowLastColumn="0" w:lastRowFirstColumn="0" w:lastRowLastColumn="0"/>
              <w:rPr>
                <w:sz w:val="16"/>
                <w:szCs w:val="16"/>
              </w:rPr>
            </w:pPr>
            <w:r w:rsidRPr="00112454">
              <w:rPr>
                <w:sz w:val="16"/>
                <w:szCs w:val="16"/>
              </w:rPr>
              <w:t>South West</w:t>
            </w:r>
          </w:p>
        </w:tc>
        <w:tc>
          <w:tcPr>
            <w:tcW w:w="1088" w:type="dxa"/>
            <w:noWrap/>
            <w:hideMark/>
          </w:tcPr>
          <w:p w:rsidR="00F813F5" w:rsidRPr="00112454" w:rsidRDefault="00F813F5" w:rsidP="00E05E71">
            <w:pPr>
              <w:pStyle w:val="Body"/>
              <w:jc w:val="right"/>
              <w:cnfStyle w:val="100000000000" w:firstRow="1" w:lastRow="0" w:firstColumn="0" w:lastColumn="0" w:oddVBand="0" w:evenVBand="0" w:oddHBand="0" w:evenHBand="0" w:firstRowFirstColumn="0" w:firstRowLastColumn="0" w:lastRowFirstColumn="0" w:lastRowLastColumn="0"/>
              <w:rPr>
                <w:sz w:val="16"/>
                <w:szCs w:val="16"/>
              </w:rPr>
            </w:pPr>
            <w:r w:rsidRPr="00112454">
              <w:rPr>
                <w:sz w:val="16"/>
                <w:szCs w:val="16"/>
              </w:rPr>
              <w:t>Gippsland</w:t>
            </w:r>
          </w:p>
        </w:tc>
      </w:tr>
      <w:tr w:rsidR="00F813F5" w:rsidRPr="007817B7" w:rsidTr="00037E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Gross farm income ($/kg MS)</w:t>
            </w:r>
          </w:p>
        </w:tc>
        <w:tc>
          <w:tcPr>
            <w:tcW w:w="892"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7.44</w:t>
            </w:r>
          </w:p>
        </w:tc>
        <w:tc>
          <w:tcPr>
            <w:tcW w:w="981"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7.46</w:t>
            </w:r>
          </w:p>
        </w:tc>
        <w:tc>
          <w:tcPr>
            <w:tcW w:w="1185"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7.54</w:t>
            </w:r>
          </w:p>
        </w:tc>
        <w:tc>
          <w:tcPr>
            <w:tcW w:w="1088"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7.33</w:t>
            </w:r>
          </w:p>
        </w:tc>
      </w:tr>
      <w:tr w:rsidR="00F813F5" w:rsidRPr="007817B7" w:rsidTr="00037E04">
        <w:trPr>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Total variable costs ($/kg MS)</w:t>
            </w:r>
          </w:p>
        </w:tc>
        <w:tc>
          <w:tcPr>
            <w:tcW w:w="892"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3.39</w:t>
            </w:r>
          </w:p>
        </w:tc>
        <w:tc>
          <w:tcPr>
            <w:tcW w:w="981"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3.61</w:t>
            </w:r>
          </w:p>
        </w:tc>
        <w:tc>
          <w:tcPr>
            <w:tcW w:w="1185"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3.37</w:t>
            </w:r>
          </w:p>
        </w:tc>
        <w:tc>
          <w:tcPr>
            <w:tcW w:w="1088"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3.19</w:t>
            </w:r>
          </w:p>
        </w:tc>
      </w:tr>
      <w:tr w:rsidR="00F813F5" w:rsidRPr="007817B7" w:rsidTr="00037E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Gross margin ($/kg MS)</w:t>
            </w:r>
          </w:p>
        </w:tc>
        <w:tc>
          <w:tcPr>
            <w:tcW w:w="892"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4.05</w:t>
            </w:r>
          </w:p>
        </w:tc>
        <w:tc>
          <w:tcPr>
            <w:tcW w:w="981"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3.85</w:t>
            </w:r>
          </w:p>
        </w:tc>
        <w:tc>
          <w:tcPr>
            <w:tcW w:w="1185"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4.17</w:t>
            </w:r>
          </w:p>
        </w:tc>
        <w:tc>
          <w:tcPr>
            <w:tcW w:w="1088"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4.13</w:t>
            </w:r>
          </w:p>
        </w:tc>
      </w:tr>
      <w:tr w:rsidR="00F813F5" w:rsidRPr="007817B7" w:rsidTr="00037E04">
        <w:trPr>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Overhead costs ($/kg MS)</w:t>
            </w:r>
          </w:p>
        </w:tc>
        <w:tc>
          <w:tcPr>
            <w:tcW w:w="892"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2.03</w:t>
            </w:r>
          </w:p>
        </w:tc>
        <w:tc>
          <w:tcPr>
            <w:tcW w:w="981"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1.83</w:t>
            </w:r>
          </w:p>
        </w:tc>
        <w:tc>
          <w:tcPr>
            <w:tcW w:w="1185"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2.14</w:t>
            </w:r>
          </w:p>
        </w:tc>
        <w:tc>
          <w:tcPr>
            <w:tcW w:w="1088"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2.11</w:t>
            </w:r>
          </w:p>
        </w:tc>
      </w:tr>
      <w:tr w:rsidR="00F813F5" w:rsidRPr="007817B7" w:rsidTr="00037E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Earnings before interest and tax ($/kg MS)</w:t>
            </w:r>
          </w:p>
        </w:tc>
        <w:tc>
          <w:tcPr>
            <w:tcW w:w="892"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2.02</w:t>
            </w:r>
          </w:p>
        </w:tc>
        <w:tc>
          <w:tcPr>
            <w:tcW w:w="981"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2.02</w:t>
            </w:r>
          </w:p>
        </w:tc>
        <w:tc>
          <w:tcPr>
            <w:tcW w:w="1185"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2.03</w:t>
            </w:r>
          </w:p>
        </w:tc>
        <w:tc>
          <w:tcPr>
            <w:tcW w:w="1088"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2.03</w:t>
            </w:r>
          </w:p>
        </w:tc>
      </w:tr>
      <w:tr w:rsidR="00F813F5" w:rsidRPr="007817B7" w:rsidTr="00037E04">
        <w:trPr>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Return on assets (%)</w:t>
            </w:r>
          </w:p>
        </w:tc>
        <w:tc>
          <w:tcPr>
            <w:tcW w:w="892"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8.5</w:t>
            </w:r>
          </w:p>
        </w:tc>
        <w:tc>
          <w:tcPr>
            <w:tcW w:w="981"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11.3</w:t>
            </w:r>
          </w:p>
        </w:tc>
        <w:tc>
          <w:tcPr>
            <w:tcW w:w="1185"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7.9</w:t>
            </w:r>
          </w:p>
        </w:tc>
        <w:tc>
          <w:tcPr>
            <w:tcW w:w="1088"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6.4</w:t>
            </w:r>
          </w:p>
        </w:tc>
      </w:tr>
      <w:tr w:rsidR="00F813F5" w:rsidRPr="007817B7" w:rsidTr="00037E04">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Return on equity (%)</w:t>
            </w:r>
          </w:p>
        </w:tc>
        <w:tc>
          <w:tcPr>
            <w:tcW w:w="892"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11.6</w:t>
            </w:r>
          </w:p>
        </w:tc>
        <w:tc>
          <w:tcPr>
            <w:tcW w:w="981"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14.8</w:t>
            </w:r>
          </w:p>
        </w:tc>
        <w:tc>
          <w:tcPr>
            <w:tcW w:w="1185"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9.9</w:t>
            </w:r>
          </w:p>
        </w:tc>
        <w:tc>
          <w:tcPr>
            <w:tcW w:w="1088" w:type="dxa"/>
            <w:noWrap/>
            <w:hideMark/>
          </w:tcPr>
          <w:p w:rsidR="00F813F5" w:rsidRPr="00112454" w:rsidRDefault="00F813F5" w:rsidP="00E05E71">
            <w:pPr>
              <w:pStyle w:val="Body"/>
              <w:jc w:val="right"/>
              <w:cnfStyle w:val="000000100000" w:firstRow="0" w:lastRow="0" w:firstColumn="0" w:lastColumn="0" w:oddVBand="0" w:evenVBand="0" w:oddHBand="1" w:evenHBand="0" w:firstRowFirstColumn="0" w:firstRowLastColumn="0" w:lastRowFirstColumn="0" w:lastRowLastColumn="0"/>
              <w:rPr>
                <w:sz w:val="16"/>
                <w:szCs w:val="16"/>
              </w:rPr>
            </w:pPr>
            <w:r w:rsidRPr="00112454">
              <w:rPr>
                <w:sz w:val="16"/>
                <w:szCs w:val="16"/>
              </w:rPr>
              <w:t>10.2</w:t>
            </w:r>
          </w:p>
        </w:tc>
      </w:tr>
      <w:tr w:rsidR="00F813F5" w:rsidRPr="007817B7" w:rsidTr="00037E04">
        <w:trPr>
          <w:trHeight w:val="255"/>
        </w:trPr>
        <w:tc>
          <w:tcPr>
            <w:cnfStyle w:val="001000000000" w:firstRow="0" w:lastRow="0" w:firstColumn="1" w:lastColumn="0" w:oddVBand="0" w:evenVBand="0" w:oddHBand="0" w:evenHBand="0" w:firstRowFirstColumn="0" w:firstRowLastColumn="0" w:lastRowFirstColumn="0" w:lastRowLastColumn="0"/>
            <w:tcW w:w="3652" w:type="dxa"/>
            <w:noWrap/>
            <w:hideMark/>
          </w:tcPr>
          <w:p w:rsidR="00F813F5" w:rsidRPr="00112454" w:rsidRDefault="00F813F5" w:rsidP="00E05E71">
            <w:pPr>
              <w:pStyle w:val="Body"/>
              <w:jc w:val="both"/>
              <w:rPr>
                <w:sz w:val="16"/>
                <w:szCs w:val="16"/>
              </w:rPr>
            </w:pPr>
            <w:r w:rsidRPr="00112454">
              <w:rPr>
                <w:sz w:val="16"/>
                <w:szCs w:val="16"/>
              </w:rPr>
              <w:t>Equity ratio (%)</w:t>
            </w:r>
          </w:p>
        </w:tc>
        <w:tc>
          <w:tcPr>
            <w:tcW w:w="892"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62</w:t>
            </w:r>
          </w:p>
        </w:tc>
        <w:tc>
          <w:tcPr>
            <w:tcW w:w="981"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59</w:t>
            </w:r>
          </w:p>
        </w:tc>
        <w:tc>
          <w:tcPr>
            <w:tcW w:w="1185"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60</w:t>
            </w:r>
          </w:p>
        </w:tc>
        <w:tc>
          <w:tcPr>
            <w:tcW w:w="1088" w:type="dxa"/>
            <w:noWrap/>
            <w:hideMark/>
          </w:tcPr>
          <w:p w:rsidR="00F813F5" w:rsidRPr="00112454" w:rsidRDefault="00F813F5" w:rsidP="00E05E71">
            <w:pPr>
              <w:pStyle w:val="Body"/>
              <w:jc w:val="right"/>
              <w:cnfStyle w:val="000000000000" w:firstRow="0" w:lastRow="0" w:firstColumn="0" w:lastColumn="0" w:oddVBand="0" w:evenVBand="0" w:oddHBand="0" w:evenHBand="0" w:firstRowFirstColumn="0" w:firstRowLastColumn="0" w:lastRowFirstColumn="0" w:lastRowLastColumn="0"/>
              <w:rPr>
                <w:sz w:val="16"/>
                <w:szCs w:val="16"/>
              </w:rPr>
            </w:pPr>
            <w:r w:rsidRPr="00112454">
              <w:rPr>
                <w:sz w:val="16"/>
                <w:szCs w:val="16"/>
              </w:rPr>
              <w:t>66</w:t>
            </w:r>
          </w:p>
        </w:tc>
      </w:tr>
    </w:tbl>
    <w:p w:rsidR="00F813F5" w:rsidRDefault="00F813F5" w:rsidP="00F813F5">
      <w:pPr>
        <w:pStyle w:val="Body"/>
        <w:jc w:val="both"/>
      </w:pPr>
    </w:p>
    <w:p w:rsidR="00F813F5" w:rsidRDefault="00F813F5" w:rsidP="00F813F5">
      <w:pPr>
        <w:pStyle w:val="HC"/>
        <w:jc w:val="both"/>
      </w:pPr>
      <w:r w:rsidRPr="003219CE">
        <w:t>Northern region</w:t>
      </w:r>
    </w:p>
    <w:p w:rsidR="00F813F5" w:rsidRDefault="00F813F5" w:rsidP="00F813F5">
      <w:pPr>
        <w:pStyle w:val="Body"/>
        <w:jc w:val="both"/>
      </w:pPr>
      <w:r>
        <w:t>In 2013-14, the North experienced favourable seasonal conditions with above average rainfall, 100</w:t>
      </w:r>
      <w:r w:rsidRPr="007D0100">
        <w:t xml:space="preserve"> </w:t>
      </w:r>
      <w:r>
        <w:t>per cent allocation of high reliability water shares on all northern irrigation systems and good availability of temporary water. This saw irrigation costs increase 27</w:t>
      </w:r>
      <w:r w:rsidRPr="007D0100">
        <w:t xml:space="preserve"> </w:t>
      </w:r>
      <w:r>
        <w:t>per cent to $0.47/kg MS as the cost of temporary water increased to an average of $74 per megalitre and 21 of the 25 farms purchased temporary water allocations again this year. Expenditure also increased on concentrates as a result of the higher grain price. This led to a higher average cost of production at $5.34/kg MS. The average milk price in the region increased by 35</w:t>
      </w:r>
      <w:r w:rsidRPr="007D0100">
        <w:t xml:space="preserve"> </w:t>
      </w:r>
      <w:r>
        <w:t>per cent to $6.83/kg MS. These factors resulted in average whole farm earnings before interest and tax increasing five-fold to $393,700 while the return on assets rose to 11.3 per cent. Average return on equity was 14.8 per cent.</w:t>
      </w:r>
    </w:p>
    <w:p w:rsidR="00F813F5" w:rsidRDefault="00F813F5" w:rsidP="00F813F5">
      <w:pPr>
        <w:pStyle w:val="HC"/>
        <w:jc w:val="both"/>
      </w:pPr>
      <w:r>
        <w:t>South West region</w:t>
      </w:r>
    </w:p>
    <w:p w:rsidR="00F813F5" w:rsidRDefault="00F813F5" w:rsidP="00F813F5">
      <w:pPr>
        <w:pStyle w:val="Body"/>
        <w:jc w:val="both"/>
      </w:pPr>
      <w:r>
        <w:t>Operating conditions in the South West improved in 2013-14 compared to the previous challenging year. The region recorded the highest milk price of all the regions at $6.91/kg MS, increasing 41 per cent from 2012-13. The better seasonal conditions meant farmers were able to use more pasture per milking hectare and reduce their reliance on purchased fodder. Despite this decrease in fodder costs, overall feed costs rose in 2013-14. This was due to higher rates of fertiliser applied to pastures increasing fertiliser costs by 35</w:t>
      </w:r>
      <w:r w:rsidRPr="00E35DBF">
        <w:t xml:space="preserve"> </w:t>
      </w:r>
      <w:r>
        <w:t>per cent to $0.50/kg MS, and the higher grain prices increasing the cost of concentrates by 10</w:t>
      </w:r>
      <w:r w:rsidRPr="00E35DBF">
        <w:t xml:space="preserve"> </w:t>
      </w:r>
      <w:r>
        <w:t>per cent to $1.65/kg MS. Overhead costs remained stable, as the increase in repairs and maintenance costs and employed labour was counter-balanced by a decrease in imputed labour, resulting in an overall increase in the cost of production to $5.34/kg MS. Average return on assets for farms in the South West rose to 7.9</w:t>
      </w:r>
      <w:r w:rsidRPr="00E35DBF">
        <w:t xml:space="preserve"> </w:t>
      </w:r>
      <w:r>
        <w:t>per cent in 2013-14 and earnings before interest and tax to $424,647. Average return on equity was 9.9</w:t>
      </w:r>
      <w:r w:rsidRPr="00E35DBF">
        <w:t xml:space="preserve"> </w:t>
      </w:r>
      <w:r>
        <w:t>per cent with positive returns recorded by 24 of the 25 farms.</w:t>
      </w:r>
    </w:p>
    <w:p w:rsidR="00F813F5" w:rsidRDefault="00F813F5" w:rsidP="00F813F5">
      <w:pPr>
        <w:pStyle w:val="HC"/>
        <w:jc w:val="both"/>
      </w:pPr>
      <w:r>
        <w:t>Gippsland region</w:t>
      </w:r>
    </w:p>
    <w:p w:rsidR="00F813F5" w:rsidRDefault="00F813F5" w:rsidP="00F813F5">
      <w:pPr>
        <w:pStyle w:val="Body"/>
        <w:jc w:val="both"/>
        <w:rPr>
          <w:highlight w:val="yellow"/>
        </w:rPr>
      </w:pPr>
      <w:r>
        <w:t>In 2013-14, south, west and north east Gippsland experienced variable growing conditions despite receiving average to above average rainfall. The Macalister Irrigation District (MID) had a good season finishing the year with 100</w:t>
      </w:r>
      <w:r w:rsidRPr="00B3205A">
        <w:t xml:space="preserve"> </w:t>
      </w:r>
      <w:r>
        <w:t>per cent allocation of high and 5</w:t>
      </w:r>
      <w:r w:rsidRPr="00B3205A">
        <w:t xml:space="preserve"> </w:t>
      </w:r>
      <w:r>
        <w:t>per cent allocation of low reliability water shares. Grazed and conserved pasture increased by 16</w:t>
      </w:r>
      <w:r w:rsidRPr="00B3205A">
        <w:t xml:space="preserve"> </w:t>
      </w:r>
      <w:r>
        <w:t>per cent to 8.6 t DM/ha and incurred higher home grown feed costs. Purchased feed costs increased on the back of higher grain prices. Farmers controlled expenditure on overhead costs, particularly repairs and maintenance and imputed labour, thereby decreasing the total cost of production to $5.16/kg MS. The price of milk increased by 39</w:t>
      </w:r>
      <w:r w:rsidRPr="00B3205A">
        <w:t xml:space="preserve"> </w:t>
      </w:r>
      <w:r>
        <w:t>per cent to $6.62/kg MS. These conditions resulted in a large improvement in farm returns with average earnings before interest and tax for Gippsland farms increasing six-fold to $284,948 and return on assets was 6.4</w:t>
      </w:r>
      <w:r w:rsidRPr="00B3205A">
        <w:t xml:space="preserve"> </w:t>
      </w:r>
      <w:r>
        <w:t>per cent. The average return on equity was 10.2</w:t>
      </w:r>
      <w:r w:rsidRPr="00B3205A">
        <w:t xml:space="preserve"> </w:t>
      </w:r>
      <w:r>
        <w:t>per cent.</w:t>
      </w:r>
    </w:p>
    <w:p w:rsidR="00F813F5" w:rsidRPr="004E3D7B" w:rsidRDefault="00F813F5" w:rsidP="00F813F5">
      <w:pPr>
        <w:pStyle w:val="HB"/>
        <w:jc w:val="both"/>
      </w:pPr>
      <w:r w:rsidRPr="004E3D7B">
        <w:t>Employment</w:t>
      </w:r>
    </w:p>
    <w:p w:rsidR="00F813F5" w:rsidRDefault="00F813F5" w:rsidP="00F813F5">
      <w:pPr>
        <w:pStyle w:val="Body"/>
        <w:jc w:val="both"/>
      </w:pPr>
      <w:r>
        <w:t>In 201</w:t>
      </w:r>
      <w:r w:rsidR="00561350">
        <w:t>0-11</w:t>
      </w:r>
      <w:r>
        <w:t xml:space="preserve">, around </w:t>
      </w:r>
      <w:r w:rsidRPr="0037595C">
        <w:t>10,600</w:t>
      </w:r>
      <w:r>
        <w:t xml:space="preserve"> people were employed</w:t>
      </w:r>
      <w:r w:rsidRPr="0037595C">
        <w:t xml:space="preserve"> in </w:t>
      </w:r>
      <w:r>
        <w:t xml:space="preserve">the </w:t>
      </w:r>
      <w:r w:rsidRPr="0037595C">
        <w:t xml:space="preserve">dairy </w:t>
      </w:r>
      <w:r>
        <w:t xml:space="preserve">production sector and around </w:t>
      </w:r>
      <w:r w:rsidR="007B4F79">
        <w:t>9</w:t>
      </w:r>
      <w:r w:rsidRPr="0037595C">
        <w:t>,</w:t>
      </w:r>
      <w:r w:rsidR="007B4F79">
        <w:t>3</w:t>
      </w:r>
      <w:r w:rsidRPr="0037595C">
        <w:t xml:space="preserve">00 </w:t>
      </w:r>
      <w:r>
        <w:t xml:space="preserve">were employed </w:t>
      </w:r>
      <w:r w:rsidRPr="0037595C">
        <w:t xml:space="preserve">in </w:t>
      </w:r>
      <w:r>
        <w:t xml:space="preserve">the dairy </w:t>
      </w:r>
      <w:r w:rsidRPr="0037595C">
        <w:t>processing</w:t>
      </w:r>
      <w:r>
        <w:t xml:space="preserve"> sector;</w:t>
      </w:r>
      <w:r w:rsidRPr="0037595C">
        <w:t xml:space="preserve"> </w:t>
      </w:r>
      <w:r>
        <w:t>with</w:t>
      </w:r>
      <w:r w:rsidRPr="0037595C">
        <w:t xml:space="preserve"> many more in related services including R&amp;D and logistics</w:t>
      </w:r>
      <w:r>
        <w:rPr>
          <w:rStyle w:val="EndnoteReference"/>
        </w:rPr>
        <w:endnoteReference w:id="18"/>
      </w:r>
      <w:r>
        <w:t xml:space="preserve">. </w:t>
      </w:r>
    </w:p>
    <w:p w:rsidR="00F813F5" w:rsidRDefault="00F813F5" w:rsidP="00F813F5">
      <w:pPr>
        <w:pStyle w:val="HB"/>
        <w:jc w:val="both"/>
      </w:pPr>
      <w:r>
        <w:t>Opportunities and challenges</w:t>
      </w:r>
    </w:p>
    <w:p w:rsidR="00F813F5" w:rsidRPr="00DE50F6" w:rsidRDefault="00F813F5" w:rsidP="00F813F5">
      <w:pPr>
        <w:pStyle w:val="Body"/>
        <w:jc w:val="both"/>
      </w:pPr>
      <w:r w:rsidRPr="00DE50F6">
        <w:t xml:space="preserve">Victoria has long been open to foreign investment in its </w:t>
      </w:r>
      <w:proofErr w:type="spellStart"/>
      <w:r w:rsidRPr="00DE50F6">
        <w:t>agri</w:t>
      </w:r>
      <w:proofErr w:type="spellEnd"/>
      <w:r w:rsidRPr="00DE50F6">
        <w:t>-food sector and remains a preferred location in the Asia Pacific for advanced food and beverage processing. Victorian food and agriculture has a clear brand identity that is widely recognised and respected in key Asian growth markets.</w:t>
      </w:r>
    </w:p>
    <w:p w:rsidR="00F813F5" w:rsidRPr="00DE50F6" w:rsidRDefault="00F813F5" w:rsidP="00F813F5">
      <w:pPr>
        <w:pStyle w:val="Body"/>
        <w:jc w:val="both"/>
      </w:pPr>
      <w:r w:rsidRPr="00DE50F6">
        <w:t xml:space="preserve">Investment on-farm is needed and Australian dairy farmers are increasingly exploring alternative models of attracting capital, from both on and off shore sources. </w:t>
      </w:r>
      <w:r>
        <w:t>These include adoption of changed</w:t>
      </w:r>
      <w:r w:rsidRPr="00DE50F6">
        <w:t xml:space="preserve"> business structures</w:t>
      </w:r>
      <w:r>
        <w:t xml:space="preserve">, including </w:t>
      </w:r>
      <w:r w:rsidRPr="00DE50F6">
        <w:t>owner operator, share farming, leasing and</w:t>
      </w:r>
      <w:r>
        <w:t>,</w:t>
      </w:r>
      <w:r w:rsidRPr="00DE50F6">
        <w:t xml:space="preserve"> increasingly</w:t>
      </w:r>
      <w:r>
        <w:t>,</w:t>
      </w:r>
      <w:r w:rsidRPr="00DE50F6">
        <w:t xml:space="preserve"> co-investment/equity partnerships.</w:t>
      </w:r>
    </w:p>
    <w:p w:rsidR="00F813F5" w:rsidRPr="00DE50F6" w:rsidRDefault="00F813F5" w:rsidP="00F813F5">
      <w:pPr>
        <w:pStyle w:val="Body"/>
        <w:jc w:val="both"/>
      </w:pPr>
      <w:r w:rsidRPr="00DE50F6">
        <w:t>The Victorian Government via its Food to Asia Action Plan is increasing its resources in key Asian markets to strengthen and expand connections between Victorian businesses and buyers and investors in Asia.</w:t>
      </w:r>
    </w:p>
    <w:p w:rsidR="00F813F5" w:rsidRPr="00DE50F6" w:rsidRDefault="00F813F5" w:rsidP="00F813F5">
      <w:pPr>
        <w:pStyle w:val="Body"/>
        <w:jc w:val="both"/>
      </w:pPr>
      <w:r w:rsidRPr="00DE50F6">
        <w:t>Returns on assets are strongly connected to world dairy product prices and exchange rates.</w:t>
      </w:r>
    </w:p>
    <w:p w:rsidR="00F813F5" w:rsidRPr="00DE50F6" w:rsidRDefault="00F813F5" w:rsidP="00F813F5">
      <w:pPr>
        <w:pStyle w:val="Body"/>
        <w:jc w:val="both"/>
      </w:pPr>
      <w:r w:rsidRPr="00DE50F6">
        <w:t xml:space="preserve">Although it has eased from its US$1.05 peak in April 2013 to around </w:t>
      </w:r>
      <w:r>
        <w:t>85</w:t>
      </w:r>
      <w:r w:rsidRPr="00DE50F6">
        <w:t xml:space="preserve"> US cents, the strength of the Australian dollar continues to be a challenge for Victorian dairy producers and processors. </w:t>
      </w:r>
    </w:p>
    <w:p w:rsidR="00F813F5" w:rsidRPr="00DE50F6" w:rsidRDefault="00F813F5" w:rsidP="00F813F5">
      <w:pPr>
        <w:pStyle w:val="Body"/>
        <w:jc w:val="both"/>
      </w:pPr>
      <w:r w:rsidRPr="00DE50F6">
        <w:t xml:space="preserve">However, return on assets for the 2013-14 year was 8.5% (excluding capital appreciation) due to strong milk prices and favourable feed options. </w:t>
      </w:r>
    </w:p>
    <w:p w:rsidR="00F813F5" w:rsidRPr="00DE50F6" w:rsidRDefault="00F813F5" w:rsidP="00F813F5">
      <w:pPr>
        <w:pStyle w:val="Body"/>
        <w:jc w:val="both"/>
      </w:pPr>
      <w:r w:rsidRPr="00DE50F6">
        <w:t>Victoria is an attractive investment destination with strong values achieved for the capital investment required compared to other high quality milk producing countries.</w:t>
      </w:r>
    </w:p>
    <w:p w:rsidR="00F813F5" w:rsidRDefault="00F813F5" w:rsidP="00F813F5">
      <w:pPr>
        <w:pStyle w:val="HB"/>
        <w:jc w:val="both"/>
      </w:pPr>
      <w:r>
        <w:t>Government policy/regulation influences</w:t>
      </w:r>
    </w:p>
    <w:p w:rsidR="00F813F5" w:rsidRDefault="00F813F5" w:rsidP="00F813F5">
      <w:pPr>
        <w:pStyle w:val="Body"/>
        <w:jc w:val="both"/>
      </w:pPr>
      <w:r>
        <w:t>The Victorian Government provides a range of services that assist the profitability and growth of the dairy industry. These include being the lead national research agency for the dairy industry and the most substantial national agency to develop and extend new innovations for the benefit of Australian dairy farmers. The leading role played by the Victorian Government in dairy research and extension reflects that over 60% of the Australian dairy industry is in Victoria, and the majority of exported dairy products leave Australia through the Port of Melbourne.</w:t>
      </w:r>
    </w:p>
    <w:p w:rsidR="00F813F5" w:rsidRDefault="00F813F5" w:rsidP="00F813F5">
      <w:pPr>
        <w:pStyle w:val="Body"/>
        <w:jc w:val="both"/>
      </w:pPr>
      <w:r>
        <w:t>Examples of government activities include research in dairy bioscience, in the improvement of the feedbase and animal nutrition and in the management of natural resources. Expertise within the Department of Environment and Primary Industries ranges from the genetic evaluation of all Australian dairy cattle to best practice for design of environmental management systems. Substantial investment to remain world-class in agricultural research includes super-computer capacity, new animal facilities to measure performance in a hotter climate and new electronic tools to measure pasture performance.</w:t>
      </w:r>
    </w:p>
    <w:p w:rsidR="00DA06B6" w:rsidRDefault="00DA06B6">
      <w:pPr>
        <w:spacing w:after="200" w:line="276" w:lineRule="auto"/>
        <w:rPr>
          <w:rFonts w:ascii="Arial" w:hAnsi="Arial" w:cs="Arial"/>
          <w:sz w:val="18"/>
          <w:lang w:eastAsia="en-US"/>
        </w:rPr>
      </w:pPr>
      <w:r>
        <w:rPr>
          <w:rFonts w:ascii="Arial" w:hAnsi="Arial" w:cs="Arial"/>
          <w:sz w:val="18"/>
          <w:lang w:eastAsia="en-US"/>
        </w:rPr>
        <w:br w:type="page"/>
      </w:r>
    </w:p>
    <w:p w:rsidR="00F813F5" w:rsidRDefault="00F813F5" w:rsidP="00F813F5">
      <w:pPr>
        <w:rPr>
          <w:rFonts w:ascii="Arial" w:hAnsi="Arial" w:cs="Arial"/>
          <w:sz w:val="18"/>
          <w:lang w:eastAsia="en-US"/>
        </w:rPr>
      </w:pPr>
    </w:p>
    <w:sectPr w:rsidR="00F813F5" w:rsidSect="00037E04">
      <w:pgSz w:w="11906" w:h="16838"/>
      <w:pgMar w:top="1134" w:right="1247" w:bottom="1134" w:left="1247"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E60F2" w:rsidRDefault="001E60F2" w:rsidP="00F813F5">
      <w:r>
        <w:separator/>
      </w:r>
    </w:p>
  </w:endnote>
  <w:endnote w:type="continuationSeparator" w:id="0">
    <w:p w:rsidR="001E60F2" w:rsidRDefault="001E60F2" w:rsidP="00F813F5">
      <w:r>
        <w:continuationSeparator/>
      </w:r>
    </w:p>
  </w:endnote>
  <w:endnote w:id="1">
    <w:p w:rsidR="00F813F5" w:rsidRPr="00112454" w:rsidRDefault="00F813F5" w:rsidP="00F813F5">
      <w:pPr>
        <w:pStyle w:val="EndnoteText"/>
        <w:spacing w:after="80"/>
        <w:rPr>
          <w:rFonts w:ascii="Arial" w:hAnsi="Arial" w:cs="Arial"/>
          <w:sz w:val="16"/>
          <w:szCs w:val="16"/>
        </w:rPr>
      </w:pPr>
      <w:r w:rsidRPr="00112454">
        <w:rPr>
          <w:rStyle w:val="EndnoteReference"/>
          <w:rFonts w:ascii="Arial" w:hAnsi="Arial" w:cs="Arial"/>
          <w:sz w:val="16"/>
          <w:szCs w:val="16"/>
        </w:rPr>
        <w:endnoteRef/>
      </w:r>
      <w:r w:rsidRPr="00112454">
        <w:rPr>
          <w:rFonts w:ascii="Arial" w:hAnsi="Arial" w:cs="Arial"/>
          <w:sz w:val="16"/>
          <w:szCs w:val="16"/>
        </w:rPr>
        <w:t xml:space="preserve"> Australian Bureau of Statistics (ABS), Value of Agricultural Commodities Produced, Australia, 7503.0, 2012-13</w:t>
      </w:r>
    </w:p>
  </w:endnote>
  <w:endnote w:id="2">
    <w:p w:rsidR="00F813F5" w:rsidRPr="007817B7" w:rsidRDefault="00F813F5" w:rsidP="00F813F5">
      <w:pPr>
        <w:pStyle w:val="EndnoteText"/>
        <w:spacing w:after="80"/>
        <w:rPr>
          <w:rFonts w:ascii="Arial" w:hAnsi="Arial" w:cs="Arial"/>
          <w:sz w:val="16"/>
          <w:szCs w:val="16"/>
        </w:rPr>
      </w:pPr>
      <w:r w:rsidRPr="007817B7">
        <w:rPr>
          <w:rStyle w:val="EndnoteReference"/>
          <w:rFonts w:ascii="Arial" w:hAnsi="Arial" w:cs="Arial"/>
          <w:sz w:val="16"/>
          <w:szCs w:val="16"/>
        </w:rPr>
        <w:endnoteRef/>
      </w:r>
      <w:r w:rsidRPr="007817B7">
        <w:rPr>
          <w:rFonts w:ascii="Arial" w:hAnsi="Arial" w:cs="Arial"/>
          <w:sz w:val="16"/>
          <w:szCs w:val="16"/>
        </w:rPr>
        <w:t xml:space="preserve"> Dairy Australia (DA), Farm Facts, in: </w:t>
      </w:r>
      <w:hyperlink r:id="rId1" w:history="1">
        <w:r w:rsidRPr="007817B7">
          <w:rPr>
            <w:rStyle w:val="Hyperlink"/>
            <w:rFonts w:ascii="Arial" w:hAnsi="Arial" w:cs="Arial"/>
            <w:sz w:val="16"/>
            <w:szCs w:val="16"/>
          </w:rPr>
          <w:t>www.dairyaustralia.com.au</w:t>
        </w:r>
      </w:hyperlink>
      <w:r w:rsidRPr="007817B7">
        <w:rPr>
          <w:rFonts w:ascii="Arial" w:hAnsi="Arial" w:cs="Arial"/>
          <w:sz w:val="16"/>
          <w:szCs w:val="16"/>
        </w:rPr>
        <w:t xml:space="preserve"> accessed, </w:t>
      </w:r>
      <w:r w:rsidR="00C87F45">
        <w:rPr>
          <w:rFonts w:ascii="Arial" w:hAnsi="Arial" w:cs="Arial"/>
          <w:sz w:val="16"/>
          <w:szCs w:val="16"/>
        </w:rPr>
        <w:t xml:space="preserve">December </w:t>
      </w:r>
      <w:r w:rsidRPr="007817B7">
        <w:rPr>
          <w:rFonts w:ascii="Arial" w:hAnsi="Arial" w:cs="Arial"/>
          <w:sz w:val="16"/>
          <w:szCs w:val="16"/>
        </w:rPr>
        <w:t>2014</w:t>
      </w:r>
    </w:p>
  </w:endnote>
  <w:endnote w:id="3">
    <w:p w:rsidR="00020AB1" w:rsidRDefault="00020AB1" w:rsidP="00020AB1">
      <w:pPr>
        <w:pStyle w:val="EndnoteText"/>
        <w:spacing w:after="80"/>
      </w:pPr>
      <w:r w:rsidRPr="00020AB1">
        <w:rPr>
          <w:rStyle w:val="EndnoteReference"/>
          <w:rFonts w:ascii="Arial" w:hAnsi="Arial" w:cs="Arial"/>
          <w:sz w:val="16"/>
          <w:szCs w:val="16"/>
        </w:rPr>
        <w:endnoteRef/>
      </w:r>
      <w:r>
        <w:t xml:space="preserve"> </w:t>
      </w:r>
      <w:r w:rsidR="00C87F45" w:rsidRPr="00C87F45">
        <w:rPr>
          <w:rFonts w:ascii="Arial" w:hAnsi="Arial" w:cs="Arial"/>
          <w:sz w:val="16"/>
          <w:szCs w:val="16"/>
        </w:rPr>
        <w:t>DA, Farm Facts, in:</w:t>
      </w:r>
      <w:r w:rsidR="00C87F45">
        <w:t xml:space="preserve"> </w:t>
      </w:r>
      <w:hyperlink r:id="rId2" w:history="1">
        <w:r w:rsidR="00C87F45" w:rsidRPr="009223EA">
          <w:rPr>
            <w:rStyle w:val="Hyperlink"/>
            <w:rFonts w:ascii="Arial" w:hAnsi="Arial" w:cs="Arial"/>
            <w:sz w:val="16"/>
            <w:szCs w:val="16"/>
          </w:rPr>
          <w:t>http://www.dairyaustralia.com.au/Markets-and-statistics/Farm-facts/Cows-and-Farms.aspx</w:t>
        </w:r>
      </w:hyperlink>
      <w:r w:rsidR="00C87F45">
        <w:rPr>
          <w:rFonts w:ascii="Arial" w:hAnsi="Arial" w:cs="Arial"/>
          <w:sz w:val="16"/>
          <w:szCs w:val="16"/>
        </w:rPr>
        <w:t xml:space="preserve"> accessed, December 2014</w:t>
      </w:r>
    </w:p>
  </w:endnote>
  <w:endnote w:id="4">
    <w:p w:rsidR="00F813F5" w:rsidRPr="007817B7" w:rsidRDefault="00F813F5" w:rsidP="00F813F5">
      <w:pPr>
        <w:pStyle w:val="EndnoteText"/>
        <w:spacing w:after="80"/>
        <w:rPr>
          <w:rFonts w:ascii="Arial" w:hAnsi="Arial" w:cs="Arial"/>
          <w:sz w:val="16"/>
          <w:szCs w:val="16"/>
        </w:rPr>
      </w:pPr>
      <w:r w:rsidRPr="007817B7">
        <w:rPr>
          <w:rStyle w:val="EndnoteReference"/>
          <w:rFonts w:ascii="Arial" w:hAnsi="Arial" w:cs="Arial"/>
          <w:sz w:val="16"/>
          <w:szCs w:val="16"/>
        </w:rPr>
        <w:endnoteRef/>
      </w:r>
      <w:r w:rsidRPr="007817B7">
        <w:rPr>
          <w:rFonts w:ascii="Arial" w:hAnsi="Arial" w:cs="Arial"/>
          <w:sz w:val="16"/>
          <w:szCs w:val="16"/>
        </w:rPr>
        <w:t xml:space="preserve"> DA, Australian Dairy Industry in Focus, 2013</w:t>
      </w:r>
    </w:p>
  </w:endnote>
  <w:endnote w:id="5">
    <w:p w:rsidR="00F813F5" w:rsidRPr="007817B7" w:rsidRDefault="00F813F5" w:rsidP="00F813F5">
      <w:pPr>
        <w:pStyle w:val="EndnoteText"/>
        <w:spacing w:after="80"/>
        <w:rPr>
          <w:rFonts w:ascii="Arial" w:hAnsi="Arial" w:cs="Arial"/>
          <w:sz w:val="16"/>
          <w:szCs w:val="16"/>
        </w:rPr>
      </w:pPr>
      <w:r w:rsidRPr="007817B7">
        <w:rPr>
          <w:rStyle w:val="EndnoteReference"/>
          <w:rFonts w:ascii="Arial" w:hAnsi="Arial" w:cs="Arial"/>
          <w:sz w:val="16"/>
          <w:szCs w:val="16"/>
        </w:rPr>
        <w:endnoteRef/>
      </w:r>
      <w:r w:rsidRPr="007817B7">
        <w:rPr>
          <w:rFonts w:ascii="Arial" w:hAnsi="Arial" w:cs="Arial"/>
          <w:sz w:val="16"/>
          <w:szCs w:val="16"/>
        </w:rPr>
        <w:t xml:space="preserve"> DA, Farm Facts, in: </w:t>
      </w:r>
      <w:hyperlink r:id="rId3" w:history="1">
        <w:r w:rsidRPr="007817B7">
          <w:rPr>
            <w:rStyle w:val="Hyperlink"/>
            <w:rFonts w:ascii="Arial" w:hAnsi="Arial" w:cs="Arial"/>
            <w:sz w:val="16"/>
            <w:szCs w:val="16"/>
          </w:rPr>
          <w:t>www.dairyaustralia.com.au</w:t>
        </w:r>
      </w:hyperlink>
      <w:r w:rsidRPr="007817B7">
        <w:rPr>
          <w:rFonts w:ascii="Arial" w:hAnsi="Arial" w:cs="Arial"/>
          <w:sz w:val="16"/>
          <w:szCs w:val="16"/>
        </w:rPr>
        <w:t xml:space="preserve"> accessed, </w:t>
      </w:r>
      <w:r w:rsidR="00C87F45">
        <w:rPr>
          <w:rFonts w:ascii="Arial" w:hAnsi="Arial" w:cs="Arial"/>
          <w:sz w:val="16"/>
          <w:szCs w:val="16"/>
        </w:rPr>
        <w:t xml:space="preserve">December </w:t>
      </w:r>
      <w:r w:rsidRPr="007817B7">
        <w:rPr>
          <w:rFonts w:ascii="Arial" w:hAnsi="Arial" w:cs="Arial"/>
          <w:sz w:val="16"/>
          <w:szCs w:val="16"/>
        </w:rPr>
        <w:t>2014</w:t>
      </w:r>
    </w:p>
  </w:endnote>
  <w:endnote w:id="6">
    <w:p w:rsidR="00F813F5" w:rsidRPr="007817B7" w:rsidRDefault="00F813F5" w:rsidP="00F813F5">
      <w:pPr>
        <w:pStyle w:val="EndnoteText"/>
        <w:spacing w:after="80"/>
        <w:rPr>
          <w:rFonts w:ascii="Arial" w:hAnsi="Arial" w:cs="Arial"/>
          <w:sz w:val="16"/>
          <w:szCs w:val="16"/>
        </w:rPr>
      </w:pPr>
      <w:r w:rsidRPr="007817B7">
        <w:rPr>
          <w:rStyle w:val="EndnoteReference"/>
          <w:rFonts w:ascii="Arial" w:hAnsi="Arial" w:cs="Arial"/>
          <w:sz w:val="16"/>
          <w:szCs w:val="16"/>
        </w:rPr>
        <w:endnoteRef/>
      </w:r>
      <w:r w:rsidRPr="007817B7">
        <w:rPr>
          <w:rFonts w:ascii="Arial" w:hAnsi="Arial" w:cs="Arial"/>
          <w:sz w:val="16"/>
          <w:szCs w:val="16"/>
        </w:rPr>
        <w:t xml:space="preserve"> Department of Environment and Primary Industries (DEPI), </w:t>
      </w:r>
      <w:r w:rsidRPr="007817B7">
        <w:rPr>
          <w:rFonts w:ascii="Arial" w:hAnsi="Arial" w:cs="Arial"/>
          <w:i/>
          <w:sz w:val="16"/>
          <w:szCs w:val="16"/>
        </w:rPr>
        <w:t>Dairy Industry Farm Monitor Project Report 2013-14</w:t>
      </w:r>
    </w:p>
  </w:endnote>
  <w:endnote w:id="7">
    <w:p w:rsidR="00F813F5" w:rsidRPr="007817B7" w:rsidRDefault="00F813F5" w:rsidP="00F813F5">
      <w:pPr>
        <w:pStyle w:val="EndnoteText"/>
        <w:spacing w:after="80"/>
        <w:rPr>
          <w:rFonts w:ascii="Arial" w:hAnsi="Arial" w:cs="Arial"/>
          <w:sz w:val="16"/>
          <w:szCs w:val="16"/>
        </w:rPr>
      </w:pPr>
      <w:r w:rsidRPr="007817B7">
        <w:rPr>
          <w:rStyle w:val="EndnoteReference"/>
          <w:rFonts w:ascii="Arial" w:hAnsi="Arial" w:cs="Arial"/>
          <w:sz w:val="16"/>
          <w:szCs w:val="16"/>
        </w:rPr>
        <w:endnoteRef/>
      </w:r>
      <w:r w:rsidRPr="007817B7">
        <w:rPr>
          <w:rFonts w:ascii="Arial" w:hAnsi="Arial" w:cs="Arial"/>
          <w:sz w:val="16"/>
          <w:szCs w:val="16"/>
        </w:rPr>
        <w:t xml:space="preserve"> Australian Bureau of Statistics (ABS), Based on AGS2011 Mesh Block Boundaries. Number of dairy cattle sourced from the 2000-11 Agricultural Census. Land use based on ASGS2011 Mesh Block Use Categories. This map was produced using coordinate system: </w:t>
      </w:r>
      <w:proofErr w:type="spellStart"/>
      <w:r w:rsidRPr="007817B7">
        <w:rPr>
          <w:rFonts w:ascii="Arial" w:hAnsi="Arial" w:cs="Arial"/>
          <w:sz w:val="16"/>
          <w:szCs w:val="16"/>
        </w:rPr>
        <w:t>Lat</w:t>
      </w:r>
      <w:proofErr w:type="spellEnd"/>
      <w:r w:rsidRPr="007817B7">
        <w:rPr>
          <w:rFonts w:ascii="Arial" w:hAnsi="Arial" w:cs="Arial"/>
          <w:sz w:val="16"/>
          <w:szCs w:val="16"/>
        </w:rPr>
        <w:t>/Long GDA94 © Commonwealth of Australia, 2014</w:t>
      </w:r>
    </w:p>
  </w:endnote>
  <w:endnote w:id="8">
    <w:p w:rsidR="00F813F5" w:rsidRPr="007817B7" w:rsidRDefault="00F813F5" w:rsidP="00F813F5">
      <w:pPr>
        <w:pStyle w:val="EndnoteText"/>
        <w:spacing w:after="80"/>
        <w:rPr>
          <w:rFonts w:ascii="Arial" w:hAnsi="Arial" w:cs="Arial"/>
          <w:sz w:val="16"/>
          <w:szCs w:val="16"/>
        </w:rPr>
      </w:pPr>
      <w:r w:rsidRPr="007817B7">
        <w:rPr>
          <w:rStyle w:val="EndnoteReference"/>
          <w:rFonts w:ascii="Arial" w:hAnsi="Arial" w:cs="Arial"/>
          <w:sz w:val="16"/>
          <w:szCs w:val="16"/>
        </w:rPr>
        <w:endnoteRef/>
      </w:r>
      <w:r w:rsidRPr="007817B7">
        <w:rPr>
          <w:rFonts w:ascii="Arial" w:hAnsi="Arial" w:cs="Arial"/>
          <w:sz w:val="16"/>
          <w:szCs w:val="16"/>
        </w:rPr>
        <w:t xml:space="preserve"> DA, Industry Statistics, Victoria Milk Production 2013-14 by Region</w:t>
      </w:r>
    </w:p>
  </w:endnote>
  <w:endnote w:id="9">
    <w:p w:rsidR="00F813F5" w:rsidRPr="007817B7" w:rsidRDefault="00F813F5" w:rsidP="00F813F5">
      <w:pPr>
        <w:pStyle w:val="EndnoteText"/>
        <w:spacing w:after="80"/>
        <w:rPr>
          <w:rFonts w:ascii="Arial" w:hAnsi="Arial" w:cs="Arial"/>
          <w:sz w:val="16"/>
          <w:szCs w:val="16"/>
        </w:rPr>
      </w:pPr>
      <w:r w:rsidRPr="007817B7">
        <w:rPr>
          <w:rStyle w:val="EndnoteReference"/>
          <w:rFonts w:ascii="Arial" w:hAnsi="Arial" w:cs="Arial"/>
          <w:sz w:val="16"/>
          <w:szCs w:val="16"/>
        </w:rPr>
        <w:endnoteRef/>
      </w:r>
      <w:r w:rsidRPr="007817B7">
        <w:rPr>
          <w:rFonts w:ascii="Arial" w:hAnsi="Arial" w:cs="Arial"/>
          <w:sz w:val="16"/>
          <w:szCs w:val="16"/>
        </w:rPr>
        <w:t xml:space="preserve"> DA, Industry Statistics, Farmgate milk price 2013-14</w:t>
      </w:r>
    </w:p>
  </w:endnote>
  <w:endnote w:id="10">
    <w:p w:rsidR="00F813F5" w:rsidRPr="007817B7" w:rsidRDefault="00F813F5" w:rsidP="00F813F5">
      <w:pPr>
        <w:pStyle w:val="EndnoteText"/>
        <w:spacing w:after="80"/>
        <w:rPr>
          <w:rFonts w:ascii="Arial" w:hAnsi="Arial" w:cs="Arial"/>
          <w:sz w:val="16"/>
          <w:szCs w:val="16"/>
        </w:rPr>
      </w:pPr>
      <w:r w:rsidRPr="007817B7">
        <w:rPr>
          <w:rStyle w:val="EndnoteReference"/>
          <w:rFonts w:ascii="Arial" w:hAnsi="Arial" w:cs="Arial"/>
          <w:sz w:val="16"/>
          <w:szCs w:val="16"/>
        </w:rPr>
        <w:endnoteRef/>
      </w:r>
      <w:r w:rsidRPr="007817B7">
        <w:rPr>
          <w:rStyle w:val="EndnoteReference"/>
          <w:rFonts w:ascii="Arial" w:hAnsi="Arial" w:cs="Arial"/>
          <w:sz w:val="16"/>
          <w:szCs w:val="16"/>
        </w:rPr>
        <w:t xml:space="preserve"> </w:t>
      </w:r>
      <w:r w:rsidRPr="007817B7">
        <w:rPr>
          <w:rFonts w:ascii="Arial" w:hAnsi="Arial" w:cs="Arial"/>
          <w:sz w:val="16"/>
          <w:szCs w:val="16"/>
        </w:rPr>
        <w:t xml:space="preserve">DEPI, </w:t>
      </w:r>
      <w:r w:rsidRPr="007817B7">
        <w:rPr>
          <w:rFonts w:ascii="Arial" w:hAnsi="Arial" w:cs="Arial"/>
          <w:i/>
          <w:sz w:val="16"/>
          <w:szCs w:val="16"/>
        </w:rPr>
        <w:t>Dairy Industry Farm Monitor Project Report 2013-14</w:t>
      </w:r>
    </w:p>
  </w:endnote>
  <w:endnote w:id="11">
    <w:p w:rsidR="00F813F5" w:rsidRPr="007817B7" w:rsidRDefault="00F813F5" w:rsidP="00F813F5">
      <w:pPr>
        <w:pStyle w:val="EndnoteText"/>
        <w:spacing w:after="80"/>
        <w:rPr>
          <w:rFonts w:ascii="Arial" w:hAnsi="Arial" w:cs="Arial"/>
          <w:sz w:val="16"/>
          <w:szCs w:val="16"/>
        </w:rPr>
      </w:pPr>
      <w:r w:rsidRPr="007817B7">
        <w:rPr>
          <w:rStyle w:val="EndnoteReference"/>
          <w:rFonts w:ascii="Arial" w:hAnsi="Arial" w:cs="Arial"/>
          <w:sz w:val="16"/>
          <w:szCs w:val="16"/>
        </w:rPr>
        <w:endnoteRef/>
      </w:r>
      <w:r w:rsidRPr="007817B7">
        <w:rPr>
          <w:rFonts w:ascii="Arial" w:hAnsi="Arial" w:cs="Arial"/>
          <w:sz w:val="16"/>
          <w:szCs w:val="16"/>
        </w:rPr>
        <w:t xml:space="preserve"> Food and Agriculture Organisation of the United Nations website, Trade and Markets page, in: </w:t>
      </w:r>
      <w:hyperlink r:id="rId4" w:history="1">
        <w:r w:rsidRPr="007817B7">
          <w:rPr>
            <w:rStyle w:val="Hyperlink"/>
            <w:rFonts w:ascii="Arial" w:hAnsi="Arial" w:cs="Arial"/>
            <w:sz w:val="16"/>
            <w:szCs w:val="16"/>
          </w:rPr>
          <w:t>http://www.fao.org/economic/est/statistical-data/est-cpd/en/</w:t>
        </w:r>
      </w:hyperlink>
      <w:r w:rsidRPr="007817B7">
        <w:rPr>
          <w:rFonts w:ascii="Arial" w:hAnsi="Arial" w:cs="Arial"/>
          <w:sz w:val="16"/>
          <w:szCs w:val="16"/>
        </w:rPr>
        <w:t xml:space="preserve"> accessed, </w:t>
      </w:r>
      <w:r w:rsidR="00C87F45">
        <w:rPr>
          <w:rFonts w:ascii="Arial" w:hAnsi="Arial" w:cs="Arial"/>
          <w:sz w:val="16"/>
          <w:szCs w:val="16"/>
        </w:rPr>
        <w:t xml:space="preserve">December </w:t>
      </w:r>
      <w:r w:rsidRPr="007817B7">
        <w:rPr>
          <w:rFonts w:ascii="Arial" w:hAnsi="Arial" w:cs="Arial"/>
          <w:sz w:val="16"/>
          <w:szCs w:val="16"/>
        </w:rPr>
        <w:t>2014</w:t>
      </w:r>
    </w:p>
  </w:endnote>
  <w:endnote w:id="12">
    <w:p w:rsidR="00F813F5" w:rsidRPr="00112454" w:rsidRDefault="00F813F5" w:rsidP="00F813F5">
      <w:pPr>
        <w:pStyle w:val="EndnoteText"/>
        <w:spacing w:after="80"/>
        <w:rPr>
          <w:sz w:val="16"/>
          <w:szCs w:val="16"/>
        </w:rPr>
      </w:pPr>
      <w:r w:rsidRPr="007817B7">
        <w:rPr>
          <w:rStyle w:val="EndnoteReference"/>
          <w:rFonts w:ascii="Arial" w:hAnsi="Arial" w:cs="Arial"/>
          <w:sz w:val="16"/>
          <w:szCs w:val="16"/>
        </w:rPr>
        <w:endnoteRef/>
      </w:r>
      <w:r w:rsidRPr="00112454">
        <w:rPr>
          <w:sz w:val="16"/>
          <w:szCs w:val="16"/>
        </w:rPr>
        <w:t xml:space="preserve"> </w:t>
      </w:r>
      <w:r w:rsidRPr="007817B7">
        <w:rPr>
          <w:rFonts w:ascii="Arial" w:hAnsi="Arial" w:cs="Arial"/>
          <w:sz w:val="16"/>
          <w:szCs w:val="16"/>
        </w:rPr>
        <w:t>Australian Bureau of Agricultural and Resource Economics and Sciences (ABARES), Agricultural Commodities, September Quarter, 2014</w:t>
      </w:r>
    </w:p>
  </w:endnote>
  <w:endnote w:id="13">
    <w:p w:rsidR="00F813F5" w:rsidRPr="00112454" w:rsidRDefault="00F813F5" w:rsidP="00F813F5">
      <w:pPr>
        <w:pStyle w:val="EndnoteText"/>
        <w:spacing w:after="80"/>
        <w:rPr>
          <w:sz w:val="16"/>
          <w:szCs w:val="16"/>
        </w:rPr>
      </w:pPr>
      <w:r w:rsidRPr="007817B7">
        <w:rPr>
          <w:rStyle w:val="EndnoteReference"/>
          <w:rFonts w:ascii="Arial" w:hAnsi="Arial" w:cs="Arial"/>
          <w:sz w:val="16"/>
          <w:szCs w:val="16"/>
        </w:rPr>
        <w:endnoteRef/>
      </w:r>
      <w:r w:rsidRPr="00112454">
        <w:rPr>
          <w:sz w:val="16"/>
          <w:szCs w:val="16"/>
        </w:rPr>
        <w:t xml:space="preserve"> </w:t>
      </w:r>
      <w:r w:rsidRPr="007817B7">
        <w:rPr>
          <w:rFonts w:ascii="Arial" w:hAnsi="Arial" w:cs="Arial"/>
          <w:sz w:val="16"/>
          <w:szCs w:val="16"/>
        </w:rPr>
        <w:t>DA, Dairy Situation and Outlook, November 2014</w:t>
      </w:r>
    </w:p>
  </w:endnote>
  <w:endnote w:id="14">
    <w:p w:rsidR="00F813F5" w:rsidRPr="007817B7" w:rsidRDefault="00F813F5" w:rsidP="00F813F5">
      <w:pPr>
        <w:pStyle w:val="EndnoteText"/>
        <w:spacing w:after="80"/>
        <w:rPr>
          <w:rFonts w:ascii="Arial" w:hAnsi="Arial" w:cs="Arial"/>
          <w:sz w:val="16"/>
          <w:szCs w:val="16"/>
        </w:rPr>
      </w:pPr>
      <w:r w:rsidRPr="007817B7">
        <w:rPr>
          <w:rStyle w:val="EndnoteReference"/>
          <w:rFonts w:ascii="Arial" w:hAnsi="Arial" w:cs="Arial"/>
          <w:sz w:val="16"/>
          <w:szCs w:val="16"/>
        </w:rPr>
        <w:endnoteRef/>
      </w:r>
      <w:r w:rsidRPr="007817B7">
        <w:rPr>
          <w:rFonts w:ascii="Arial" w:hAnsi="Arial" w:cs="Arial"/>
          <w:sz w:val="16"/>
          <w:szCs w:val="16"/>
        </w:rPr>
        <w:t xml:space="preserve"> DA, Australian Dairy Industry in Focus, 2013</w:t>
      </w:r>
    </w:p>
  </w:endnote>
  <w:endnote w:id="15">
    <w:p w:rsidR="00F813F5" w:rsidRPr="007817B7" w:rsidRDefault="00F813F5" w:rsidP="00F813F5">
      <w:pPr>
        <w:pStyle w:val="EndnoteText"/>
        <w:spacing w:after="80"/>
        <w:rPr>
          <w:rFonts w:ascii="Arial" w:hAnsi="Arial" w:cs="Arial"/>
          <w:sz w:val="16"/>
          <w:szCs w:val="16"/>
        </w:rPr>
      </w:pPr>
      <w:r w:rsidRPr="007817B7">
        <w:rPr>
          <w:rStyle w:val="EndnoteReference"/>
          <w:rFonts w:ascii="Arial" w:hAnsi="Arial" w:cs="Arial"/>
          <w:sz w:val="16"/>
          <w:szCs w:val="16"/>
        </w:rPr>
        <w:endnoteRef/>
      </w:r>
      <w:r w:rsidRPr="007817B7">
        <w:rPr>
          <w:rFonts w:ascii="Arial" w:hAnsi="Arial" w:cs="Arial"/>
          <w:sz w:val="16"/>
          <w:szCs w:val="16"/>
        </w:rPr>
        <w:t xml:space="preserve"> DEPI, </w:t>
      </w:r>
      <w:r w:rsidRPr="007817B7">
        <w:rPr>
          <w:rFonts w:ascii="Arial" w:hAnsi="Arial" w:cs="Arial"/>
          <w:i/>
          <w:sz w:val="16"/>
          <w:szCs w:val="16"/>
        </w:rPr>
        <w:t>Victorian Food and Fibre Export Performance, 2013-14</w:t>
      </w:r>
    </w:p>
  </w:endnote>
  <w:endnote w:id="16">
    <w:p w:rsidR="00F813F5" w:rsidRPr="00112454" w:rsidRDefault="00F813F5" w:rsidP="00F813F5">
      <w:pPr>
        <w:pStyle w:val="EndnoteText"/>
        <w:spacing w:after="80"/>
        <w:rPr>
          <w:i/>
          <w:sz w:val="16"/>
          <w:szCs w:val="16"/>
        </w:rPr>
      </w:pPr>
      <w:r w:rsidRPr="007817B7">
        <w:rPr>
          <w:rStyle w:val="EndnoteReference"/>
          <w:rFonts w:ascii="Arial" w:hAnsi="Arial" w:cs="Arial"/>
          <w:sz w:val="16"/>
          <w:szCs w:val="16"/>
        </w:rPr>
        <w:endnoteRef/>
      </w:r>
      <w:r w:rsidRPr="00112454">
        <w:rPr>
          <w:sz w:val="16"/>
          <w:szCs w:val="16"/>
        </w:rPr>
        <w:t xml:space="preserve"> </w:t>
      </w:r>
      <w:r w:rsidRPr="007817B7">
        <w:rPr>
          <w:rFonts w:ascii="Arial" w:hAnsi="Arial" w:cs="Arial"/>
          <w:sz w:val="16"/>
          <w:szCs w:val="16"/>
        </w:rPr>
        <w:t xml:space="preserve">ABARES, </w:t>
      </w:r>
      <w:r w:rsidRPr="007817B7">
        <w:rPr>
          <w:rFonts w:ascii="Arial" w:hAnsi="Arial" w:cs="Arial"/>
          <w:i/>
          <w:sz w:val="16"/>
          <w:szCs w:val="16"/>
        </w:rPr>
        <w:t>Agricultural Commodities, March Quarter, 2014</w:t>
      </w:r>
    </w:p>
  </w:endnote>
  <w:endnote w:id="17">
    <w:p w:rsidR="00F813F5" w:rsidRPr="00112454" w:rsidRDefault="00F813F5" w:rsidP="00F813F5">
      <w:pPr>
        <w:pStyle w:val="EndnoteText"/>
        <w:spacing w:after="80"/>
        <w:rPr>
          <w:sz w:val="16"/>
          <w:szCs w:val="16"/>
        </w:rPr>
      </w:pPr>
      <w:r w:rsidRPr="007817B7">
        <w:rPr>
          <w:rStyle w:val="EndnoteReference"/>
          <w:rFonts w:ascii="Arial" w:hAnsi="Arial" w:cs="Arial"/>
          <w:sz w:val="16"/>
          <w:szCs w:val="16"/>
        </w:rPr>
        <w:endnoteRef/>
      </w:r>
      <w:r w:rsidRPr="00112454">
        <w:rPr>
          <w:sz w:val="16"/>
          <w:szCs w:val="16"/>
        </w:rPr>
        <w:t xml:space="preserve"> </w:t>
      </w:r>
      <w:r w:rsidRPr="007817B7">
        <w:rPr>
          <w:rFonts w:ascii="Arial" w:hAnsi="Arial" w:cs="Arial"/>
          <w:sz w:val="16"/>
          <w:szCs w:val="16"/>
        </w:rPr>
        <w:t xml:space="preserve">DEPI, </w:t>
      </w:r>
      <w:r w:rsidRPr="007817B7">
        <w:rPr>
          <w:rFonts w:ascii="Arial" w:hAnsi="Arial" w:cs="Arial"/>
          <w:i/>
          <w:sz w:val="16"/>
          <w:szCs w:val="16"/>
        </w:rPr>
        <w:t>Dairy Industry Farm Monitor Project Report 2013-14</w:t>
      </w:r>
    </w:p>
  </w:endnote>
  <w:endnote w:id="18">
    <w:p w:rsidR="00F813F5" w:rsidRDefault="00F813F5" w:rsidP="00F813F5">
      <w:pPr>
        <w:pStyle w:val="EndnoteText"/>
        <w:spacing w:after="80"/>
      </w:pPr>
      <w:r w:rsidRPr="007817B7">
        <w:rPr>
          <w:rStyle w:val="EndnoteReference"/>
          <w:rFonts w:ascii="Arial" w:hAnsi="Arial" w:cs="Arial"/>
          <w:sz w:val="16"/>
          <w:szCs w:val="16"/>
        </w:rPr>
        <w:endnoteRef/>
      </w:r>
      <w:r w:rsidRPr="007817B7">
        <w:rPr>
          <w:rFonts w:ascii="Arial" w:hAnsi="Arial" w:cs="Arial"/>
          <w:sz w:val="16"/>
          <w:szCs w:val="16"/>
        </w:rPr>
        <w:t xml:space="preserve"> ABS Census Data, 2011 (census of Population &amp; Housing and the Agricultural census)</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81423882"/>
      <w:docPartObj>
        <w:docPartGallery w:val="Page Numbers (Bottom of Page)"/>
        <w:docPartUnique/>
      </w:docPartObj>
    </w:sdtPr>
    <w:sdtEndPr>
      <w:rPr>
        <w:noProof/>
      </w:rPr>
    </w:sdtEndPr>
    <w:sdtContent>
      <w:p w:rsidR="007817B7" w:rsidRDefault="001E60F2">
        <w:pPr>
          <w:pStyle w:val="Footer"/>
          <w:jc w:val="center"/>
        </w:pPr>
        <w:r>
          <w:fldChar w:fldCharType="begin"/>
        </w:r>
        <w:r>
          <w:instrText xml:space="preserve"> PAGE   \* MERGEFORMAT </w:instrText>
        </w:r>
        <w:r>
          <w:fldChar w:fldCharType="separate"/>
        </w:r>
        <w:r w:rsidR="00DA06B6">
          <w:rPr>
            <w:noProof/>
          </w:rPr>
          <w:t>7</w:t>
        </w:r>
        <w:r>
          <w:rPr>
            <w:noProof/>
          </w:rPr>
          <w:fldChar w:fldCharType="end"/>
        </w:r>
      </w:p>
    </w:sdtContent>
  </w:sdt>
  <w:p w:rsidR="007817B7" w:rsidRDefault="00DA06B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E60F2" w:rsidRDefault="001E60F2" w:rsidP="00F813F5">
      <w:r>
        <w:separator/>
      </w:r>
    </w:p>
  </w:footnote>
  <w:footnote w:type="continuationSeparator" w:id="0">
    <w:p w:rsidR="001E60F2" w:rsidRDefault="001E60F2" w:rsidP="00F813F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32A49" w:rsidRDefault="00D32A49">
    <w:pPr>
      <w:pStyle w:val="Header"/>
    </w:pPr>
    <w:r>
      <w:rPr>
        <w:noProof/>
      </w:rPr>
      <w:drawing>
        <wp:anchor distT="0" distB="0" distL="114300" distR="114300" simplePos="0" relativeHeight="251658240" behindDoc="0" locked="0" layoutInCell="1" allowOverlap="1" wp14:anchorId="665A9276" wp14:editId="3BB1A524">
          <wp:simplePos x="361315" y="0"/>
          <wp:positionH relativeFrom="margin">
            <wp:align>center</wp:align>
          </wp:positionH>
          <wp:positionV relativeFrom="margin">
            <wp:align>center</wp:align>
          </wp:positionV>
          <wp:extent cx="7599600" cy="10749600"/>
          <wp:effectExtent l="0" t="0" r="1905"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ustry Profile Fact Sheet Covers_Collage Icons_v3-02.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99600" cy="10749600"/>
                  </a:xfrm>
                  <a:prstGeom prst="rect">
                    <a:avLst/>
                  </a:prstGeom>
                </pic:spPr>
              </pic:pic>
            </a:graphicData>
          </a:graphic>
          <wp14:sizeRelH relativeFrom="margin">
            <wp14:pctWidth>0</wp14:pctWidth>
          </wp14:sizeRelH>
          <wp14:sizeRelV relativeFrom="margin">
            <wp14:pctHeight>0</wp14:pctHeight>
          </wp14:sizeRelV>
        </wp:anchor>
      </w:drawing>
    </w:r>
  </w:p>
  <w:p w:rsidR="00D32A49" w:rsidRDefault="00D32A4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EB479C9"/>
    <w:multiLevelType w:val="hybridMultilevel"/>
    <w:tmpl w:val="B19C61DA"/>
    <w:lvl w:ilvl="0" w:tplc="7E7A92D6">
      <w:numFmt w:val="bullet"/>
      <w:lvlText w:val=""/>
      <w:lvlJc w:val="left"/>
      <w:pPr>
        <w:ind w:left="720" w:hanging="360"/>
      </w:pPr>
      <w:rPr>
        <w:rFonts w:ascii="Symbol" w:eastAsiaTheme="minorHAnsi" w:hAnsi="Symbol" w:cstheme="minorBidi"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nsid w:val="65A249FE"/>
    <w:multiLevelType w:val="hybridMultilevel"/>
    <w:tmpl w:val="AA4CBB2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nsid w:val="717E4395"/>
    <w:multiLevelType w:val="hybridMultilevel"/>
    <w:tmpl w:val="FEC442AC"/>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proofState w:spelling="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605EB"/>
    <w:rsid w:val="00020AB1"/>
    <w:rsid w:val="00037E04"/>
    <w:rsid w:val="000B4338"/>
    <w:rsid w:val="0012060F"/>
    <w:rsid w:val="001E60F2"/>
    <w:rsid w:val="00220DB0"/>
    <w:rsid w:val="002B4ECA"/>
    <w:rsid w:val="002C0F29"/>
    <w:rsid w:val="003921DB"/>
    <w:rsid w:val="003D7BFE"/>
    <w:rsid w:val="00432473"/>
    <w:rsid w:val="00483F6E"/>
    <w:rsid w:val="004C2AC6"/>
    <w:rsid w:val="00561350"/>
    <w:rsid w:val="00654605"/>
    <w:rsid w:val="006705EF"/>
    <w:rsid w:val="00751FF6"/>
    <w:rsid w:val="007605EB"/>
    <w:rsid w:val="007644CC"/>
    <w:rsid w:val="007B4F79"/>
    <w:rsid w:val="008266B1"/>
    <w:rsid w:val="0091710E"/>
    <w:rsid w:val="009A67F8"/>
    <w:rsid w:val="009E4A6F"/>
    <w:rsid w:val="009F3907"/>
    <w:rsid w:val="00AB419E"/>
    <w:rsid w:val="00B26A13"/>
    <w:rsid w:val="00B309BD"/>
    <w:rsid w:val="00B54261"/>
    <w:rsid w:val="00B6644B"/>
    <w:rsid w:val="00B75BA7"/>
    <w:rsid w:val="00BB7BE6"/>
    <w:rsid w:val="00BE682E"/>
    <w:rsid w:val="00C45FC0"/>
    <w:rsid w:val="00C87F45"/>
    <w:rsid w:val="00CF0031"/>
    <w:rsid w:val="00D32A49"/>
    <w:rsid w:val="00DA06B6"/>
    <w:rsid w:val="00DA3E87"/>
    <w:rsid w:val="00DB06A9"/>
    <w:rsid w:val="00E80738"/>
    <w:rsid w:val="00ED2355"/>
    <w:rsid w:val="00F813F5"/>
    <w:rsid w:val="00FA4BFE"/>
    <w:rsid w:val="00FD238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State"/>
  <w:smartTagType w:namespaceuri="urn:schemas-microsoft-com:office:smarttags" w:name="place"/>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13F5"/>
    <w:pPr>
      <w:spacing w:after="0" w:line="240" w:lineRule="auto"/>
    </w:pPr>
    <w:rPr>
      <w:rFonts w:ascii="Times New Roman" w:eastAsia="Times New Roman" w:hAnsi="Times New Roman" w:cs="Times New Roman"/>
      <w:sz w:val="24"/>
      <w:szCs w:val="24"/>
      <w:lang w:eastAsia="en-AU"/>
    </w:rPr>
  </w:style>
  <w:style w:type="paragraph" w:styleId="Heading2">
    <w:name w:val="heading 2"/>
    <w:basedOn w:val="Normal"/>
    <w:next w:val="Normal"/>
    <w:link w:val="Heading2Char"/>
    <w:uiPriority w:val="9"/>
    <w:semiHidden/>
    <w:unhideWhenUsed/>
    <w:qFormat/>
    <w:rsid w:val="00E8073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link w:val="Heading4Char"/>
    <w:qFormat/>
    <w:rsid w:val="00BB7BE6"/>
    <w:pPr>
      <w:spacing w:before="100" w:beforeAutospacing="1" w:after="100" w:afterAutospacing="1"/>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B7BE6"/>
    <w:pPr>
      <w:ind w:left="720"/>
      <w:contextualSpacing/>
    </w:pPr>
  </w:style>
  <w:style w:type="character" w:customStyle="1" w:styleId="Heading4Char">
    <w:name w:val="Heading 4 Char"/>
    <w:basedOn w:val="DefaultParagraphFont"/>
    <w:link w:val="Heading4"/>
    <w:rsid w:val="00BB7BE6"/>
    <w:rPr>
      <w:rFonts w:ascii="Times New Roman" w:eastAsia="Times New Roman" w:hAnsi="Times New Roman" w:cs="Times New Roman"/>
      <w:b/>
      <w:bCs/>
      <w:sz w:val="24"/>
      <w:szCs w:val="24"/>
      <w:lang w:eastAsia="en-AU"/>
    </w:rPr>
  </w:style>
  <w:style w:type="paragraph" w:styleId="NormalWeb">
    <w:name w:val="Normal (Web)"/>
    <w:basedOn w:val="Normal"/>
    <w:uiPriority w:val="99"/>
    <w:rsid w:val="00BB7BE6"/>
    <w:pPr>
      <w:spacing w:before="100" w:beforeAutospacing="1" w:after="100" w:afterAutospacing="1"/>
    </w:pPr>
  </w:style>
  <w:style w:type="paragraph" w:styleId="BalloonText">
    <w:name w:val="Balloon Text"/>
    <w:basedOn w:val="Normal"/>
    <w:link w:val="BalloonTextChar"/>
    <w:uiPriority w:val="99"/>
    <w:semiHidden/>
    <w:unhideWhenUsed/>
    <w:rsid w:val="00BB7BE6"/>
    <w:rPr>
      <w:rFonts w:ascii="Tahoma" w:hAnsi="Tahoma" w:cs="Tahoma"/>
      <w:sz w:val="16"/>
      <w:szCs w:val="16"/>
    </w:rPr>
  </w:style>
  <w:style w:type="character" w:customStyle="1" w:styleId="BalloonTextChar">
    <w:name w:val="Balloon Text Char"/>
    <w:basedOn w:val="DefaultParagraphFont"/>
    <w:link w:val="BalloonText"/>
    <w:uiPriority w:val="99"/>
    <w:semiHidden/>
    <w:rsid w:val="00BB7BE6"/>
    <w:rPr>
      <w:rFonts w:ascii="Tahoma" w:hAnsi="Tahoma" w:cs="Tahoma"/>
      <w:sz w:val="16"/>
      <w:szCs w:val="16"/>
    </w:rPr>
  </w:style>
  <w:style w:type="character" w:customStyle="1" w:styleId="Heading2Char">
    <w:name w:val="Heading 2 Char"/>
    <w:basedOn w:val="DefaultParagraphFont"/>
    <w:link w:val="Heading2"/>
    <w:uiPriority w:val="9"/>
    <w:semiHidden/>
    <w:rsid w:val="00E80738"/>
    <w:rPr>
      <w:rFonts w:asciiTheme="majorHAnsi" w:eastAsiaTheme="majorEastAsia" w:hAnsiTheme="majorHAnsi" w:cstheme="majorBidi"/>
      <w:b/>
      <w:bCs/>
      <w:color w:val="4F81BD" w:themeColor="accent1"/>
      <w:sz w:val="26"/>
      <w:szCs w:val="26"/>
    </w:rPr>
  </w:style>
  <w:style w:type="character" w:styleId="Strong">
    <w:name w:val="Strong"/>
    <w:qFormat/>
    <w:rsid w:val="00E80738"/>
    <w:rPr>
      <w:b/>
      <w:bCs/>
    </w:rPr>
  </w:style>
  <w:style w:type="paragraph" w:customStyle="1" w:styleId="HA">
    <w:name w:val="_HA"/>
    <w:next w:val="Normal"/>
    <w:uiPriority w:val="2"/>
    <w:qFormat/>
    <w:rsid w:val="00654605"/>
    <w:pPr>
      <w:spacing w:after="600" w:line="460" w:lineRule="atLeast"/>
      <w:outlineLvl w:val="0"/>
    </w:pPr>
    <w:rPr>
      <w:rFonts w:ascii="Arial" w:eastAsia="Times New Roman" w:hAnsi="Arial" w:cs="Arial"/>
      <w:color w:val="F58426"/>
      <w:sz w:val="40"/>
      <w:szCs w:val="24"/>
      <w:lang w:val="en-US"/>
    </w:rPr>
  </w:style>
  <w:style w:type="paragraph" w:customStyle="1" w:styleId="HB">
    <w:name w:val="_HB"/>
    <w:next w:val="Normal"/>
    <w:uiPriority w:val="2"/>
    <w:qFormat/>
    <w:rsid w:val="00654605"/>
    <w:pPr>
      <w:spacing w:before="180" w:after="113" w:line="300" w:lineRule="atLeast"/>
      <w:outlineLvl w:val="0"/>
    </w:pPr>
    <w:rPr>
      <w:rFonts w:ascii="Arial" w:eastAsia="Times New Roman" w:hAnsi="Arial" w:cs="Arial"/>
      <w:b/>
      <w:color w:val="F58426"/>
      <w:sz w:val="24"/>
      <w:szCs w:val="24"/>
    </w:rPr>
  </w:style>
  <w:style w:type="paragraph" w:customStyle="1" w:styleId="HC">
    <w:name w:val="_HC"/>
    <w:next w:val="Normal"/>
    <w:uiPriority w:val="2"/>
    <w:qFormat/>
    <w:rsid w:val="00654605"/>
    <w:pPr>
      <w:spacing w:before="140" w:after="57" w:line="220" w:lineRule="atLeast"/>
    </w:pPr>
    <w:rPr>
      <w:rFonts w:ascii="Arial" w:eastAsia="Times New Roman" w:hAnsi="Arial" w:cs="Arial"/>
      <w:b/>
      <w:sz w:val="18"/>
      <w:szCs w:val="24"/>
    </w:rPr>
  </w:style>
  <w:style w:type="paragraph" w:customStyle="1" w:styleId="Body">
    <w:name w:val="_Body"/>
    <w:qFormat/>
    <w:rsid w:val="00654605"/>
    <w:pPr>
      <w:spacing w:after="113" w:line="240" w:lineRule="atLeast"/>
    </w:pPr>
    <w:rPr>
      <w:rFonts w:ascii="Arial" w:eastAsia="Times New Roman" w:hAnsi="Arial" w:cs="Arial"/>
      <w:sz w:val="18"/>
      <w:szCs w:val="24"/>
    </w:rPr>
  </w:style>
  <w:style w:type="paragraph" w:customStyle="1" w:styleId="TableTitle">
    <w:name w:val="_TableTitle"/>
    <w:qFormat/>
    <w:rsid w:val="00654605"/>
    <w:pPr>
      <w:spacing w:after="120" w:line="220" w:lineRule="atLeast"/>
    </w:pPr>
    <w:rPr>
      <w:rFonts w:ascii="Arial" w:eastAsia="Times New Roman" w:hAnsi="Arial" w:cs="Arial"/>
      <w:b/>
      <w:color w:val="404040"/>
      <w:sz w:val="18"/>
      <w:szCs w:val="18"/>
    </w:rPr>
  </w:style>
  <w:style w:type="character" w:styleId="CommentReference">
    <w:name w:val="annotation reference"/>
    <w:basedOn w:val="DefaultParagraphFont"/>
    <w:uiPriority w:val="99"/>
    <w:semiHidden/>
    <w:unhideWhenUsed/>
    <w:rsid w:val="009E4A6F"/>
    <w:rPr>
      <w:sz w:val="16"/>
      <w:szCs w:val="16"/>
    </w:rPr>
  </w:style>
  <w:style w:type="paragraph" w:styleId="CommentText">
    <w:name w:val="annotation text"/>
    <w:basedOn w:val="Normal"/>
    <w:link w:val="CommentTextChar"/>
    <w:uiPriority w:val="99"/>
    <w:semiHidden/>
    <w:unhideWhenUsed/>
    <w:rsid w:val="009E4A6F"/>
    <w:rPr>
      <w:sz w:val="20"/>
      <w:szCs w:val="20"/>
    </w:rPr>
  </w:style>
  <w:style w:type="character" w:customStyle="1" w:styleId="CommentTextChar">
    <w:name w:val="Comment Text Char"/>
    <w:basedOn w:val="DefaultParagraphFont"/>
    <w:link w:val="CommentText"/>
    <w:uiPriority w:val="99"/>
    <w:semiHidden/>
    <w:rsid w:val="009E4A6F"/>
    <w:rPr>
      <w:sz w:val="20"/>
      <w:szCs w:val="20"/>
    </w:rPr>
  </w:style>
  <w:style w:type="paragraph" w:styleId="CommentSubject">
    <w:name w:val="annotation subject"/>
    <w:basedOn w:val="CommentText"/>
    <w:next w:val="CommentText"/>
    <w:link w:val="CommentSubjectChar"/>
    <w:uiPriority w:val="99"/>
    <w:semiHidden/>
    <w:unhideWhenUsed/>
    <w:rsid w:val="009E4A6F"/>
    <w:rPr>
      <w:b/>
      <w:bCs/>
    </w:rPr>
  </w:style>
  <w:style w:type="character" w:customStyle="1" w:styleId="CommentSubjectChar">
    <w:name w:val="Comment Subject Char"/>
    <w:basedOn w:val="CommentTextChar"/>
    <w:link w:val="CommentSubject"/>
    <w:uiPriority w:val="99"/>
    <w:semiHidden/>
    <w:rsid w:val="009E4A6F"/>
    <w:rPr>
      <w:b/>
      <w:bCs/>
      <w:sz w:val="20"/>
      <w:szCs w:val="20"/>
    </w:rPr>
  </w:style>
  <w:style w:type="character" w:styleId="Hyperlink">
    <w:name w:val="Hyperlink"/>
    <w:rsid w:val="00F813F5"/>
    <w:rPr>
      <w:color w:val="0000FF"/>
      <w:u w:val="single"/>
    </w:rPr>
  </w:style>
  <w:style w:type="paragraph" w:styleId="EndnoteText">
    <w:name w:val="endnote text"/>
    <w:basedOn w:val="Normal"/>
    <w:link w:val="EndnoteTextChar"/>
    <w:rsid w:val="00F813F5"/>
    <w:rPr>
      <w:sz w:val="20"/>
      <w:szCs w:val="20"/>
    </w:rPr>
  </w:style>
  <w:style w:type="character" w:customStyle="1" w:styleId="EndnoteTextChar">
    <w:name w:val="Endnote Text Char"/>
    <w:basedOn w:val="DefaultParagraphFont"/>
    <w:link w:val="EndnoteText"/>
    <w:rsid w:val="00F813F5"/>
    <w:rPr>
      <w:rFonts w:ascii="Times New Roman" w:eastAsia="Times New Roman" w:hAnsi="Times New Roman" w:cs="Times New Roman"/>
      <w:sz w:val="20"/>
      <w:szCs w:val="20"/>
      <w:lang w:eastAsia="en-AU"/>
    </w:rPr>
  </w:style>
  <w:style w:type="character" w:styleId="EndnoteReference">
    <w:name w:val="endnote reference"/>
    <w:rsid w:val="00F813F5"/>
    <w:rPr>
      <w:vertAlign w:val="superscript"/>
    </w:rPr>
  </w:style>
  <w:style w:type="table" w:styleId="ColorfulGrid-Accent6">
    <w:name w:val="Colorful Grid Accent 6"/>
    <w:basedOn w:val="TableNormal"/>
    <w:uiPriority w:val="73"/>
    <w:rsid w:val="00F813F5"/>
    <w:pPr>
      <w:spacing w:after="0" w:line="240" w:lineRule="auto"/>
    </w:pPr>
    <w:rPr>
      <w:rFonts w:ascii="Times New Roman" w:eastAsia="Times New Roman" w:hAnsi="Times New Roman" w:cs="Times New Roman"/>
      <w:color w:val="000000" w:themeColor="text1"/>
      <w:sz w:val="20"/>
      <w:szCs w:val="20"/>
      <w:lang w:eastAsia="en-AU"/>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Footer">
    <w:name w:val="footer"/>
    <w:basedOn w:val="Normal"/>
    <w:link w:val="FooterChar"/>
    <w:uiPriority w:val="99"/>
    <w:rsid w:val="00F813F5"/>
    <w:pPr>
      <w:tabs>
        <w:tab w:val="center" w:pos="4513"/>
        <w:tab w:val="right" w:pos="9026"/>
      </w:tabs>
    </w:pPr>
  </w:style>
  <w:style w:type="character" w:customStyle="1" w:styleId="FooterChar">
    <w:name w:val="Footer Char"/>
    <w:basedOn w:val="DefaultParagraphFont"/>
    <w:link w:val="Footer"/>
    <w:uiPriority w:val="99"/>
    <w:rsid w:val="00F813F5"/>
    <w:rPr>
      <w:rFonts w:ascii="Times New Roman" w:eastAsia="Times New Roman" w:hAnsi="Times New Roman" w:cs="Times New Roman"/>
      <w:sz w:val="24"/>
      <w:szCs w:val="24"/>
      <w:lang w:eastAsia="en-AU"/>
    </w:rPr>
  </w:style>
  <w:style w:type="paragraph" w:styleId="Header">
    <w:name w:val="header"/>
    <w:basedOn w:val="Normal"/>
    <w:link w:val="HeaderChar"/>
    <w:uiPriority w:val="99"/>
    <w:unhideWhenUsed/>
    <w:rsid w:val="00037E04"/>
    <w:pPr>
      <w:tabs>
        <w:tab w:val="center" w:pos="4513"/>
        <w:tab w:val="right" w:pos="9026"/>
      </w:tabs>
    </w:pPr>
  </w:style>
  <w:style w:type="character" w:customStyle="1" w:styleId="HeaderChar">
    <w:name w:val="Header Char"/>
    <w:basedOn w:val="DefaultParagraphFont"/>
    <w:link w:val="Header"/>
    <w:uiPriority w:val="99"/>
    <w:rsid w:val="00037E04"/>
    <w:rPr>
      <w:rFonts w:ascii="Times New Roman" w:eastAsia="Times New Roman" w:hAnsi="Times New Roman" w:cs="Times New Roman"/>
      <w:sz w:val="24"/>
      <w:szCs w:val="24"/>
      <w:lang w:eastAsia="en-AU"/>
    </w:rPr>
  </w:style>
  <w:style w:type="character" w:styleId="FollowedHyperlink">
    <w:name w:val="FollowedHyperlink"/>
    <w:basedOn w:val="DefaultParagraphFont"/>
    <w:uiPriority w:val="99"/>
    <w:semiHidden/>
    <w:unhideWhenUsed/>
    <w:rsid w:val="00FD2382"/>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endnote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13F5"/>
    <w:pPr>
      <w:spacing w:after="0" w:line="240" w:lineRule="auto"/>
    </w:pPr>
    <w:rPr>
      <w:rFonts w:ascii="Times New Roman" w:eastAsia="Times New Roman" w:hAnsi="Times New Roman" w:cs="Times New Roman"/>
      <w:sz w:val="24"/>
      <w:szCs w:val="24"/>
      <w:lang w:eastAsia="en-AU"/>
    </w:rPr>
  </w:style>
  <w:style w:type="paragraph" w:styleId="Heading2">
    <w:name w:val="heading 2"/>
    <w:basedOn w:val="Normal"/>
    <w:next w:val="Normal"/>
    <w:link w:val="Heading2Char"/>
    <w:uiPriority w:val="9"/>
    <w:semiHidden/>
    <w:unhideWhenUsed/>
    <w:qFormat/>
    <w:rsid w:val="00E8073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4">
    <w:name w:val="heading 4"/>
    <w:basedOn w:val="Normal"/>
    <w:link w:val="Heading4Char"/>
    <w:qFormat/>
    <w:rsid w:val="00BB7BE6"/>
    <w:pPr>
      <w:spacing w:before="100" w:beforeAutospacing="1" w:after="100" w:afterAutospacing="1"/>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B7BE6"/>
    <w:pPr>
      <w:ind w:left="720"/>
      <w:contextualSpacing/>
    </w:pPr>
  </w:style>
  <w:style w:type="character" w:customStyle="1" w:styleId="Heading4Char">
    <w:name w:val="Heading 4 Char"/>
    <w:basedOn w:val="DefaultParagraphFont"/>
    <w:link w:val="Heading4"/>
    <w:rsid w:val="00BB7BE6"/>
    <w:rPr>
      <w:rFonts w:ascii="Times New Roman" w:eastAsia="Times New Roman" w:hAnsi="Times New Roman" w:cs="Times New Roman"/>
      <w:b/>
      <w:bCs/>
      <w:sz w:val="24"/>
      <w:szCs w:val="24"/>
      <w:lang w:eastAsia="en-AU"/>
    </w:rPr>
  </w:style>
  <w:style w:type="paragraph" w:styleId="NormalWeb">
    <w:name w:val="Normal (Web)"/>
    <w:basedOn w:val="Normal"/>
    <w:uiPriority w:val="99"/>
    <w:rsid w:val="00BB7BE6"/>
    <w:pPr>
      <w:spacing w:before="100" w:beforeAutospacing="1" w:after="100" w:afterAutospacing="1"/>
    </w:pPr>
  </w:style>
  <w:style w:type="paragraph" w:styleId="BalloonText">
    <w:name w:val="Balloon Text"/>
    <w:basedOn w:val="Normal"/>
    <w:link w:val="BalloonTextChar"/>
    <w:uiPriority w:val="99"/>
    <w:semiHidden/>
    <w:unhideWhenUsed/>
    <w:rsid w:val="00BB7BE6"/>
    <w:rPr>
      <w:rFonts w:ascii="Tahoma" w:hAnsi="Tahoma" w:cs="Tahoma"/>
      <w:sz w:val="16"/>
      <w:szCs w:val="16"/>
    </w:rPr>
  </w:style>
  <w:style w:type="character" w:customStyle="1" w:styleId="BalloonTextChar">
    <w:name w:val="Balloon Text Char"/>
    <w:basedOn w:val="DefaultParagraphFont"/>
    <w:link w:val="BalloonText"/>
    <w:uiPriority w:val="99"/>
    <w:semiHidden/>
    <w:rsid w:val="00BB7BE6"/>
    <w:rPr>
      <w:rFonts w:ascii="Tahoma" w:hAnsi="Tahoma" w:cs="Tahoma"/>
      <w:sz w:val="16"/>
      <w:szCs w:val="16"/>
    </w:rPr>
  </w:style>
  <w:style w:type="character" w:customStyle="1" w:styleId="Heading2Char">
    <w:name w:val="Heading 2 Char"/>
    <w:basedOn w:val="DefaultParagraphFont"/>
    <w:link w:val="Heading2"/>
    <w:uiPriority w:val="9"/>
    <w:semiHidden/>
    <w:rsid w:val="00E80738"/>
    <w:rPr>
      <w:rFonts w:asciiTheme="majorHAnsi" w:eastAsiaTheme="majorEastAsia" w:hAnsiTheme="majorHAnsi" w:cstheme="majorBidi"/>
      <w:b/>
      <w:bCs/>
      <w:color w:val="4F81BD" w:themeColor="accent1"/>
      <w:sz w:val="26"/>
      <w:szCs w:val="26"/>
    </w:rPr>
  </w:style>
  <w:style w:type="character" w:styleId="Strong">
    <w:name w:val="Strong"/>
    <w:qFormat/>
    <w:rsid w:val="00E80738"/>
    <w:rPr>
      <w:b/>
      <w:bCs/>
    </w:rPr>
  </w:style>
  <w:style w:type="paragraph" w:customStyle="1" w:styleId="HA">
    <w:name w:val="_HA"/>
    <w:next w:val="Normal"/>
    <w:uiPriority w:val="2"/>
    <w:qFormat/>
    <w:rsid w:val="00654605"/>
    <w:pPr>
      <w:spacing w:after="600" w:line="460" w:lineRule="atLeast"/>
      <w:outlineLvl w:val="0"/>
    </w:pPr>
    <w:rPr>
      <w:rFonts w:ascii="Arial" w:eastAsia="Times New Roman" w:hAnsi="Arial" w:cs="Arial"/>
      <w:color w:val="F58426"/>
      <w:sz w:val="40"/>
      <w:szCs w:val="24"/>
      <w:lang w:val="en-US"/>
    </w:rPr>
  </w:style>
  <w:style w:type="paragraph" w:customStyle="1" w:styleId="HB">
    <w:name w:val="_HB"/>
    <w:next w:val="Normal"/>
    <w:uiPriority w:val="2"/>
    <w:qFormat/>
    <w:rsid w:val="00654605"/>
    <w:pPr>
      <w:spacing w:before="180" w:after="113" w:line="300" w:lineRule="atLeast"/>
      <w:outlineLvl w:val="0"/>
    </w:pPr>
    <w:rPr>
      <w:rFonts w:ascii="Arial" w:eastAsia="Times New Roman" w:hAnsi="Arial" w:cs="Arial"/>
      <w:b/>
      <w:color w:val="F58426"/>
      <w:sz w:val="24"/>
      <w:szCs w:val="24"/>
    </w:rPr>
  </w:style>
  <w:style w:type="paragraph" w:customStyle="1" w:styleId="HC">
    <w:name w:val="_HC"/>
    <w:next w:val="Normal"/>
    <w:uiPriority w:val="2"/>
    <w:qFormat/>
    <w:rsid w:val="00654605"/>
    <w:pPr>
      <w:spacing w:before="140" w:after="57" w:line="220" w:lineRule="atLeast"/>
    </w:pPr>
    <w:rPr>
      <w:rFonts w:ascii="Arial" w:eastAsia="Times New Roman" w:hAnsi="Arial" w:cs="Arial"/>
      <w:b/>
      <w:sz w:val="18"/>
      <w:szCs w:val="24"/>
    </w:rPr>
  </w:style>
  <w:style w:type="paragraph" w:customStyle="1" w:styleId="Body">
    <w:name w:val="_Body"/>
    <w:qFormat/>
    <w:rsid w:val="00654605"/>
    <w:pPr>
      <w:spacing w:after="113" w:line="240" w:lineRule="atLeast"/>
    </w:pPr>
    <w:rPr>
      <w:rFonts w:ascii="Arial" w:eastAsia="Times New Roman" w:hAnsi="Arial" w:cs="Arial"/>
      <w:sz w:val="18"/>
      <w:szCs w:val="24"/>
    </w:rPr>
  </w:style>
  <w:style w:type="paragraph" w:customStyle="1" w:styleId="TableTitle">
    <w:name w:val="_TableTitle"/>
    <w:qFormat/>
    <w:rsid w:val="00654605"/>
    <w:pPr>
      <w:spacing w:after="120" w:line="220" w:lineRule="atLeast"/>
    </w:pPr>
    <w:rPr>
      <w:rFonts w:ascii="Arial" w:eastAsia="Times New Roman" w:hAnsi="Arial" w:cs="Arial"/>
      <w:b/>
      <w:color w:val="404040"/>
      <w:sz w:val="18"/>
      <w:szCs w:val="18"/>
    </w:rPr>
  </w:style>
  <w:style w:type="character" w:styleId="CommentReference">
    <w:name w:val="annotation reference"/>
    <w:basedOn w:val="DefaultParagraphFont"/>
    <w:uiPriority w:val="99"/>
    <w:semiHidden/>
    <w:unhideWhenUsed/>
    <w:rsid w:val="009E4A6F"/>
    <w:rPr>
      <w:sz w:val="16"/>
      <w:szCs w:val="16"/>
    </w:rPr>
  </w:style>
  <w:style w:type="paragraph" w:styleId="CommentText">
    <w:name w:val="annotation text"/>
    <w:basedOn w:val="Normal"/>
    <w:link w:val="CommentTextChar"/>
    <w:uiPriority w:val="99"/>
    <w:semiHidden/>
    <w:unhideWhenUsed/>
    <w:rsid w:val="009E4A6F"/>
    <w:rPr>
      <w:sz w:val="20"/>
      <w:szCs w:val="20"/>
    </w:rPr>
  </w:style>
  <w:style w:type="character" w:customStyle="1" w:styleId="CommentTextChar">
    <w:name w:val="Comment Text Char"/>
    <w:basedOn w:val="DefaultParagraphFont"/>
    <w:link w:val="CommentText"/>
    <w:uiPriority w:val="99"/>
    <w:semiHidden/>
    <w:rsid w:val="009E4A6F"/>
    <w:rPr>
      <w:sz w:val="20"/>
      <w:szCs w:val="20"/>
    </w:rPr>
  </w:style>
  <w:style w:type="paragraph" w:styleId="CommentSubject">
    <w:name w:val="annotation subject"/>
    <w:basedOn w:val="CommentText"/>
    <w:next w:val="CommentText"/>
    <w:link w:val="CommentSubjectChar"/>
    <w:uiPriority w:val="99"/>
    <w:semiHidden/>
    <w:unhideWhenUsed/>
    <w:rsid w:val="009E4A6F"/>
    <w:rPr>
      <w:b/>
      <w:bCs/>
    </w:rPr>
  </w:style>
  <w:style w:type="character" w:customStyle="1" w:styleId="CommentSubjectChar">
    <w:name w:val="Comment Subject Char"/>
    <w:basedOn w:val="CommentTextChar"/>
    <w:link w:val="CommentSubject"/>
    <w:uiPriority w:val="99"/>
    <w:semiHidden/>
    <w:rsid w:val="009E4A6F"/>
    <w:rPr>
      <w:b/>
      <w:bCs/>
      <w:sz w:val="20"/>
      <w:szCs w:val="20"/>
    </w:rPr>
  </w:style>
  <w:style w:type="character" w:styleId="Hyperlink">
    <w:name w:val="Hyperlink"/>
    <w:rsid w:val="00F813F5"/>
    <w:rPr>
      <w:color w:val="0000FF"/>
      <w:u w:val="single"/>
    </w:rPr>
  </w:style>
  <w:style w:type="paragraph" w:styleId="EndnoteText">
    <w:name w:val="endnote text"/>
    <w:basedOn w:val="Normal"/>
    <w:link w:val="EndnoteTextChar"/>
    <w:rsid w:val="00F813F5"/>
    <w:rPr>
      <w:sz w:val="20"/>
      <w:szCs w:val="20"/>
    </w:rPr>
  </w:style>
  <w:style w:type="character" w:customStyle="1" w:styleId="EndnoteTextChar">
    <w:name w:val="Endnote Text Char"/>
    <w:basedOn w:val="DefaultParagraphFont"/>
    <w:link w:val="EndnoteText"/>
    <w:rsid w:val="00F813F5"/>
    <w:rPr>
      <w:rFonts w:ascii="Times New Roman" w:eastAsia="Times New Roman" w:hAnsi="Times New Roman" w:cs="Times New Roman"/>
      <w:sz w:val="20"/>
      <w:szCs w:val="20"/>
      <w:lang w:eastAsia="en-AU"/>
    </w:rPr>
  </w:style>
  <w:style w:type="character" w:styleId="EndnoteReference">
    <w:name w:val="endnote reference"/>
    <w:rsid w:val="00F813F5"/>
    <w:rPr>
      <w:vertAlign w:val="superscript"/>
    </w:rPr>
  </w:style>
  <w:style w:type="table" w:styleId="ColorfulGrid-Accent6">
    <w:name w:val="Colorful Grid Accent 6"/>
    <w:basedOn w:val="TableNormal"/>
    <w:uiPriority w:val="73"/>
    <w:rsid w:val="00F813F5"/>
    <w:pPr>
      <w:spacing w:after="0" w:line="240" w:lineRule="auto"/>
    </w:pPr>
    <w:rPr>
      <w:rFonts w:ascii="Times New Roman" w:eastAsia="Times New Roman" w:hAnsi="Times New Roman" w:cs="Times New Roman"/>
      <w:color w:val="000000" w:themeColor="text1"/>
      <w:sz w:val="20"/>
      <w:szCs w:val="20"/>
      <w:lang w:eastAsia="en-AU"/>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Footer">
    <w:name w:val="footer"/>
    <w:basedOn w:val="Normal"/>
    <w:link w:val="FooterChar"/>
    <w:uiPriority w:val="99"/>
    <w:rsid w:val="00F813F5"/>
    <w:pPr>
      <w:tabs>
        <w:tab w:val="center" w:pos="4513"/>
        <w:tab w:val="right" w:pos="9026"/>
      </w:tabs>
    </w:pPr>
  </w:style>
  <w:style w:type="character" w:customStyle="1" w:styleId="FooterChar">
    <w:name w:val="Footer Char"/>
    <w:basedOn w:val="DefaultParagraphFont"/>
    <w:link w:val="Footer"/>
    <w:uiPriority w:val="99"/>
    <w:rsid w:val="00F813F5"/>
    <w:rPr>
      <w:rFonts w:ascii="Times New Roman" w:eastAsia="Times New Roman" w:hAnsi="Times New Roman" w:cs="Times New Roman"/>
      <w:sz w:val="24"/>
      <w:szCs w:val="24"/>
      <w:lang w:eastAsia="en-AU"/>
    </w:rPr>
  </w:style>
  <w:style w:type="paragraph" w:styleId="Header">
    <w:name w:val="header"/>
    <w:basedOn w:val="Normal"/>
    <w:link w:val="HeaderChar"/>
    <w:uiPriority w:val="99"/>
    <w:unhideWhenUsed/>
    <w:rsid w:val="00037E04"/>
    <w:pPr>
      <w:tabs>
        <w:tab w:val="center" w:pos="4513"/>
        <w:tab w:val="right" w:pos="9026"/>
      </w:tabs>
    </w:pPr>
  </w:style>
  <w:style w:type="character" w:customStyle="1" w:styleId="HeaderChar">
    <w:name w:val="Header Char"/>
    <w:basedOn w:val="DefaultParagraphFont"/>
    <w:link w:val="Header"/>
    <w:uiPriority w:val="99"/>
    <w:rsid w:val="00037E04"/>
    <w:rPr>
      <w:rFonts w:ascii="Times New Roman" w:eastAsia="Times New Roman" w:hAnsi="Times New Roman" w:cs="Times New Roman"/>
      <w:sz w:val="24"/>
      <w:szCs w:val="24"/>
      <w:lang w:eastAsia="en-AU"/>
    </w:rPr>
  </w:style>
  <w:style w:type="character" w:styleId="FollowedHyperlink">
    <w:name w:val="FollowedHyperlink"/>
    <w:basedOn w:val="DefaultParagraphFont"/>
    <w:uiPriority w:val="99"/>
    <w:semiHidden/>
    <w:unhideWhenUsed/>
    <w:rsid w:val="00FD238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28122030">
      <w:bodyDiv w:val="1"/>
      <w:marLeft w:val="0"/>
      <w:marRight w:val="0"/>
      <w:marTop w:val="0"/>
      <w:marBottom w:val="0"/>
      <w:divBdr>
        <w:top w:val="none" w:sz="0" w:space="0" w:color="auto"/>
        <w:left w:val="none" w:sz="0" w:space="0" w:color="auto"/>
        <w:bottom w:val="none" w:sz="0" w:space="0" w:color="auto"/>
        <w:right w:val="none" w:sz="0" w:space="0" w:color="auto"/>
      </w:divBdr>
      <w:divsChild>
        <w:div w:id="1346131858">
          <w:marLeft w:val="0"/>
          <w:marRight w:val="0"/>
          <w:marTop w:val="0"/>
          <w:marBottom w:val="0"/>
          <w:divBdr>
            <w:top w:val="none" w:sz="0" w:space="0" w:color="auto"/>
            <w:left w:val="none" w:sz="0" w:space="0" w:color="auto"/>
            <w:bottom w:val="none" w:sz="0" w:space="0" w:color="auto"/>
            <w:right w:val="none" w:sz="0" w:space="0" w:color="auto"/>
          </w:divBdr>
          <w:divsChild>
            <w:div w:id="1207137500">
              <w:marLeft w:val="0"/>
              <w:marRight w:val="0"/>
              <w:marTop w:val="0"/>
              <w:marBottom w:val="0"/>
              <w:divBdr>
                <w:top w:val="none" w:sz="0" w:space="0" w:color="auto"/>
                <w:left w:val="none" w:sz="0" w:space="0" w:color="auto"/>
                <w:bottom w:val="none" w:sz="0" w:space="0" w:color="auto"/>
                <w:right w:val="none" w:sz="0" w:space="0" w:color="auto"/>
              </w:divBdr>
              <w:divsChild>
                <w:div w:id="1783381545">
                  <w:marLeft w:val="0"/>
                  <w:marRight w:val="0"/>
                  <w:marTop w:val="0"/>
                  <w:marBottom w:val="0"/>
                  <w:divBdr>
                    <w:top w:val="none" w:sz="0" w:space="0" w:color="auto"/>
                    <w:left w:val="none" w:sz="0" w:space="0" w:color="auto"/>
                    <w:bottom w:val="none" w:sz="0" w:space="0" w:color="auto"/>
                    <w:right w:val="none" w:sz="0" w:space="0" w:color="auto"/>
                  </w:divBdr>
                  <w:divsChild>
                    <w:div w:id="212735581">
                      <w:marLeft w:val="0"/>
                      <w:marRight w:val="0"/>
                      <w:marTop w:val="0"/>
                      <w:marBottom w:val="0"/>
                      <w:divBdr>
                        <w:top w:val="none" w:sz="0" w:space="0" w:color="auto"/>
                        <w:left w:val="none" w:sz="0" w:space="0" w:color="auto"/>
                        <w:bottom w:val="none" w:sz="0" w:space="0" w:color="auto"/>
                        <w:right w:val="none" w:sz="0" w:space="0" w:color="auto"/>
                      </w:divBdr>
                      <w:divsChild>
                        <w:div w:id="235630333">
                          <w:marLeft w:val="0"/>
                          <w:marRight w:val="0"/>
                          <w:marTop w:val="0"/>
                          <w:marBottom w:val="0"/>
                          <w:divBdr>
                            <w:top w:val="none" w:sz="0" w:space="0" w:color="auto"/>
                            <w:left w:val="none" w:sz="0" w:space="0" w:color="auto"/>
                            <w:bottom w:val="none" w:sz="0" w:space="0" w:color="auto"/>
                            <w:right w:val="none" w:sz="0" w:space="0" w:color="auto"/>
                          </w:divBdr>
                          <w:divsChild>
                            <w:div w:id="623004688">
                              <w:marLeft w:val="0"/>
                              <w:marRight w:val="0"/>
                              <w:marTop w:val="0"/>
                              <w:marBottom w:val="0"/>
                              <w:divBdr>
                                <w:top w:val="none" w:sz="0" w:space="0" w:color="auto"/>
                                <w:left w:val="none" w:sz="0" w:space="0" w:color="auto"/>
                                <w:bottom w:val="none" w:sz="0" w:space="0" w:color="auto"/>
                                <w:right w:val="none" w:sz="0" w:space="0" w:color="auto"/>
                              </w:divBdr>
                              <w:divsChild>
                                <w:div w:id="881283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67779279">
      <w:bodyDiv w:val="1"/>
      <w:marLeft w:val="0"/>
      <w:marRight w:val="0"/>
      <w:marTop w:val="0"/>
      <w:marBottom w:val="0"/>
      <w:divBdr>
        <w:top w:val="none" w:sz="0" w:space="0" w:color="auto"/>
        <w:left w:val="none" w:sz="0" w:space="0" w:color="auto"/>
        <w:bottom w:val="none" w:sz="0" w:space="0" w:color="auto"/>
        <w:right w:val="none" w:sz="0" w:space="0" w:color="auto"/>
      </w:divBdr>
      <w:divsChild>
        <w:div w:id="1556313615">
          <w:marLeft w:val="0"/>
          <w:marRight w:val="0"/>
          <w:marTop w:val="0"/>
          <w:marBottom w:val="0"/>
          <w:divBdr>
            <w:top w:val="none" w:sz="0" w:space="0" w:color="auto"/>
            <w:left w:val="none" w:sz="0" w:space="0" w:color="auto"/>
            <w:bottom w:val="none" w:sz="0" w:space="0" w:color="auto"/>
            <w:right w:val="none" w:sz="0" w:space="0" w:color="auto"/>
          </w:divBdr>
          <w:divsChild>
            <w:div w:id="1617984900">
              <w:marLeft w:val="0"/>
              <w:marRight w:val="0"/>
              <w:marTop w:val="0"/>
              <w:marBottom w:val="0"/>
              <w:divBdr>
                <w:top w:val="none" w:sz="0" w:space="0" w:color="auto"/>
                <w:left w:val="none" w:sz="0" w:space="0" w:color="auto"/>
                <w:bottom w:val="none" w:sz="0" w:space="0" w:color="auto"/>
                <w:right w:val="none" w:sz="0" w:space="0" w:color="auto"/>
              </w:divBdr>
              <w:divsChild>
                <w:div w:id="1383365083">
                  <w:marLeft w:val="0"/>
                  <w:marRight w:val="0"/>
                  <w:marTop w:val="0"/>
                  <w:marBottom w:val="0"/>
                  <w:divBdr>
                    <w:top w:val="none" w:sz="0" w:space="0" w:color="auto"/>
                    <w:left w:val="none" w:sz="0" w:space="0" w:color="auto"/>
                    <w:bottom w:val="none" w:sz="0" w:space="0" w:color="auto"/>
                    <w:right w:val="none" w:sz="0" w:space="0" w:color="auto"/>
                  </w:divBdr>
                  <w:divsChild>
                    <w:div w:id="253439582">
                      <w:marLeft w:val="0"/>
                      <w:marRight w:val="0"/>
                      <w:marTop w:val="0"/>
                      <w:marBottom w:val="0"/>
                      <w:divBdr>
                        <w:top w:val="none" w:sz="0" w:space="0" w:color="auto"/>
                        <w:left w:val="none" w:sz="0" w:space="0" w:color="auto"/>
                        <w:bottom w:val="none" w:sz="0" w:space="0" w:color="auto"/>
                        <w:right w:val="none" w:sz="0" w:space="0" w:color="auto"/>
                      </w:divBdr>
                      <w:divsChild>
                        <w:div w:id="1077898321">
                          <w:marLeft w:val="0"/>
                          <w:marRight w:val="0"/>
                          <w:marTop w:val="0"/>
                          <w:marBottom w:val="0"/>
                          <w:divBdr>
                            <w:top w:val="none" w:sz="0" w:space="0" w:color="auto"/>
                            <w:left w:val="none" w:sz="0" w:space="0" w:color="auto"/>
                            <w:bottom w:val="none" w:sz="0" w:space="0" w:color="auto"/>
                            <w:right w:val="none" w:sz="0" w:space="0" w:color="auto"/>
                          </w:divBdr>
                          <w:divsChild>
                            <w:div w:id="1999767411">
                              <w:marLeft w:val="0"/>
                              <w:marRight w:val="0"/>
                              <w:marTop w:val="0"/>
                              <w:marBottom w:val="0"/>
                              <w:divBdr>
                                <w:top w:val="none" w:sz="0" w:space="0" w:color="auto"/>
                                <w:left w:val="none" w:sz="0" w:space="0" w:color="auto"/>
                                <w:bottom w:val="none" w:sz="0" w:space="0" w:color="auto"/>
                                <w:right w:val="none" w:sz="0" w:space="0" w:color="auto"/>
                              </w:divBdr>
                              <w:divsChild>
                                <w:div w:id="126624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chart" Target="charts/chart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chart" Target="charts/chart3.xml"/></Relationships>
</file>

<file path=word/_rels/endnotes.xml.rels><?xml version="1.0" encoding="UTF-8" standalone="yes"?>
<Relationships xmlns="http://schemas.openxmlformats.org/package/2006/relationships"><Relationship Id="rId3" Type="http://schemas.openxmlformats.org/officeDocument/2006/relationships/hyperlink" Target="http://www.dairyaustralia.com.au" TargetMode="External"/><Relationship Id="rId2" Type="http://schemas.openxmlformats.org/officeDocument/2006/relationships/hyperlink" Target="http://www.dairyaustralia.com.au/Markets-and-statistics/Farm-facts/Cows-and-Farms.aspx" TargetMode="External"/><Relationship Id="rId1" Type="http://schemas.openxmlformats.org/officeDocument/2006/relationships/hyperlink" Target="http://www.dairyaustralia.com.au" TargetMode="External"/><Relationship Id="rId4" Type="http://schemas.openxmlformats.org/officeDocument/2006/relationships/hyperlink" Target="http://www.fao.org/economic/est/statistical-data/est-cpd/e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charts/_rels/chart1.xml.rels><?xml version="1.0" encoding="UTF-8" standalone="yes"?>
<Relationships xmlns="http://schemas.openxmlformats.org/package/2006/relationships"><Relationship Id="rId1" Type="http://schemas.openxmlformats.org/officeDocument/2006/relationships/oleObject" Target="file:///\\internal.vic.gov.au\DEPI\Groupdata\CBD\Data1\B-ECON\Active\2.%20Projects\0%20Dairy%20industry\Industry%20profiles\Dairy%20statistics%20for%20industry%20profile%2013-14_Rukman.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internal.vic.gov.au\DEPI\Groupdata\CBD\Data1\B-ECON\Active\2.%20Projects\Industry%20Profiles\Dairy\Dairy%20statistics%20for%20industry%20profile%2013-14_Rukman.xls"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internal.vic.gov.au\DEPI\Groupdata\CBD\Data1\B-ECON\Active\2.%20Projects\Industry%20Profiles\Dairy\Dairy%20statistics%20for%20industry%20profile%2013-14_Rukman.xls"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8.83816161056456E-2"/>
          <c:y val="2.2188273154477221E-2"/>
          <c:w val="0.87552785135972211"/>
          <c:h val="0.89128622309126893"/>
        </c:manualLayout>
      </c:layout>
      <c:lineChart>
        <c:grouping val="standard"/>
        <c:varyColors val="0"/>
        <c:ser>
          <c:idx val="0"/>
          <c:order val="0"/>
          <c:tx>
            <c:strRef>
              <c:f>'Figure 2 - Milk production'!$B$3</c:f>
              <c:strCache>
                <c:ptCount val="1"/>
                <c:pt idx="0">
                  <c:v>Total</c:v>
                </c:pt>
              </c:strCache>
            </c:strRef>
          </c:tx>
          <c:marker>
            <c:symbol val="none"/>
          </c:marker>
          <c:cat>
            <c:strRef>
              <c:f>'Figure 2 - Milk production'!$A$4:$A$29</c:f>
              <c:strCache>
                <c:ptCount val="26"/>
                <c:pt idx="0">
                  <c:v>1988-89</c:v>
                </c:pt>
                <c:pt idx="1">
                  <c:v>1989-90</c:v>
                </c:pt>
                <c:pt idx="2">
                  <c:v>1990-91</c:v>
                </c:pt>
                <c:pt idx="3">
                  <c:v>1991-92</c:v>
                </c:pt>
                <c:pt idx="4">
                  <c:v>1992-93</c:v>
                </c:pt>
                <c:pt idx="5">
                  <c:v>1993-94</c:v>
                </c:pt>
                <c:pt idx="6">
                  <c:v>1994-95</c:v>
                </c:pt>
                <c:pt idx="7">
                  <c:v>1995-96</c:v>
                </c:pt>
                <c:pt idx="8">
                  <c:v>1996-97</c:v>
                </c:pt>
                <c:pt idx="9">
                  <c:v>1997-98</c:v>
                </c:pt>
                <c:pt idx="10">
                  <c:v>1998-99</c:v>
                </c:pt>
                <c:pt idx="11">
                  <c:v>1999-00</c:v>
                </c:pt>
                <c:pt idx="12">
                  <c:v>2000-01</c:v>
                </c:pt>
                <c:pt idx="13">
                  <c:v>2001-02</c:v>
                </c:pt>
                <c:pt idx="14">
                  <c:v>2002-03</c:v>
                </c:pt>
                <c:pt idx="15">
                  <c:v>2003-04</c:v>
                </c:pt>
                <c:pt idx="16">
                  <c:v>2004-05</c:v>
                </c:pt>
                <c:pt idx="17">
                  <c:v>2005-06</c:v>
                </c:pt>
                <c:pt idx="18">
                  <c:v>2006-07</c:v>
                </c:pt>
                <c:pt idx="19">
                  <c:v>2007-08</c:v>
                </c:pt>
                <c:pt idx="20">
                  <c:v>2008-09</c:v>
                </c:pt>
                <c:pt idx="21">
                  <c:v>2009-10</c:v>
                </c:pt>
                <c:pt idx="22">
                  <c:v>2010-11</c:v>
                </c:pt>
                <c:pt idx="23">
                  <c:v>2011-12</c:v>
                </c:pt>
                <c:pt idx="24">
                  <c:v>2012-13</c:v>
                </c:pt>
                <c:pt idx="25">
                  <c:v>2013-14</c:v>
                </c:pt>
              </c:strCache>
            </c:strRef>
          </c:cat>
          <c:val>
            <c:numRef>
              <c:f>'Figure 2 - Milk production'!$B$4:$B$29</c:f>
              <c:numCache>
                <c:formatCode>General</c:formatCode>
                <c:ptCount val="26"/>
                <c:pt idx="0">
                  <c:v>3.79</c:v>
                </c:pt>
                <c:pt idx="1">
                  <c:v>3.79</c:v>
                </c:pt>
                <c:pt idx="2">
                  <c:v>3.91</c:v>
                </c:pt>
                <c:pt idx="3">
                  <c:v>4.12</c:v>
                </c:pt>
                <c:pt idx="4">
                  <c:v>4.46</c:v>
                </c:pt>
                <c:pt idx="5">
                  <c:v>4.97</c:v>
                </c:pt>
                <c:pt idx="6">
                  <c:v>5.1100000000000003</c:v>
                </c:pt>
                <c:pt idx="7">
                  <c:v>5.48</c:v>
                </c:pt>
                <c:pt idx="8">
                  <c:v>5.63</c:v>
                </c:pt>
                <c:pt idx="9">
                  <c:v>5.87</c:v>
                </c:pt>
                <c:pt idx="10">
                  <c:v>6.41</c:v>
                </c:pt>
                <c:pt idx="11">
                  <c:v>6.87</c:v>
                </c:pt>
                <c:pt idx="12">
                  <c:v>6.78</c:v>
                </c:pt>
                <c:pt idx="13">
                  <c:v>7.41</c:v>
                </c:pt>
                <c:pt idx="14">
                  <c:v>6.59</c:v>
                </c:pt>
                <c:pt idx="15">
                  <c:v>6.43</c:v>
                </c:pt>
                <c:pt idx="16">
                  <c:v>6.61</c:v>
                </c:pt>
                <c:pt idx="17">
                  <c:v>6.58</c:v>
                </c:pt>
                <c:pt idx="18">
                  <c:v>6.3</c:v>
                </c:pt>
                <c:pt idx="19">
                  <c:v>6.1</c:v>
                </c:pt>
                <c:pt idx="20">
                  <c:v>6.13</c:v>
                </c:pt>
                <c:pt idx="21">
                  <c:v>5.79</c:v>
                </c:pt>
                <c:pt idx="22">
                  <c:v>5.91</c:v>
                </c:pt>
                <c:pt idx="23">
                  <c:v>6.21</c:v>
                </c:pt>
                <c:pt idx="24" formatCode="#,##0.00">
                  <c:v>6.0394072626499993</c:v>
                </c:pt>
                <c:pt idx="25" formatCode="#,##0.00">
                  <c:v>6.1230000000000002</c:v>
                </c:pt>
              </c:numCache>
            </c:numRef>
          </c:val>
          <c:smooth val="0"/>
        </c:ser>
        <c:ser>
          <c:idx val="1"/>
          <c:order val="1"/>
          <c:tx>
            <c:strRef>
              <c:f>'Figure 2 - Milk production'!$C$3</c:f>
              <c:strCache>
                <c:ptCount val="1"/>
                <c:pt idx="0">
                  <c:v>Gippsland</c:v>
                </c:pt>
              </c:strCache>
            </c:strRef>
          </c:tx>
          <c:marker>
            <c:symbol val="none"/>
          </c:marker>
          <c:cat>
            <c:strRef>
              <c:f>'Figure 2 - Milk production'!$A$4:$A$29</c:f>
              <c:strCache>
                <c:ptCount val="26"/>
                <c:pt idx="0">
                  <c:v>1988-89</c:v>
                </c:pt>
                <c:pt idx="1">
                  <c:v>1989-90</c:v>
                </c:pt>
                <c:pt idx="2">
                  <c:v>1990-91</c:v>
                </c:pt>
                <c:pt idx="3">
                  <c:v>1991-92</c:v>
                </c:pt>
                <c:pt idx="4">
                  <c:v>1992-93</c:v>
                </c:pt>
                <c:pt idx="5">
                  <c:v>1993-94</c:v>
                </c:pt>
                <c:pt idx="6">
                  <c:v>1994-95</c:v>
                </c:pt>
                <c:pt idx="7">
                  <c:v>1995-96</c:v>
                </c:pt>
                <c:pt idx="8">
                  <c:v>1996-97</c:v>
                </c:pt>
                <c:pt idx="9">
                  <c:v>1997-98</c:v>
                </c:pt>
                <c:pt idx="10">
                  <c:v>1998-99</c:v>
                </c:pt>
                <c:pt idx="11">
                  <c:v>1999-00</c:v>
                </c:pt>
                <c:pt idx="12">
                  <c:v>2000-01</c:v>
                </c:pt>
                <c:pt idx="13">
                  <c:v>2001-02</c:v>
                </c:pt>
                <c:pt idx="14">
                  <c:v>2002-03</c:v>
                </c:pt>
                <c:pt idx="15">
                  <c:v>2003-04</c:v>
                </c:pt>
                <c:pt idx="16">
                  <c:v>2004-05</c:v>
                </c:pt>
                <c:pt idx="17">
                  <c:v>2005-06</c:v>
                </c:pt>
                <c:pt idx="18">
                  <c:v>2006-07</c:v>
                </c:pt>
                <c:pt idx="19">
                  <c:v>2007-08</c:v>
                </c:pt>
                <c:pt idx="20">
                  <c:v>2008-09</c:v>
                </c:pt>
                <c:pt idx="21">
                  <c:v>2009-10</c:v>
                </c:pt>
                <c:pt idx="22">
                  <c:v>2010-11</c:v>
                </c:pt>
                <c:pt idx="23">
                  <c:v>2011-12</c:v>
                </c:pt>
                <c:pt idx="24">
                  <c:v>2012-13</c:v>
                </c:pt>
                <c:pt idx="25">
                  <c:v>2013-14</c:v>
                </c:pt>
              </c:strCache>
            </c:strRef>
          </c:cat>
          <c:val>
            <c:numRef>
              <c:f>'Figure 2 - Milk production'!$C$4:$C$29</c:f>
              <c:numCache>
                <c:formatCode>General</c:formatCode>
                <c:ptCount val="26"/>
                <c:pt idx="0">
                  <c:v>1.29</c:v>
                </c:pt>
                <c:pt idx="1">
                  <c:v>1.19</c:v>
                </c:pt>
                <c:pt idx="2">
                  <c:v>1.21</c:v>
                </c:pt>
                <c:pt idx="3">
                  <c:v>1.31</c:v>
                </c:pt>
                <c:pt idx="4">
                  <c:v>1.48</c:v>
                </c:pt>
                <c:pt idx="5">
                  <c:v>1.61</c:v>
                </c:pt>
                <c:pt idx="6">
                  <c:v>1.59</c:v>
                </c:pt>
                <c:pt idx="7">
                  <c:v>1.68</c:v>
                </c:pt>
                <c:pt idx="8">
                  <c:v>1.66</c:v>
                </c:pt>
                <c:pt idx="9">
                  <c:v>1.67</c:v>
                </c:pt>
                <c:pt idx="10">
                  <c:v>1.88</c:v>
                </c:pt>
                <c:pt idx="11">
                  <c:v>2.04</c:v>
                </c:pt>
                <c:pt idx="12">
                  <c:v>2.0299999999999998</c:v>
                </c:pt>
                <c:pt idx="13">
                  <c:v>2.19</c:v>
                </c:pt>
                <c:pt idx="14">
                  <c:v>2.0099999999999998</c:v>
                </c:pt>
                <c:pt idx="15">
                  <c:v>1.89</c:v>
                </c:pt>
                <c:pt idx="16">
                  <c:v>1.97</c:v>
                </c:pt>
                <c:pt idx="17">
                  <c:v>2.02</c:v>
                </c:pt>
                <c:pt idx="18">
                  <c:v>2.08</c:v>
                </c:pt>
                <c:pt idx="19">
                  <c:v>2.06</c:v>
                </c:pt>
                <c:pt idx="20">
                  <c:v>2.12</c:v>
                </c:pt>
                <c:pt idx="21">
                  <c:v>2.0499999999999998</c:v>
                </c:pt>
                <c:pt idx="22">
                  <c:v>2.15</c:v>
                </c:pt>
                <c:pt idx="23">
                  <c:v>2.0499999999999998</c:v>
                </c:pt>
                <c:pt idx="24" formatCode="#,##0.00">
                  <c:v>1.8886929672399997</c:v>
                </c:pt>
                <c:pt idx="25" formatCode="#,##0.00">
                  <c:v>1.9490000000000001</c:v>
                </c:pt>
              </c:numCache>
            </c:numRef>
          </c:val>
          <c:smooth val="0"/>
        </c:ser>
        <c:ser>
          <c:idx val="2"/>
          <c:order val="2"/>
          <c:tx>
            <c:strRef>
              <c:f>'Figure 2 - Milk production'!$D$3</c:f>
              <c:strCache>
                <c:ptCount val="1"/>
                <c:pt idx="0">
                  <c:v>Northern </c:v>
                </c:pt>
              </c:strCache>
            </c:strRef>
          </c:tx>
          <c:marker>
            <c:symbol val="none"/>
          </c:marker>
          <c:cat>
            <c:strRef>
              <c:f>'Figure 2 - Milk production'!$A$4:$A$29</c:f>
              <c:strCache>
                <c:ptCount val="26"/>
                <c:pt idx="0">
                  <c:v>1988-89</c:v>
                </c:pt>
                <c:pt idx="1">
                  <c:v>1989-90</c:v>
                </c:pt>
                <c:pt idx="2">
                  <c:v>1990-91</c:v>
                </c:pt>
                <c:pt idx="3">
                  <c:v>1991-92</c:v>
                </c:pt>
                <c:pt idx="4">
                  <c:v>1992-93</c:v>
                </c:pt>
                <c:pt idx="5">
                  <c:v>1993-94</c:v>
                </c:pt>
                <c:pt idx="6">
                  <c:v>1994-95</c:v>
                </c:pt>
                <c:pt idx="7">
                  <c:v>1995-96</c:v>
                </c:pt>
                <c:pt idx="8">
                  <c:v>1996-97</c:v>
                </c:pt>
                <c:pt idx="9">
                  <c:v>1997-98</c:v>
                </c:pt>
                <c:pt idx="10">
                  <c:v>1998-99</c:v>
                </c:pt>
                <c:pt idx="11">
                  <c:v>1999-00</c:v>
                </c:pt>
                <c:pt idx="12">
                  <c:v>2000-01</c:v>
                </c:pt>
                <c:pt idx="13">
                  <c:v>2001-02</c:v>
                </c:pt>
                <c:pt idx="14">
                  <c:v>2002-03</c:v>
                </c:pt>
                <c:pt idx="15">
                  <c:v>2003-04</c:v>
                </c:pt>
                <c:pt idx="16">
                  <c:v>2004-05</c:v>
                </c:pt>
                <c:pt idx="17">
                  <c:v>2005-06</c:v>
                </c:pt>
                <c:pt idx="18">
                  <c:v>2006-07</c:v>
                </c:pt>
                <c:pt idx="19">
                  <c:v>2007-08</c:v>
                </c:pt>
                <c:pt idx="20">
                  <c:v>2008-09</c:v>
                </c:pt>
                <c:pt idx="21">
                  <c:v>2009-10</c:v>
                </c:pt>
                <c:pt idx="22">
                  <c:v>2010-11</c:v>
                </c:pt>
                <c:pt idx="23">
                  <c:v>2011-12</c:v>
                </c:pt>
                <c:pt idx="24">
                  <c:v>2012-13</c:v>
                </c:pt>
                <c:pt idx="25">
                  <c:v>2013-14</c:v>
                </c:pt>
              </c:strCache>
            </c:strRef>
          </c:cat>
          <c:val>
            <c:numRef>
              <c:f>'Figure 2 - Milk production'!$D$4:$D$29</c:f>
              <c:numCache>
                <c:formatCode>General</c:formatCode>
                <c:ptCount val="26"/>
                <c:pt idx="0">
                  <c:v>1.54</c:v>
                </c:pt>
                <c:pt idx="1">
                  <c:v>1.57</c:v>
                </c:pt>
                <c:pt idx="2">
                  <c:v>1.62</c:v>
                </c:pt>
                <c:pt idx="3">
                  <c:v>1.71</c:v>
                </c:pt>
                <c:pt idx="4">
                  <c:v>1.75</c:v>
                </c:pt>
                <c:pt idx="5">
                  <c:v>1.96</c:v>
                </c:pt>
                <c:pt idx="6">
                  <c:v>2.0499999999999998</c:v>
                </c:pt>
                <c:pt idx="7">
                  <c:v>2.19</c:v>
                </c:pt>
                <c:pt idx="8">
                  <c:v>2.33</c:v>
                </c:pt>
                <c:pt idx="9">
                  <c:v>2.44</c:v>
                </c:pt>
                <c:pt idx="10">
                  <c:v>2.57</c:v>
                </c:pt>
                <c:pt idx="11">
                  <c:v>2.76</c:v>
                </c:pt>
                <c:pt idx="12">
                  <c:v>2.74</c:v>
                </c:pt>
                <c:pt idx="13">
                  <c:v>3</c:v>
                </c:pt>
                <c:pt idx="14">
                  <c:v>2.5299999999999998</c:v>
                </c:pt>
                <c:pt idx="15">
                  <c:v>2.5099999999999998</c:v>
                </c:pt>
                <c:pt idx="16">
                  <c:v>2.57</c:v>
                </c:pt>
                <c:pt idx="17">
                  <c:v>2.5099999999999998</c:v>
                </c:pt>
                <c:pt idx="18">
                  <c:v>2.15</c:v>
                </c:pt>
                <c:pt idx="19">
                  <c:v>1.99</c:v>
                </c:pt>
                <c:pt idx="20">
                  <c:v>1.9</c:v>
                </c:pt>
                <c:pt idx="21">
                  <c:v>1.67</c:v>
                </c:pt>
                <c:pt idx="22">
                  <c:v>1.67</c:v>
                </c:pt>
                <c:pt idx="23">
                  <c:v>1.96</c:v>
                </c:pt>
                <c:pt idx="24" formatCode="#,##0.00">
                  <c:v>2.0314767153099997</c:v>
                </c:pt>
                <c:pt idx="25" formatCode="#,##0.00">
                  <c:v>2.0653999999999999</c:v>
                </c:pt>
              </c:numCache>
            </c:numRef>
          </c:val>
          <c:smooth val="0"/>
        </c:ser>
        <c:ser>
          <c:idx val="3"/>
          <c:order val="3"/>
          <c:tx>
            <c:strRef>
              <c:f>'Figure 2 - Milk production'!$E$3</c:f>
              <c:strCache>
                <c:ptCount val="1"/>
                <c:pt idx="0">
                  <c:v>South/west</c:v>
                </c:pt>
              </c:strCache>
            </c:strRef>
          </c:tx>
          <c:marker>
            <c:symbol val="none"/>
          </c:marker>
          <c:cat>
            <c:strRef>
              <c:f>'Figure 2 - Milk production'!$A$4:$A$29</c:f>
              <c:strCache>
                <c:ptCount val="26"/>
                <c:pt idx="0">
                  <c:v>1988-89</c:v>
                </c:pt>
                <c:pt idx="1">
                  <c:v>1989-90</c:v>
                </c:pt>
                <c:pt idx="2">
                  <c:v>1990-91</c:v>
                </c:pt>
                <c:pt idx="3">
                  <c:v>1991-92</c:v>
                </c:pt>
                <c:pt idx="4">
                  <c:v>1992-93</c:v>
                </c:pt>
                <c:pt idx="5">
                  <c:v>1993-94</c:v>
                </c:pt>
                <c:pt idx="6">
                  <c:v>1994-95</c:v>
                </c:pt>
                <c:pt idx="7">
                  <c:v>1995-96</c:v>
                </c:pt>
                <c:pt idx="8">
                  <c:v>1996-97</c:v>
                </c:pt>
                <c:pt idx="9">
                  <c:v>1997-98</c:v>
                </c:pt>
                <c:pt idx="10">
                  <c:v>1998-99</c:v>
                </c:pt>
                <c:pt idx="11">
                  <c:v>1999-00</c:v>
                </c:pt>
                <c:pt idx="12">
                  <c:v>2000-01</c:v>
                </c:pt>
                <c:pt idx="13">
                  <c:v>2001-02</c:v>
                </c:pt>
                <c:pt idx="14">
                  <c:v>2002-03</c:v>
                </c:pt>
                <c:pt idx="15">
                  <c:v>2003-04</c:v>
                </c:pt>
                <c:pt idx="16">
                  <c:v>2004-05</c:v>
                </c:pt>
                <c:pt idx="17">
                  <c:v>2005-06</c:v>
                </c:pt>
                <c:pt idx="18">
                  <c:v>2006-07</c:v>
                </c:pt>
                <c:pt idx="19">
                  <c:v>2007-08</c:v>
                </c:pt>
                <c:pt idx="20">
                  <c:v>2008-09</c:v>
                </c:pt>
                <c:pt idx="21">
                  <c:v>2009-10</c:v>
                </c:pt>
                <c:pt idx="22">
                  <c:v>2010-11</c:v>
                </c:pt>
                <c:pt idx="23">
                  <c:v>2011-12</c:v>
                </c:pt>
                <c:pt idx="24">
                  <c:v>2012-13</c:v>
                </c:pt>
                <c:pt idx="25">
                  <c:v>2013-14</c:v>
                </c:pt>
              </c:strCache>
            </c:strRef>
          </c:cat>
          <c:val>
            <c:numRef>
              <c:f>'Figure 2 - Milk production'!$E$4:$E$29</c:f>
              <c:numCache>
                <c:formatCode>General</c:formatCode>
                <c:ptCount val="26"/>
                <c:pt idx="0">
                  <c:v>0.97</c:v>
                </c:pt>
                <c:pt idx="1">
                  <c:v>1.03</c:v>
                </c:pt>
                <c:pt idx="2">
                  <c:v>1.08</c:v>
                </c:pt>
                <c:pt idx="3">
                  <c:v>1.1000000000000001</c:v>
                </c:pt>
                <c:pt idx="4">
                  <c:v>1.22</c:v>
                </c:pt>
                <c:pt idx="5">
                  <c:v>1.4</c:v>
                </c:pt>
                <c:pt idx="6">
                  <c:v>1.47</c:v>
                </c:pt>
                <c:pt idx="7">
                  <c:v>1.62</c:v>
                </c:pt>
                <c:pt idx="8">
                  <c:v>1.65</c:v>
                </c:pt>
                <c:pt idx="9">
                  <c:v>1.76</c:v>
                </c:pt>
                <c:pt idx="10">
                  <c:v>1.97</c:v>
                </c:pt>
                <c:pt idx="11">
                  <c:v>2.08</c:v>
                </c:pt>
                <c:pt idx="12">
                  <c:v>2.0099999999999998</c:v>
                </c:pt>
                <c:pt idx="13">
                  <c:v>2.21</c:v>
                </c:pt>
                <c:pt idx="14">
                  <c:v>2.0499999999999998</c:v>
                </c:pt>
                <c:pt idx="15">
                  <c:v>2.04</c:v>
                </c:pt>
                <c:pt idx="16">
                  <c:v>2.08</c:v>
                </c:pt>
                <c:pt idx="17">
                  <c:v>2.0499999999999998</c:v>
                </c:pt>
                <c:pt idx="18">
                  <c:v>2.0699999999999998</c:v>
                </c:pt>
                <c:pt idx="19">
                  <c:v>2.0499999999999998</c:v>
                </c:pt>
                <c:pt idx="20">
                  <c:v>2.11</c:v>
                </c:pt>
                <c:pt idx="21">
                  <c:v>2.0699999999999998</c:v>
                </c:pt>
                <c:pt idx="22">
                  <c:v>2.09</c:v>
                </c:pt>
                <c:pt idx="23">
                  <c:v>2.2000000000000002</c:v>
                </c:pt>
                <c:pt idx="24" formatCode="#,##0.00">
                  <c:v>2.1192375800999996</c:v>
                </c:pt>
                <c:pt idx="25" formatCode="#,##0.00">
                  <c:v>2.1086999999999998</c:v>
                </c:pt>
              </c:numCache>
            </c:numRef>
          </c:val>
          <c:smooth val="0"/>
        </c:ser>
        <c:dLbls>
          <c:showLegendKey val="0"/>
          <c:showVal val="0"/>
          <c:showCatName val="0"/>
          <c:showSerName val="0"/>
          <c:showPercent val="0"/>
          <c:showBubbleSize val="0"/>
        </c:dLbls>
        <c:marker val="1"/>
        <c:smooth val="0"/>
        <c:axId val="138137984"/>
        <c:axId val="138139904"/>
      </c:lineChart>
      <c:catAx>
        <c:axId val="138137984"/>
        <c:scaling>
          <c:orientation val="minMax"/>
        </c:scaling>
        <c:delete val="0"/>
        <c:axPos val="b"/>
        <c:numFmt formatCode="General" sourceLinked="1"/>
        <c:majorTickMark val="out"/>
        <c:minorTickMark val="none"/>
        <c:tickLblPos val="nextTo"/>
        <c:txPr>
          <a:bodyPr rot="0" vert="horz"/>
          <a:lstStyle/>
          <a:p>
            <a:pPr>
              <a:defRPr/>
            </a:pPr>
            <a:endParaRPr lang="en-US"/>
          </a:p>
        </c:txPr>
        <c:crossAx val="138139904"/>
        <c:crosses val="autoZero"/>
        <c:auto val="1"/>
        <c:lblAlgn val="ctr"/>
        <c:lblOffset val="100"/>
        <c:tickLblSkip val="5"/>
        <c:tickMarkSkip val="1"/>
        <c:noMultiLvlLbl val="0"/>
      </c:catAx>
      <c:valAx>
        <c:axId val="138139904"/>
        <c:scaling>
          <c:orientation val="minMax"/>
          <c:max val="10"/>
        </c:scaling>
        <c:delete val="0"/>
        <c:axPos val="l"/>
        <c:majorGridlines/>
        <c:title>
          <c:tx>
            <c:rich>
              <a:bodyPr/>
              <a:lstStyle/>
              <a:p>
                <a:pPr>
                  <a:defRPr/>
                </a:pPr>
                <a:r>
                  <a:rPr lang="en-AU"/>
                  <a:t>Volume (billion litres)</a:t>
                </a:r>
              </a:p>
            </c:rich>
          </c:tx>
          <c:layout>
            <c:manualLayout>
              <c:xMode val="edge"/>
              <c:yMode val="edge"/>
              <c:x val="9.3939358607273774E-3"/>
              <c:y val="0.25716518070301858"/>
            </c:manualLayout>
          </c:layout>
          <c:overlay val="0"/>
        </c:title>
        <c:numFmt formatCode="General" sourceLinked="1"/>
        <c:majorTickMark val="out"/>
        <c:minorTickMark val="none"/>
        <c:tickLblPos val="nextTo"/>
        <c:txPr>
          <a:bodyPr rot="0" vert="horz"/>
          <a:lstStyle/>
          <a:p>
            <a:pPr>
              <a:defRPr/>
            </a:pPr>
            <a:endParaRPr lang="en-US"/>
          </a:p>
        </c:txPr>
        <c:crossAx val="138137984"/>
        <c:crosses val="autoZero"/>
        <c:crossBetween val="between"/>
        <c:majorUnit val="2"/>
      </c:valAx>
    </c:plotArea>
    <c:legend>
      <c:legendPos val="t"/>
      <c:layout>
        <c:manualLayout>
          <c:xMode val="edge"/>
          <c:yMode val="edge"/>
          <c:x val="0.1941097553279281"/>
          <c:y val="5.2684544531161823E-2"/>
          <c:w val="0.67289159737070481"/>
          <c:h val="7.0425811242874295E-2"/>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02884307344826"/>
          <c:y val="2.4671754854662605E-2"/>
          <c:w val="0.84846811824636237"/>
          <c:h val="0.90366059259130649"/>
        </c:manualLayout>
      </c:layout>
      <c:lineChart>
        <c:grouping val="standard"/>
        <c:varyColors val="0"/>
        <c:ser>
          <c:idx val="0"/>
          <c:order val="0"/>
          <c:tx>
            <c:strRef>
              <c:f>'Figure 3 - Farmgate prices'!$I$6:$I$7</c:f>
              <c:strCache>
                <c:ptCount val="1"/>
                <c:pt idx="0">
                  <c:v>Price</c:v>
                </c:pt>
              </c:strCache>
            </c:strRef>
          </c:tx>
          <c:marker>
            <c:symbol val="none"/>
          </c:marker>
          <c:cat>
            <c:strRef>
              <c:f>'Figure 3 - Farmgate prices'!$H$8:$H$22</c:f>
              <c:strCache>
                <c:ptCount val="15"/>
                <c:pt idx="0">
                  <c:v>1999-00</c:v>
                </c:pt>
                <c:pt idx="1">
                  <c:v>2000-01</c:v>
                </c:pt>
                <c:pt idx="2">
                  <c:v>2001-02</c:v>
                </c:pt>
                <c:pt idx="3">
                  <c:v>2002-03</c:v>
                </c:pt>
                <c:pt idx="4">
                  <c:v>2003-04</c:v>
                </c:pt>
                <c:pt idx="5">
                  <c:v>2004-05</c:v>
                </c:pt>
                <c:pt idx="6">
                  <c:v>2005-06</c:v>
                </c:pt>
                <c:pt idx="7">
                  <c:v>2006-07</c:v>
                </c:pt>
                <c:pt idx="8">
                  <c:v>2007-08</c:v>
                </c:pt>
                <c:pt idx="9">
                  <c:v>2008-09 </c:v>
                </c:pt>
                <c:pt idx="10">
                  <c:v>2009-10</c:v>
                </c:pt>
                <c:pt idx="11">
                  <c:v>2010-11</c:v>
                </c:pt>
                <c:pt idx="12">
                  <c:v>2011-12</c:v>
                </c:pt>
                <c:pt idx="13">
                  <c:v>2012-13</c:v>
                </c:pt>
                <c:pt idx="14">
                  <c:v>2013-14</c:v>
                </c:pt>
              </c:strCache>
            </c:strRef>
          </c:cat>
          <c:val>
            <c:numRef>
              <c:f>'Figure 3 - Farmgate prices'!$I$8:$I$22</c:f>
              <c:numCache>
                <c:formatCode>General</c:formatCode>
                <c:ptCount val="15"/>
                <c:pt idx="0">
                  <c:v>22.2</c:v>
                </c:pt>
                <c:pt idx="1">
                  <c:v>29.3</c:v>
                </c:pt>
                <c:pt idx="2">
                  <c:v>33.299999999999997</c:v>
                </c:pt>
                <c:pt idx="3">
                  <c:v>24.8</c:v>
                </c:pt>
                <c:pt idx="4">
                  <c:v>26.7</c:v>
                </c:pt>
                <c:pt idx="5">
                  <c:v>31.5</c:v>
                </c:pt>
                <c:pt idx="6">
                  <c:v>32.9</c:v>
                </c:pt>
                <c:pt idx="7" formatCode="0.0">
                  <c:v>32</c:v>
                </c:pt>
                <c:pt idx="8" formatCode="0.0">
                  <c:v>50</c:v>
                </c:pt>
                <c:pt idx="9" formatCode="0.0">
                  <c:v>39.1</c:v>
                </c:pt>
                <c:pt idx="10" formatCode="0.0">
                  <c:v>33.9</c:v>
                </c:pt>
                <c:pt idx="11" formatCode="0.0">
                  <c:v>42</c:v>
                </c:pt>
                <c:pt idx="12">
                  <c:v>40.6</c:v>
                </c:pt>
                <c:pt idx="13">
                  <c:v>37.799999999999997</c:v>
                </c:pt>
                <c:pt idx="14">
                  <c:v>51</c:v>
                </c:pt>
              </c:numCache>
            </c:numRef>
          </c:val>
          <c:smooth val="0"/>
        </c:ser>
        <c:ser>
          <c:idx val="1"/>
          <c:order val="1"/>
          <c:tx>
            <c:strRef>
              <c:f>'Figure 3 - Farmgate prices'!$J$6:$J$7</c:f>
              <c:strCache>
                <c:ptCount val="1"/>
                <c:pt idx="0">
                  <c:v>Long term average price</c:v>
                </c:pt>
              </c:strCache>
            </c:strRef>
          </c:tx>
          <c:marker>
            <c:symbol val="none"/>
          </c:marker>
          <c:cat>
            <c:strRef>
              <c:f>'Figure 3 - Farmgate prices'!$H$8:$H$22</c:f>
              <c:strCache>
                <c:ptCount val="15"/>
                <c:pt idx="0">
                  <c:v>1999-00</c:v>
                </c:pt>
                <c:pt idx="1">
                  <c:v>2000-01</c:v>
                </c:pt>
                <c:pt idx="2">
                  <c:v>2001-02</c:v>
                </c:pt>
                <c:pt idx="3">
                  <c:v>2002-03</c:v>
                </c:pt>
                <c:pt idx="4">
                  <c:v>2003-04</c:v>
                </c:pt>
                <c:pt idx="5">
                  <c:v>2004-05</c:v>
                </c:pt>
                <c:pt idx="6">
                  <c:v>2005-06</c:v>
                </c:pt>
                <c:pt idx="7">
                  <c:v>2006-07</c:v>
                </c:pt>
                <c:pt idx="8">
                  <c:v>2007-08</c:v>
                </c:pt>
                <c:pt idx="9">
                  <c:v>2008-09 </c:v>
                </c:pt>
                <c:pt idx="10">
                  <c:v>2009-10</c:v>
                </c:pt>
                <c:pt idx="11">
                  <c:v>2010-11</c:v>
                </c:pt>
                <c:pt idx="12">
                  <c:v>2011-12</c:v>
                </c:pt>
                <c:pt idx="13">
                  <c:v>2012-13</c:v>
                </c:pt>
                <c:pt idx="14">
                  <c:v>2013-14</c:v>
                </c:pt>
              </c:strCache>
            </c:strRef>
          </c:cat>
          <c:val>
            <c:numRef>
              <c:f>'Figure 3 - Farmgate prices'!$J$8:$J$22</c:f>
              <c:numCache>
                <c:formatCode>General</c:formatCode>
                <c:ptCount val="15"/>
                <c:pt idx="0">
                  <c:v>35</c:v>
                </c:pt>
                <c:pt idx="1">
                  <c:v>35</c:v>
                </c:pt>
                <c:pt idx="2">
                  <c:v>35</c:v>
                </c:pt>
                <c:pt idx="3">
                  <c:v>35</c:v>
                </c:pt>
                <c:pt idx="4">
                  <c:v>35</c:v>
                </c:pt>
                <c:pt idx="5">
                  <c:v>35</c:v>
                </c:pt>
                <c:pt idx="6">
                  <c:v>35</c:v>
                </c:pt>
                <c:pt idx="7">
                  <c:v>35</c:v>
                </c:pt>
                <c:pt idx="8">
                  <c:v>35</c:v>
                </c:pt>
                <c:pt idx="9">
                  <c:v>35</c:v>
                </c:pt>
                <c:pt idx="10">
                  <c:v>35</c:v>
                </c:pt>
                <c:pt idx="11">
                  <c:v>35</c:v>
                </c:pt>
                <c:pt idx="12">
                  <c:v>35</c:v>
                </c:pt>
                <c:pt idx="13">
                  <c:v>35</c:v>
                </c:pt>
                <c:pt idx="14">
                  <c:v>35</c:v>
                </c:pt>
              </c:numCache>
            </c:numRef>
          </c:val>
          <c:smooth val="0"/>
        </c:ser>
        <c:ser>
          <c:idx val="2"/>
          <c:order val="2"/>
          <c:tx>
            <c:strRef>
              <c:f>'Figure 3 - Farmgate prices'!$K$6:$K$7</c:f>
              <c:strCache>
                <c:ptCount val="1"/>
                <c:pt idx="0">
                  <c:v>3 year average price</c:v>
                </c:pt>
              </c:strCache>
            </c:strRef>
          </c:tx>
          <c:marker>
            <c:symbol val="none"/>
          </c:marker>
          <c:cat>
            <c:strRef>
              <c:f>'Figure 3 - Farmgate prices'!$H$8:$H$22</c:f>
              <c:strCache>
                <c:ptCount val="15"/>
                <c:pt idx="0">
                  <c:v>1999-00</c:v>
                </c:pt>
                <c:pt idx="1">
                  <c:v>2000-01</c:v>
                </c:pt>
                <c:pt idx="2">
                  <c:v>2001-02</c:v>
                </c:pt>
                <c:pt idx="3">
                  <c:v>2002-03</c:v>
                </c:pt>
                <c:pt idx="4">
                  <c:v>2003-04</c:v>
                </c:pt>
                <c:pt idx="5">
                  <c:v>2004-05</c:v>
                </c:pt>
                <c:pt idx="6">
                  <c:v>2005-06</c:v>
                </c:pt>
                <c:pt idx="7">
                  <c:v>2006-07</c:v>
                </c:pt>
                <c:pt idx="8">
                  <c:v>2007-08</c:v>
                </c:pt>
                <c:pt idx="9">
                  <c:v>2008-09 </c:v>
                </c:pt>
                <c:pt idx="10">
                  <c:v>2009-10</c:v>
                </c:pt>
                <c:pt idx="11">
                  <c:v>2010-11</c:v>
                </c:pt>
                <c:pt idx="12">
                  <c:v>2011-12</c:v>
                </c:pt>
                <c:pt idx="13">
                  <c:v>2012-13</c:v>
                </c:pt>
                <c:pt idx="14">
                  <c:v>2013-14</c:v>
                </c:pt>
              </c:strCache>
            </c:strRef>
          </c:cat>
          <c:val>
            <c:numRef>
              <c:f>'Figure 3 - Farmgate prices'!$K$8:$K$22</c:f>
              <c:numCache>
                <c:formatCode>General</c:formatCode>
                <c:ptCount val="15"/>
                <c:pt idx="12" formatCode="0">
                  <c:v>43</c:v>
                </c:pt>
                <c:pt idx="13" formatCode="0">
                  <c:v>43</c:v>
                </c:pt>
                <c:pt idx="14" formatCode="0">
                  <c:v>43</c:v>
                </c:pt>
              </c:numCache>
            </c:numRef>
          </c:val>
          <c:smooth val="0"/>
        </c:ser>
        <c:dLbls>
          <c:showLegendKey val="0"/>
          <c:showVal val="0"/>
          <c:showCatName val="0"/>
          <c:showSerName val="0"/>
          <c:showPercent val="0"/>
          <c:showBubbleSize val="0"/>
        </c:dLbls>
        <c:marker val="1"/>
        <c:smooth val="0"/>
        <c:axId val="138247552"/>
        <c:axId val="141297152"/>
      </c:lineChart>
      <c:catAx>
        <c:axId val="138247552"/>
        <c:scaling>
          <c:orientation val="minMax"/>
        </c:scaling>
        <c:delete val="0"/>
        <c:axPos val="b"/>
        <c:numFmt formatCode="d\-mmm" sourceLinked="1"/>
        <c:majorTickMark val="out"/>
        <c:minorTickMark val="none"/>
        <c:tickLblPos val="nextTo"/>
        <c:txPr>
          <a:bodyPr rot="0" vert="horz"/>
          <a:lstStyle/>
          <a:p>
            <a:pPr>
              <a:defRPr/>
            </a:pPr>
            <a:endParaRPr lang="en-US"/>
          </a:p>
        </c:txPr>
        <c:crossAx val="141297152"/>
        <c:crosses val="autoZero"/>
        <c:auto val="1"/>
        <c:lblAlgn val="ctr"/>
        <c:lblOffset val="100"/>
        <c:tickLblSkip val="4"/>
        <c:tickMarkSkip val="1"/>
        <c:noMultiLvlLbl val="0"/>
      </c:catAx>
      <c:valAx>
        <c:axId val="141297152"/>
        <c:scaling>
          <c:orientation val="minMax"/>
        </c:scaling>
        <c:delete val="0"/>
        <c:axPos val="l"/>
        <c:majorGridlines/>
        <c:minorGridlines/>
        <c:title>
          <c:tx>
            <c:rich>
              <a:bodyPr/>
              <a:lstStyle/>
              <a:p>
                <a:pPr>
                  <a:defRPr/>
                </a:pPr>
                <a:r>
                  <a:rPr lang="en-AU"/>
                  <a:t>Price (cents/litre)</a:t>
                </a:r>
              </a:p>
            </c:rich>
          </c:tx>
          <c:layout>
            <c:manualLayout>
              <c:xMode val="edge"/>
              <c:yMode val="edge"/>
              <c:x val="9.2429162842595589E-3"/>
              <c:y val="0.3276090598928717"/>
            </c:manualLayout>
          </c:layout>
          <c:overlay val="0"/>
        </c:title>
        <c:numFmt formatCode="General" sourceLinked="1"/>
        <c:majorTickMark val="out"/>
        <c:minorTickMark val="none"/>
        <c:tickLblPos val="nextTo"/>
        <c:txPr>
          <a:bodyPr rot="0" vert="horz"/>
          <a:lstStyle/>
          <a:p>
            <a:pPr>
              <a:defRPr/>
            </a:pPr>
            <a:endParaRPr lang="en-US"/>
          </a:p>
        </c:txPr>
        <c:crossAx val="138247552"/>
        <c:crosses val="autoZero"/>
        <c:crossBetween val="midCat"/>
        <c:minorUnit val="5"/>
      </c:valAx>
    </c:plotArea>
    <c:legend>
      <c:legendPos val="t"/>
      <c:layout/>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0.14658375965103676"/>
          <c:y val="2.2188273154477221E-2"/>
          <c:w val="0.8146121936048295"/>
          <c:h val="0.90292753648351842"/>
        </c:manualLayout>
      </c:layout>
      <c:lineChart>
        <c:grouping val="standard"/>
        <c:varyColors val="0"/>
        <c:ser>
          <c:idx val="0"/>
          <c:order val="0"/>
          <c:tx>
            <c:strRef>
              <c:f>'Figure 4 - SMP - Oceania ind'!$I$43</c:f>
              <c:strCache>
                <c:ptCount val="1"/>
                <c:pt idx="0">
                  <c:v>Price</c:v>
                </c:pt>
              </c:strCache>
            </c:strRef>
          </c:tx>
          <c:marker>
            <c:symbol val="none"/>
          </c:marker>
          <c:cat>
            <c:strRef>
              <c:f>'Figure 4 - SMP - Oceania ind'!$H$44:$H$58</c:f>
              <c:strCache>
                <c:ptCount val="15"/>
                <c:pt idx="0">
                  <c:v>1999-00</c:v>
                </c:pt>
                <c:pt idx="1">
                  <c:v>2000-01</c:v>
                </c:pt>
                <c:pt idx="2">
                  <c:v>2001-02</c:v>
                </c:pt>
                <c:pt idx="3">
                  <c:v>2002-03</c:v>
                </c:pt>
                <c:pt idx="4">
                  <c:v>2003-04</c:v>
                </c:pt>
                <c:pt idx="5">
                  <c:v>2004-05</c:v>
                </c:pt>
                <c:pt idx="6">
                  <c:v>2005-06</c:v>
                </c:pt>
                <c:pt idx="7">
                  <c:v>2006-07</c:v>
                </c:pt>
                <c:pt idx="8">
                  <c:v>2007-08</c:v>
                </c:pt>
                <c:pt idx="9">
                  <c:v>2008-09 </c:v>
                </c:pt>
                <c:pt idx="10">
                  <c:v>2009-10</c:v>
                </c:pt>
                <c:pt idx="11">
                  <c:v>2010-11</c:v>
                </c:pt>
                <c:pt idx="12">
                  <c:v>2011-12</c:v>
                </c:pt>
                <c:pt idx="13">
                  <c:v>2012-13</c:v>
                </c:pt>
                <c:pt idx="14">
                  <c:v>2013-14</c:v>
                </c:pt>
              </c:strCache>
            </c:strRef>
          </c:cat>
          <c:val>
            <c:numRef>
              <c:f>'Figure 4 - SMP - Oceania ind'!$I$44:$I$58</c:f>
              <c:numCache>
                <c:formatCode>#,##0</c:formatCode>
                <c:ptCount val="15"/>
                <c:pt idx="0">
                  <c:v>1450.1666666666667</c:v>
                </c:pt>
                <c:pt idx="1">
                  <c:v>2074.6666666666665</c:v>
                </c:pt>
                <c:pt idx="2">
                  <c:v>1651.9166666666667</c:v>
                </c:pt>
                <c:pt idx="3">
                  <c:v>1513.6666666666667</c:v>
                </c:pt>
                <c:pt idx="4">
                  <c:v>1830.9166666666667</c:v>
                </c:pt>
                <c:pt idx="5">
                  <c:v>2196.3333333333335</c:v>
                </c:pt>
                <c:pt idx="6">
                  <c:v>2216.5833333333335</c:v>
                </c:pt>
                <c:pt idx="7">
                  <c:v>3161.1666666666665</c:v>
                </c:pt>
                <c:pt idx="8">
                  <c:v>4269.75</c:v>
                </c:pt>
                <c:pt idx="9">
                  <c:v>2399.6666666666665</c:v>
                </c:pt>
                <c:pt idx="10">
                  <c:v>2899.8333333333335</c:v>
                </c:pt>
                <c:pt idx="11">
                  <c:v>3365.25</c:v>
                </c:pt>
                <c:pt idx="12">
                  <c:v>3197.75</c:v>
                </c:pt>
                <c:pt idx="13">
                  <c:v>3678.1666666666665</c:v>
                </c:pt>
                <c:pt idx="14">
                  <c:v>4450</c:v>
                </c:pt>
              </c:numCache>
            </c:numRef>
          </c:val>
          <c:smooth val="0"/>
        </c:ser>
        <c:ser>
          <c:idx val="1"/>
          <c:order val="1"/>
          <c:tx>
            <c:strRef>
              <c:f>'Figure 4 - SMP - Oceania ind'!$J$43</c:f>
              <c:strCache>
                <c:ptCount val="1"/>
                <c:pt idx="0">
                  <c:v>Long term average price</c:v>
                </c:pt>
              </c:strCache>
            </c:strRef>
          </c:tx>
          <c:marker>
            <c:symbol val="none"/>
          </c:marker>
          <c:cat>
            <c:strRef>
              <c:f>'Figure 4 - SMP - Oceania ind'!$H$44:$H$58</c:f>
              <c:strCache>
                <c:ptCount val="15"/>
                <c:pt idx="0">
                  <c:v>1999-00</c:v>
                </c:pt>
                <c:pt idx="1">
                  <c:v>2000-01</c:v>
                </c:pt>
                <c:pt idx="2">
                  <c:v>2001-02</c:v>
                </c:pt>
                <c:pt idx="3">
                  <c:v>2002-03</c:v>
                </c:pt>
                <c:pt idx="4">
                  <c:v>2003-04</c:v>
                </c:pt>
                <c:pt idx="5">
                  <c:v>2004-05</c:v>
                </c:pt>
                <c:pt idx="6">
                  <c:v>2005-06</c:v>
                </c:pt>
                <c:pt idx="7">
                  <c:v>2006-07</c:v>
                </c:pt>
                <c:pt idx="8">
                  <c:v>2007-08</c:v>
                </c:pt>
                <c:pt idx="9">
                  <c:v>2008-09 </c:v>
                </c:pt>
                <c:pt idx="10">
                  <c:v>2009-10</c:v>
                </c:pt>
                <c:pt idx="11">
                  <c:v>2010-11</c:v>
                </c:pt>
                <c:pt idx="12">
                  <c:v>2011-12</c:v>
                </c:pt>
                <c:pt idx="13">
                  <c:v>2012-13</c:v>
                </c:pt>
                <c:pt idx="14">
                  <c:v>2013-14</c:v>
                </c:pt>
              </c:strCache>
            </c:strRef>
          </c:cat>
          <c:val>
            <c:numRef>
              <c:f>'Figure 4 - SMP - Oceania ind'!$J$44:$J$58</c:f>
              <c:numCache>
                <c:formatCode>#,##0</c:formatCode>
                <c:ptCount val="15"/>
                <c:pt idx="0">
                  <c:v>2690.3888888888891</c:v>
                </c:pt>
                <c:pt idx="1">
                  <c:v>2690.3888888888891</c:v>
                </c:pt>
                <c:pt idx="2">
                  <c:v>2690.3888888888891</c:v>
                </c:pt>
                <c:pt idx="3">
                  <c:v>2690.3888888888891</c:v>
                </c:pt>
                <c:pt idx="4">
                  <c:v>2690.3888888888891</c:v>
                </c:pt>
                <c:pt idx="5">
                  <c:v>2690.3888888888891</c:v>
                </c:pt>
                <c:pt idx="6">
                  <c:v>2690.3888888888891</c:v>
                </c:pt>
                <c:pt idx="7">
                  <c:v>2690.3888888888891</c:v>
                </c:pt>
                <c:pt idx="8">
                  <c:v>2690.3888888888891</c:v>
                </c:pt>
                <c:pt idx="9">
                  <c:v>2690.3888888888891</c:v>
                </c:pt>
                <c:pt idx="10">
                  <c:v>2690.3888888888891</c:v>
                </c:pt>
                <c:pt idx="11">
                  <c:v>2690.3888888888891</c:v>
                </c:pt>
                <c:pt idx="12">
                  <c:v>2690.3888888888891</c:v>
                </c:pt>
                <c:pt idx="13">
                  <c:v>2690.3888888888891</c:v>
                </c:pt>
                <c:pt idx="14">
                  <c:v>2690.3888888888891</c:v>
                </c:pt>
              </c:numCache>
            </c:numRef>
          </c:val>
          <c:smooth val="0"/>
        </c:ser>
        <c:ser>
          <c:idx val="2"/>
          <c:order val="2"/>
          <c:tx>
            <c:strRef>
              <c:f>'Figure 4 - SMP - Oceania ind'!$K$43</c:f>
              <c:strCache>
                <c:ptCount val="1"/>
                <c:pt idx="0">
                  <c:v>3 year average price</c:v>
                </c:pt>
              </c:strCache>
            </c:strRef>
          </c:tx>
          <c:marker>
            <c:symbol val="none"/>
          </c:marker>
          <c:cat>
            <c:strRef>
              <c:f>'Figure 4 - SMP - Oceania ind'!$H$44:$H$58</c:f>
              <c:strCache>
                <c:ptCount val="15"/>
                <c:pt idx="0">
                  <c:v>1999-00</c:v>
                </c:pt>
                <c:pt idx="1">
                  <c:v>2000-01</c:v>
                </c:pt>
                <c:pt idx="2">
                  <c:v>2001-02</c:v>
                </c:pt>
                <c:pt idx="3">
                  <c:v>2002-03</c:v>
                </c:pt>
                <c:pt idx="4">
                  <c:v>2003-04</c:v>
                </c:pt>
                <c:pt idx="5">
                  <c:v>2004-05</c:v>
                </c:pt>
                <c:pt idx="6">
                  <c:v>2005-06</c:v>
                </c:pt>
                <c:pt idx="7">
                  <c:v>2006-07</c:v>
                </c:pt>
                <c:pt idx="8">
                  <c:v>2007-08</c:v>
                </c:pt>
                <c:pt idx="9">
                  <c:v>2008-09 </c:v>
                </c:pt>
                <c:pt idx="10">
                  <c:v>2009-10</c:v>
                </c:pt>
                <c:pt idx="11">
                  <c:v>2010-11</c:v>
                </c:pt>
                <c:pt idx="12">
                  <c:v>2011-12</c:v>
                </c:pt>
                <c:pt idx="13">
                  <c:v>2012-13</c:v>
                </c:pt>
                <c:pt idx="14">
                  <c:v>2013-14</c:v>
                </c:pt>
              </c:strCache>
            </c:strRef>
          </c:cat>
          <c:val>
            <c:numRef>
              <c:f>'Figure 4 - SMP - Oceania ind'!$K$44:$K$58</c:f>
              <c:numCache>
                <c:formatCode>General</c:formatCode>
                <c:ptCount val="15"/>
                <c:pt idx="12" formatCode="#,##0">
                  <c:v>3775.3055555555552</c:v>
                </c:pt>
                <c:pt idx="13" formatCode="#,##0">
                  <c:v>3775.3055555555552</c:v>
                </c:pt>
                <c:pt idx="14" formatCode="#,##0">
                  <c:v>3775.3055555555552</c:v>
                </c:pt>
              </c:numCache>
            </c:numRef>
          </c:val>
          <c:smooth val="0"/>
        </c:ser>
        <c:dLbls>
          <c:showLegendKey val="0"/>
          <c:showVal val="0"/>
          <c:showCatName val="0"/>
          <c:showSerName val="0"/>
          <c:showPercent val="0"/>
          <c:showBubbleSize val="0"/>
        </c:dLbls>
        <c:marker val="1"/>
        <c:smooth val="0"/>
        <c:axId val="151052288"/>
        <c:axId val="151055360"/>
      </c:lineChart>
      <c:catAx>
        <c:axId val="151052288"/>
        <c:scaling>
          <c:orientation val="minMax"/>
        </c:scaling>
        <c:delete val="0"/>
        <c:axPos val="b"/>
        <c:majorTickMark val="out"/>
        <c:minorTickMark val="none"/>
        <c:tickLblPos val="nextTo"/>
        <c:crossAx val="151055360"/>
        <c:crosses val="autoZero"/>
        <c:auto val="1"/>
        <c:lblAlgn val="ctr"/>
        <c:lblOffset val="100"/>
        <c:tickLblSkip val="4"/>
        <c:noMultiLvlLbl val="0"/>
      </c:catAx>
      <c:valAx>
        <c:axId val="151055360"/>
        <c:scaling>
          <c:orientation val="minMax"/>
        </c:scaling>
        <c:delete val="0"/>
        <c:axPos val="l"/>
        <c:majorGridlines/>
        <c:title>
          <c:tx>
            <c:rich>
              <a:bodyPr rot="-5400000" vert="horz"/>
              <a:lstStyle/>
              <a:p>
                <a:pPr>
                  <a:defRPr/>
                </a:pPr>
                <a:r>
                  <a:rPr lang="en-US"/>
                  <a:t>Price, fob (US$/tonne)</a:t>
                </a:r>
              </a:p>
            </c:rich>
          </c:tx>
          <c:layout>
            <c:manualLayout>
              <c:xMode val="edge"/>
              <c:yMode val="edge"/>
              <c:x val="1.6199813742487888E-2"/>
              <c:y val="0.18936842927710112"/>
            </c:manualLayout>
          </c:layout>
          <c:overlay val="0"/>
        </c:title>
        <c:numFmt formatCode="#,##0" sourceLinked="1"/>
        <c:majorTickMark val="out"/>
        <c:minorTickMark val="none"/>
        <c:tickLblPos val="nextTo"/>
        <c:crossAx val="151052288"/>
        <c:crosses val="autoZero"/>
        <c:crossBetween val="midCat"/>
        <c:majorUnit val="1000"/>
      </c:valAx>
    </c:plotArea>
    <c:legend>
      <c:legendPos val="t"/>
      <c:layout>
        <c:manualLayout>
          <c:xMode val="edge"/>
          <c:yMode val="edge"/>
          <c:x val="0.12569735523216302"/>
          <c:y val="4.4101433296582136E-2"/>
          <c:w val="0.76740871087000617"/>
          <c:h val="7.0425811242874295E-2"/>
        </c:manualLayout>
      </c:layout>
      <c:overlay val="0"/>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137A717-243A-4098-8532-61D1DB2526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8</Pages>
  <Words>2506</Words>
  <Characters>14290</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
    </vt:vector>
  </TitlesOfParts>
  <Company>Victorian Government</Company>
  <LinksUpToDate>false</LinksUpToDate>
  <CharactersWithSpaces>16763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Amanda Clark</dc:creator>
  <cp:lastModifiedBy>Wimalasuriya</cp:lastModifiedBy>
  <cp:revision>15</cp:revision>
  <cp:lastPrinted>2014-06-04T06:58:00Z</cp:lastPrinted>
  <dcterms:created xsi:type="dcterms:W3CDTF">2014-12-22T06:33:00Z</dcterms:created>
  <dcterms:modified xsi:type="dcterms:W3CDTF">2015-01-27T23:25:00Z</dcterms:modified>
</cp:coreProperties>
</file>