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74A1C" w14:textId="50119314" w:rsidR="00CC6E7E" w:rsidRPr="0074771B" w:rsidRDefault="00E515EC" w:rsidP="007C65C8">
      <w:pPr>
        <w:pStyle w:val="Agcovertitle1"/>
        <w:spacing w:after="0" w:line="240" w:lineRule="auto"/>
        <w:ind w:left="5387"/>
        <w:jc w:val="left"/>
        <w:rPr>
          <w:b w:val="0"/>
          <w:color w:val="auto"/>
          <w:sz w:val="48"/>
          <w:szCs w:val="48"/>
          <w:lang w:val="en-AU" w:eastAsia="en-AU"/>
        </w:rPr>
      </w:pPr>
      <w:bookmarkStart w:id="0" w:name="_GoBack"/>
      <w:bookmarkEnd w:id="0"/>
      <w:r w:rsidRPr="0074771B">
        <w:rPr>
          <w:b w:val="0"/>
          <w:color w:val="auto"/>
          <w:sz w:val="48"/>
          <w:szCs w:val="48"/>
          <w:lang w:val="en-AU" w:eastAsia="en-AU"/>
        </w:rPr>
        <w:t xml:space="preserve">Agricultural and Pastoral Society Grants </w:t>
      </w:r>
      <w:r w:rsidR="00362F7B" w:rsidRPr="0074771B">
        <w:rPr>
          <w:b w:val="0"/>
          <w:color w:val="auto"/>
          <w:sz w:val="48"/>
          <w:szCs w:val="48"/>
          <w:lang w:val="en-AU" w:eastAsia="en-AU"/>
        </w:rPr>
        <w:t>Guidelines</w:t>
      </w:r>
    </w:p>
    <w:p w14:paraId="5DB9F930" w14:textId="4196C639" w:rsidR="00F54B92" w:rsidRPr="00F72341" w:rsidRDefault="00F20931" w:rsidP="007C65C8">
      <w:pPr>
        <w:pStyle w:val="Agcovertitle1"/>
        <w:spacing w:after="0" w:line="240" w:lineRule="auto"/>
        <w:ind w:left="5387"/>
        <w:jc w:val="left"/>
        <w:rPr>
          <w:b w:val="0"/>
          <w:sz w:val="48"/>
          <w:szCs w:val="48"/>
          <w:lang w:val="en-AU" w:eastAsia="en-AU"/>
        </w:rPr>
      </w:pPr>
      <w:r w:rsidRPr="0074771B">
        <w:rPr>
          <w:b w:val="0"/>
          <w:color w:val="auto"/>
          <w:sz w:val="48"/>
          <w:szCs w:val="48"/>
          <w:lang w:val="en-AU" w:eastAsia="en-AU"/>
        </w:rPr>
        <w:t>20</w:t>
      </w:r>
      <w:r w:rsidR="0078524B" w:rsidRPr="0074771B">
        <w:rPr>
          <w:b w:val="0"/>
          <w:color w:val="auto"/>
          <w:sz w:val="48"/>
          <w:szCs w:val="48"/>
          <w:lang w:val="en-AU" w:eastAsia="en-AU"/>
        </w:rPr>
        <w:t>20</w:t>
      </w:r>
      <w:r w:rsidRPr="0074771B">
        <w:rPr>
          <w:b w:val="0"/>
          <w:color w:val="auto"/>
          <w:sz w:val="48"/>
          <w:szCs w:val="48"/>
          <w:lang w:val="en-AU" w:eastAsia="en-AU"/>
        </w:rPr>
        <w:t>-2</w:t>
      </w:r>
      <w:r w:rsidR="0078524B" w:rsidRPr="0074771B">
        <w:rPr>
          <w:b w:val="0"/>
          <w:color w:val="auto"/>
          <w:sz w:val="48"/>
          <w:szCs w:val="48"/>
          <w:lang w:val="en-AU" w:eastAsia="en-AU"/>
        </w:rPr>
        <w:t>1</w:t>
      </w:r>
    </w:p>
    <w:p w14:paraId="19183920" w14:textId="77777777" w:rsidR="00CC6E7E" w:rsidRDefault="00CC6E7E" w:rsidP="00C161D2">
      <w:pPr>
        <w:pStyle w:val="Agcovertitle2"/>
        <w:jc w:val="left"/>
        <w:rPr>
          <w:rFonts w:cs="VIC-SemiBold"/>
          <w:bCs/>
          <w:noProof/>
          <w:sz w:val="48"/>
          <w:szCs w:val="48"/>
          <w:lang w:val="en-AU" w:eastAsia="en-AU"/>
        </w:rPr>
      </w:pPr>
    </w:p>
    <w:p w14:paraId="468F55D2" w14:textId="77777777" w:rsidR="00111B05" w:rsidRPr="00A60AB2" w:rsidRDefault="00111B05" w:rsidP="00A60AB2">
      <w:pPr>
        <w:rPr>
          <w:lang w:val="en-GB"/>
        </w:rPr>
      </w:pPr>
    </w:p>
    <w:p w14:paraId="32B35E60" w14:textId="77777777" w:rsidR="00111B05" w:rsidRPr="00A60AB2" w:rsidRDefault="00111B05" w:rsidP="00A60AB2">
      <w:pPr>
        <w:rPr>
          <w:lang w:val="en-GB"/>
        </w:rPr>
      </w:pPr>
    </w:p>
    <w:p w14:paraId="5AF0C682" w14:textId="77777777" w:rsidR="00111B05" w:rsidRPr="00A60AB2" w:rsidRDefault="00111B05" w:rsidP="00A60AB2">
      <w:pPr>
        <w:rPr>
          <w:lang w:val="en-GB"/>
        </w:rPr>
      </w:pPr>
    </w:p>
    <w:p w14:paraId="25245AAB" w14:textId="0C11509F" w:rsidR="00111B05" w:rsidRPr="00A60AB2" w:rsidRDefault="002110C8" w:rsidP="00A60AB2">
      <w:pPr>
        <w:tabs>
          <w:tab w:val="left" w:pos="8460"/>
        </w:tabs>
        <w:rPr>
          <w:lang w:val="en-GB"/>
        </w:rPr>
      </w:pPr>
      <w:r>
        <w:rPr>
          <w:lang w:val="en-GB"/>
        </w:rPr>
        <w:tab/>
      </w:r>
    </w:p>
    <w:p w14:paraId="5318B9CF" w14:textId="77777777" w:rsidR="00111B05" w:rsidRPr="00A60AB2" w:rsidRDefault="00111B05" w:rsidP="00A60AB2">
      <w:pPr>
        <w:rPr>
          <w:lang w:val="en-GB"/>
        </w:rPr>
      </w:pPr>
    </w:p>
    <w:p w14:paraId="01BDA4D4" w14:textId="77777777" w:rsidR="00111B05" w:rsidRPr="00A60AB2" w:rsidRDefault="00111B05" w:rsidP="00A60AB2">
      <w:pPr>
        <w:rPr>
          <w:lang w:val="en-GB"/>
        </w:rPr>
      </w:pPr>
    </w:p>
    <w:p w14:paraId="4F649735" w14:textId="77777777" w:rsidR="00111B05" w:rsidRPr="00A60AB2" w:rsidRDefault="00111B05" w:rsidP="00A60AB2">
      <w:pPr>
        <w:rPr>
          <w:lang w:val="en-GB"/>
        </w:rPr>
      </w:pPr>
    </w:p>
    <w:p w14:paraId="4A669631" w14:textId="77777777" w:rsidR="00111B05" w:rsidRPr="00A60AB2" w:rsidRDefault="00111B05" w:rsidP="00A60AB2">
      <w:pPr>
        <w:rPr>
          <w:lang w:val="en-GB"/>
        </w:rPr>
      </w:pPr>
    </w:p>
    <w:p w14:paraId="02F98D85" w14:textId="77777777" w:rsidR="00111B05" w:rsidRPr="00A60AB2" w:rsidRDefault="00111B05" w:rsidP="00A60AB2">
      <w:pPr>
        <w:rPr>
          <w:lang w:val="en-GB"/>
        </w:rPr>
      </w:pPr>
    </w:p>
    <w:p w14:paraId="145ECAA3" w14:textId="77777777" w:rsidR="00111B05" w:rsidRPr="00A60AB2" w:rsidRDefault="00111B05" w:rsidP="00A60AB2">
      <w:pPr>
        <w:rPr>
          <w:lang w:val="en-GB"/>
        </w:rPr>
      </w:pPr>
    </w:p>
    <w:p w14:paraId="2D79295E" w14:textId="77777777" w:rsidR="00111B05" w:rsidRPr="00A60AB2" w:rsidRDefault="00111B05" w:rsidP="00A60AB2">
      <w:pPr>
        <w:rPr>
          <w:lang w:val="en-GB"/>
        </w:rPr>
      </w:pPr>
    </w:p>
    <w:p w14:paraId="2D9770BA" w14:textId="77777777" w:rsidR="00111B05" w:rsidRPr="00A60AB2" w:rsidRDefault="00111B05" w:rsidP="00A60AB2">
      <w:pPr>
        <w:rPr>
          <w:lang w:val="en-GB"/>
        </w:rPr>
      </w:pPr>
    </w:p>
    <w:p w14:paraId="2CDAFF7E" w14:textId="77777777" w:rsidR="00111B05" w:rsidRPr="00A60AB2" w:rsidRDefault="00111B05" w:rsidP="00A60AB2">
      <w:pPr>
        <w:rPr>
          <w:lang w:val="en-GB"/>
        </w:rPr>
      </w:pPr>
    </w:p>
    <w:p w14:paraId="4FD99EC7" w14:textId="77777777" w:rsidR="00111B05" w:rsidRPr="00A60AB2" w:rsidRDefault="00111B05" w:rsidP="00A60AB2">
      <w:pPr>
        <w:rPr>
          <w:lang w:val="en-GB"/>
        </w:rPr>
      </w:pPr>
    </w:p>
    <w:p w14:paraId="103B0A62" w14:textId="77777777" w:rsidR="00111B05" w:rsidRPr="00A60AB2" w:rsidRDefault="00111B05" w:rsidP="00A60AB2">
      <w:pPr>
        <w:rPr>
          <w:lang w:val="en-GB"/>
        </w:rPr>
      </w:pPr>
    </w:p>
    <w:p w14:paraId="51BC078E" w14:textId="77777777" w:rsidR="00111B05" w:rsidRPr="00A60AB2" w:rsidRDefault="00111B05" w:rsidP="00A60AB2">
      <w:pPr>
        <w:rPr>
          <w:lang w:val="en-GB"/>
        </w:rPr>
      </w:pPr>
    </w:p>
    <w:p w14:paraId="3EA2DE5B" w14:textId="77777777" w:rsidR="00111B05" w:rsidRPr="00A60AB2" w:rsidRDefault="00111B05" w:rsidP="00A60AB2">
      <w:pPr>
        <w:rPr>
          <w:lang w:val="en-GB"/>
        </w:rPr>
      </w:pPr>
    </w:p>
    <w:p w14:paraId="6F72A96E" w14:textId="77777777" w:rsidR="00111B05" w:rsidRPr="00A60AB2" w:rsidRDefault="00111B05" w:rsidP="00A60AB2">
      <w:pPr>
        <w:rPr>
          <w:lang w:val="en-GB"/>
        </w:rPr>
      </w:pPr>
    </w:p>
    <w:p w14:paraId="14D19070" w14:textId="56500A51" w:rsidR="00111B05" w:rsidRDefault="00111B05" w:rsidP="00A60AB2">
      <w:pPr>
        <w:tabs>
          <w:tab w:val="left" w:pos="4095"/>
        </w:tabs>
        <w:rPr>
          <w:bCs/>
          <w:noProof/>
          <w:color w:val="FFFFFF" w:themeColor="background1"/>
          <w:sz w:val="48"/>
          <w:szCs w:val="48"/>
          <w:lang w:val="en-AU" w:eastAsia="en-AU"/>
        </w:rPr>
      </w:pPr>
      <w:r>
        <w:rPr>
          <w:bCs/>
          <w:noProof/>
          <w:color w:val="FFFFFF" w:themeColor="background1"/>
          <w:sz w:val="48"/>
          <w:szCs w:val="48"/>
          <w:lang w:val="en-AU" w:eastAsia="en-AU"/>
        </w:rPr>
        <w:tab/>
      </w:r>
    </w:p>
    <w:p w14:paraId="3382F641" w14:textId="469ED4A1" w:rsidR="0013470D" w:rsidRPr="00A60AB2" w:rsidRDefault="00111B05" w:rsidP="00A60AB2">
      <w:pPr>
        <w:tabs>
          <w:tab w:val="left" w:pos="4095"/>
        </w:tabs>
        <w:sectPr w:rsidR="0013470D" w:rsidRPr="00A60AB2" w:rsidSect="00B40542">
          <w:headerReference w:type="default" r:id="rId11"/>
          <w:footerReference w:type="even" r:id="rId12"/>
          <w:footerReference w:type="default" r:id="rId13"/>
          <w:headerReference w:type="first" r:id="rId14"/>
          <w:footerReference w:type="first" r:id="rId15"/>
          <w:pgSz w:w="11900" w:h="16840"/>
          <w:pgMar w:top="3686" w:right="1133" w:bottom="1701" w:left="709" w:header="709" w:footer="709" w:gutter="0"/>
          <w:cols w:space="708"/>
          <w:docGrid w:linePitch="360"/>
        </w:sectPr>
      </w:pPr>
      <w:r>
        <w:rPr>
          <w:lang w:val="en-GB"/>
        </w:rPr>
        <w:tab/>
      </w:r>
    </w:p>
    <w:p w14:paraId="422DEC89" w14:textId="397ABB26" w:rsidR="0056601E" w:rsidRDefault="0056601E" w:rsidP="0056601E">
      <w:pPr>
        <w:pStyle w:val="Agbodytext"/>
      </w:pPr>
    </w:p>
    <w:p w14:paraId="76D82433" w14:textId="77777777" w:rsidR="0056601E" w:rsidRDefault="0056601E" w:rsidP="0056601E">
      <w:pPr>
        <w:pStyle w:val="Agbodytext"/>
      </w:pPr>
    </w:p>
    <w:p w14:paraId="0B23937A" w14:textId="77777777" w:rsidR="00FD1D66" w:rsidRDefault="00FD1D66" w:rsidP="00FD1D66">
      <w:pPr>
        <w:pStyle w:val="Agbodytext"/>
      </w:pPr>
    </w:p>
    <w:p w14:paraId="3E747A29" w14:textId="77777777" w:rsidR="00FD1D66" w:rsidRDefault="00FD1D66" w:rsidP="00FD1D66">
      <w:pPr>
        <w:pStyle w:val="Agbodytext"/>
      </w:pPr>
    </w:p>
    <w:p w14:paraId="50320F01" w14:textId="77777777" w:rsidR="00FD1D66" w:rsidRDefault="00FD1D66" w:rsidP="00FD1D66">
      <w:pPr>
        <w:pStyle w:val="Agbodytext"/>
      </w:pPr>
    </w:p>
    <w:p w14:paraId="794E2DA6" w14:textId="77777777" w:rsidR="00FD1D66" w:rsidRDefault="00FD1D66" w:rsidP="00FD1D66">
      <w:pPr>
        <w:pStyle w:val="Agbodytext"/>
      </w:pPr>
    </w:p>
    <w:p w14:paraId="1C19ABE1" w14:textId="77777777" w:rsidR="00FD1D66" w:rsidRDefault="00FD1D66" w:rsidP="00FD1D66">
      <w:pPr>
        <w:pStyle w:val="Agbodytext"/>
      </w:pPr>
    </w:p>
    <w:p w14:paraId="7714D355" w14:textId="77777777" w:rsidR="00FD1D66" w:rsidRDefault="00FD1D66" w:rsidP="00FD1D66">
      <w:pPr>
        <w:pStyle w:val="Agbodytext"/>
      </w:pPr>
    </w:p>
    <w:p w14:paraId="0E0ED40B" w14:textId="77777777" w:rsidR="00FD1D66" w:rsidRDefault="00FD1D66" w:rsidP="00FD1D66">
      <w:pPr>
        <w:pStyle w:val="Agbodytext"/>
      </w:pPr>
    </w:p>
    <w:p w14:paraId="37B6C803" w14:textId="77777777" w:rsidR="00FD1D66" w:rsidRDefault="00FD1D66" w:rsidP="00FD1D66">
      <w:pPr>
        <w:pStyle w:val="Agbodytext"/>
      </w:pPr>
    </w:p>
    <w:p w14:paraId="4D42051F" w14:textId="77777777" w:rsidR="00FD1D66" w:rsidRDefault="00FD1D66" w:rsidP="00FD1D66">
      <w:pPr>
        <w:pStyle w:val="Agbodytext"/>
      </w:pPr>
    </w:p>
    <w:p w14:paraId="29235A42" w14:textId="77777777" w:rsidR="00FD1D66" w:rsidRDefault="00FD1D66" w:rsidP="00FD1D66">
      <w:pPr>
        <w:pStyle w:val="Agbodytext"/>
      </w:pPr>
    </w:p>
    <w:p w14:paraId="5E0F7DD7" w14:textId="77777777" w:rsidR="00FD1D66" w:rsidRDefault="00FD1D66" w:rsidP="00FD1D66">
      <w:pPr>
        <w:pStyle w:val="Agbodytext"/>
      </w:pPr>
    </w:p>
    <w:p w14:paraId="378E2754" w14:textId="77777777" w:rsidR="00FD1D66" w:rsidRDefault="00FD1D66" w:rsidP="00FD1D66">
      <w:pPr>
        <w:pStyle w:val="Agbodytext"/>
      </w:pPr>
    </w:p>
    <w:p w14:paraId="631252BB" w14:textId="77777777" w:rsidR="00FD1D66" w:rsidRDefault="00FD1D66" w:rsidP="00FD1D66">
      <w:pPr>
        <w:pStyle w:val="Agbodytext"/>
      </w:pPr>
    </w:p>
    <w:p w14:paraId="559A22EE" w14:textId="638792A9" w:rsidR="00FD1D66" w:rsidRDefault="00FD1D66" w:rsidP="00FD1D66">
      <w:pPr>
        <w:pStyle w:val="Agbodytext"/>
      </w:pPr>
      <w:r>
        <w:t>Published by Biosecurity and Agricultural Services Branch, Department of Jobs, Precincts and Regions.</w:t>
      </w:r>
    </w:p>
    <w:p w14:paraId="153AE9D8" w14:textId="77777777" w:rsidR="00FD1D66" w:rsidRDefault="00FD1D66" w:rsidP="00FD1D66">
      <w:pPr>
        <w:pStyle w:val="Agbodytext"/>
      </w:pPr>
      <w:r>
        <w:t>1 Spring Street Melbourne, Victoria 3000 September 2020</w:t>
      </w:r>
    </w:p>
    <w:p w14:paraId="1029ADBB" w14:textId="77777777" w:rsidR="00FD1D66" w:rsidRDefault="00FD1D66" w:rsidP="00FD1D66">
      <w:pPr>
        <w:pStyle w:val="Agbodytext"/>
      </w:pPr>
      <w:r>
        <w:t>© Copyright State Government of Victoria 2020</w:t>
      </w:r>
    </w:p>
    <w:p w14:paraId="29FAA37F" w14:textId="77777777" w:rsidR="00FD1D66" w:rsidRDefault="00FD1D66" w:rsidP="00FD1D66">
      <w:pPr>
        <w:pStyle w:val="Agbodytext"/>
      </w:pPr>
      <w:r w:rsidRPr="005D1F59">
        <w:t>Unless indicated otherwise, this work is made available under the terms of the Creative Commons Attribution 3.0 Australia licen</w:t>
      </w:r>
      <w:r>
        <w:t>s</w:t>
      </w:r>
      <w:r w:rsidRPr="005D1F59">
        <w:t>e. To view a copy of this licen</w:t>
      </w:r>
      <w:r>
        <w:t>s</w:t>
      </w:r>
      <w:r w:rsidRPr="005D1F59">
        <w:t>e, visit creativecommons.org/licenses/by/3.0/au. It is a condition of this Creative Commons Attribution 3.0 Licen</w:t>
      </w:r>
      <w:r>
        <w:t>s</w:t>
      </w:r>
      <w:r w:rsidRPr="005D1F59">
        <w:t>e that you must give credit to the original author who is the State of Victoria.</w:t>
      </w:r>
    </w:p>
    <w:p w14:paraId="0F5EFA55" w14:textId="77777777" w:rsidR="00FD1D66" w:rsidRPr="0056601E" w:rsidRDefault="00FD1D66" w:rsidP="00FD1D66">
      <w:pPr>
        <w:pStyle w:val="Agbodytext"/>
      </w:pPr>
      <w:r>
        <w:t>Authorised by the Victorian Government, Melbourne.</w:t>
      </w:r>
    </w:p>
    <w:p w14:paraId="49B65563" w14:textId="77777777" w:rsidR="00FD1D66" w:rsidRPr="008D2916" w:rsidRDefault="00FD1D66" w:rsidP="00D81919">
      <w:pPr>
        <w:pStyle w:val="TOC1"/>
      </w:pPr>
      <w:r w:rsidRPr="008D2916">
        <w:t>Disclaimer</w:t>
      </w:r>
      <w:r>
        <w:tab/>
      </w:r>
    </w:p>
    <w:p w14:paraId="72F68DE1" w14:textId="7AFC635E" w:rsidR="00FD1D66" w:rsidRPr="00A427D1" w:rsidRDefault="00FD1D66" w:rsidP="00FD1D66">
      <w:pPr>
        <w:pStyle w:val="Agbodytext"/>
      </w:pPr>
      <w:r w:rsidRPr="00A427D1">
        <w:rPr>
          <w:iCs/>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r w:rsidR="00D624CD">
        <w:rPr>
          <w:iCs/>
        </w:rPr>
        <w:t xml:space="preserve"> </w:t>
      </w:r>
      <w:r w:rsidRPr="00A427D1">
        <w:rPr>
          <w:iCs/>
        </w:rPr>
        <w:t>While every effort has been made to ensure the currency, accuracy or completeness of the content we endeavour to keep the content relevant and up to date and reserve the right to make changes as require. The Victorian Government, authors and presenters do not accept any liability to any person for the information (or the use of the information) which is provided or referred to in the report.</w:t>
      </w:r>
    </w:p>
    <w:p w14:paraId="77ADE58C" w14:textId="77777777" w:rsidR="00FD1D66" w:rsidRPr="008D2916" w:rsidRDefault="00FD1D66" w:rsidP="00D81919">
      <w:pPr>
        <w:pStyle w:val="TOC1"/>
      </w:pPr>
      <w:r w:rsidRPr="008D2916">
        <w:t>Accessibility</w:t>
      </w:r>
    </w:p>
    <w:p w14:paraId="654C32F4" w14:textId="77777777" w:rsidR="00FD1D66" w:rsidRPr="008D2916" w:rsidRDefault="00FD1D66" w:rsidP="00FD1D66">
      <w:pPr>
        <w:pStyle w:val="Agbodytext"/>
        <w:spacing w:before="100" w:beforeAutospacing="1" w:after="100" w:afterAutospacing="1" w:line="240" w:lineRule="auto"/>
        <w:rPr>
          <w:rFonts w:cs="Arial"/>
          <w:szCs w:val="18"/>
        </w:rPr>
      </w:pPr>
      <w:r w:rsidRPr="008D2916">
        <w:rPr>
          <w:rFonts w:cs="Arial"/>
          <w:szCs w:val="18"/>
        </w:rPr>
        <w:t xml:space="preserve">If you would like to receive this publication in an accessible format, please </w:t>
      </w:r>
      <w:r>
        <w:rPr>
          <w:rFonts w:cs="Arial"/>
          <w:szCs w:val="18"/>
        </w:rPr>
        <w:t>contact</w:t>
      </w:r>
      <w:r w:rsidRPr="008D2916">
        <w:rPr>
          <w:rFonts w:cs="Arial"/>
          <w:szCs w:val="18"/>
        </w:rPr>
        <w:t xml:space="preserve"> the grants </w:t>
      </w:r>
      <w:r>
        <w:rPr>
          <w:rFonts w:cs="Arial"/>
          <w:szCs w:val="18"/>
        </w:rPr>
        <w:t xml:space="preserve">administrator (03)8377 4518 </w:t>
      </w:r>
      <w:r w:rsidRPr="00516B50">
        <w:rPr>
          <w:rFonts w:cs="Arial"/>
          <w:szCs w:val="18"/>
        </w:rPr>
        <w:t>or email</w:t>
      </w:r>
      <w:r>
        <w:rPr>
          <w:rFonts w:cs="Arial"/>
          <w:szCs w:val="18"/>
        </w:rPr>
        <w:t xml:space="preserve"> Agricultural.Grants@agriculture.vic.gov.au.</w:t>
      </w:r>
      <w:r w:rsidRPr="008D2916">
        <w:rPr>
          <w:rFonts w:cs="Arial"/>
          <w:szCs w:val="18"/>
        </w:rPr>
        <w:t xml:space="preserve"> </w:t>
      </w:r>
    </w:p>
    <w:p w14:paraId="374BA7AA" w14:textId="00A01973" w:rsidR="00FD1D66" w:rsidRPr="008D2916" w:rsidRDefault="00FD1D66" w:rsidP="00FD1D66">
      <w:pPr>
        <w:pStyle w:val="Agbodytext"/>
        <w:spacing w:before="100" w:beforeAutospacing="1" w:after="100" w:afterAutospacing="1" w:line="240" w:lineRule="auto"/>
        <w:rPr>
          <w:rFonts w:cs="Arial"/>
          <w:szCs w:val="18"/>
        </w:rPr>
        <w:sectPr w:rsidR="00FD1D66" w:rsidRPr="008D2916" w:rsidSect="0056601E">
          <w:headerReference w:type="default" r:id="rId16"/>
          <w:footerReference w:type="default" r:id="rId17"/>
          <w:pgSz w:w="11900" w:h="16840"/>
          <w:pgMar w:top="1560" w:right="1080" w:bottom="1440" w:left="1080" w:header="709" w:footer="397" w:gutter="0"/>
          <w:cols w:space="708"/>
          <w:docGrid w:linePitch="360"/>
        </w:sectPr>
      </w:pPr>
      <w:bookmarkStart w:id="3" w:name="_Hlk12960641"/>
      <w:r w:rsidRPr="008D2916">
        <w:rPr>
          <w:rFonts w:cs="Arial"/>
          <w:szCs w:val="18"/>
        </w:rPr>
        <w:t>This document is also available in PDF and/or Word format at</w:t>
      </w:r>
      <w:r>
        <w:rPr>
          <w:rFonts w:cs="Arial"/>
          <w:szCs w:val="18"/>
        </w:rPr>
        <w:t xml:space="preserve"> </w:t>
      </w:r>
      <w:r w:rsidRPr="002E7B55">
        <w:rPr>
          <w:rStyle w:val="Hyperlink"/>
          <w:rFonts w:cs="Arial"/>
          <w:color w:val="auto"/>
          <w:szCs w:val="18"/>
        </w:rPr>
        <w:t>www.agriculture.vic.gov.au/about-us/doing-business-with-us/agricultural-and-pastoral-society-grants</w:t>
      </w:r>
    </w:p>
    <w:p w14:paraId="6C6BE33F" w14:textId="77777777" w:rsidR="00FD1D66" w:rsidRPr="0056601E" w:rsidRDefault="00FD1D66" w:rsidP="00FD1D66">
      <w:pPr>
        <w:pStyle w:val="Heading1"/>
      </w:pPr>
      <w:bookmarkStart w:id="4" w:name="_Toc54164436"/>
      <w:bookmarkEnd w:id="3"/>
      <w:r w:rsidRPr="0056601E">
        <w:lastRenderedPageBreak/>
        <w:t>Contents</w:t>
      </w:r>
      <w:bookmarkEnd w:id="4"/>
    </w:p>
    <w:p w14:paraId="5AEA64EB" w14:textId="4C4232A6" w:rsidR="00EB4371" w:rsidRDefault="00FD1D66">
      <w:pPr>
        <w:pStyle w:val="TOC1"/>
        <w:rPr>
          <w:rFonts w:asciiTheme="minorHAnsi" w:eastAsiaTheme="minorEastAsia" w:hAnsiTheme="minorHAnsi"/>
          <w:b w:val="0"/>
          <w:caps w:val="0"/>
          <w:sz w:val="22"/>
          <w:szCs w:val="22"/>
          <w:lang w:val="en-AU" w:eastAsia="en-AU"/>
        </w:rPr>
      </w:pPr>
      <w:r>
        <w:rPr>
          <w:szCs w:val="20"/>
        </w:rPr>
        <w:fldChar w:fldCharType="begin"/>
      </w:r>
      <w:r>
        <w:rPr>
          <w:b w:val="0"/>
          <w:szCs w:val="20"/>
        </w:rPr>
        <w:instrText xml:space="preserve"> TOC \o "1-3" \h \z \u </w:instrText>
      </w:r>
      <w:r>
        <w:rPr>
          <w:szCs w:val="20"/>
        </w:rPr>
        <w:fldChar w:fldCharType="separate"/>
      </w:r>
      <w:hyperlink w:anchor="_Toc54164437" w:history="1">
        <w:r w:rsidR="00EB4371" w:rsidRPr="00E535AF">
          <w:rPr>
            <w:rStyle w:val="Hyperlink"/>
          </w:rPr>
          <w:t>Purpose of this document</w:t>
        </w:r>
        <w:r w:rsidR="00EB4371">
          <w:rPr>
            <w:webHidden/>
          </w:rPr>
          <w:tab/>
        </w:r>
        <w:r w:rsidR="00EB4371">
          <w:rPr>
            <w:webHidden/>
          </w:rPr>
          <w:fldChar w:fldCharType="begin"/>
        </w:r>
        <w:r w:rsidR="00EB4371">
          <w:rPr>
            <w:webHidden/>
          </w:rPr>
          <w:instrText xml:space="preserve"> PAGEREF _Toc54164437 \h </w:instrText>
        </w:r>
        <w:r w:rsidR="00EB4371">
          <w:rPr>
            <w:webHidden/>
          </w:rPr>
        </w:r>
        <w:r w:rsidR="00EB4371">
          <w:rPr>
            <w:webHidden/>
          </w:rPr>
          <w:fldChar w:fldCharType="separate"/>
        </w:r>
        <w:r w:rsidR="00683142">
          <w:rPr>
            <w:webHidden/>
          </w:rPr>
          <w:t>4</w:t>
        </w:r>
        <w:r w:rsidR="00EB4371">
          <w:rPr>
            <w:webHidden/>
          </w:rPr>
          <w:fldChar w:fldCharType="end"/>
        </w:r>
      </w:hyperlink>
    </w:p>
    <w:p w14:paraId="6D2E7C5D" w14:textId="72BA1FA9" w:rsidR="00EB4371" w:rsidRDefault="002A628E">
      <w:pPr>
        <w:pStyle w:val="TOC1"/>
        <w:rPr>
          <w:rFonts w:asciiTheme="minorHAnsi" w:eastAsiaTheme="minorEastAsia" w:hAnsiTheme="minorHAnsi"/>
          <w:b w:val="0"/>
          <w:caps w:val="0"/>
          <w:sz w:val="22"/>
          <w:szCs w:val="22"/>
          <w:lang w:val="en-AU" w:eastAsia="en-AU"/>
        </w:rPr>
      </w:pPr>
      <w:hyperlink w:anchor="_Toc54164438" w:history="1">
        <w:r w:rsidR="00EB4371" w:rsidRPr="00E535AF">
          <w:rPr>
            <w:rStyle w:val="Hyperlink"/>
          </w:rPr>
          <w:t>Background</w:t>
        </w:r>
        <w:r w:rsidR="00EB4371">
          <w:rPr>
            <w:webHidden/>
          </w:rPr>
          <w:tab/>
        </w:r>
        <w:r w:rsidR="00EB4371">
          <w:rPr>
            <w:webHidden/>
          </w:rPr>
          <w:fldChar w:fldCharType="begin"/>
        </w:r>
        <w:r w:rsidR="00EB4371">
          <w:rPr>
            <w:webHidden/>
          </w:rPr>
          <w:instrText xml:space="preserve"> PAGEREF _Toc54164438 \h </w:instrText>
        </w:r>
        <w:r w:rsidR="00EB4371">
          <w:rPr>
            <w:webHidden/>
          </w:rPr>
        </w:r>
        <w:r w:rsidR="00EB4371">
          <w:rPr>
            <w:webHidden/>
          </w:rPr>
          <w:fldChar w:fldCharType="separate"/>
        </w:r>
        <w:r w:rsidR="00683142">
          <w:rPr>
            <w:webHidden/>
          </w:rPr>
          <w:t>4</w:t>
        </w:r>
        <w:r w:rsidR="00EB4371">
          <w:rPr>
            <w:webHidden/>
          </w:rPr>
          <w:fldChar w:fldCharType="end"/>
        </w:r>
      </w:hyperlink>
    </w:p>
    <w:p w14:paraId="2B65E955" w14:textId="424E0C9C" w:rsidR="00EB4371" w:rsidRDefault="002A628E">
      <w:pPr>
        <w:pStyle w:val="TOC1"/>
        <w:rPr>
          <w:rFonts w:asciiTheme="minorHAnsi" w:eastAsiaTheme="minorEastAsia" w:hAnsiTheme="minorHAnsi"/>
          <w:b w:val="0"/>
          <w:caps w:val="0"/>
          <w:sz w:val="22"/>
          <w:szCs w:val="22"/>
          <w:lang w:val="en-AU" w:eastAsia="en-AU"/>
        </w:rPr>
      </w:pPr>
      <w:hyperlink w:anchor="_Toc54164439" w:history="1">
        <w:r w:rsidR="00EB4371" w:rsidRPr="00E535AF">
          <w:rPr>
            <w:rStyle w:val="Hyperlink"/>
          </w:rPr>
          <w:t>FUNDING DETAILS</w:t>
        </w:r>
        <w:r w:rsidR="00EB4371">
          <w:rPr>
            <w:webHidden/>
          </w:rPr>
          <w:tab/>
        </w:r>
        <w:r w:rsidR="00EB4371">
          <w:rPr>
            <w:webHidden/>
          </w:rPr>
          <w:fldChar w:fldCharType="begin"/>
        </w:r>
        <w:r w:rsidR="00EB4371">
          <w:rPr>
            <w:webHidden/>
          </w:rPr>
          <w:instrText xml:space="preserve"> PAGEREF _Toc54164439 \h </w:instrText>
        </w:r>
        <w:r w:rsidR="00EB4371">
          <w:rPr>
            <w:webHidden/>
          </w:rPr>
        </w:r>
        <w:r w:rsidR="00EB4371">
          <w:rPr>
            <w:webHidden/>
          </w:rPr>
          <w:fldChar w:fldCharType="separate"/>
        </w:r>
        <w:r w:rsidR="00683142">
          <w:rPr>
            <w:webHidden/>
          </w:rPr>
          <w:t>4</w:t>
        </w:r>
        <w:r w:rsidR="00EB4371">
          <w:rPr>
            <w:webHidden/>
          </w:rPr>
          <w:fldChar w:fldCharType="end"/>
        </w:r>
      </w:hyperlink>
    </w:p>
    <w:p w14:paraId="66BCE95A" w14:textId="77822E5B" w:rsidR="00EB4371" w:rsidRDefault="002A628E">
      <w:pPr>
        <w:pStyle w:val="TOC1"/>
        <w:rPr>
          <w:rFonts w:asciiTheme="minorHAnsi" w:eastAsiaTheme="minorEastAsia" w:hAnsiTheme="minorHAnsi"/>
          <w:b w:val="0"/>
          <w:caps w:val="0"/>
          <w:sz w:val="22"/>
          <w:szCs w:val="22"/>
          <w:lang w:val="en-AU" w:eastAsia="en-AU"/>
        </w:rPr>
      </w:pPr>
      <w:hyperlink w:anchor="_Toc54164446" w:history="1">
        <w:r w:rsidR="00EB4371" w:rsidRPr="00E535AF">
          <w:rPr>
            <w:rStyle w:val="Hyperlink"/>
          </w:rPr>
          <w:t>AGREEMENT AND PAYMENT</w:t>
        </w:r>
        <w:r w:rsidR="00EB4371">
          <w:rPr>
            <w:webHidden/>
          </w:rPr>
          <w:tab/>
        </w:r>
        <w:r w:rsidR="00EB4371">
          <w:rPr>
            <w:webHidden/>
          </w:rPr>
          <w:fldChar w:fldCharType="begin"/>
        </w:r>
        <w:r w:rsidR="00EB4371">
          <w:rPr>
            <w:webHidden/>
          </w:rPr>
          <w:instrText xml:space="preserve"> PAGEREF _Toc54164446 \h </w:instrText>
        </w:r>
        <w:r w:rsidR="00EB4371">
          <w:rPr>
            <w:webHidden/>
          </w:rPr>
        </w:r>
        <w:r w:rsidR="00EB4371">
          <w:rPr>
            <w:webHidden/>
          </w:rPr>
          <w:fldChar w:fldCharType="separate"/>
        </w:r>
        <w:r w:rsidR="00683142">
          <w:rPr>
            <w:webHidden/>
          </w:rPr>
          <w:t>5</w:t>
        </w:r>
        <w:r w:rsidR="00EB4371">
          <w:rPr>
            <w:webHidden/>
          </w:rPr>
          <w:fldChar w:fldCharType="end"/>
        </w:r>
      </w:hyperlink>
    </w:p>
    <w:p w14:paraId="78511289" w14:textId="2C0B068A" w:rsidR="00EB4371" w:rsidRDefault="002A628E">
      <w:pPr>
        <w:pStyle w:val="TOC1"/>
        <w:rPr>
          <w:rFonts w:asciiTheme="minorHAnsi" w:eastAsiaTheme="minorEastAsia" w:hAnsiTheme="minorHAnsi"/>
          <w:b w:val="0"/>
          <w:caps w:val="0"/>
          <w:sz w:val="22"/>
          <w:szCs w:val="22"/>
          <w:lang w:val="en-AU" w:eastAsia="en-AU"/>
        </w:rPr>
      </w:pPr>
      <w:hyperlink w:anchor="_Toc54164447" w:history="1">
        <w:r w:rsidR="00EB4371" w:rsidRPr="00E535AF">
          <w:rPr>
            <w:rStyle w:val="Hyperlink"/>
          </w:rPr>
          <w:t>PROJECT REQUIREMENTS</w:t>
        </w:r>
        <w:r w:rsidR="00EB4371">
          <w:rPr>
            <w:webHidden/>
          </w:rPr>
          <w:tab/>
        </w:r>
        <w:r w:rsidR="00EB4371">
          <w:rPr>
            <w:webHidden/>
          </w:rPr>
          <w:fldChar w:fldCharType="begin"/>
        </w:r>
        <w:r w:rsidR="00EB4371">
          <w:rPr>
            <w:webHidden/>
          </w:rPr>
          <w:instrText xml:space="preserve"> PAGEREF _Toc54164447 \h </w:instrText>
        </w:r>
        <w:r w:rsidR="00EB4371">
          <w:rPr>
            <w:webHidden/>
          </w:rPr>
        </w:r>
        <w:r w:rsidR="00EB4371">
          <w:rPr>
            <w:webHidden/>
          </w:rPr>
          <w:fldChar w:fldCharType="separate"/>
        </w:r>
        <w:r w:rsidR="00683142">
          <w:rPr>
            <w:webHidden/>
          </w:rPr>
          <w:t>6</w:t>
        </w:r>
        <w:r w:rsidR="00EB4371">
          <w:rPr>
            <w:webHidden/>
          </w:rPr>
          <w:fldChar w:fldCharType="end"/>
        </w:r>
      </w:hyperlink>
    </w:p>
    <w:p w14:paraId="26B73B66" w14:textId="1E66B256" w:rsidR="00EB4371" w:rsidRDefault="002A628E">
      <w:pPr>
        <w:pStyle w:val="TOC1"/>
        <w:rPr>
          <w:rFonts w:asciiTheme="minorHAnsi" w:eastAsiaTheme="minorEastAsia" w:hAnsiTheme="minorHAnsi"/>
          <w:b w:val="0"/>
          <w:caps w:val="0"/>
          <w:sz w:val="22"/>
          <w:szCs w:val="22"/>
          <w:lang w:val="en-AU" w:eastAsia="en-AU"/>
        </w:rPr>
      </w:pPr>
      <w:hyperlink w:anchor="_Toc54164450" w:history="1">
        <w:r w:rsidR="00EB4371" w:rsidRPr="00E535AF">
          <w:rPr>
            <w:rStyle w:val="Hyperlink"/>
          </w:rPr>
          <w:t>APPLICATION PROCESS</w:t>
        </w:r>
        <w:r w:rsidR="00EB4371">
          <w:rPr>
            <w:webHidden/>
          </w:rPr>
          <w:tab/>
        </w:r>
        <w:r w:rsidR="00EB4371">
          <w:rPr>
            <w:webHidden/>
          </w:rPr>
          <w:fldChar w:fldCharType="begin"/>
        </w:r>
        <w:r w:rsidR="00EB4371">
          <w:rPr>
            <w:webHidden/>
          </w:rPr>
          <w:instrText xml:space="preserve"> PAGEREF _Toc54164450 \h </w:instrText>
        </w:r>
        <w:r w:rsidR="00EB4371">
          <w:rPr>
            <w:webHidden/>
          </w:rPr>
        </w:r>
        <w:r w:rsidR="00EB4371">
          <w:rPr>
            <w:webHidden/>
          </w:rPr>
          <w:fldChar w:fldCharType="separate"/>
        </w:r>
        <w:r w:rsidR="00683142">
          <w:rPr>
            <w:webHidden/>
          </w:rPr>
          <w:t>6</w:t>
        </w:r>
        <w:r w:rsidR="00EB4371">
          <w:rPr>
            <w:webHidden/>
          </w:rPr>
          <w:fldChar w:fldCharType="end"/>
        </w:r>
      </w:hyperlink>
    </w:p>
    <w:p w14:paraId="2951E1AD" w14:textId="3EE5F774" w:rsidR="00EB4371" w:rsidRDefault="002A628E">
      <w:pPr>
        <w:pStyle w:val="TOC1"/>
        <w:rPr>
          <w:rFonts w:asciiTheme="minorHAnsi" w:eastAsiaTheme="minorEastAsia" w:hAnsiTheme="minorHAnsi"/>
          <w:b w:val="0"/>
          <w:caps w:val="0"/>
          <w:sz w:val="22"/>
          <w:szCs w:val="22"/>
          <w:lang w:val="en-AU" w:eastAsia="en-AU"/>
        </w:rPr>
      </w:pPr>
      <w:hyperlink w:anchor="_Toc54164455" w:history="1">
        <w:r w:rsidR="00EB4371" w:rsidRPr="00E535AF">
          <w:rPr>
            <w:rStyle w:val="Hyperlink"/>
          </w:rPr>
          <w:t>eligibility</w:t>
        </w:r>
        <w:r w:rsidR="00EB4371">
          <w:rPr>
            <w:webHidden/>
          </w:rPr>
          <w:tab/>
        </w:r>
        <w:r w:rsidR="00EB4371">
          <w:rPr>
            <w:webHidden/>
          </w:rPr>
          <w:fldChar w:fldCharType="begin"/>
        </w:r>
        <w:r w:rsidR="00EB4371">
          <w:rPr>
            <w:webHidden/>
          </w:rPr>
          <w:instrText xml:space="preserve"> PAGEREF _Toc54164455 \h </w:instrText>
        </w:r>
        <w:r w:rsidR="00EB4371">
          <w:rPr>
            <w:webHidden/>
          </w:rPr>
        </w:r>
        <w:r w:rsidR="00EB4371">
          <w:rPr>
            <w:webHidden/>
          </w:rPr>
          <w:fldChar w:fldCharType="separate"/>
        </w:r>
        <w:r w:rsidR="00683142">
          <w:rPr>
            <w:webHidden/>
          </w:rPr>
          <w:t>7</w:t>
        </w:r>
        <w:r w:rsidR="00EB4371">
          <w:rPr>
            <w:webHidden/>
          </w:rPr>
          <w:fldChar w:fldCharType="end"/>
        </w:r>
      </w:hyperlink>
    </w:p>
    <w:p w14:paraId="52F4DA07" w14:textId="65A5E3AC" w:rsidR="00EB4371" w:rsidRDefault="002A628E">
      <w:pPr>
        <w:pStyle w:val="TOC1"/>
        <w:rPr>
          <w:rFonts w:asciiTheme="minorHAnsi" w:eastAsiaTheme="minorEastAsia" w:hAnsiTheme="minorHAnsi"/>
          <w:b w:val="0"/>
          <w:caps w:val="0"/>
          <w:sz w:val="22"/>
          <w:szCs w:val="22"/>
          <w:lang w:val="en-AU" w:eastAsia="en-AU"/>
        </w:rPr>
      </w:pPr>
      <w:hyperlink w:anchor="_Toc54164458" w:history="1">
        <w:r w:rsidR="00EB4371" w:rsidRPr="00E535AF">
          <w:rPr>
            <w:rStyle w:val="Hyperlink"/>
          </w:rPr>
          <w:t>SELECTION CRITERIA</w:t>
        </w:r>
        <w:r w:rsidR="00EB4371">
          <w:rPr>
            <w:webHidden/>
          </w:rPr>
          <w:tab/>
        </w:r>
        <w:r w:rsidR="00EB4371">
          <w:rPr>
            <w:webHidden/>
          </w:rPr>
          <w:fldChar w:fldCharType="begin"/>
        </w:r>
        <w:r w:rsidR="00EB4371">
          <w:rPr>
            <w:webHidden/>
          </w:rPr>
          <w:instrText xml:space="preserve"> PAGEREF _Toc54164458 \h </w:instrText>
        </w:r>
        <w:r w:rsidR="00EB4371">
          <w:rPr>
            <w:webHidden/>
          </w:rPr>
        </w:r>
        <w:r w:rsidR="00EB4371">
          <w:rPr>
            <w:webHidden/>
          </w:rPr>
          <w:fldChar w:fldCharType="separate"/>
        </w:r>
        <w:r w:rsidR="00683142">
          <w:rPr>
            <w:webHidden/>
          </w:rPr>
          <w:t>7</w:t>
        </w:r>
        <w:r w:rsidR="00EB4371">
          <w:rPr>
            <w:webHidden/>
          </w:rPr>
          <w:fldChar w:fldCharType="end"/>
        </w:r>
      </w:hyperlink>
    </w:p>
    <w:p w14:paraId="5FC998FC" w14:textId="5ACB64E6" w:rsidR="00EB4371" w:rsidRDefault="002A628E">
      <w:pPr>
        <w:pStyle w:val="TOC1"/>
        <w:rPr>
          <w:rFonts w:asciiTheme="minorHAnsi" w:eastAsiaTheme="minorEastAsia" w:hAnsiTheme="minorHAnsi"/>
          <w:b w:val="0"/>
          <w:caps w:val="0"/>
          <w:sz w:val="22"/>
          <w:szCs w:val="22"/>
          <w:lang w:val="en-AU" w:eastAsia="en-AU"/>
        </w:rPr>
      </w:pPr>
      <w:hyperlink w:anchor="_Toc54164463" w:history="1">
        <w:r w:rsidR="00EB4371" w:rsidRPr="00E535AF">
          <w:rPr>
            <w:rStyle w:val="Hyperlink"/>
          </w:rPr>
          <w:t>EVALUATION AND FUNDING REQUIREMENTS</w:t>
        </w:r>
        <w:r w:rsidR="00EB4371">
          <w:rPr>
            <w:webHidden/>
          </w:rPr>
          <w:tab/>
        </w:r>
        <w:r w:rsidR="00EB4371">
          <w:rPr>
            <w:webHidden/>
          </w:rPr>
          <w:fldChar w:fldCharType="begin"/>
        </w:r>
        <w:r w:rsidR="00EB4371">
          <w:rPr>
            <w:webHidden/>
          </w:rPr>
          <w:instrText xml:space="preserve"> PAGEREF _Toc54164463 \h </w:instrText>
        </w:r>
        <w:r w:rsidR="00EB4371">
          <w:rPr>
            <w:webHidden/>
          </w:rPr>
        </w:r>
        <w:r w:rsidR="00EB4371">
          <w:rPr>
            <w:webHidden/>
          </w:rPr>
          <w:fldChar w:fldCharType="separate"/>
        </w:r>
        <w:r w:rsidR="00683142">
          <w:rPr>
            <w:webHidden/>
          </w:rPr>
          <w:t>8</w:t>
        </w:r>
        <w:r w:rsidR="00EB4371">
          <w:rPr>
            <w:webHidden/>
          </w:rPr>
          <w:fldChar w:fldCharType="end"/>
        </w:r>
      </w:hyperlink>
    </w:p>
    <w:p w14:paraId="4EC781CC" w14:textId="10817DBC" w:rsidR="00EB4371" w:rsidRDefault="002A628E">
      <w:pPr>
        <w:pStyle w:val="TOC1"/>
        <w:rPr>
          <w:rFonts w:asciiTheme="minorHAnsi" w:eastAsiaTheme="minorEastAsia" w:hAnsiTheme="minorHAnsi"/>
          <w:b w:val="0"/>
          <w:caps w:val="0"/>
          <w:sz w:val="22"/>
          <w:szCs w:val="22"/>
          <w:lang w:val="en-AU" w:eastAsia="en-AU"/>
        </w:rPr>
      </w:pPr>
      <w:hyperlink w:anchor="_Toc54164467" w:history="1">
        <w:r w:rsidR="00EB4371" w:rsidRPr="00E535AF">
          <w:rPr>
            <w:rStyle w:val="Hyperlink"/>
          </w:rPr>
          <w:t>Public liability insurance, Working with Children Check, Occupational Health and Safety</w:t>
        </w:r>
        <w:r w:rsidR="00EB4371">
          <w:rPr>
            <w:webHidden/>
          </w:rPr>
          <w:tab/>
        </w:r>
        <w:r w:rsidR="00EB4371">
          <w:rPr>
            <w:webHidden/>
          </w:rPr>
          <w:fldChar w:fldCharType="begin"/>
        </w:r>
        <w:r w:rsidR="00EB4371">
          <w:rPr>
            <w:webHidden/>
          </w:rPr>
          <w:instrText xml:space="preserve"> PAGEREF _Toc54164467 \h </w:instrText>
        </w:r>
        <w:r w:rsidR="00EB4371">
          <w:rPr>
            <w:webHidden/>
          </w:rPr>
        </w:r>
        <w:r w:rsidR="00EB4371">
          <w:rPr>
            <w:webHidden/>
          </w:rPr>
          <w:fldChar w:fldCharType="separate"/>
        </w:r>
        <w:r w:rsidR="00683142">
          <w:rPr>
            <w:webHidden/>
          </w:rPr>
          <w:t>8</w:t>
        </w:r>
        <w:r w:rsidR="00EB4371">
          <w:rPr>
            <w:webHidden/>
          </w:rPr>
          <w:fldChar w:fldCharType="end"/>
        </w:r>
      </w:hyperlink>
    </w:p>
    <w:p w14:paraId="56CB45A7" w14:textId="5FCEDA89" w:rsidR="00EB4371" w:rsidRDefault="002A628E">
      <w:pPr>
        <w:pStyle w:val="TOC1"/>
        <w:rPr>
          <w:rFonts w:asciiTheme="minorHAnsi" w:eastAsiaTheme="minorEastAsia" w:hAnsiTheme="minorHAnsi"/>
          <w:b w:val="0"/>
          <w:caps w:val="0"/>
          <w:sz w:val="22"/>
          <w:szCs w:val="22"/>
          <w:lang w:val="en-AU" w:eastAsia="en-AU"/>
        </w:rPr>
      </w:pPr>
      <w:hyperlink w:anchor="_Toc54164468" w:history="1">
        <w:r w:rsidR="00EB4371" w:rsidRPr="00E535AF">
          <w:rPr>
            <w:rStyle w:val="Hyperlink"/>
          </w:rPr>
          <w:t>PAYMENT OF THE GRANT</w:t>
        </w:r>
        <w:r w:rsidR="00EB4371">
          <w:rPr>
            <w:webHidden/>
          </w:rPr>
          <w:tab/>
        </w:r>
        <w:r w:rsidR="00EB4371">
          <w:rPr>
            <w:webHidden/>
          </w:rPr>
          <w:fldChar w:fldCharType="begin"/>
        </w:r>
        <w:r w:rsidR="00EB4371">
          <w:rPr>
            <w:webHidden/>
          </w:rPr>
          <w:instrText xml:space="preserve"> PAGEREF _Toc54164468 \h </w:instrText>
        </w:r>
        <w:r w:rsidR="00EB4371">
          <w:rPr>
            <w:webHidden/>
          </w:rPr>
        </w:r>
        <w:r w:rsidR="00EB4371">
          <w:rPr>
            <w:webHidden/>
          </w:rPr>
          <w:fldChar w:fldCharType="separate"/>
        </w:r>
        <w:r w:rsidR="00683142">
          <w:rPr>
            <w:webHidden/>
          </w:rPr>
          <w:t>9</w:t>
        </w:r>
        <w:r w:rsidR="00EB4371">
          <w:rPr>
            <w:webHidden/>
          </w:rPr>
          <w:fldChar w:fldCharType="end"/>
        </w:r>
      </w:hyperlink>
    </w:p>
    <w:p w14:paraId="487F077A" w14:textId="0244AAFE" w:rsidR="00EB4371" w:rsidRDefault="002A628E">
      <w:pPr>
        <w:pStyle w:val="TOC1"/>
        <w:rPr>
          <w:rFonts w:asciiTheme="minorHAnsi" w:eastAsiaTheme="minorEastAsia" w:hAnsiTheme="minorHAnsi"/>
          <w:b w:val="0"/>
          <w:caps w:val="0"/>
          <w:sz w:val="22"/>
          <w:szCs w:val="22"/>
          <w:lang w:val="en-AU" w:eastAsia="en-AU"/>
        </w:rPr>
      </w:pPr>
      <w:hyperlink w:anchor="_Toc54164470" w:history="1">
        <w:r w:rsidR="00EB4371" w:rsidRPr="00E535AF">
          <w:rPr>
            <w:rStyle w:val="Hyperlink"/>
          </w:rPr>
          <w:t>ENQUIRIES</w:t>
        </w:r>
        <w:r w:rsidR="00EB4371">
          <w:rPr>
            <w:webHidden/>
          </w:rPr>
          <w:tab/>
        </w:r>
        <w:r w:rsidR="00EB4371">
          <w:rPr>
            <w:webHidden/>
          </w:rPr>
          <w:fldChar w:fldCharType="begin"/>
        </w:r>
        <w:r w:rsidR="00EB4371">
          <w:rPr>
            <w:webHidden/>
          </w:rPr>
          <w:instrText xml:space="preserve"> PAGEREF _Toc54164470 \h </w:instrText>
        </w:r>
        <w:r w:rsidR="00EB4371">
          <w:rPr>
            <w:webHidden/>
          </w:rPr>
        </w:r>
        <w:r w:rsidR="00EB4371">
          <w:rPr>
            <w:webHidden/>
          </w:rPr>
          <w:fldChar w:fldCharType="separate"/>
        </w:r>
        <w:r w:rsidR="00683142">
          <w:rPr>
            <w:webHidden/>
          </w:rPr>
          <w:t>9</w:t>
        </w:r>
        <w:r w:rsidR="00EB4371">
          <w:rPr>
            <w:webHidden/>
          </w:rPr>
          <w:fldChar w:fldCharType="end"/>
        </w:r>
      </w:hyperlink>
    </w:p>
    <w:p w14:paraId="4C4EB76D" w14:textId="5556C428" w:rsidR="00EB4371" w:rsidRDefault="002A628E">
      <w:pPr>
        <w:pStyle w:val="TOC1"/>
        <w:rPr>
          <w:rFonts w:asciiTheme="minorHAnsi" w:eastAsiaTheme="minorEastAsia" w:hAnsiTheme="minorHAnsi"/>
          <w:b w:val="0"/>
          <w:caps w:val="0"/>
          <w:sz w:val="22"/>
          <w:szCs w:val="22"/>
          <w:lang w:val="en-AU" w:eastAsia="en-AU"/>
        </w:rPr>
      </w:pPr>
      <w:hyperlink w:anchor="_Toc54164471" w:history="1">
        <w:r w:rsidR="00EB4371" w:rsidRPr="00E535AF">
          <w:rPr>
            <w:rStyle w:val="Hyperlink"/>
          </w:rPr>
          <w:t>PRIVACY</w:t>
        </w:r>
        <w:r w:rsidR="00EB4371">
          <w:rPr>
            <w:webHidden/>
          </w:rPr>
          <w:tab/>
        </w:r>
        <w:r w:rsidR="00EB4371">
          <w:rPr>
            <w:webHidden/>
          </w:rPr>
          <w:fldChar w:fldCharType="begin"/>
        </w:r>
        <w:r w:rsidR="00EB4371">
          <w:rPr>
            <w:webHidden/>
          </w:rPr>
          <w:instrText xml:space="preserve"> PAGEREF _Toc54164471 \h </w:instrText>
        </w:r>
        <w:r w:rsidR="00EB4371">
          <w:rPr>
            <w:webHidden/>
          </w:rPr>
        </w:r>
        <w:r w:rsidR="00EB4371">
          <w:rPr>
            <w:webHidden/>
          </w:rPr>
          <w:fldChar w:fldCharType="separate"/>
        </w:r>
        <w:r w:rsidR="00683142">
          <w:rPr>
            <w:webHidden/>
          </w:rPr>
          <w:t>9</w:t>
        </w:r>
        <w:r w:rsidR="00EB4371">
          <w:rPr>
            <w:webHidden/>
          </w:rPr>
          <w:fldChar w:fldCharType="end"/>
        </w:r>
      </w:hyperlink>
    </w:p>
    <w:p w14:paraId="02DF9DDA" w14:textId="0916A758" w:rsidR="00EB4371" w:rsidRDefault="002A628E">
      <w:pPr>
        <w:pStyle w:val="TOC1"/>
        <w:rPr>
          <w:rFonts w:asciiTheme="minorHAnsi" w:eastAsiaTheme="minorEastAsia" w:hAnsiTheme="minorHAnsi"/>
          <w:b w:val="0"/>
          <w:caps w:val="0"/>
          <w:sz w:val="22"/>
          <w:szCs w:val="22"/>
          <w:lang w:val="en-AU" w:eastAsia="en-AU"/>
        </w:rPr>
      </w:pPr>
      <w:hyperlink w:anchor="_Toc54164472" w:history="1">
        <w:r w:rsidR="00EB4371" w:rsidRPr="00E535AF">
          <w:rPr>
            <w:rStyle w:val="Hyperlink"/>
          </w:rPr>
          <w:t>ACCESSIBILITY</w:t>
        </w:r>
        <w:r w:rsidR="00EB4371">
          <w:rPr>
            <w:webHidden/>
          </w:rPr>
          <w:tab/>
        </w:r>
        <w:r w:rsidR="00EB4371">
          <w:rPr>
            <w:webHidden/>
          </w:rPr>
          <w:fldChar w:fldCharType="begin"/>
        </w:r>
        <w:r w:rsidR="00EB4371">
          <w:rPr>
            <w:webHidden/>
          </w:rPr>
          <w:instrText xml:space="preserve"> PAGEREF _Toc54164472 \h </w:instrText>
        </w:r>
        <w:r w:rsidR="00EB4371">
          <w:rPr>
            <w:webHidden/>
          </w:rPr>
        </w:r>
        <w:r w:rsidR="00EB4371">
          <w:rPr>
            <w:webHidden/>
          </w:rPr>
          <w:fldChar w:fldCharType="separate"/>
        </w:r>
        <w:r w:rsidR="00683142">
          <w:rPr>
            <w:webHidden/>
          </w:rPr>
          <w:t>9</w:t>
        </w:r>
        <w:r w:rsidR="00EB4371">
          <w:rPr>
            <w:webHidden/>
          </w:rPr>
          <w:fldChar w:fldCharType="end"/>
        </w:r>
      </w:hyperlink>
    </w:p>
    <w:p w14:paraId="763D0E24" w14:textId="57B77216" w:rsidR="00FD1D66" w:rsidRPr="00AD6EB0" w:rsidRDefault="00FD1D66" w:rsidP="00FD1D66">
      <w:pPr>
        <w:pStyle w:val="TOC1"/>
      </w:pPr>
      <w:r>
        <w:fldChar w:fldCharType="end"/>
      </w:r>
    </w:p>
    <w:p w14:paraId="1F5464F4" w14:textId="77777777" w:rsidR="00FD1D66" w:rsidRDefault="00FD1D66" w:rsidP="00FD1D66">
      <w:pPr>
        <w:spacing w:after="0" w:line="240" w:lineRule="auto"/>
        <w:rPr>
          <w:b/>
          <w:bCs/>
          <w:caps/>
          <w:color w:val="4C7329"/>
          <w:sz w:val="22"/>
        </w:rPr>
      </w:pPr>
      <w:bookmarkStart w:id="5" w:name="_Toc487791291"/>
      <w:bookmarkStart w:id="6" w:name="_Toc490048998"/>
      <w:bookmarkStart w:id="7" w:name="_Toc315765096"/>
      <w:bookmarkStart w:id="8" w:name="_Toc444597610"/>
      <w:r>
        <w:br w:type="page"/>
      </w:r>
    </w:p>
    <w:p w14:paraId="03B1B172" w14:textId="45D1757A" w:rsidR="00FD1D66" w:rsidRPr="004575E6" w:rsidRDefault="00FD1D66" w:rsidP="00FD1D66">
      <w:pPr>
        <w:pStyle w:val="Heading1"/>
        <w:rPr>
          <w:color w:val="auto"/>
        </w:rPr>
      </w:pPr>
      <w:bookmarkStart w:id="9" w:name="_Toc54164437"/>
      <w:r w:rsidRPr="004575E6">
        <w:rPr>
          <w:color w:val="auto"/>
        </w:rPr>
        <w:lastRenderedPageBreak/>
        <w:t>Purpose of this document</w:t>
      </w:r>
      <w:bookmarkEnd w:id="9"/>
    </w:p>
    <w:p w14:paraId="3A34CC82" w14:textId="77777777" w:rsidR="004575E6" w:rsidRPr="00B47E9B" w:rsidRDefault="004575E6" w:rsidP="004575E6">
      <w:r w:rsidRPr="00B47E9B">
        <w:t>This document sets out the guidelines for Government Grants to Agricultural and Pastoral Societies including:</w:t>
      </w:r>
    </w:p>
    <w:p w14:paraId="169667A1" w14:textId="77777777" w:rsidR="004575E6" w:rsidRPr="00B47E9B" w:rsidRDefault="004575E6" w:rsidP="004575E6">
      <w:pPr>
        <w:pStyle w:val="Agbulletlist"/>
      </w:pPr>
      <w:r w:rsidRPr="00B47E9B">
        <w:t>who can apply for funding</w:t>
      </w:r>
    </w:p>
    <w:p w14:paraId="23123B25" w14:textId="77777777" w:rsidR="004575E6" w:rsidRPr="00B47E9B" w:rsidRDefault="004575E6" w:rsidP="004575E6">
      <w:pPr>
        <w:pStyle w:val="Agbulletlist"/>
      </w:pPr>
      <w:r w:rsidRPr="00B47E9B">
        <w:t>funding</w:t>
      </w:r>
      <w:r>
        <w:t xml:space="preserve"> details</w:t>
      </w:r>
      <w:r w:rsidRPr="00B47E9B">
        <w:t xml:space="preserve"> </w:t>
      </w:r>
    </w:p>
    <w:p w14:paraId="0D73C200" w14:textId="77777777" w:rsidR="004575E6" w:rsidRPr="00B47E9B" w:rsidRDefault="004575E6" w:rsidP="004575E6">
      <w:pPr>
        <w:pStyle w:val="Agbulletlist"/>
      </w:pPr>
      <w:r w:rsidRPr="00B47E9B">
        <w:t>how to apply</w:t>
      </w:r>
    </w:p>
    <w:p w14:paraId="2CE63F63" w14:textId="77777777" w:rsidR="004575E6" w:rsidRPr="00B47E9B" w:rsidRDefault="004575E6" w:rsidP="004575E6">
      <w:pPr>
        <w:pStyle w:val="Agbulletlist"/>
      </w:pPr>
      <w:r w:rsidRPr="00B47E9B">
        <w:t xml:space="preserve">key selection criteria </w:t>
      </w:r>
    </w:p>
    <w:p w14:paraId="181A7416" w14:textId="5E3D9B76" w:rsidR="004575E6" w:rsidRPr="00B47E9B" w:rsidRDefault="004575E6" w:rsidP="004575E6">
      <w:pPr>
        <w:pStyle w:val="Agbulletlist"/>
      </w:pPr>
      <w:r w:rsidRPr="00B47E9B">
        <w:t xml:space="preserve">the application assessment process </w:t>
      </w:r>
    </w:p>
    <w:p w14:paraId="52F11CDB" w14:textId="77777777" w:rsidR="00FD1D66" w:rsidRPr="004575E6" w:rsidRDefault="00FD1D66" w:rsidP="00FD1D66">
      <w:pPr>
        <w:pStyle w:val="Heading1"/>
        <w:rPr>
          <w:color w:val="auto"/>
        </w:rPr>
      </w:pPr>
      <w:bookmarkStart w:id="10" w:name="_Toc54164438"/>
      <w:r w:rsidRPr="004575E6">
        <w:rPr>
          <w:color w:val="auto"/>
        </w:rPr>
        <w:t>Background</w:t>
      </w:r>
      <w:bookmarkEnd w:id="5"/>
      <w:bookmarkEnd w:id="6"/>
      <w:bookmarkEnd w:id="10"/>
    </w:p>
    <w:p w14:paraId="06ECF17A" w14:textId="77777777" w:rsidR="00FD1D66" w:rsidRDefault="00FD1D66" w:rsidP="00FD1D66">
      <w:bookmarkStart w:id="11" w:name="_Toc314822267"/>
      <w:bookmarkStart w:id="12" w:name="_Toc317855608"/>
      <w:bookmarkStart w:id="13" w:name="_Toc487791299"/>
      <w:bookmarkStart w:id="14" w:name="_Toc490049010"/>
      <w:bookmarkStart w:id="15" w:name="_Toc421870806"/>
      <w:bookmarkStart w:id="16" w:name="_Toc484698052"/>
      <w:bookmarkEnd w:id="7"/>
      <w:bookmarkEnd w:id="8"/>
      <w:r>
        <w:t>Agricultural and Pastoral Societies contribute significantly to the Victorian culture and community, promoting the agricultural industry to rural and city communities.</w:t>
      </w:r>
    </w:p>
    <w:p w14:paraId="4AF888B9" w14:textId="594F736D" w:rsidR="00FD1D66" w:rsidRDefault="00FD1D66" w:rsidP="00FD1D66">
      <w:r>
        <w:t xml:space="preserve">The Victorian Government provides funding to Agricultural and Pastoral Societies to support infrastructure development and business activities to celebrate Victoria’s agricultural communities, industry and produce. </w:t>
      </w:r>
    </w:p>
    <w:p w14:paraId="3BA1EBE9" w14:textId="551470E1" w:rsidR="00FD1D66" w:rsidRDefault="00FD1D66" w:rsidP="00FD1D66">
      <w:r>
        <w:t>The Agricultural and Pastoral Society Grants Program is administered by Agriculture Victoria, which is part of the Department of Jobs, Precincts and Regions</w:t>
      </w:r>
      <w:r w:rsidR="008D78B7">
        <w:t xml:space="preserve"> (DJPR</w:t>
      </w:r>
      <w:r w:rsidR="00616F24">
        <w:t>)</w:t>
      </w:r>
      <w:r>
        <w:t>.</w:t>
      </w:r>
    </w:p>
    <w:p w14:paraId="4DE42728" w14:textId="77777777" w:rsidR="00FD1D66" w:rsidRPr="004575E6" w:rsidRDefault="00FD1D66" w:rsidP="00FD1D66">
      <w:pPr>
        <w:pStyle w:val="Heading1"/>
        <w:rPr>
          <w:color w:val="auto"/>
        </w:rPr>
      </w:pPr>
      <w:bookmarkStart w:id="17" w:name="_Toc54164439"/>
      <w:bookmarkStart w:id="18" w:name="_Hlk53131943"/>
      <w:r w:rsidRPr="004575E6">
        <w:rPr>
          <w:color w:val="auto"/>
        </w:rPr>
        <w:t>FUNDING DETAILS</w:t>
      </w:r>
      <w:bookmarkEnd w:id="17"/>
      <w:r w:rsidRPr="004575E6">
        <w:rPr>
          <w:color w:val="auto"/>
        </w:rPr>
        <w:t xml:space="preserve"> </w:t>
      </w:r>
    </w:p>
    <w:p w14:paraId="44BEF762" w14:textId="0BFFE40D" w:rsidR="00FD1D66" w:rsidRDefault="00FD1D66" w:rsidP="00FD1D66">
      <w:r>
        <w:t>The Victorian Government is offering funding up to $10,000 to s</w:t>
      </w:r>
      <w:r w:rsidR="000D5A39">
        <w:t>uccessful</w:t>
      </w:r>
      <w:r>
        <w:t xml:space="preserve"> applicants.</w:t>
      </w:r>
    </w:p>
    <w:p w14:paraId="6D2539E0" w14:textId="1042C281" w:rsidR="00FD1D66" w:rsidRDefault="00FD1D66" w:rsidP="00FD1D66">
      <w:r w:rsidRPr="00D73528">
        <w:t xml:space="preserve">In recognition of the adverse financial impact of COVID-19, the 2020-21 grant funding guidelines </w:t>
      </w:r>
      <w:r w:rsidR="008A26C3">
        <w:t xml:space="preserve">have been amended </w:t>
      </w:r>
      <w:r w:rsidRPr="00D73528">
        <w:t>allow for up to 90</w:t>
      </w:r>
      <w:r w:rsidR="009E5342">
        <w:t xml:space="preserve"> per cent</w:t>
      </w:r>
      <w:r w:rsidRPr="00D73528">
        <w:t xml:space="preserve"> of the total cost of the project to be funded through the program, with applicants required to </w:t>
      </w:r>
      <w:r w:rsidR="00EA18D1">
        <w:t>contribute</w:t>
      </w:r>
      <w:r w:rsidR="00EA18D1" w:rsidRPr="00D73528">
        <w:t xml:space="preserve"> </w:t>
      </w:r>
      <w:r w:rsidR="000D5A39" w:rsidRPr="00D73528">
        <w:t xml:space="preserve">at least </w:t>
      </w:r>
      <w:r w:rsidRPr="00D73528">
        <w:t>10</w:t>
      </w:r>
      <w:r w:rsidR="009E5342">
        <w:t xml:space="preserve"> per cent</w:t>
      </w:r>
      <w:r w:rsidRPr="00D73528">
        <w:t xml:space="preserve"> of the total cost</w:t>
      </w:r>
      <w:r w:rsidR="00236EC2">
        <w:t>. The</w:t>
      </w:r>
      <w:r w:rsidRPr="00D73528">
        <w:t xml:space="preserve"> maximum grant </w:t>
      </w:r>
      <w:r w:rsidR="0050256E">
        <w:t xml:space="preserve">available </w:t>
      </w:r>
      <w:r w:rsidR="00F10699">
        <w:t>for projects is</w:t>
      </w:r>
      <w:r w:rsidRPr="00D73528">
        <w:t>:</w:t>
      </w:r>
      <w:r>
        <w:t xml:space="preserve"> </w:t>
      </w:r>
    </w:p>
    <w:p w14:paraId="482A26F5" w14:textId="77777777" w:rsidR="00FD1D66" w:rsidRDefault="00FD1D66" w:rsidP="00FD1D66">
      <w:r>
        <w:t>Facilities (up to)</w:t>
      </w:r>
      <w:r>
        <w:tab/>
      </w:r>
      <w:r>
        <w:tab/>
        <w:t>$10,000</w:t>
      </w:r>
    </w:p>
    <w:p w14:paraId="14256417" w14:textId="77777777" w:rsidR="00FD1D66" w:rsidRDefault="00FD1D66" w:rsidP="00FD1D66">
      <w:r>
        <w:t>Business activities (up to)</w:t>
      </w:r>
      <w:r>
        <w:tab/>
        <w:t>$10,000</w:t>
      </w:r>
    </w:p>
    <w:p w14:paraId="797D8D16" w14:textId="77777777" w:rsidR="00FD1D66" w:rsidRDefault="00FD1D66" w:rsidP="00FD1D66">
      <w:r>
        <w:t>Former grant recipients who wish to reapply will need to show how they will build on work already completed and not replicate the work of the previous application.</w:t>
      </w:r>
    </w:p>
    <w:p w14:paraId="609A70D0" w14:textId="12DEB363" w:rsidR="00FD1D66" w:rsidRDefault="00FD1D66" w:rsidP="00FD1D66">
      <w:r>
        <w:t>Please note that each society may apply for multiple grants/projects however the total amount awarded per society is a maximum of $10,000. Each project must be accompanied by a separate application.</w:t>
      </w:r>
    </w:p>
    <w:p w14:paraId="1FE6C417" w14:textId="68CE1226" w:rsidR="00FD1D66" w:rsidRPr="00D73528" w:rsidRDefault="00FD1D66" w:rsidP="00FD1D66">
      <w:pPr>
        <w:rPr>
          <w:color w:val="auto"/>
        </w:rPr>
      </w:pPr>
      <w:r w:rsidRPr="00D73528">
        <w:rPr>
          <w:color w:val="auto"/>
        </w:rPr>
        <w:t xml:space="preserve">This round is open to all Agricultural and Pastoral Societies, including those that have had to cancel their </w:t>
      </w:r>
      <w:r w:rsidR="00BE068E" w:rsidRPr="00D73528">
        <w:rPr>
          <w:color w:val="auto"/>
        </w:rPr>
        <w:t>s</w:t>
      </w:r>
      <w:r w:rsidRPr="00D73528">
        <w:rPr>
          <w:color w:val="auto"/>
        </w:rPr>
        <w:t>hows in 2020 due to C</w:t>
      </w:r>
      <w:r w:rsidR="009E5342">
        <w:rPr>
          <w:color w:val="auto"/>
        </w:rPr>
        <w:t>OVID</w:t>
      </w:r>
      <w:r w:rsidRPr="00D73528">
        <w:rPr>
          <w:color w:val="auto"/>
        </w:rPr>
        <w:t xml:space="preserve">-19. </w:t>
      </w:r>
    </w:p>
    <w:p w14:paraId="72FD68BD" w14:textId="4434965C" w:rsidR="00FD1D66" w:rsidRPr="00D73528" w:rsidRDefault="00FD1D66" w:rsidP="00FD1D66">
      <w:pPr>
        <w:rPr>
          <w:color w:val="auto"/>
        </w:rPr>
      </w:pPr>
      <w:r w:rsidRPr="00D73528">
        <w:rPr>
          <w:color w:val="auto"/>
        </w:rPr>
        <w:t>The 2020-21 guidelines have been modified to include additional eligiblility criteria recognising the restrictions that are in place for Victoria. Please see the eligibility criteria section for more information.</w:t>
      </w:r>
      <w:r w:rsidR="00F16047" w:rsidRPr="00D73528">
        <w:rPr>
          <w:color w:val="auto"/>
        </w:rPr>
        <w:t xml:space="preserve"> </w:t>
      </w:r>
    </w:p>
    <w:p w14:paraId="30792B87" w14:textId="34F09207" w:rsidR="00F16047" w:rsidRPr="00D73528" w:rsidRDefault="00F16047" w:rsidP="00FD1D66">
      <w:pPr>
        <w:rPr>
          <w:color w:val="auto"/>
        </w:rPr>
      </w:pPr>
      <w:r w:rsidRPr="00D73528">
        <w:rPr>
          <w:color w:val="auto"/>
        </w:rPr>
        <w:t>Note</w:t>
      </w:r>
      <w:r w:rsidR="00BE068E" w:rsidRPr="00D73528">
        <w:rPr>
          <w:color w:val="auto"/>
        </w:rPr>
        <w:t xml:space="preserve"> that the </w:t>
      </w:r>
      <w:r w:rsidR="006E2947" w:rsidRPr="00D73528">
        <w:rPr>
          <w:color w:val="auto"/>
        </w:rPr>
        <w:t>modifications to the</w:t>
      </w:r>
      <w:r w:rsidR="00BE068E" w:rsidRPr="00D73528">
        <w:rPr>
          <w:color w:val="auto"/>
        </w:rPr>
        <w:t xml:space="preserve"> guide</w:t>
      </w:r>
      <w:r w:rsidR="00B871BB" w:rsidRPr="00D73528">
        <w:rPr>
          <w:color w:val="auto"/>
        </w:rPr>
        <w:t>l</w:t>
      </w:r>
      <w:r w:rsidR="00BE068E" w:rsidRPr="00D73528">
        <w:rPr>
          <w:color w:val="auto"/>
        </w:rPr>
        <w:t xml:space="preserve">ines </w:t>
      </w:r>
      <w:r w:rsidR="002D4E11" w:rsidRPr="00D73528">
        <w:rPr>
          <w:color w:val="auto"/>
        </w:rPr>
        <w:t>are only applicable to the 2020-21 round</w:t>
      </w:r>
      <w:r w:rsidR="000D5A39" w:rsidRPr="00D73528">
        <w:rPr>
          <w:color w:val="auto"/>
        </w:rPr>
        <w:t>.</w:t>
      </w:r>
    </w:p>
    <w:p w14:paraId="11B9A66F" w14:textId="77777777" w:rsidR="00FD1D66" w:rsidRPr="004575E6" w:rsidRDefault="00FD1D66" w:rsidP="003D2CE4">
      <w:pPr>
        <w:pStyle w:val="Heading2"/>
        <w:rPr>
          <w:b w:val="0"/>
        </w:rPr>
      </w:pPr>
      <w:bookmarkStart w:id="19" w:name="_Toc54164200"/>
      <w:bookmarkStart w:id="20" w:name="_Toc54164440"/>
      <w:bookmarkEnd w:id="18"/>
      <w:r w:rsidRPr="004575E6">
        <w:t>GST Implications</w:t>
      </w:r>
      <w:bookmarkEnd w:id="19"/>
      <w:bookmarkEnd w:id="20"/>
    </w:p>
    <w:p w14:paraId="1A329D0F" w14:textId="20D29B43" w:rsidR="00FD1D66" w:rsidRDefault="00FD1D66" w:rsidP="00FD1D66">
      <w:r>
        <w:t xml:space="preserve">The Agricultural and Pastoral Society Grants are reimbursement grants, so the amount awarded is GST exclusive. </w:t>
      </w:r>
    </w:p>
    <w:p w14:paraId="22C00CC9" w14:textId="77777777" w:rsidR="00FD1D66" w:rsidRDefault="00FD1D66" w:rsidP="00FD1D66">
      <w:r>
        <w:t xml:space="preserve">If the society </w:t>
      </w:r>
      <w:r w:rsidRPr="00631F36">
        <w:t>is</w:t>
      </w:r>
      <w:r w:rsidRPr="001928B0">
        <w:rPr>
          <w:i/>
          <w:iCs/>
        </w:rPr>
        <w:t xml:space="preserve"> registered for GST</w:t>
      </w:r>
      <w:r>
        <w:t xml:space="preserve">, the application amount stated as the total project cost should be the *GST exclusive amount i.e. the society can claim an input tax credit in respect of the GST that it pays. </w:t>
      </w:r>
    </w:p>
    <w:p w14:paraId="3CB747AC" w14:textId="3DCDEB7B" w:rsidR="00FD1D66" w:rsidRDefault="00FD1D66" w:rsidP="00FD1D66">
      <w:r>
        <w:t xml:space="preserve">If the society is </w:t>
      </w:r>
      <w:r w:rsidRPr="00631F36">
        <w:rPr>
          <w:i/>
          <w:iCs/>
        </w:rPr>
        <w:t>not registered for GST</w:t>
      </w:r>
      <w:r>
        <w:t>, the application amount stated as the project cost should **include GST. This is shown in the examples below.</w:t>
      </w:r>
      <w:bookmarkEnd w:id="11"/>
      <w:bookmarkEnd w:id="12"/>
      <w:bookmarkEnd w:id="13"/>
      <w:bookmarkEnd w:id="14"/>
      <w:bookmarkEnd w:id="15"/>
      <w:bookmarkEnd w:id="16"/>
    </w:p>
    <w:p w14:paraId="1D4061F2" w14:textId="77777777" w:rsidR="0022018E" w:rsidRDefault="0022018E" w:rsidP="00FD1D66">
      <w:pPr>
        <w:pStyle w:val="Heading2"/>
      </w:pPr>
      <w:bookmarkStart w:id="21" w:name="_Toc11764560"/>
    </w:p>
    <w:p w14:paraId="224AC8E0" w14:textId="77777777" w:rsidR="0022018E" w:rsidRDefault="0022018E" w:rsidP="00FD1D66">
      <w:pPr>
        <w:pStyle w:val="Heading2"/>
      </w:pPr>
    </w:p>
    <w:p w14:paraId="2999B199" w14:textId="77777777" w:rsidR="006E5C91" w:rsidRDefault="006E5C91" w:rsidP="00FD1D66">
      <w:pPr>
        <w:pStyle w:val="Heading2"/>
      </w:pPr>
      <w:bookmarkStart w:id="22" w:name="_Toc54164201"/>
      <w:bookmarkStart w:id="23" w:name="_Toc54164441"/>
    </w:p>
    <w:p w14:paraId="5E45645B" w14:textId="243BEA56" w:rsidR="00FD1D66" w:rsidRPr="002D6189" w:rsidRDefault="00FD1D66" w:rsidP="00FD1D66">
      <w:pPr>
        <w:pStyle w:val="Heading2"/>
      </w:pPr>
      <w:r w:rsidRPr="002D6189">
        <w:lastRenderedPageBreak/>
        <w:t>Examples</w:t>
      </w:r>
      <w:bookmarkEnd w:id="21"/>
      <w:bookmarkEnd w:id="22"/>
      <w:bookmarkEnd w:id="23"/>
    </w:p>
    <w:tbl>
      <w:tblPr>
        <w:tblStyle w:val="TableGrid"/>
        <w:tblW w:w="0" w:type="auto"/>
        <w:tblInd w:w="108" w:type="dxa"/>
        <w:tblLook w:val="04A0" w:firstRow="1" w:lastRow="0" w:firstColumn="1" w:lastColumn="0" w:noHBand="0" w:noVBand="1"/>
      </w:tblPr>
      <w:tblGrid>
        <w:gridCol w:w="3635"/>
        <w:gridCol w:w="1080"/>
        <w:gridCol w:w="3772"/>
        <w:gridCol w:w="1204"/>
      </w:tblGrid>
      <w:tr w:rsidR="00FD1D66" w14:paraId="56B4F68B" w14:textId="77777777" w:rsidTr="00A17C1F">
        <w:tc>
          <w:tcPr>
            <w:tcW w:w="3635" w:type="dxa"/>
          </w:tcPr>
          <w:p w14:paraId="2727CCDA" w14:textId="77777777" w:rsidR="00FD1D66" w:rsidRDefault="00FD1D66" w:rsidP="00A17C1F">
            <w:pPr>
              <w:jc w:val="center"/>
            </w:pPr>
            <w:r w:rsidRPr="00B47E9B">
              <w:rPr>
                <w:b/>
                <w:sz w:val="16"/>
                <w:szCs w:val="16"/>
              </w:rPr>
              <w:t>Registered for GST</w:t>
            </w:r>
          </w:p>
        </w:tc>
        <w:tc>
          <w:tcPr>
            <w:tcW w:w="1017" w:type="dxa"/>
          </w:tcPr>
          <w:p w14:paraId="3CEAA036" w14:textId="77777777" w:rsidR="00FD1D66" w:rsidRDefault="00FD1D66" w:rsidP="00A17C1F"/>
        </w:tc>
        <w:tc>
          <w:tcPr>
            <w:tcW w:w="3772" w:type="dxa"/>
          </w:tcPr>
          <w:p w14:paraId="1011095E" w14:textId="77777777" w:rsidR="00FD1D66" w:rsidRDefault="00FD1D66" w:rsidP="00A17C1F">
            <w:pPr>
              <w:jc w:val="center"/>
            </w:pPr>
            <w:r w:rsidRPr="00B47E9B">
              <w:rPr>
                <w:b/>
                <w:sz w:val="16"/>
                <w:szCs w:val="16"/>
              </w:rPr>
              <w:t>Not registered for GST</w:t>
            </w:r>
          </w:p>
        </w:tc>
        <w:tc>
          <w:tcPr>
            <w:tcW w:w="932" w:type="dxa"/>
          </w:tcPr>
          <w:p w14:paraId="78A11524" w14:textId="77777777" w:rsidR="00FD1D66" w:rsidRDefault="00FD1D66" w:rsidP="00A17C1F"/>
        </w:tc>
      </w:tr>
      <w:tr w:rsidR="00FD1D66" w14:paraId="433D9AAD" w14:textId="77777777" w:rsidTr="00A17C1F">
        <w:tc>
          <w:tcPr>
            <w:tcW w:w="3635" w:type="dxa"/>
          </w:tcPr>
          <w:p w14:paraId="7763250F" w14:textId="77777777" w:rsidR="00FD1D66" w:rsidRPr="006A4C71" w:rsidRDefault="00FD1D66" w:rsidP="00A17C1F">
            <w:pPr>
              <w:rPr>
                <w:sz w:val="16"/>
                <w:szCs w:val="16"/>
              </w:rPr>
            </w:pPr>
            <w:r w:rsidRPr="00B47E9B">
              <w:rPr>
                <w:sz w:val="16"/>
                <w:szCs w:val="16"/>
              </w:rPr>
              <w:t>Quote</w:t>
            </w:r>
          </w:p>
        </w:tc>
        <w:tc>
          <w:tcPr>
            <w:tcW w:w="1017" w:type="dxa"/>
          </w:tcPr>
          <w:p w14:paraId="3191A63D" w14:textId="77777777" w:rsidR="00FD1D66" w:rsidRPr="006A4C71" w:rsidRDefault="00FD1D66" w:rsidP="00A17C1F">
            <w:pPr>
              <w:tabs>
                <w:tab w:val="center" w:pos="1789"/>
                <w:tab w:val="right" w:pos="3578"/>
              </w:tabs>
              <w:jc w:val="right"/>
              <w:rPr>
                <w:sz w:val="16"/>
                <w:szCs w:val="16"/>
              </w:rPr>
            </w:pPr>
            <w:r>
              <w:rPr>
                <w:sz w:val="16"/>
                <w:szCs w:val="16"/>
              </w:rPr>
              <w:t>$12,000.00</w:t>
            </w:r>
          </w:p>
        </w:tc>
        <w:tc>
          <w:tcPr>
            <w:tcW w:w="3772" w:type="dxa"/>
          </w:tcPr>
          <w:p w14:paraId="3BA33A51" w14:textId="77777777" w:rsidR="00FD1D66" w:rsidRPr="006A4C71" w:rsidRDefault="00FD1D66" w:rsidP="00A17C1F">
            <w:pPr>
              <w:jc w:val="both"/>
              <w:rPr>
                <w:sz w:val="16"/>
                <w:szCs w:val="16"/>
              </w:rPr>
            </w:pPr>
            <w:r w:rsidRPr="006A4C71">
              <w:rPr>
                <w:sz w:val="16"/>
                <w:szCs w:val="16"/>
              </w:rPr>
              <w:t xml:space="preserve">Quote </w:t>
            </w:r>
          </w:p>
        </w:tc>
        <w:tc>
          <w:tcPr>
            <w:tcW w:w="932" w:type="dxa"/>
          </w:tcPr>
          <w:p w14:paraId="00010C32" w14:textId="77777777" w:rsidR="00FD1D66" w:rsidRPr="006A4C71" w:rsidRDefault="00FD1D66" w:rsidP="00A17C1F">
            <w:pPr>
              <w:jc w:val="right"/>
              <w:rPr>
                <w:sz w:val="16"/>
                <w:szCs w:val="16"/>
              </w:rPr>
            </w:pPr>
            <w:r w:rsidRPr="006A4C71">
              <w:rPr>
                <w:sz w:val="16"/>
                <w:szCs w:val="16"/>
              </w:rPr>
              <w:t>$12,000.00</w:t>
            </w:r>
          </w:p>
        </w:tc>
      </w:tr>
      <w:tr w:rsidR="00FD1D66" w14:paraId="527BF537" w14:textId="77777777" w:rsidTr="00A17C1F">
        <w:tc>
          <w:tcPr>
            <w:tcW w:w="3635" w:type="dxa"/>
          </w:tcPr>
          <w:p w14:paraId="2D63C7C0" w14:textId="77777777" w:rsidR="00FD1D66" w:rsidRPr="00B47E9B" w:rsidRDefault="00FD1D66" w:rsidP="00A17C1F">
            <w:pPr>
              <w:tabs>
                <w:tab w:val="center" w:pos="1789"/>
                <w:tab w:val="right" w:pos="3578"/>
              </w:tabs>
              <w:jc w:val="both"/>
              <w:rPr>
                <w:b/>
                <w:sz w:val="16"/>
                <w:szCs w:val="16"/>
              </w:rPr>
            </w:pPr>
            <w:r>
              <w:rPr>
                <w:sz w:val="16"/>
                <w:szCs w:val="16"/>
              </w:rPr>
              <w:t>GST</w:t>
            </w:r>
            <w:r>
              <w:rPr>
                <w:sz w:val="16"/>
                <w:szCs w:val="16"/>
              </w:rPr>
              <w:tab/>
            </w:r>
          </w:p>
        </w:tc>
        <w:tc>
          <w:tcPr>
            <w:tcW w:w="1017" w:type="dxa"/>
          </w:tcPr>
          <w:p w14:paraId="67F2DD79" w14:textId="77777777" w:rsidR="00FD1D66" w:rsidRPr="006A4C71" w:rsidRDefault="00FD1D66" w:rsidP="00A17C1F">
            <w:pPr>
              <w:tabs>
                <w:tab w:val="center" w:pos="1789"/>
                <w:tab w:val="right" w:pos="3578"/>
              </w:tabs>
              <w:jc w:val="right"/>
              <w:rPr>
                <w:sz w:val="16"/>
                <w:szCs w:val="16"/>
              </w:rPr>
            </w:pPr>
            <w:r w:rsidRPr="006A4C71">
              <w:rPr>
                <w:sz w:val="16"/>
                <w:szCs w:val="16"/>
              </w:rPr>
              <w:t>$1,090.91</w:t>
            </w:r>
          </w:p>
        </w:tc>
        <w:tc>
          <w:tcPr>
            <w:tcW w:w="3772" w:type="dxa"/>
          </w:tcPr>
          <w:p w14:paraId="6B276B28" w14:textId="77777777" w:rsidR="00FD1D66" w:rsidRPr="006A4C71" w:rsidRDefault="00FD1D66" w:rsidP="00A17C1F">
            <w:pPr>
              <w:rPr>
                <w:sz w:val="16"/>
                <w:szCs w:val="16"/>
              </w:rPr>
            </w:pPr>
            <w:r w:rsidRPr="006A4C71">
              <w:rPr>
                <w:sz w:val="16"/>
                <w:szCs w:val="16"/>
              </w:rPr>
              <w:t>GST</w:t>
            </w:r>
          </w:p>
        </w:tc>
        <w:tc>
          <w:tcPr>
            <w:tcW w:w="932" w:type="dxa"/>
          </w:tcPr>
          <w:p w14:paraId="6246D591" w14:textId="77777777" w:rsidR="00FD1D66" w:rsidRPr="006A4C71" w:rsidRDefault="00FD1D66" w:rsidP="00A17C1F">
            <w:pPr>
              <w:jc w:val="right"/>
              <w:rPr>
                <w:sz w:val="16"/>
                <w:szCs w:val="16"/>
              </w:rPr>
            </w:pPr>
            <w:r w:rsidRPr="006A4C71">
              <w:rPr>
                <w:sz w:val="16"/>
                <w:szCs w:val="16"/>
              </w:rPr>
              <w:t>$1,090.91</w:t>
            </w:r>
          </w:p>
        </w:tc>
      </w:tr>
      <w:tr w:rsidR="00FD1D66" w14:paraId="72D08E78" w14:textId="77777777" w:rsidTr="00A17C1F">
        <w:tc>
          <w:tcPr>
            <w:tcW w:w="3635" w:type="dxa"/>
          </w:tcPr>
          <w:p w14:paraId="787B1B24" w14:textId="77777777" w:rsidR="00FD1D66" w:rsidRDefault="00FD1D66" w:rsidP="00A17C1F">
            <w:pPr>
              <w:tabs>
                <w:tab w:val="center" w:pos="1789"/>
                <w:tab w:val="right" w:pos="3578"/>
              </w:tabs>
              <w:rPr>
                <w:sz w:val="16"/>
                <w:szCs w:val="16"/>
              </w:rPr>
            </w:pPr>
            <w:r w:rsidRPr="00B47E9B">
              <w:rPr>
                <w:sz w:val="16"/>
                <w:szCs w:val="16"/>
              </w:rPr>
              <w:t>Total project cost</w:t>
            </w:r>
          </w:p>
        </w:tc>
        <w:tc>
          <w:tcPr>
            <w:tcW w:w="1017" w:type="dxa"/>
          </w:tcPr>
          <w:p w14:paraId="25CD1DF4" w14:textId="77777777" w:rsidR="00FD1D66" w:rsidRPr="006A4C71" w:rsidRDefault="00FD1D66" w:rsidP="00A17C1F">
            <w:pPr>
              <w:tabs>
                <w:tab w:val="center" w:pos="1789"/>
                <w:tab w:val="right" w:pos="3578"/>
              </w:tabs>
              <w:jc w:val="right"/>
              <w:rPr>
                <w:sz w:val="16"/>
                <w:szCs w:val="16"/>
              </w:rPr>
            </w:pPr>
            <w:r>
              <w:rPr>
                <w:sz w:val="16"/>
                <w:szCs w:val="16"/>
              </w:rPr>
              <w:t>*</w:t>
            </w:r>
            <w:r w:rsidRPr="006A4C71">
              <w:rPr>
                <w:sz w:val="16"/>
                <w:szCs w:val="16"/>
              </w:rPr>
              <w:t>$10,909.09</w:t>
            </w:r>
          </w:p>
        </w:tc>
        <w:tc>
          <w:tcPr>
            <w:tcW w:w="3772" w:type="dxa"/>
          </w:tcPr>
          <w:p w14:paraId="4902E671" w14:textId="77777777" w:rsidR="00FD1D66" w:rsidRPr="006A4C71" w:rsidRDefault="00FD1D66" w:rsidP="00A17C1F">
            <w:pPr>
              <w:rPr>
                <w:sz w:val="16"/>
                <w:szCs w:val="16"/>
              </w:rPr>
            </w:pPr>
            <w:r w:rsidRPr="006A4C71">
              <w:rPr>
                <w:sz w:val="16"/>
                <w:szCs w:val="16"/>
              </w:rPr>
              <w:t>Total project cost</w:t>
            </w:r>
          </w:p>
        </w:tc>
        <w:tc>
          <w:tcPr>
            <w:tcW w:w="932" w:type="dxa"/>
          </w:tcPr>
          <w:p w14:paraId="0F4F5DDD" w14:textId="77777777" w:rsidR="00FD1D66" w:rsidRPr="006A4C71" w:rsidRDefault="00FD1D66" w:rsidP="00A17C1F">
            <w:pPr>
              <w:jc w:val="right"/>
              <w:rPr>
                <w:sz w:val="16"/>
                <w:szCs w:val="16"/>
              </w:rPr>
            </w:pPr>
            <w:r>
              <w:rPr>
                <w:sz w:val="16"/>
                <w:szCs w:val="16"/>
              </w:rPr>
              <w:t>**</w:t>
            </w:r>
            <w:r w:rsidRPr="006A4C71">
              <w:rPr>
                <w:sz w:val="16"/>
                <w:szCs w:val="16"/>
              </w:rPr>
              <w:t>$12,000.00</w:t>
            </w:r>
          </w:p>
        </w:tc>
      </w:tr>
      <w:tr w:rsidR="00FD1D66" w14:paraId="32C23348" w14:textId="77777777" w:rsidTr="00A17C1F">
        <w:tc>
          <w:tcPr>
            <w:tcW w:w="3635" w:type="dxa"/>
          </w:tcPr>
          <w:p w14:paraId="45F691B9" w14:textId="77777777" w:rsidR="00FD1D66" w:rsidRPr="00B47E9B" w:rsidRDefault="00FD1D66" w:rsidP="00A17C1F">
            <w:pPr>
              <w:tabs>
                <w:tab w:val="center" w:pos="1789"/>
                <w:tab w:val="right" w:pos="3578"/>
              </w:tabs>
              <w:rPr>
                <w:sz w:val="16"/>
                <w:szCs w:val="16"/>
              </w:rPr>
            </w:pPr>
            <w:r w:rsidRPr="00B47E9B">
              <w:rPr>
                <w:sz w:val="16"/>
                <w:szCs w:val="16"/>
              </w:rPr>
              <w:t>Grant</w:t>
            </w:r>
            <w:r>
              <w:rPr>
                <w:sz w:val="16"/>
                <w:szCs w:val="16"/>
              </w:rPr>
              <w:t xml:space="preserve"> r</w:t>
            </w:r>
            <w:r w:rsidRPr="00B47E9B">
              <w:rPr>
                <w:sz w:val="16"/>
                <w:szCs w:val="16"/>
              </w:rPr>
              <w:t>equest (</w:t>
            </w:r>
            <w:r>
              <w:rPr>
                <w:sz w:val="16"/>
                <w:szCs w:val="16"/>
              </w:rPr>
              <w:t>90%</w:t>
            </w:r>
            <w:r w:rsidRPr="00B47E9B">
              <w:rPr>
                <w:sz w:val="16"/>
                <w:szCs w:val="16"/>
              </w:rPr>
              <w:t>)</w:t>
            </w:r>
          </w:p>
        </w:tc>
        <w:tc>
          <w:tcPr>
            <w:tcW w:w="1017" w:type="dxa"/>
          </w:tcPr>
          <w:p w14:paraId="1F413110" w14:textId="77777777" w:rsidR="00FD1D66" w:rsidRPr="006A4C71" w:rsidRDefault="00FD1D66" w:rsidP="00A17C1F">
            <w:pPr>
              <w:tabs>
                <w:tab w:val="center" w:pos="1789"/>
                <w:tab w:val="right" w:pos="3578"/>
              </w:tabs>
              <w:jc w:val="right"/>
              <w:rPr>
                <w:sz w:val="16"/>
                <w:szCs w:val="16"/>
              </w:rPr>
            </w:pPr>
            <w:r>
              <w:rPr>
                <w:sz w:val="16"/>
                <w:szCs w:val="16"/>
              </w:rPr>
              <w:t>$9,818.18</w:t>
            </w:r>
          </w:p>
        </w:tc>
        <w:tc>
          <w:tcPr>
            <w:tcW w:w="3772" w:type="dxa"/>
          </w:tcPr>
          <w:p w14:paraId="2303F7E6" w14:textId="77777777" w:rsidR="00FD1D66" w:rsidRPr="006A4C71" w:rsidRDefault="00FD1D66" w:rsidP="00A17C1F">
            <w:pPr>
              <w:rPr>
                <w:sz w:val="16"/>
                <w:szCs w:val="16"/>
              </w:rPr>
            </w:pPr>
            <w:r w:rsidRPr="006A4C71">
              <w:rPr>
                <w:sz w:val="16"/>
                <w:szCs w:val="16"/>
              </w:rPr>
              <w:t xml:space="preserve">Grant request </w:t>
            </w:r>
            <w:r>
              <w:rPr>
                <w:sz w:val="16"/>
                <w:szCs w:val="16"/>
              </w:rPr>
              <w:t>(90%</w:t>
            </w:r>
            <w:r w:rsidRPr="006A4C71">
              <w:rPr>
                <w:sz w:val="16"/>
                <w:szCs w:val="16"/>
              </w:rPr>
              <w:t>)</w:t>
            </w:r>
          </w:p>
        </w:tc>
        <w:tc>
          <w:tcPr>
            <w:tcW w:w="932" w:type="dxa"/>
          </w:tcPr>
          <w:p w14:paraId="6A49F829" w14:textId="0D766D05" w:rsidR="00FD1D66" w:rsidRPr="006A4C71" w:rsidRDefault="00927E60" w:rsidP="00A17C1F">
            <w:pPr>
              <w:jc w:val="right"/>
              <w:rPr>
                <w:sz w:val="16"/>
                <w:szCs w:val="16"/>
              </w:rPr>
            </w:pPr>
            <w:r>
              <w:rPr>
                <w:sz w:val="16"/>
                <w:szCs w:val="16"/>
              </w:rPr>
              <w:t>***</w:t>
            </w:r>
            <w:r w:rsidR="00FD1D66" w:rsidRPr="006A4C71">
              <w:rPr>
                <w:sz w:val="16"/>
                <w:szCs w:val="16"/>
              </w:rPr>
              <w:t>$</w:t>
            </w:r>
            <w:r w:rsidR="00FD1D66">
              <w:rPr>
                <w:sz w:val="16"/>
                <w:szCs w:val="16"/>
              </w:rPr>
              <w:t>10,800</w:t>
            </w:r>
            <w:r w:rsidR="00FD1D66" w:rsidRPr="006A4C71">
              <w:rPr>
                <w:sz w:val="16"/>
                <w:szCs w:val="16"/>
              </w:rPr>
              <w:t>.00</w:t>
            </w:r>
          </w:p>
        </w:tc>
      </w:tr>
      <w:tr w:rsidR="00FD1D66" w14:paraId="53B6A468" w14:textId="77777777" w:rsidTr="00A17C1F">
        <w:tc>
          <w:tcPr>
            <w:tcW w:w="3635" w:type="dxa"/>
          </w:tcPr>
          <w:p w14:paraId="5F362AB2" w14:textId="083EF195" w:rsidR="00FD1D66" w:rsidRPr="00D73528" w:rsidRDefault="00FD1D66" w:rsidP="00A17C1F">
            <w:pPr>
              <w:tabs>
                <w:tab w:val="center" w:pos="1789"/>
                <w:tab w:val="right" w:pos="3578"/>
              </w:tabs>
              <w:rPr>
                <w:sz w:val="16"/>
                <w:szCs w:val="16"/>
              </w:rPr>
            </w:pPr>
            <w:r w:rsidRPr="00D73528">
              <w:rPr>
                <w:sz w:val="16"/>
                <w:szCs w:val="16"/>
              </w:rPr>
              <w:t>Society contribution (10%)</w:t>
            </w:r>
          </w:p>
        </w:tc>
        <w:tc>
          <w:tcPr>
            <w:tcW w:w="1017" w:type="dxa"/>
          </w:tcPr>
          <w:p w14:paraId="3C10CAD4" w14:textId="77777777" w:rsidR="00FD1D66" w:rsidRPr="00D73528" w:rsidRDefault="00FD1D66" w:rsidP="00A17C1F">
            <w:pPr>
              <w:tabs>
                <w:tab w:val="center" w:pos="1789"/>
                <w:tab w:val="right" w:pos="3578"/>
              </w:tabs>
              <w:jc w:val="right"/>
              <w:rPr>
                <w:sz w:val="16"/>
                <w:szCs w:val="16"/>
              </w:rPr>
            </w:pPr>
            <w:r w:rsidRPr="00D73528">
              <w:rPr>
                <w:sz w:val="16"/>
                <w:szCs w:val="16"/>
              </w:rPr>
              <w:t>$1,090.90</w:t>
            </w:r>
          </w:p>
        </w:tc>
        <w:tc>
          <w:tcPr>
            <w:tcW w:w="3772" w:type="dxa"/>
          </w:tcPr>
          <w:p w14:paraId="6B41EA86" w14:textId="77777777" w:rsidR="00FD1D66" w:rsidRPr="00D73528" w:rsidRDefault="00FD1D66" w:rsidP="00A17C1F">
            <w:pPr>
              <w:rPr>
                <w:sz w:val="16"/>
                <w:szCs w:val="16"/>
              </w:rPr>
            </w:pPr>
            <w:r w:rsidRPr="00D73528">
              <w:rPr>
                <w:sz w:val="16"/>
                <w:szCs w:val="16"/>
              </w:rPr>
              <w:t>Society Contribution (10%)</w:t>
            </w:r>
          </w:p>
        </w:tc>
        <w:tc>
          <w:tcPr>
            <w:tcW w:w="932" w:type="dxa"/>
          </w:tcPr>
          <w:p w14:paraId="5ACF09C5" w14:textId="77777777" w:rsidR="00FD1D66" w:rsidRPr="00D73528" w:rsidRDefault="00FD1D66" w:rsidP="00A17C1F">
            <w:pPr>
              <w:jc w:val="right"/>
            </w:pPr>
            <w:r w:rsidRPr="00D73528">
              <w:rPr>
                <w:sz w:val="16"/>
                <w:szCs w:val="16"/>
              </w:rPr>
              <w:t>$1,200.00</w:t>
            </w:r>
          </w:p>
        </w:tc>
      </w:tr>
    </w:tbl>
    <w:p w14:paraId="20CDFB75" w14:textId="77777777" w:rsidR="00FD1D66" w:rsidRDefault="00FD1D66" w:rsidP="00FD1D66">
      <w:r>
        <w:t xml:space="preserve">*total project cost stated in the application should be GST </w:t>
      </w:r>
      <w:r w:rsidRPr="004367E4">
        <w:rPr>
          <w:i/>
          <w:iCs/>
        </w:rPr>
        <w:t>exclusive</w:t>
      </w:r>
      <w:r>
        <w:t xml:space="preserve"> if a society is registered for GST</w:t>
      </w:r>
    </w:p>
    <w:p w14:paraId="0AE7B1A3" w14:textId="13410926" w:rsidR="00FD1D66" w:rsidRDefault="00FD1D66" w:rsidP="00FD1D66">
      <w:r>
        <w:t>**</w:t>
      </w:r>
      <w:r w:rsidRPr="004367E4">
        <w:t xml:space="preserve"> </w:t>
      </w:r>
      <w:r>
        <w:t xml:space="preserve">total project cost stated in the application should be GST </w:t>
      </w:r>
      <w:r>
        <w:rPr>
          <w:i/>
          <w:iCs/>
        </w:rPr>
        <w:t>in</w:t>
      </w:r>
      <w:r w:rsidRPr="004367E4">
        <w:rPr>
          <w:i/>
          <w:iCs/>
        </w:rPr>
        <w:t>clusive</w:t>
      </w:r>
      <w:r>
        <w:t xml:space="preserve"> if a society is not registered for GST</w:t>
      </w:r>
    </w:p>
    <w:p w14:paraId="4108B05A" w14:textId="524BE820" w:rsidR="00927E60" w:rsidRPr="00907B35" w:rsidRDefault="00FC1D98" w:rsidP="00FD1D66">
      <w:r>
        <w:t>*** maximum grant available through A</w:t>
      </w:r>
      <w:r w:rsidR="00B7284B">
        <w:t>gricultural and Pastoral Society Grants</w:t>
      </w:r>
      <w:r>
        <w:t xml:space="preserve"> program is $10,000</w:t>
      </w:r>
    </w:p>
    <w:p w14:paraId="75965F9A" w14:textId="77777777" w:rsidR="00FD1D66" w:rsidRPr="004575E6" w:rsidRDefault="00FD1D66" w:rsidP="00FD1D66">
      <w:pPr>
        <w:pStyle w:val="Heading2"/>
      </w:pPr>
      <w:bookmarkStart w:id="24" w:name="_Toc11764561"/>
      <w:bookmarkStart w:id="25" w:name="_Toc54164202"/>
      <w:bookmarkStart w:id="26" w:name="_Toc54164442"/>
      <w:r w:rsidRPr="004575E6">
        <w:t>Supporting documentation</w:t>
      </w:r>
      <w:bookmarkEnd w:id="24"/>
      <w:bookmarkEnd w:id="25"/>
      <w:bookmarkEnd w:id="26"/>
      <w:r w:rsidRPr="004575E6">
        <w:t xml:space="preserve"> </w:t>
      </w:r>
    </w:p>
    <w:p w14:paraId="24DE894A" w14:textId="77777777" w:rsidR="00FD1D66" w:rsidRPr="00B47E9B" w:rsidRDefault="00FD1D66" w:rsidP="00FD1D66">
      <w:r>
        <w:t>G</w:t>
      </w:r>
      <w:r w:rsidRPr="00B47E9B">
        <w:t>enuine</w:t>
      </w:r>
      <w:r>
        <w:t xml:space="preserve"> </w:t>
      </w:r>
      <w:r w:rsidRPr="00B47E9B">
        <w:t>quot</w:t>
      </w:r>
      <w:r>
        <w:t>es</w:t>
      </w:r>
      <w:r w:rsidRPr="00B47E9B">
        <w:t xml:space="preserve"> are required from online suppliers</w:t>
      </w:r>
      <w:r w:rsidRPr="00B47E9B" w:rsidDel="008647F6">
        <w:t xml:space="preserve"> </w:t>
      </w:r>
      <w:r>
        <w:t>and registered</w:t>
      </w:r>
      <w:r w:rsidRPr="00B47E9B">
        <w:t xml:space="preserve"> business</w:t>
      </w:r>
      <w:r>
        <w:t>es</w:t>
      </w:r>
      <w:r w:rsidRPr="00B47E9B">
        <w:t xml:space="preserve"> that provide goods and services</w:t>
      </w:r>
      <w:r>
        <w:t>.</w:t>
      </w:r>
    </w:p>
    <w:p w14:paraId="0845968E" w14:textId="77777777" w:rsidR="00FD1D66" w:rsidRPr="00B47E9B" w:rsidRDefault="00FD1D66" w:rsidP="00FD1D66">
      <w:r w:rsidRPr="00B47E9B">
        <w:t>Applications must be accompanied by plans and specifications, as well a firm quote from a contractor showing full details of the material costs and construction. Plans and specifications should be detailed, providing an accurate description of the work to be done. Grants are allocated based on a firm quote and will not be increased later to cover cost increases.</w:t>
      </w:r>
    </w:p>
    <w:p w14:paraId="70AD81AD" w14:textId="77777777" w:rsidR="00FD1D66" w:rsidRPr="007302D8" w:rsidRDefault="00FD1D66" w:rsidP="00FD1D66">
      <w:r w:rsidRPr="007302D8">
        <w:t>For business activities, the business plan, schedule of the plan, and contractor’s or facilitator’s quote showing full details of the cost of developing the plan/s or conducting workshops/promotion activities are required, including council permits and as may be necessary for the work to be undertaken.</w:t>
      </w:r>
    </w:p>
    <w:p w14:paraId="4B54BD9D" w14:textId="77777777" w:rsidR="00FD1D66" w:rsidRDefault="00FD1D66" w:rsidP="00FD1D66">
      <w:r w:rsidRPr="007302D8">
        <w:t xml:space="preserve">Legal documentation, evidence of freehold, may be requested to demonstrate ownership of the works for which the grant is requested. Alternately, where a tenure of lease arrangement exists, legal documents </w:t>
      </w:r>
      <w:r w:rsidRPr="007302D8">
        <w:rPr>
          <w:b/>
          <w:bCs/>
        </w:rPr>
        <w:t>must</w:t>
      </w:r>
      <w:r w:rsidRPr="007302D8">
        <w:t xml:space="preserve"> be provided to verify ownership of the project or works.</w:t>
      </w:r>
      <w:r>
        <w:t xml:space="preserve"> </w:t>
      </w:r>
    </w:p>
    <w:p w14:paraId="0CFAFBF1" w14:textId="3DDB9A01" w:rsidR="00FD1D66" w:rsidRPr="004575E6" w:rsidRDefault="00FD1D66" w:rsidP="00BE4964">
      <w:pPr>
        <w:pStyle w:val="Heading2"/>
        <w:rPr>
          <w:b w:val="0"/>
        </w:rPr>
      </w:pPr>
      <w:bookmarkStart w:id="27" w:name="_Toc54164203"/>
      <w:bookmarkStart w:id="28" w:name="_Toc54164443"/>
      <w:r w:rsidRPr="004575E6">
        <w:t>Society Contribution</w:t>
      </w:r>
      <w:bookmarkEnd w:id="27"/>
      <w:bookmarkEnd w:id="28"/>
      <w:r w:rsidRPr="004575E6">
        <w:t xml:space="preserve"> </w:t>
      </w:r>
    </w:p>
    <w:p w14:paraId="13A0001B" w14:textId="251AEE9E" w:rsidR="00FD1D66" w:rsidRPr="00B47E9B" w:rsidRDefault="00FD1D66" w:rsidP="00FD1D66">
      <w:r w:rsidRPr="00B47E9B">
        <w:t xml:space="preserve">Societies can make in-kind (non-monetary) contributions, </w:t>
      </w:r>
      <w:r w:rsidR="005D4E08">
        <w:t>and for 2020-21 the</w:t>
      </w:r>
      <w:r w:rsidR="00DE0775">
        <w:t xml:space="preserve"> guidelines have been amended so that </w:t>
      </w:r>
      <w:r w:rsidR="00531B4F">
        <w:t xml:space="preserve">all of </w:t>
      </w:r>
      <w:r w:rsidR="00DE0775">
        <w:t>the</w:t>
      </w:r>
      <w:r w:rsidR="00161B42">
        <w:t xml:space="preserve"> applicant</w:t>
      </w:r>
      <w:r w:rsidR="00A605FE">
        <w:t>’</w:t>
      </w:r>
      <w:r w:rsidR="00161B42">
        <w:t>s required</w:t>
      </w:r>
      <w:r w:rsidR="00531B4F">
        <w:t xml:space="preserve"> </w:t>
      </w:r>
      <w:r w:rsidR="00DE0775">
        <w:t>cont</w:t>
      </w:r>
      <w:r w:rsidR="00A41D17">
        <w:t>rib</w:t>
      </w:r>
      <w:r w:rsidR="00DE0775">
        <w:t xml:space="preserve">ution to the project </w:t>
      </w:r>
      <w:r w:rsidR="00345A69">
        <w:t xml:space="preserve">cost </w:t>
      </w:r>
      <w:r w:rsidR="00161B42">
        <w:t xml:space="preserve">can be made </w:t>
      </w:r>
      <w:r w:rsidR="00DE0775">
        <w:t>as a</w:t>
      </w:r>
      <w:r w:rsidR="00A41D17">
        <w:t>n in</w:t>
      </w:r>
      <w:r w:rsidR="00BA2015">
        <w:t>-</w:t>
      </w:r>
      <w:r w:rsidR="00A41D17">
        <w:t xml:space="preserve">kind contribution. </w:t>
      </w:r>
    </w:p>
    <w:p w14:paraId="7C30BE15" w14:textId="77777777" w:rsidR="00FD1D66" w:rsidRPr="00D13213" w:rsidRDefault="00FD1D66" w:rsidP="00FD1D66">
      <w:r w:rsidRPr="00D13213">
        <w:t xml:space="preserve">In-kind contributions may include donated labour (to be valued at no more than $30/hour) and/or equipment. </w:t>
      </w:r>
    </w:p>
    <w:p w14:paraId="74F92742" w14:textId="77777777" w:rsidR="00FD1D66" w:rsidRPr="00D13213" w:rsidRDefault="00FD1D66" w:rsidP="00FD1D66">
      <w:r w:rsidRPr="00D13213">
        <w:t xml:space="preserve">Societies should estimate the type of labour and/or equipment, the hours and number of people involved. For example: </w:t>
      </w:r>
    </w:p>
    <w:p w14:paraId="15640418" w14:textId="77777777" w:rsidR="00FD1D66" w:rsidRPr="00D13213" w:rsidRDefault="00FD1D66" w:rsidP="00FD1D66">
      <w:pPr>
        <w:pStyle w:val="Agbulletlist"/>
      </w:pPr>
      <w:r w:rsidRPr="00D13213">
        <w:t>Labour: 2 people x 40 hours @ $30 per hour = $1200</w:t>
      </w:r>
    </w:p>
    <w:p w14:paraId="38FDBC99" w14:textId="77777777" w:rsidR="00FD1D66" w:rsidRPr="00D13213" w:rsidRDefault="00FD1D66" w:rsidP="00FD1D66">
      <w:pPr>
        <w:pStyle w:val="Agbulletlist"/>
      </w:pPr>
      <w:r w:rsidRPr="00D13213">
        <w:t>Front end loader: 3 hours @ $30 per hour = $90</w:t>
      </w:r>
    </w:p>
    <w:p w14:paraId="7939160A" w14:textId="77777777" w:rsidR="00FD1D66" w:rsidRPr="00B47E9B" w:rsidRDefault="00FD1D66" w:rsidP="00FD1D66">
      <w:r w:rsidRPr="00B47E9B">
        <w:t>Note: If In-kind support is included in the grant application, a summary list of volunteers and time/equipment is required at the time of the acquittal process.</w:t>
      </w:r>
    </w:p>
    <w:p w14:paraId="1E0F8362" w14:textId="118FEE3A" w:rsidR="00FD1D66" w:rsidRPr="004575E6" w:rsidRDefault="00FD1D66" w:rsidP="00BE4964">
      <w:pPr>
        <w:pStyle w:val="Heading2"/>
        <w:rPr>
          <w:b w:val="0"/>
        </w:rPr>
      </w:pPr>
      <w:bookmarkStart w:id="29" w:name="_Toc54164204"/>
      <w:bookmarkStart w:id="30" w:name="_Toc54164444"/>
      <w:r w:rsidRPr="004575E6">
        <w:t>Timelines</w:t>
      </w:r>
      <w:bookmarkEnd w:id="29"/>
      <w:bookmarkEnd w:id="30"/>
      <w:r w:rsidRPr="004575E6">
        <w:t xml:space="preserve"> </w:t>
      </w:r>
    </w:p>
    <w:p w14:paraId="543002EB" w14:textId="759B4399" w:rsidR="00FD1D66" w:rsidRPr="00B47E9B" w:rsidRDefault="00FD1D66" w:rsidP="00FD1D66">
      <w:r w:rsidRPr="00B47E9B">
        <w:t xml:space="preserve">The Agricultural and Pastoral Societies Grants Program will </w:t>
      </w:r>
      <w:r>
        <w:t xml:space="preserve">be </w:t>
      </w:r>
      <w:r w:rsidRPr="00B47E9B">
        <w:t>open fro</w:t>
      </w:r>
      <w:r>
        <w:t xml:space="preserve">m </w:t>
      </w:r>
      <w:r w:rsidR="002E2A24">
        <w:t>Thursday 12</w:t>
      </w:r>
      <w:r w:rsidR="00034E4D" w:rsidRPr="00034E4D">
        <w:rPr>
          <w:vertAlign w:val="superscript"/>
        </w:rPr>
        <w:t>th</w:t>
      </w:r>
      <w:r w:rsidR="00034E4D">
        <w:t xml:space="preserve"> November</w:t>
      </w:r>
      <w:r w:rsidR="00552B45">
        <w:t>,</w:t>
      </w:r>
      <w:r w:rsidRPr="001B0EA2">
        <w:t xml:space="preserve"> 2020 and will close midnight </w:t>
      </w:r>
      <w:r w:rsidR="0050566C">
        <w:t>Thursday10</w:t>
      </w:r>
      <w:r w:rsidR="00B67CFB" w:rsidRPr="00B67CFB">
        <w:rPr>
          <w:vertAlign w:val="superscript"/>
        </w:rPr>
        <w:t>th</w:t>
      </w:r>
      <w:r w:rsidRPr="001B0EA2">
        <w:t xml:space="preserve"> December 2020. Applicants will be notified of the outcome within two months of receiving</w:t>
      </w:r>
      <w:r>
        <w:t xml:space="preserve"> their application.</w:t>
      </w:r>
      <w:r w:rsidRPr="00B47E9B">
        <w:t xml:space="preserve"> </w:t>
      </w:r>
    </w:p>
    <w:p w14:paraId="288179AD" w14:textId="77777777" w:rsidR="00FD1D66" w:rsidRPr="004575E6" w:rsidRDefault="00FD1D66" w:rsidP="00BE4964">
      <w:pPr>
        <w:pStyle w:val="Heading2"/>
        <w:rPr>
          <w:b w:val="0"/>
        </w:rPr>
      </w:pPr>
      <w:bookmarkStart w:id="31" w:name="_Toc54164205"/>
      <w:bookmarkStart w:id="32" w:name="_Toc54164445"/>
      <w:r w:rsidRPr="004575E6">
        <w:t>Who can apply?</w:t>
      </w:r>
      <w:bookmarkEnd w:id="31"/>
      <w:bookmarkEnd w:id="32"/>
      <w:r w:rsidRPr="004575E6">
        <w:t xml:space="preserve"> </w:t>
      </w:r>
    </w:p>
    <w:p w14:paraId="63C0CA91" w14:textId="4F352EFD" w:rsidR="00FD1D66" w:rsidRDefault="00B172AF" w:rsidP="00FD1D66">
      <w:pPr>
        <w:tabs>
          <w:tab w:val="left" w:pos="8355"/>
        </w:tabs>
      </w:pPr>
      <w:r>
        <w:t>See Eligibility guidance on page 7.</w:t>
      </w:r>
    </w:p>
    <w:p w14:paraId="39CF9A02" w14:textId="77777777" w:rsidR="00FD1D66" w:rsidRPr="004575E6" w:rsidRDefault="00FD1D66" w:rsidP="00FD1D66">
      <w:pPr>
        <w:pStyle w:val="Heading1"/>
        <w:rPr>
          <w:color w:val="auto"/>
        </w:rPr>
      </w:pPr>
      <w:bookmarkStart w:id="33" w:name="_Toc54164446"/>
      <w:r w:rsidRPr="004575E6">
        <w:rPr>
          <w:color w:val="auto"/>
        </w:rPr>
        <w:t>AGREEMENT AND PAYMENT</w:t>
      </w:r>
      <w:bookmarkEnd w:id="33"/>
      <w:r w:rsidRPr="004575E6">
        <w:rPr>
          <w:color w:val="auto"/>
        </w:rPr>
        <w:t xml:space="preserve"> </w:t>
      </w:r>
    </w:p>
    <w:p w14:paraId="6C541711" w14:textId="3FD83100" w:rsidR="00FD1D66" w:rsidRPr="00B47E9B" w:rsidRDefault="00FD1D66" w:rsidP="00FD1D66">
      <w:r w:rsidRPr="00B47E9B">
        <w:t>Successful applicants will be required to enter into a funding agreement with Agriculture Victoria detailing all funding obligations and conditions. A payment of 90</w:t>
      </w:r>
      <w:r w:rsidR="009E5342">
        <w:t xml:space="preserve"> per cent</w:t>
      </w:r>
      <w:r w:rsidRPr="00B47E9B">
        <w:t xml:space="preserve"> of the grant amount will be made upon receipt of the signed funding agreement and invoice from the society. The final 10</w:t>
      </w:r>
      <w:r w:rsidR="009E5342">
        <w:t xml:space="preserve"> per cent</w:t>
      </w:r>
      <w:r w:rsidRPr="00B47E9B">
        <w:t xml:space="preserve"> of the grant money will be paid after </w:t>
      </w:r>
      <w:r>
        <w:t xml:space="preserve">receipt of the </w:t>
      </w:r>
      <w:r w:rsidRPr="00B47E9B">
        <w:t xml:space="preserve">completion </w:t>
      </w:r>
      <w:r>
        <w:t xml:space="preserve">report, where possible photographic evidence, </w:t>
      </w:r>
      <w:r w:rsidR="00990BA3">
        <w:t xml:space="preserve">an </w:t>
      </w:r>
      <w:r>
        <w:t>invoice made to DJPR and all supportive documents.</w:t>
      </w:r>
    </w:p>
    <w:p w14:paraId="7105C6EE" w14:textId="68165D71" w:rsidR="00FD1D66" w:rsidRPr="00B47E9B" w:rsidRDefault="00FD1D66" w:rsidP="00FD1D66">
      <w:r>
        <w:lastRenderedPageBreak/>
        <w:t>Upon returning</w:t>
      </w:r>
      <w:r w:rsidRPr="00B47E9B">
        <w:t xml:space="preserve"> the signed funding agreement, </w:t>
      </w:r>
      <w:r>
        <w:t xml:space="preserve">the </w:t>
      </w:r>
      <w:r w:rsidR="00D73C27">
        <w:t>s</w:t>
      </w:r>
      <w:r>
        <w:t>ociety</w:t>
      </w:r>
      <w:r w:rsidRPr="00B47E9B">
        <w:t xml:space="preserve"> should immediately arrange for works and activities to start to ensure sufficient time for completion within the grant period</w:t>
      </w:r>
      <w:r>
        <w:t>.</w:t>
      </w:r>
    </w:p>
    <w:p w14:paraId="05AD9E10" w14:textId="77777777" w:rsidR="00FD1D66" w:rsidRPr="004575E6" w:rsidRDefault="00FD1D66" w:rsidP="00FD1D66">
      <w:pPr>
        <w:pStyle w:val="Heading1"/>
        <w:rPr>
          <w:color w:val="auto"/>
        </w:rPr>
      </w:pPr>
      <w:bookmarkStart w:id="34" w:name="_Toc54164447"/>
      <w:bookmarkStart w:id="35" w:name="_Hlk53131755"/>
      <w:r w:rsidRPr="004575E6">
        <w:rPr>
          <w:color w:val="auto"/>
        </w:rPr>
        <w:t>PROJECT REQUIREMENTS</w:t>
      </w:r>
      <w:bookmarkEnd w:id="34"/>
    </w:p>
    <w:p w14:paraId="70957A31" w14:textId="77777777" w:rsidR="00FD1D66" w:rsidRPr="00B47E9B" w:rsidRDefault="00FD1D66" w:rsidP="00FD1D66">
      <w:r w:rsidRPr="00B47E9B">
        <w:t xml:space="preserve">The program aims to support Agricultural and Pastoral Societies by providing </w:t>
      </w:r>
      <w:r>
        <w:t xml:space="preserve">funding to support business activities and stimulate community involvement in activities that promote agriculture, by developing new or upgraded </w:t>
      </w:r>
      <w:r w:rsidRPr="00B47E9B">
        <w:t>facilities</w:t>
      </w:r>
      <w:r>
        <w:t xml:space="preserve">. </w:t>
      </w:r>
    </w:p>
    <w:p w14:paraId="317D945A" w14:textId="17A12C2A" w:rsidR="00FD1D66" w:rsidRPr="00B47E9B" w:rsidRDefault="00FD1D66" w:rsidP="00FD1D66">
      <w:r>
        <w:t>The</w:t>
      </w:r>
      <w:r w:rsidRPr="00B47E9B">
        <w:t xml:space="preserve"> objectives </w:t>
      </w:r>
      <w:r>
        <w:t xml:space="preserve">of </w:t>
      </w:r>
      <w:r w:rsidRPr="00B47E9B">
        <w:t>grant</w:t>
      </w:r>
      <w:r>
        <w:t xml:space="preserve"> applications may include to</w:t>
      </w:r>
      <w:r w:rsidRPr="00B47E9B">
        <w:t xml:space="preserve">: </w:t>
      </w:r>
    </w:p>
    <w:p w14:paraId="39B0FF90" w14:textId="5040488D" w:rsidR="00FD1D66" w:rsidRPr="00907B35" w:rsidRDefault="00FD1D66" w:rsidP="00FD1D66">
      <w:pPr>
        <w:pStyle w:val="Agbulletlist"/>
      </w:pPr>
      <w:r w:rsidRPr="00907B35">
        <w:t xml:space="preserve">Encourage greater community involvement in </w:t>
      </w:r>
      <w:r>
        <w:t>agricultural</w:t>
      </w:r>
      <w:r w:rsidRPr="00907B35">
        <w:t xml:space="preserve"> activities</w:t>
      </w:r>
    </w:p>
    <w:p w14:paraId="5648F9FF" w14:textId="4D2C24C9" w:rsidR="00FD1D66" w:rsidRPr="00907B35" w:rsidRDefault="00FD1D66" w:rsidP="00FD1D66">
      <w:pPr>
        <w:pStyle w:val="Agbulletlist"/>
      </w:pPr>
      <w:r w:rsidRPr="00907B35">
        <w:t>Create opportunities for local agricultural businesses to promote and engage with the community</w:t>
      </w:r>
    </w:p>
    <w:p w14:paraId="48AB9ECD" w14:textId="64A267EB" w:rsidR="00FD1D66" w:rsidRPr="00907B35" w:rsidRDefault="00FD1D66" w:rsidP="00FD1D66">
      <w:pPr>
        <w:pStyle w:val="Agbulletlist"/>
      </w:pPr>
      <w:r w:rsidRPr="00907B35">
        <w:t>Improve and upgrade amenit</w:t>
      </w:r>
      <w:r>
        <w:t>ies</w:t>
      </w:r>
      <w:r w:rsidRPr="00907B35">
        <w:t xml:space="preserve"> </w:t>
      </w:r>
      <w:r>
        <w:t xml:space="preserve">for community use </w:t>
      </w:r>
      <w:r w:rsidRPr="00907B35">
        <w:t>during</w:t>
      </w:r>
      <w:r>
        <w:t xml:space="preserve"> events, promoting designs that encourage </w:t>
      </w:r>
      <w:r w:rsidRPr="00907B35">
        <w:t>multi-purpose community use</w:t>
      </w:r>
    </w:p>
    <w:p w14:paraId="581E0B97" w14:textId="09956F22" w:rsidR="00FD1D66" w:rsidRPr="00D624CD" w:rsidRDefault="00FD1D66" w:rsidP="00D624CD">
      <w:pPr>
        <w:pStyle w:val="Agbulletlist"/>
        <w:rPr>
          <w:color w:val="FF0000"/>
        </w:rPr>
      </w:pPr>
      <w:r w:rsidRPr="00832CBF">
        <w:t>Enhance</w:t>
      </w:r>
      <w:r>
        <w:t xml:space="preserve"> event planning, that may includ</w:t>
      </w:r>
      <w:r w:rsidRPr="00D73528">
        <w:rPr>
          <w:color w:val="auto"/>
        </w:rPr>
        <w:t>e online events, business management activities and use of virtual technology.</w:t>
      </w:r>
      <w:bookmarkEnd w:id="35"/>
    </w:p>
    <w:p w14:paraId="13AF97E5" w14:textId="77777777" w:rsidR="00FD1D66" w:rsidRPr="004575E6" w:rsidRDefault="00FD1D66" w:rsidP="00D624CD">
      <w:pPr>
        <w:pStyle w:val="Heading2"/>
        <w:rPr>
          <w:b w:val="0"/>
        </w:rPr>
      </w:pPr>
      <w:bookmarkStart w:id="36" w:name="_Toc54164208"/>
      <w:bookmarkStart w:id="37" w:name="_Toc54164448"/>
      <w:bookmarkStart w:id="38" w:name="_Hlk53131812"/>
      <w:r w:rsidRPr="004575E6">
        <w:t>What can the grants support?</w:t>
      </w:r>
      <w:bookmarkEnd w:id="36"/>
      <w:bookmarkEnd w:id="37"/>
    </w:p>
    <w:p w14:paraId="5262DF37" w14:textId="61BB9142" w:rsidR="00FD1D66" w:rsidRPr="00B47E9B" w:rsidRDefault="00FD1D66" w:rsidP="00FD1D66">
      <w:r w:rsidRPr="00B47E9B">
        <w:t xml:space="preserve">The grants may support projects that have an emphasis on upgrading or establishing new facilities. Funding may also be used for business activities that assist in the planning of shows. </w:t>
      </w:r>
    </w:p>
    <w:p w14:paraId="361A3592" w14:textId="77777777" w:rsidR="00FD1D66" w:rsidRDefault="00FD1D66" w:rsidP="00FD1D66">
      <w:r w:rsidRPr="00B47E9B">
        <w:t xml:space="preserve">Projects that will be considered include (but are not limited to) initiatives that: </w:t>
      </w:r>
    </w:p>
    <w:p w14:paraId="2685EDCB" w14:textId="1F5E1641" w:rsidR="00FD1D66" w:rsidRPr="00B47E9B" w:rsidRDefault="00FD1D66" w:rsidP="00FD1D66">
      <w:pPr>
        <w:pStyle w:val="Agbulletlist"/>
      </w:pPr>
      <w:r>
        <w:t>Promot</w:t>
      </w:r>
      <w:r w:rsidR="000E7D8D">
        <w:t>e</w:t>
      </w:r>
      <w:r>
        <w:t xml:space="preserve"> agricultural production</w:t>
      </w:r>
    </w:p>
    <w:p w14:paraId="7B0050B8" w14:textId="77777777" w:rsidR="00FD1D66" w:rsidRPr="00B47E9B" w:rsidRDefault="00FD1D66" w:rsidP="00FD1D66">
      <w:pPr>
        <w:pStyle w:val="Agbulletlist"/>
      </w:pPr>
      <w:r w:rsidRPr="00B47E9B">
        <w:t xml:space="preserve">Provide new or upgraded facilities for the exhibition and/or judging of commercial and stud animals </w:t>
      </w:r>
    </w:p>
    <w:p w14:paraId="5625AA17" w14:textId="77777777" w:rsidR="00FD1D66" w:rsidRPr="00B47E9B" w:rsidRDefault="00FD1D66" w:rsidP="00FD1D66">
      <w:pPr>
        <w:pStyle w:val="Agbulletlist"/>
      </w:pPr>
      <w:r>
        <w:t>Improve facilities for</w:t>
      </w:r>
      <w:r w:rsidRPr="00B47E9B">
        <w:t xml:space="preserve"> </w:t>
      </w:r>
      <w:r>
        <w:t xml:space="preserve">staging </w:t>
      </w:r>
      <w:r w:rsidRPr="00B47E9B">
        <w:t xml:space="preserve">competitions and displays, such </w:t>
      </w:r>
      <w:r>
        <w:t xml:space="preserve">as upgrading </w:t>
      </w:r>
      <w:r w:rsidRPr="00B47E9B">
        <w:t xml:space="preserve">fencing and </w:t>
      </w:r>
      <w:r>
        <w:t>s</w:t>
      </w:r>
      <w:r w:rsidRPr="00B47E9B">
        <w:t>tables,</w:t>
      </w:r>
      <w:r>
        <w:t xml:space="preserve"> or areas used for</w:t>
      </w:r>
      <w:r w:rsidRPr="00B47E9B">
        <w:t xml:space="preserve"> shearing</w:t>
      </w:r>
      <w:r>
        <w:t xml:space="preserve"> demonstrations</w:t>
      </w:r>
      <w:r w:rsidRPr="00B47E9B">
        <w:t xml:space="preserve"> and wool</w:t>
      </w:r>
      <w:r>
        <w:t xml:space="preserve"> exhibits </w:t>
      </w:r>
    </w:p>
    <w:p w14:paraId="7DFB08F2" w14:textId="77777777" w:rsidR="00FD1D66" w:rsidRPr="00B47E9B" w:rsidRDefault="00FD1D66" w:rsidP="00FD1D66">
      <w:pPr>
        <w:pStyle w:val="Agbulletlist"/>
      </w:pPr>
      <w:r w:rsidRPr="00B47E9B">
        <w:t>Create opportunities for displaying art and craft</w:t>
      </w:r>
      <w:r>
        <w:t>,</w:t>
      </w:r>
      <w:r w:rsidRPr="00B47E9B">
        <w:t xml:space="preserve"> and artisan produce</w:t>
      </w:r>
    </w:p>
    <w:p w14:paraId="22932EE4" w14:textId="77777777" w:rsidR="00FD1D66" w:rsidRPr="00B47E9B" w:rsidRDefault="00FD1D66" w:rsidP="00FD1D66">
      <w:pPr>
        <w:pStyle w:val="Agbulletlist"/>
      </w:pPr>
      <w:r w:rsidRPr="00B47E9B">
        <w:t>Enhance public amenities at showground</w:t>
      </w:r>
      <w:r>
        <w:t>s</w:t>
      </w:r>
      <w:r w:rsidRPr="00B47E9B">
        <w:t xml:space="preserve"> such as toilets, seating and disabled access</w:t>
      </w:r>
      <w:r>
        <w:t xml:space="preserve"> </w:t>
      </w:r>
    </w:p>
    <w:p w14:paraId="037AA7CA" w14:textId="77777777" w:rsidR="00FD1D66" w:rsidRPr="00B47E9B" w:rsidRDefault="00FD1D66" w:rsidP="00FD1D66">
      <w:pPr>
        <w:pStyle w:val="Agbulletlist"/>
      </w:pPr>
      <w:r w:rsidRPr="00B47E9B">
        <w:t xml:space="preserve">Improve essential infrastructure </w:t>
      </w:r>
      <w:r>
        <w:t>for</w:t>
      </w:r>
      <w:r w:rsidRPr="00B47E9B">
        <w:t xml:space="preserve"> electricity and water supply </w:t>
      </w:r>
    </w:p>
    <w:p w14:paraId="1383A463" w14:textId="77777777" w:rsidR="00FD1D66" w:rsidRPr="00B47E9B" w:rsidRDefault="00FD1D66" w:rsidP="00FD1D66">
      <w:pPr>
        <w:pStyle w:val="Agbulletlist"/>
      </w:pPr>
      <w:r w:rsidRPr="00B47E9B">
        <w:t xml:space="preserve">Enhance business management, planning for shows and </w:t>
      </w:r>
      <w:r>
        <w:t>marketing strategies targeting</w:t>
      </w:r>
      <w:r w:rsidRPr="00B47E9B">
        <w:t xml:space="preserve"> the broader community</w:t>
      </w:r>
    </w:p>
    <w:p w14:paraId="3C461FB0" w14:textId="77777777" w:rsidR="00FD1D66" w:rsidRDefault="00FD1D66" w:rsidP="00FD1D66">
      <w:pPr>
        <w:pStyle w:val="Agbulletlist"/>
      </w:pPr>
      <w:r w:rsidRPr="00B47E9B">
        <w:t>Promote reporting of livestock movements to the National Livestock Identification System (NLIS) database</w:t>
      </w:r>
      <w:r>
        <w:t xml:space="preserve"> such as the purchase of scanning wands.</w:t>
      </w:r>
      <w:r w:rsidRPr="00B47E9B">
        <w:t xml:space="preserve"> </w:t>
      </w:r>
    </w:p>
    <w:p w14:paraId="693A85D7" w14:textId="77777777" w:rsidR="00FD1D66" w:rsidRPr="00D73528" w:rsidRDefault="00FD1D66" w:rsidP="00FD1D66">
      <w:pPr>
        <w:pStyle w:val="Agbulletlist"/>
        <w:rPr>
          <w:color w:val="auto"/>
        </w:rPr>
      </w:pPr>
      <w:r w:rsidRPr="00D73528">
        <w:rPr>
          <w:color w:val="auto"/>
        </w:rPr>
        <w:t>Innovative use of technology to encourage remote community participation in agricultural show activities.</w:t>
      </w:r>
    </w:p>
    <w:p w14:paraId="052D8052" w14:textId="72F22CC7" w:rsidR="00FD1D66" w:rsidRPr="00D73528" w:rsidRDefault="00FD1D66" w:rsidP="00FD1D66">
      <w:pPr>
        <w:pStyle w:val="Agbulletlist"/>
        <w:rPr>
          <w:color w:val="auto"/>
        </w:rPr>
      </w:pPr>
      <w:r w:rsidRPr="00D73528">
        <w:rPr>
          <w:color w:val="auto"/>
        </w:rPr>
        <w:t>Enhance public safety of the community attending shows including sanitisation and measures that enable events occurring during 2021 to proceed safely in alignment with Victorian Gover</w:t>
      </w:r>
      <w:r w:rsidR="00955692">
        <w:rPr>
          <w:color w:val="auto"/>
        </w:rPr>
        <w:t>n</w:t>
      </w:r>
      <w:r w:rsidRPr="00D73528">
        <w:rPr>
          <w:color w:val="auto"/>
        </w:rPr>
        <w:t>ment community event guidelines at the time of the event.</w:t>
      </w:r>
    </w:p>
    <w:p w14:paraId="57AE09CF" w14:textId="77777777" w:rsidR="00FD1D66" w:rsidRPr="004575E6" w:rsidRDefault="00FD1D66" w:rsidP="00D624CD">
      <w:pPr>
        <w:pStyle w:val="Heading2"/>
        <w:rPr>
          <w:b w:val="0"/>
        </w:rPr>
      </w:pPr>
      <w:bookmarkStart w:id="39" w:name="_Toc54164209"/>
      <w:bookmarkStart w:id="40" w:name="_Toc54164449"/>
      <w:r w:rsidRPr="004575E6">
        <w:t>Activities that will not be funded</w:t>
      </w:r>
      <w:bookmarkEnd w:id="39"/>
      <w:bookmarkEnd w:id="40"/>
      <w:r w:rsidRPr="004575E6">
        <w:t xml:space="preserve"> </w:t>
      </w:r>
    </w:p>
    <w:p w14:paraId="4ABB3CEA" w14:textId="77777777" w:rsidR="00FD1D66" w:rsidRPr="00B47E9B" w:rsidRDefault="00FD1D66" w:rsidP="00FD1D66">
      <w:pPr>
        <w:pStyle w:val="Agbulletlist"/>
      </w:pPr>
      <w:r w:rsidRPr="00B47E9B">
        <w:t>Grants are not available for repairs caused by neglect by the society, or for routine maintenance work on facilities and equipment.</w:t>
      </w:r>
    </w:p>
    <w:p w14:paraId="0C1CBA5F" w14:textId="77777777" w:rsidR="00FD1D66" w:rsidRPr="00B47E9B" w:rsidRDefault="00FD1D66" w:rsidP="00FD1D66">
      <w:pPr>
        <w:pStyle w:val="Agbulletlist"/>
      </w:pPr>
      <w:r w:rsidRPr="00B47E9B">
        <w:t>Grants may not be provided for different stages of the same project.</w:t>
      </w:r>
    </w:p>
    <w:p w14:paraId="45268E6D" w14:textId="77777777" w:rsidR="00FD1D66" w:rsidRPr="00B47E9B" w:rsidRDefault="00FD1D66" w:rsidP="00FD1D66">
      <w:pPr>
        <w:pStyle w:val="Agbulletlist"/>
      </w:pPr>
      <w:r w:rsidRPr="00B47E9B">
        <w:t xml:space="preserve">Grants are not provided for </w:t>
      </w:r>
      <w:r>
        <w:t xml:space="preserve">print costs of </w:t>
      </w:r>
      <w:r w:rsidRPr="00B47E9B">
        <w:t>promotion</w:t>
      </w:r>
      <w:r>
        <w:t xml:space="preserve">al flyers for </w:t>
      </w:r>
      <w:r w:rsidRPr="00B47E9B">
        <w:t>a show or event (i.e. posters, tickets, show books).</w:t>
      </w:r>
    </w:p>
    <w:p w14:paraId="7332C31C" w14:textId="77777777" w:rsidR="00FD1D66" w:rsidRDefault="00FD1D66" w:rsidP="00FD1D66">
      <w:pPr>
        <w:pStyle w:val="Agbulletlist"/>
      </w:pPr>
      <w:r w:rsidRPr="00B47E9B">
        <w:t>Grants do not include the hire of vehicles and fuel to transport goods unless a contractor includes transport costs in their quote.</w:t>
      </w:r>
    </w:p>
    <w:p w14:paraId="7D740F5D" w14:textId="77777777" w:rsidR="00FD1D66" w:rsidRPr="00B47E9B" w:rsidRDefault="00FD1D66" w:rsidP="00FD1D66">
      <w:pPr>
        <w:pStyle w:val="Agbulletlist"/>
      </w:pPr>
      <w:r>
        <w:t>Grants for portable assets are not generally admissible and may only be deemed eligible according to their compliance with the guidelines.</w:t>
      </w:r>
    </w:p>
    <w:p w14:paraId="687E6F46" w14:textId="77777777" w:rsidR="00FD1D66" w:rsidRPr="004575E6" w:rsidRDefault="00FD1D66" w:rsidP="00FD1D66">
      <w:pPr>
        <w:pStyle w:val="Heading1"/>
        <w:rPr>
          <w:color w:val="auto"/>
        </w:rPr>
      </w:pPr>
      <w:bookmarkStart w:id="41" w:name="_Toc54164450"/>
      <w:bookmarkEnd w:id="38"/>
      <w:r w:rsidRPr="004575E6">
        <w:rPr>
          <w:color w:val="auto"/>
        </w:rPr>
        <w:t>APPLICATION PROCESS</w:t>
      </w:r>
      <w:bookmarkEnd w:id="41"/>
    </w:p>
    <w:p w14:paraId="557FC072" w14:textId="77777777" w:rsidR="00FD1D66" w:rsidRPr="00B47E9B" w:rsidRDefault="00FD1D66" w:rsidP="00FD1D66">
      <w:r>
        <w:t>Queries may be directed to</w:t>
      </w:r>
      <w:r w:rsidRPr="00B47E9B">
        <w:t xml:space="preserve"> the grants officer at </w:t>
      </w:r>
      <w:r>
        <w:t>agricultural.grants@agriculture</w:t>
      </w:r>
      <w:r w:rsidRPr="006E762E">
        <w:t>.vic.gov.au</w:t>
      </w:r>
    </w:p>
    <w:p w14:paraId="2106C476" w14:textId="77777777" w:rsidR="00FD1D66" w:rsidRPr="00B47E9B" w:rsidRDefault="00FD1D66" w:rsidP="00023DAB">
      <w:pPr>
        <w:pStyle w:val="Heading2"/>
        <w:rPr>
          <w:b w:val="0"/>
        </w:rPr>
      </w:pPr>
      <w:bookmarkStart w:id="42" w:name="_Toc54164211"/>
      <w:bookmarkStart w:id="43" w:name="_Toc54164451"/>
      <w:r w:rsidRPr="00B47E9B">
        <w:lastRenderedPageBreak/>
        <w:t>Step 1: Before applying</w:t>
      </w:r>
      <w:bookmarkEnd w:id="42"/>
      <w:bookmarkEnd w:id="43"/>
    </w:p>
    <w:p w14:paraId="1BAB9DB0" w14:textId="77777777" w:rsidR="00FD1D66" w:rsidRPr="00B47E9B" w:rsidRDefault="00FD1D66" w:rsidP="00FD1D66">
      <w:r>
        <w:t>Prior to</w:t>
      </w:r>
      <w:r w:rsidRPr="00B47E9B">
        <w:t xml:space="preserve"> applying for funding, </w:t>
      </w:r>
      <w:r>
        <w:t>the Society is</w:t>
      </w:r>
      <w:r w:rsidRPr="00B47E9B">
        <w:t xml:space="preserve"> encouraged to check eligibility </w:t>
      </w:r>
      <w:r>
        <w:t>requirements with</w:t>
      </w:r>
      <w:r w:rsidRPr="00B47E9B">
        <w:t xml:space="preserve"> the guidelines contained in this document</w:t>
      </w:r>
      <w:r>
        <w:t>.</w:t>
      </w:r>
    </w:p>
    <w:p w14:paraId="21CD32F8" w14:textId="77777777" w:rsidR="00FD1D66" w:rsidRPr="004575E6" w:rsidRDefault="00FD1D66" w:rsidP="00023DAB">
      <w:pPr>
        <w:pStyle w:val="Heading2"/>
      </w:pPr>
      <w:bookmarkStart w:id="44" w:name="_Toc54164212"/>
      <w:bookmarkStart w:id="45" w:name="_Toc54164452"/>
      <w:r w:rsidRPr="004575E6">
        <w:t>Step 2: Prepare and submit</w:t>
      </w:r>
      <w:bookmarkEnd w:id="44"/>
      <w:bookmarkEnd w:id="45"/>
      <w:r w:rsidRPr="004575E6">
        <w:t xml:space="preserve"> </w:t>
      </w:r>
    </w:p>
    <w:p w14:paraId="58291940" w14:textId="57A388BA" w:rsidR="00FD1D66" w:rsidRPr="00B47E9B" w:rsidRDefault="00FD1D66" w:rsidP="00FD1D66">
      <w:r w:rsidRPr="00B47E9B">
        <w:t>Prepare and submit your application. Applications for the 20</w:t>
      </w:r>
      <w:r>
        <w:t>20</w:t>
      </w:r>
      <w:r w:rsidR="00665B15">
        <w:t>-</w:t>
      </w:r>
      <w:r w:rsidRPr="00B47E9B">
        <w:t>2</w:t>
      </w:r>
      <w:r>
        <w:t>1</w:t>
      </w:r>
      <w:r w:rsidRPr="00B47E9B">
        <w:t xml:space="preserve"> grants must be submitted online </w:t>
      </w:r>
      <w:r w:rsidR="0015585C">
        <w:t xml:space="preserve">by </w:t>
      </w:r>
      <w:r w:rsidR="0015585C" w:rsidRPr="0015585C">
        <w:t>midnight</w:t>
      </w:r>
      <w:r w:rsidR="006C06D2">
        <w:t xml:space="preserve"> </w:t>
      </w:r>
      <w:r w:rsidR="00D26276">
        <w:t>Thursday 10</w:t>
      </w:r>
      <w:r w:rsidR="00C9311A" w:rsidRPr="00C9311A">
        <w:rPr>
          <w:vertAlign w:val="superscript"/>
        </w:rPr>
        <w:t>th</w:t>
      </w:r>
      <w:r w:rsidR="00C9311A">
        <w:t xml:space="preserve"> </w:t>
      </w:r>
      <w:r w:rsidR="0015585C" w:rsidRPr="0015585C">
        <w:t>December 2020 to be considered</w:t>
      </w:r>
      <w:r w:rsidRPr="0015585C">
        <w:t>.</w:t>
      </w:r>
    </w:p>
    <w:p w14:paraId="0179E6B5" w14:textId="38B4A134" w:rsidR="00FD1D66" w:rsidRPr="0090217C" w:rsidRDefault="00FD1D66" w:rsidP="00FD1D66">
      <w:pPr>
        <w:rPr>
          <w:rFonts w:ascii="Calibri" w:hAnsi="Calibri" w:cs="Calibri"/>
          <w:color w:val="auto"/>
          <w:sz w:val="22"/>
          <w:szCs w:val="22"/>
        </w:rPr>
      </w:pPr>
      <w:r w:rsidRPr="00B47E9B">
        <w:t xml:space="preserve">The online application form must be completed by a person authorised to submit the application on behalf of the applicant </w:t>
      </w:r>
      <w:r>
        <w:t>organi</w:t>
      </w:r>
      <w:r w:rsidR="00692762">
        <w:t>s</w:t>
      </w:r>
      <w:r>
        <w:t xml:space="preserve">ation </w:t>
      </w:r>
      <w:r w:rsidRPr="007D21F7">
        <w:t xml:space="preserve">and </w:t>
      </w:r>
      <w:hyperlink r:id="rId18" w:history="1">
        <w:r w:rsidR="00E108FC" w:rsidRPr="00E108FC">
          <w:rPr>
            <w:rStyle w:val="Hyperlink"/>
          </w:rPr>
          <w:t>submitted here.</w:t>
        </w:r>
      </w:hyperlink>
      <w:r w:rsidR="0090217C">
        <w:rPr>
          <w:u w:val="single"/>
        </w:rPr>
        <w:t xml:space="preserve"> </w:t>
      </w:r>
      <w:r w:rsidR="0090217C">
        <w:t>O</w:t>
      </w:r>
      <w:r w:rsidRPr="007D21F7">
        <w:t xml:space="preserve">r by visiting the Agriculture Victoria website at </w:t>
      </w:r>
      <w:hyperlink r:id="rId19" w:history="1">
        <w:r w:rsidRPr="007D21F7">
          <w:rPr>
            <w:rStyle w:val="Hyperlink"/>
          </w:rPr>
          <w:t>http://agriculture.vic.gov.au/about-us/doing-business-with-us/agricultural-and-pastoral-society-grants</w:t>
        </w:r>
      </w:hyperlink>
      <w:r w:rsidR="00982F65">
        <w:t>. The</w:t>
      </w:r>
      <w:r w:rsidR="00E81053">
        <w:t>se</w:t>
      </w:r>
      <w:r w:rsidR="00982F65">
        <w:t xml:space="preserve"> guidelines may also be found via the</w:t>
      </w:r>
      <w:r w:rsidRPr="007D21F7">
        <w:t xml:space="preserve"> Victorian Agricultural Shows website: </w:t>
      </w:r>
      <w:hyperlink r:id="rId20" w:history="1">
        <w:r w:rsidR="00692762" w:rsidRPr="00F67418">
          <w:rPr>
            <w:rStyle w:val="Hyperlink"/>
          </w:rPr>
          <w:t>http://www.vicagshows.com.au/</w:t>
        </w:r>
      </w:hyperlink>
      <w:r w:rsidRPr="007822A0" w:rsidDel="0008614D">
        <w:t xml:space="preserve"> </w:t>
      </w:r>
    </w:p>
    <w:p w14:paraId="2365C5FB" w14:textId="16006E60" w:rsidR="00FD1D66" w:rsidRPr="00023DAB" w:rsidRDefault="00FD1D66" w:rsidP="00FD1D66">
      <w:r w:rsidRPr="00B47E9B">
        <w:t xml:space="preserve">The online application </w:t>
      </w:r>
      <w:r>
        <w:t>format</w:t>
      </w:r>
      <w:r w:rsidRPr="00B47E9B">
        <w:t xml:space="preserve"> allows applications to be saved and completed later. It is recommended that applicants start the process early to allow enough time to obtain necessary supporting documents. Incomplete or late applications will not be considered.</w:t>
      </w:r>
    </w:p>
    <w:p w14:paraId="1268E88E" w14:textId="77777777" w:rsidR="00FD1D66" w:rsidRPr="004575E6" w:rsidRDefault="00FD1D66" w:rsidP="00023DAB">
      <w:pPr>
        <w:pStyle w:val="Heading2"/>
        <w:rPr>
          <w:b w:val="0"/>
        </w:rPr>
      </w:pPr>
      <w:bookmarkStart w:id="46" w:name="_Toc54164213"/>
      <w:bookmarkStart w:id="47" w:name="_Toc54164453"/>
      <w:r w:rsidRPr="004575E6">
        <w:t>Step 3: Acknowledgment</w:t>
      </w:r>
      <w:bookmarkEnd w:id="46"/>
      <w:bookmarkEnd w:id="47"/>
    </w:p>
    <w:p w14:paraId="5DAE562B" w14:textId="05E6D5A5" w:rsidR="00FD1D66" w:rsidRPr="00B47E9B" w:rsidRDefault="00FD1D66" w:rsidP="00FD1D66">
      <w:r w:rsidRPr="00B47E9B">
        <w:t xml:space="preserve">Grant application submissions will be acknowledged and a proposed timeline for assessment provided. It is anticipated that you will receive notification of the outcome of the grant application within </w:t>
      </w:r>
      <w:r w:rsidR="00A22634">
        <w:t>two</w:t>
      </w:r>
      <w:r w:rsidRPr="00B47E9B">
        <w:t xml:space="preserve"> months </w:t>
      </w:r>
      <w:r>
        <w:t xml:space="preserve">of </w:t>
      </w:r>
      <w:r w:rsidRPr="00B47E9B">
        <w:t>the closing date.</w:t>
      </w:r>
    </w:p>
    <w:p w14:paraId="042C8D83" w14:textId="77777777" w:rsidR="00FD1D66" w:rsidRPr="004575E6" w:rsidRDefault="00FD1D66" w:rsidP="00023DAB">
      <w:pPr>
        <w:pStyle w:val="Heading2"/>
        <w:rPr>
          <w:b w:val="0"/>
        </w:rPr>
      </w:pPr>
      <w:bookmarkStart w:id="48" w:name="_Toc54164214"/>
      <w:bookmarkStart w:id="49" w:name="_Toc54164454"/>
      <w:r w:rsidRPr="004575E6">
        <w:t>Step 4: Assessment</w:t>
      </w:r>
      <w:bookmarkEnd w:id="48"/>
      <w:bookmarkEnd w:id="49"/>
    </w:p>
    <w:p w14:paraId="3C3D7E8E" w14:textId="77777777" w:rsidR="00FD1D66" w:rsidRPr="00B47E9B" w:rsidRDefault="00FD1D66" w:rsidP="00FD1D66">
      <w:r w:rsidRPr="00B47E9B">
        <w:t xml:space="preserve">All applications will be assessed by </w:t>
      </w:r>
      <w:r>
        <w:t>the</w:t>
      </w:r>
      <w:r w:rsidRPr="00B47E9B">
        <w:t xml:space="preserve"> Grant Assessment Panel. Agricultural and Pastoral Societies Grants will be assessed according to the selection criteria listed below. </w:t>
      </w:r>
    </w:p>
    <w:p w14:paraId="1E2CEE9F" w14:textId="77777777" w:rsidR="00FD1D66" w:rsidRPr="004575E6" w:rsidRDefault="00FD1D66" w:rsidP="00FD1D66">
      <w:pPr>
        <w:pStyle w:val="Heading1"/>
        <w:rPr>
          <w:color w:val="auto"/>
        </w:rPr>
      </w:pPr>
      <w:bookmarkStart w:id="50" w:name="_Toc54164455"/>
      <w:r w:rsidRPr="004575E6">
        <w:rPr>
          <w:color w:val="auto"/>
        </w:rPr>
        <w:t>eligibility</w:t>
      </w:r>
      <w:bookmarkEnd w:id="50"/>
    </w:p>
    <w:p w14:paraId="3CCB05DB" w14:textId="70907289" w:rsidR="00FD1D66" w:rsidRPr="00A60AB2" w:rsidRDefault="00CF1F31" w:rsidP="002F2EEF">
      <w:pPr>
        <w:pStyle w:val="Heading1"/>
        <w:spacing w:before="0"/>
        <w:rPr>
          <w:b w:val="0"/>
          <w:bCs w:val="0"/>
          <w:caps w:val="0"/>
          <w:color w:val="000000" w:themeColor="text1"/>
          <w:sz w:val="18"/>
        </w:rPr>
      </w:pPr>
      <w:bookmarkStart w:id="51" w:name="_Toc54164216"/>
      <w:bookmarkStart w:id="52" w:name="_Toc54164456"/>
      <w:r w:rsidRPr="009F42D0">
        <w:rPr>
          <w:b w:val="0"/>
          <w:bCs w:val="0"/>
          <w:caps w:val="0"/>
          <w:color w:val="000000" w:themeColor="text1"/>
          <w:sz w:val="18"/>
        </w:rPr>
        <w:t>The Victorian Agricultural Society (VAS)</w:t>
      </w:r>
      <w:r w:rsidR="00222716" w:rsidRPr="009F42D0">
        <w:rPr>
          <w:b w:val="0"/>
          <w:bCs w:val="0"/>
          <w:caps w:val="0"/>
          <w:color w:val="000000" w:themeColor="text1"/>
          <w:sz w:val="18"/>
        </w:rPr>
        <w:t>, registered</w:t>
      </w:r>
      <w:r w:rsidR="00FD1D66" w:rsidRPr="009F42D0">
        <w:rPr>
          <w:b w:val="0"/>
          <w:bCs w:val="0"/>
          <w:caps w:val="0"/>
          <w:color w:val="000000" w:themeColor="text1"/>
          <w:sz w:val="18"/>
        </w:rPr>
        <w:t xml:space="preserve"> Agricultural and Pastoral Societ</w:t>
      </w:r>
      <w:r w:rsidR="00222716" w:rsidRPr="009F42D0">
        <w:rPr>
          <w:b w:val="0"/>
          <w:bCs w:val="0"/>
          <w:caps w:val="0"/>
          <w:color w:val="000000" w:themeColor="text1"/>
          <w:sz w:val="18"/>
        </w:rPr>
        <w:t>ies and financial</w:t>
      </w:r>
      <w:r w:rsidR="00FD1D66" w:rsidRPr="009F42D0">
        <w:rPr>
          <w:b w:val="0"/>
          <w:bCs w:val="0"/>
          <w:caps w:val="0"/>
          <w:color w:val="000000" w:themeColor="text1"/>
          <w:sz w:val="18"/>
        </w:rPr>
        <w:t xml:space="preserve"> member</w:t>
      </w:r>
      <w:r w:rsidR="00222716" w:rsidRPr="009F42D0">
        <w:rPr>
          <w:b w:val="0"/>
          <w:bCs w:val="0"/>
          <w:caps w:val="0"/>
          <w:color w:val="000000" w:themeColor="text1"/>
          <w:sz w:val="18"/>
        </w:rPr>
        <w:t>s</w:t>
      </w:r>
      <w:r w:rsidR="00FD1D66" w:rsidRPr="009F42D0">
        <w:rPr>
          <w:b w:val="0"/>
          <w:bCs w:val="0"/>
          <w:caps w:val="0"/>
          <w:color w:val="000000" w:themeColor="text1"/>
          <w:sz w:val="18"/>
        </w:rPr>
        <w:t xml:space="preserve"> of </w:t>
      </w:r>
      <w:r w:rsidR="003450AE" w:rsidRPr="009F42D0">
        <w:rPr>
          <w:b w:val="0"/>
          <w:bCs w:val="0"/>
          <w:caps w:val="0"/>
          <w:color w:val="000000" w:themeColor="text1"/>
          <w:sz w:val="18"/>
        </w:rPr>
        <w:t>VAS</w:t>
      </w:r>
      <w:r w:rsidRPr="009F42D0">
        <w:rPr>
          <w:b w:val="0"/>
          <w:bCs w:val="0"/>
          <w:caps w:val="0"/>
          <w:color w:val="000000" w:themeColor="text1"/>
          <w:sz w:val="18"/>
        </w:rPr>
        <w:t xml:space="preserve"> </w:t>
      </w:r>
      <w:r w:rsidR="00222716">
        <w:rPr>
          <w:b w:val="0"/>
          <w:bCs w:val="0"/>
          <w:caps w:val="0"/>
          <w:color w:val="000000" w:themeColor="text1"/>
          <w:sz w:val="18"/>
        </w:rPr>
        <w:t>are eligible to apply</w:t>
      </w:r>
      <w:r w:rsidR="009F42D0" w:rsidRPr="00125F73">
        <w:rPr>
          <w:sz w:val="18"/>
        </w:rPr>
        <w:t>.</w:t>
      </w:r>
      <w:r w:rsidR="006D676B" w:rsidRPr="00125F73">
        <w:rPr>
          <w:sz w:val="18"/>
        </w:rPr>
        <w:t xml:space="preserve"> </w:t>
      </w:r>
      <w:r w:rsidR="00FD1D66" w:rsidRPr="0010180B">
        <w:rPr>
          <w:b w:val="0"/>
          <w:bCs w:val="0"/>
          <w:caps w:val="0"/>
          <w:color w:val="000000" w:themeColor="text1"/>
          <w:sz w:val="18"/>
        </w:rPr>
        <w:t>For facilities grants, societie</w:t>
      </w:r>
      <w:r w:rsidR="00FD1D66" w:rsidRPr="00C720EE">
        <w:rPr>
          <w:b w:val="0"/>
          <w:bCs w:val="0"/>
          <w:caps w:val="0"/>
          <w:color w:val="000000" w:themeColor="text1"/>
          <w:sz w:val="18"/>
        </w:rPr>
        <w:t>s must own their own land or have security of ten</w:t>
      </w:r>
      <w:r w:rsidR="00FD1D66" w:rsidRPr="00F13EAF">
        <w:rPr>
          <w:b w:val="0"/>
          <w:bCs w:val="0"/>
          <w:caps w:val="0"/>
          <w:color w:val="000000" w:themeColor="text1"/>
          <w:sz w:val="18"/>
        </w:rPr>
        <w:t>ure</w:t>
      </w:r>
      <w:r w:rsidR="00FD1D66">
        <w:rPr>
          <w:b w:val="0"/>
          <w:bCs w:val="0"/>
          <w:caps w:val="0"/>
          <w:color w:val="000000" w:themeColor="text1"/>
          <w:sz w:val="18"/>
        </w:rPr>
        <w:t xml:space="preserve"> with legal documentation to verify ownership of the works</w:t>
      </w:r>
      <w:r w:rsidR="00FD1D66" w:rsidRPr="00F13EAF">
        <w:rPr>
          <w:b w:val="0"/>
          <w:bCs w:val="0"/>
          <w:caps w:val="0"/>
          <w:color w:val="000000" w:themeColor="text1"/>
          <w:sz w:val="18"/>
        </w:rPr>
        <w:t>.</w:t>
      </w:r>
      <w:r w:rsidR="00FD1D66">
        <w:rPr>
          <w:b w:val="0"/>
          <w:bCs w:val="0"/>
          <w:caps w:val="0"/>
          <w:color w:val="000000" w:themeColor="text1"/>
          <w:sz w:val="18"/>
        </w:rPr>
        <w:t xml:space="preserve"> </w:t>
      </w:r>
      <w:r w:rsidR="00D30687">
        <w:rPr>
          <w:b w:val="0"/>
          <w:bCs w:val="0"/>
          <w:caps w:val="0"/>
          <w:color w:val="000000" w:themeColor="text1"/>
          <w:sz w:val="18"/>
        </w:rPr>
        <w:t xml:space="preserve">All works must be compliant with Victoria’s </w:t>
      </w:r>
      <w:r w:rsidR="009E789E">
        <w:rPr>
          <w:b w:val="0"/>
          <w:bCs w:val="0"/>
          <w:caps w:val="0"/>
          <w:color w:val="000000" w:themeColor="text1"/>
          <w:sz w:val="18"/>
        </w:rPr>
        <w:t xml:space="preserve">WorkSafe </w:t>
      </w:r>
      <w:r w:rsidR="000D6550">
        <w:rPr>
          <w:b w:val="0"/>
          <w:bCs w:val="0"/>
          <w:caps w:val="0"/>
          <w:color w:val="000000" w:themeColor="text1"/>
          <w:sz w:val="18"/>
        </w:rPr>
        <w:t>regulations</w:t>
      </w:r>
      <w:r w:rsidR="00D30687" w:rsidRPr="009E789E">
        <w:rPr>
          <w:b w:val="0"/>
          <w:bCs w:val="0"/>
          <w:caps w:val="0"/>
          <w:color w:val="000000" w:themeColor="text1"/>
          <w:sz w:val="18"/>
        </w:rPr>
        <w:t xml:space="preserve">. </w:t>
      </w:r>
      <w:r w:rsidR="00FD1D66" w:rsidRPr="009E789E">
        <w:rPr>
          <w:b w:val="0"/>
          <w:bCs w:val="0"/>
          <w:caps w:val="0"/>
          <w:color w:val="000000" w:themeColor="text1"/>
          <w:sz w:val="18"/>
        </w:rPr>
        <w:t>Council permits must be provided as may be required.</w:t>
      </w:r>
      <w:bookmarkEnd w:id="51"/>
      <w:bookmarkEnd w:id="52"/>
      <w:r w:rsidR="00FD1D66">
        <w:rPr>
          <w:b w:val="0"/>
          <w:bCs w:val="0"/>
          <w:caps w:val="0"/>
          <w:color w:val="000000" w:themeColor="text1"/>
          <w:sz w:val="18"/>
        </w:rPr>
        <w:t xml:space="preserve"> </w:t>
      </w:r>
    </w:p>
    <w:p w14:paraId="01F286BF" w14:textId="45F0EFCB" w:rsidR="00A8658F" w:rsidRPr="00A8658F" w:rsidRDefault="00A8658F" w:rsidP="00A8658F">
      <w:r>
        <w:t>Applica</w:t>
      </w:r>
      <w:r w:rsidR="00125F73">
        <w:t>nts must have fully completed and acquitted funded projects from previous rounds of Agricultural and Pastoral grants to receive funding from the current round.</w:t>
      </w:r>
    </w:p>
    <w:p w14:paraId="1F9F374D" w14:textId="77777777" w:rsidR="00A8658F" w:rsidRPr="004575E6" w:rsidRDefault="00A8658F" w:rsidP="00A8658F">
      <w:pPr>
        <w:pStyle w:val="Heading2"/>
      </w:pPr>
      <w:bookmarkStart w:id="53" w:name="_Toc54164217"/>
      <w:bookmarkStart w:id="54" w:name="_Toc54164457"/>
      <w:r w:rsidRPr="004575E6">
        <w:t>Ineligible applications</w:t>
      </w:r>
      <w:bookmarkEnd w:id="53"/>
      <w:bookmarkEnd w:id="54"/>
      <w:r w:rsidRPr="004575E6">
        <w:t xml:space="preserve"> </w:t>
      </w:r>
    </w:p>
    <w:p w14:paraId="3A194D34" w14:textId="77777777" w:rsidR="00A8658F" w:rsidRDefault="00A8658F" w:rsidP="00A8658F">
      <w:pPr>
        <w:tabs>
          <w:tab w:val="left" w:pos="8355"/>
        </w:tabs>
      </w:pPr>
      <w:r w:rsidRPr="00B47E9B">
        <w:t>Individuals and business are not eligible to apply.</w:t>
      </w:r>
    </w:p>
    <w:p w14:paraId="53AC6FF5" w14:textId="77777777" w:rsidR="00FD1D66" w:rsidRPr="0074771B" w:rsidRDefault="00FD1D66" w:rsidP="00FD1D66">
      <w:pPr>
        <w:pStyle w:val="Heading1"/>
        <w:rPr>
          <w:color w:val="auto"/>
        </w:rPr>
      </w:pPr>
      <w:bookmarkStart w:id="55" w:name="_Toc54164458"/>
      <w:r w:rsidRPr="0074771B">
        <w:rPr>
          <w:color w:val="auto"/>
        </w:rPr>
        <w:t>SELECTION CRITERIA</w:t>
      </w:r>
      <w:bookmarkEnd w:id="55"/>
    </w:p>
    <w:p w14:paraId="194FFC33" w14:textId="77777777" w:rsidR="00FD1D66" w:rsidRPr="00B47E9B" w:rsidRDefault="00FD1D66" w:rsidP="00FD1D66">
      <w:r w:rsidRPr="00B47E9B">
        <w:t xml:space="preserve">The </w:t>
      </w:r>
      <w:bookmarkStart w:id="56" w:name="_Hlk18501371"/>
      <w:r w:rsidRPr="00B47E9B">
        <w:t xml:space="preserve">assessment of project </w:t>
      </w:r>
      <w:bookmarkEnd w:id="56"/>
      <w:r>
        <w:t>applications</w:t>
      </w:r>
      <w:r w:rsidRPr="00B47E9B">
        <w:t xml:space="preserve"> will be based on the following four criteria: </w:t>
      </w:r>
    </w:p>
    <w:p w14:paraId="2C8ADD1C" w14:textId="77777777" w:rsidR="00FD1D66" w:rsidRPr="00B47E9B" w:rsidRDefault="00FD1D66" w:rsidP="00FD1D66">
      <w:pPr>
        <w:pStyle w:val="Heading3"/>
      </w:pPr>
      <w:bookmarkStart w:id="57" w:name="_Toc54164219"/>
      <w:bookmarkStart w:id="58" w:name="_Toc54164459"/>
      <w:r w:rsidRPr="00B47E9B">
        <w:t>Alignment and priority</w:t>
      </w:r>
      <w:bookmarkEnd w:id="57"/>
      <w:bookmarkEnd w:id="58"/>
    </w:p>
    <w:p w14:paraId="665157EE" w14:textId="77777777" w:rsidR="00FD1D66" w:rsidRPr="00DD3D47" w:rsidRDefault="00FD1D66" w:rsidP="00FD1D66">
      <w:r w:rsidRPr="00DD3D47">
        <w:t xml:space="preserve">The project supports activities that promote Victoria’s agricultural communities, industry and produce. </w:t>
      </w:r>
    </w:p>
    <w:p w14:paraId="59A740B7" w14:textId="77777777" w:rsidR="00FD1D66" w:rsidRPr="00B47E9B" w:rsidRDefault="00FD1D66" w:rsidP="00FD1D66">
      <w:pPr>
        <w:pStyle w:val="Heading3"/>
      </w:pPr>
      <w:bookmarkStart w:id="59" w:name="_Toc11764567"/>
      <w:bookmarkStart w:id="60" w:name="_Toc54164220"/>
      <w:bookmarkStart w:id="61" w:name="_Toc54164460"/>
      <w:r w:rsidRPr="00B47E9B">
        <w:t>Feasible and achievable</w:t>
      </w:r>
      <w:bookmarkEnd w:id="59"/>
      <w:bookmarkEnd w:id="60"/>
      <w:bookmarkEnd w:id="61"/>
    </w:p>
    <w:p w14:paraId="006AA4F8" w14:textId="77777777" w:rsidR="00FD1D66" w:rsidRPr="00DD3D47" w:rsidRDefault="00FD1D66" w:rsidP="00FD1D66">
      <w:r w:rsidRPr="00DD3D47">
        <w:t xml:space="preserve">The </w:t>
      </w:r>
      <w:r>
        <w:t>projects</w:t>
      </w:r>
      <w:r w:rsidRPr="00DD3D47">
        <w:t xml:space="preserve"> are well planned, with realistic goals and timelines. </w:t>
      </w:r>
    </w:p>
    <w:p w14:paraId="16477492" w14:textId="77777777" w:rsidR="00FD1D66" w:rsidRPr="00B47E9B" w:rsidRDefault="00FD1D66" w:rsidP="00FD1D66">
      <w:pPr>
        <w:pStyle w:val="Heading3"/>
      </w:pPr>
      <w:bookmarkStart w:id="62" w:name="_Toc54164221"/>
      <w:bookmarkStart w:id="63" w:name="_Toc54164461"/>
      <w:r>
        <w:t>Cost effectiveness</w:t>
      </w:r>
      <w:bookmarkEnd w:id="62"/>
      <w:bookmarkEnd w:id="63"/>
    </w:p>
    <w:p w14:paraId="4E4FBA8A" w14:textId="74B69A59" w:rsidR="00FD1D66" w:rsidRDefault="00FD1D66" w:rsidP="00FD1D66">
      <w:r w:rsidRPr="00DD3D47">
        <w:t xml:space="preserve">The project </w:t>
      </w:r>
      <w:r>
        <w:t>demonstrates cost efficiency, with</w:t>
      </w:r>
      <w:r w:rsidRPr="00DD3D47">
        <w:t xml:space="preserve"> overall return on investment</w:t>
      </w:r>
      <w:r>
        <w:t>,</w:t>
      </w:r>
      <w:r w:rsidRPr="00DD3D47">
        <w:t xml:space="preserve"> after in-kind/cash contributions are made. In-kind contributions should reflect reasonable costs for goods and services.</w:t>
      </w:r>
    </w:p>
    <w:p w14:paraId="6885427A" w14:textId="77777777" w:rsidR="00F654BD" w:rsidRDefault="00FD1D66" w:rsidP="00561F82">
      <w:pPr>
        <w:pStyle w:val="Heading3"/>
        <w:rPr>
          <w:b w:val="0"/>
        </w:rPr>
      </w:pPr>
      <w:bookmarkStart w:id="64" w:name="_Toc54164222"/>
      <w:bookmarkStart w:id="65" w:name="_Toc54164462"/>
      <w:r w:rsidRPr="00B47E9B">
        <w:t>Community engagement, capacity building and sustainability</w:t>
      </w:r>
      <w:bookmarkEnd w:id="64"/>
      <w:bookmarkEnd w:id="65"/>
    </w:p>
    <w:p w14:paraId="0F4847C0" w14:textId="0C6DBA00" w:rsidR="00FD1D66" w:rsidRDefault="00FD1D66" w:rsidP="00FD1D66">
      <w:r w:rsidRPr="00DD3D47">
        <w:t xml:space="preserve">The project will </w:t>
      </w:r>
      <w:r>
        <w:t>positively impact the local community providing broader, long term benefits.</w:t>
      </w:r>
      <w:r w:rsidRPr="00DD3D47">
        <w:t xml:space="preserve"> </w:t>
      </w:r>
    </w:p>
    <w:p w14:paraId="7983117E" w14:textId="18C0BA6F" w:rsidR="00FD1D66" w:rsidRPr="0074771B" w:rsidRDefault="00FD1D66" w:rsidP="00665B15">
      <w:pPr>
        <w:spacing w:before="240"/>
        <w:rPr>
          <w:b/>
          <w:color w:val="auto"/>
          <w:sz w:val="20"/>
          <w:szCs w:val="18"/>
        </w:rPr>
      </w:pPr>
      <w:r w:rsidRPr="0074771B">
        <w:rPr>
          <w:b/>
          <w:color w:val="auto"/>
          <w:sz w:val="20"/>
          <w:szCs w:val="18"/>
        </w:rPr>
        <w:lastRenderedPageBreak/>
        <w:t>Additional considerations</w:t>
      </w:r>
    </w:p>
    <w:p w14:paraId="344310ED" w14:textId="77777777" w:rsidR="00FD1D66" w:rsidRPr="00B47E9B" w:rsidRDefault="00FD1D66" w:rsidP="00FD1D66">
      <w:pPr>
        <w:rPr>
          <w:b/>
          <w:color w:val="7F7F7F" w:themeColor="text1" w:themeTint="80"/>
          <w:sz w:val="20"/>
          <w:szCs w:val="18"/>
        </w:rPr>
      </w:pPr>
      <w:r w:rsidRPr="00DD3D47">
        <w:t xml:space="preserve">In addition, evidence in </w:t>
      </w:r>
      <w:r>
        <w:t>applications</w:t>
      </w:r>
      <w:r w:rsidRPr="00DD3D47">
        <w:t xml:space="preserve"> of any of the following will be well regarded</w:t>
      </w:r>
      <w:r w:rsidRPr="009A49FA">
        <w:rPr>
          <w:b/>
          <w:color w:val="auto"/>
          <w:sz w:val="20"/>
          <w:szCs w:val="18"/>
        </w:rPr>
        <w:t xml:space="preserve">. </w:t>
      </w:r>
    </w:p>
    <w:p w14:paraId="0BED1B35" w14:textId="77777777" w:rsidR="00FD1D66" w:rsidRPr="0074771B" w:rsidRDefault="00FD1D66" w:rsidP="00FD1D66">
      <w:pPr>
        <w:rPr>
          <w:b/>
          <w:color w:val="auto"/>
        </w:rPr>
      </w:pPr>
      <w:r w:rsidRPr="0074771B">
        <w:rPr>
          <w:b/>
          <w:color w:val="auto"/>
        </w:rPr>
        <w:t xml:space="preserve">For new or upgraded facilities: </w:t>
      </w:r>
    </w:p>
    <w:p w14:paraId="22398231" w14:textId="77777777" w:rsidR="00FD1D66" w:rsidRPr="002D6189" w:rsidRDefault="00FD1D66" w:rsidP="00FD1D66">
      <w:pPr>
        <w:pStyle w:val="Agbulletlist"/>
      </w:pPr>
      <w:r w:rsidRPr="002D6189">
        <w:t>designed for multi-purpose community use</w:t>
      </w:r>
    </w:p>
    <w:p w14:paraId="134465A6" w14:textId="77777777" w:rsidR="00FD1D66" w:rsidRDefault="00FD1D66" w:rsidP="00FD1D66">
      <w:pPr>
        <w:pStyle w:val="Agbulletlist"/>
      </w:pPr>
      <w:r w:rsidRPr="002D6189">
        <w:t xml:space="preserve">encourage community involvement in </w:t>
      </w:r>
      <w:r>
        <w:t>event</w:t>
      </w:r>
      <w:r w:rsidRPr="002D6189">
        <w:t xml:space="preserve"> activities</w:t>
      </w:r>
    </w:p>
    <w:p w14:paraId="41FC4E99" w14:textId="77777777" w:rsidR="00FD1D66" w:rsidRPr="002D6189" w:rsidRDefault="00FD1D66" w:rsidP="00FD1D66">
      <w:pPr>
        <w:pStyle w:val="Agbulletlist"/>
      </w:pPr>
      <w:r>
        <w:t>encourage innovation in relation to creating online community and event activities</w:t>
      </w:r>
    </w:p>
    <w:p w14:paraId="07600D64" w14:textId="77777777" w:rsidR="00FD1D66" w:rsidRPr="002D6189" w:rsidRDefault="00FD1D66" w:rsidP="00FD1D66">
      <w:pPr>
        <w:pStyle w:val="Agbulletlist"/>
      </w:pPr>
      <w:r w:rsidRPr="002D6189">
        <w:t xml:space="preserve">benefit local agricultural </w:t>
      </w:r>
      <w:r>
        <w:t xml:space="preserve">businesses and </w:t>
      </w:r>
      <w:r w:rsidRPr="002D6189">
        <w:t>industries</w:t>
      </w:r>
    </w:p>
    <w:p w14:paraId="0AEE6596" w14:textId="499F8C8D" w:rsidR="00FD1D66" w:rsidRPr="002D6189" w:rsidRDefault="00FD1D66" w:rsidP="00FD1D66">
      <w:pPr>
        <w:pStyle w:val="Agbulletlist"/>
      </w:pPr>
      <w:r w:rsidRPr="002D6189">
        <w:t xml:space="preserve">enhance the safety of the community attending </w:t>
      </w:r>
      <w:r>
        <w:t>events</w:t>
      </w:r>
      <w:r w:rsidRPr="002D6189">
        <w:t xml:space="preserve"> </w:t>
      </w:r>
    </w:p>
    <w:p w14:paraId="76BBDE11" w14:textId="77777777" w:rsidR="00FD1D66" w:rsidRPr="002D6189" w:rsidRDefault="00FD1D66" w:rsidP="00FD1D66">
      <w:pPr>
        <w:rPr>
          <w:b/>
        </w:rPr>
      </w:pPr>
      <w:r w:rsidRPr="002D6189">
        <w:rPr>
          <w:b/>
        </w:rPr>
        <w:t xml:space="preserve">For business activities: </w:t>
      </w:r>
    </w:p>
    <w:p w14:paraId="20432352" w14:textId="77777777" w:rsidR="00FD1D66" w:rsidRPr="002D6189" w:rsidRDefault="00FD1D66" w:rsidP="00FD1D66">
      <w:pPr>
        <w:pStyle w:val="Agbulletlist"/>
        <w:rPr>
          <w:b/>
          <w:color w:val="7F7F7F" w:themeColor="text1" w:themeTint="80"/>
          <w:sz w:val="20"/>
          <w:szCs w:val="18"/>
        </w:rPr>
      </w:pPr>
      <w:r w:rsidRPr="002D6189">
        <w:t>enhance business management</w:t>
      </w:r>
      <w:r>
        <w:t xml:space="preserve"> and</w:t>
      </w:r>
      <w:r w:rsidRPr="002D6189">
        <w:t xml:space="preserve"> planning for </w:t>
      </w:r>
      <w:r>
        <w:t>events</w:t>
      </w:r>
      <w:r w:rsidRPr="002D6189">
        <w:t xml:space="preserve"> </w:t>
      </w:r>
      <w:r>
        <w:t>that</w:t>
      </w:r>
      <w:r w:rsidRPr="002D6189">
        <w:t xml:space="preserve"> promote greater community</w:t>
      </w:r>
      <w:r w:rsidRPr="002D6189">
        <w:rPr>
          <w:b/>
          <w:color w:val="7F7F7F" w:themeColor="text1" w:themeTint="80"/>
          <w:sz w:val="20"/>
          <w:szCs w:val="18"/>
        </w:rPr>
        <w:t xml:space="preserve"> </w:t>
      </w:r>
      <w:r>
        <w:t>awareness and involvement in agriculture related</w:t>
      </w:r>
      <w:r w:rsidRPr="002D6189">
        <w:t xml:space="preserve"> activities.</w:t>
      </w:r>
    </w:p>
    <w:p w14:paraId="4AAEBF0E" w14:textId="77777777" w:rsidR="00FD1D66" w:rsidRPr="0074771B" w:rsidRDefault="00FD1D66" w:rsidP="00665B15">
      <w:pPr>
        <w:pStyle w:val="Heading1"/>
        <w:spacing w:before="360"/>
        <w:rPr>
          <w:color w:val="auto"/>
        </w:rPr>
      </w:pPr>
      <w:bookmarkStart w:id="66" w:name="_Toc11764569"/>
      <w:bookmarkStart w:id="67" w:name="_Toc54164463"/>
      <w:r w:rsidRPr="0074771B">
        <w:rPr>
          <w:color w:val="auto"/>
        </w:rPr>
        <w:t>EVALUATION AND FUNDING REQUIREMENTS</w:t>
      </w:r>
      <w:bookmarkEnd w:id="66"/>
      <w:bookmarkEnd w:id="67"/>
      <w:r w:rsidRPr="0074771B">
        <w:rPr>
          <w:color w:val="auto"/>
        </w:rPr>
        <w:t xml:space="preserve"> </w:t>
      </w:r>
    </w:p>
    <w:p w14:paraId="2CE453C1" w14:textId="77777777" w:rsidR="00FD1D66" w:rsidRPr="0074771B" w:rsidRDefault="00FD1D66" w:rsidP="009D0FAE">
      <w:pPr>
        <w:pStyle w:val="Heading2"/>
        <w:rPr>
          <w:b w:val="0"/>
        </w:rPr>
      </w:pPr>
      <w:bookmarkStart w:id="68" w:name="_Toc54164224"/>
      <w:bookmarkStart w:id="69" w:name="_Toc54164464"/>
      <w:r w:rsidRPr="0074771B">
        <w:t>Project Completion</w:t>
      </w:r>
      <w:bookmarkEnd w:id="68"/>
      <w:bookmarkEnd w:id="69"/>
    </w:p>
    <w:p w14:paraId="4E6DDA85" w14:textId="77777777" w:rsidR="00FD1D66" w:rsidRPr="00DD3D47" w:rsidRDefault="00FD1D66" w:rsidP="00FD1D66">
      <w:r w:rsidRPr="00DD3D47">
        <w:t xml:space="preserve">Projects approved for grants should be completed as soon as possible and before </w:t>
      </w:r>
      <w:r w:rsidRPr="0059692F">
        <w:t>30 June 2021.</w:t>
      </w:r>
      <w:r w:rsidRPr="00DD3D47">
        <w:t xml:space="preserve"> </w:t>
      </w:r>
    </w:p>
    <w:p w14:paraId="6764FE20" w14:textId="1A60A1B9" w:rsidR="00FD1D66" w:rsidRPr="00DD3D47" w:rsidRDefault="00FD1D66" w:rsidP="00FD1D66">
      <w:r>
        <w:t>Immediately</w:t>
      </w:r>
      <w:r w:rsidRPr="00DD3D47">
        <w:t xml:space="preserve"> the project is completed, </w:t>
      </w:r>
      <w:r>
        <w:t>email</w:t>
      </w:r>
      <w:r w:rsidRPr="00DD3D47">
        <w:t xml:space="preserve"> all relevant documentation</w:t>
      </w:r>
      <w:r>
        <w:t>, including the official invoice to the ‘Department of Jobs, Precincts and Regions’ (DJPR) for the grant payments.</w:t>
      </w:r>
      <w:r w:rsidRPr="00DD3D47">
        <w:t xml:space="preserve"> (see Final Payment of Grant) </w:t>
      </w:r>
    </w:p>
    <w:p w14:paraId="2875FB5A" w14:textId="77777777" w:rsidR="00FD1D66" w:rsidRPr="00DD3D47" w:rsidRDefault="00FD1D66" w:rsidP="00FD1D66">
      <w:r w:rsidRPr="00DD3D47">
        <w:t xml:space="preserve">The </w:t>
      </w:r>
      <w:r>
        <w:t>grant recipient</w:t>
      </w:r>
      <w:r w:rsidRPr="00DD3D47">
        <w:t xml:space="preserve"> is responsible for ensuring that all necessary inspections during the construction process are carried out and local </w:t>
      </w:r>
      <w:r>
        <w:t>council approval documents are</w:t>
      </w:r>
      <w:r w:rsidRPr="00DD3D47">
        <w:t xml:space="preserve"> obtained. For business activities, the society must submit a copy of the relevant report or plan.</w:t>
      </w:r>
    </w:p>
    <w:p w14:paraId="51386A7C" w14:textId="77777777" w:rsidR="00FD1D66" w:rsidRPr="0074771B" w:rsidRDefault="00FD1D66" w:rsidP="009D0FAE">
      <w:pPr>
        <w:pStyle w:val="Heading2"/>
        <w:rPr>
          <w:b w:val="0"/>
        </w:rPr>
      </w:pPr>
      <w:bookmarkStart w:id="70" w:name="_Toc54164225"/>
      <w:bookmarkStart w:id="71" w:name="_Toc54164465"/>
      <w:r w:rsidRPr="0074771B">
        <w:t>Approval and notification</w:t>
      </w:r>
      <w:bookmarkEnd w:id="70"/>
      <w:bookmarkEnd w:id="71"/>
    </w:p>
    <w:p w14:paraId="7C59F920" w14:textId="77777777" w:rsidR="00FD1D66" w:rsidRPr="00DD3D47" w:rsidRDefault="00FD1D66" w:rsidP="00FD1D66">
      <w:r w:rsidRPr="00DD3D47">
        <w:t>The Grant Assessment Panel will provide advice and recommendations to the Minister for Agriculture</w:t>
      </w:r>
      <w:r>
        <w:t xml:space="preserve"> for approval</w:t>
      </w:r>
      <w:r w:rsidRPr="00DD3D47">
        <w:t>.</w:t>
      </w:r>
    </w:p>
    <w:p w14:paraId="69E8C613" w14:textId="56AAE45F" w:rsidR="00FD1D66" w:rsidRPr="00665B15" w:rsidRDefault="00FD1D66" w:rsidP="00FD1D66">
      <w:r w:rsidRPr="00DD3D47">
        <w:t>You will receive notification of the outcome of your application. Successful societies will receive a Letter of Offer, which will outline funding obligations attached to the offer of funding.</w:t>
      </w:r>
    </w:p>
    <w:p w14:paraId="2203BE57" w14:textId="77777777" w:rsidR="00FD1D66" w:rsidRPr="0074771B" w:rsidRDefault="00FD1D66" w:rsidP="009D0FAE">
      <w:pPr>
        <w:pStyle w:val="Heading2"/>
        <w:rPr>
          <w:b w:val="0"/>
        </w:rPr>
      </w:pPr>
      <w:bookmarkStart w:id="72" w:name="_Toc54164226"/>
      <w:bookmarkStart w:id="73" w:name="_Toc54164466"/>
      <w:r w:rsidRPr="0074771B">
        <w:t>Acknowledgement</w:t>
      </w:r>
      <w:bookmarkEnd w:id="72"/>
      <w:bookmarkEnd w:id="73"/>
    </w:p>
    <w:p w14:paraId="04A9D79E" w14:textId="77777777" w:rsidR="00FD1D66" w:rsidRPr="00DD3D47" w:rsidRDefault="00FD1D66" w:rsidP="00FD1D66">
      <w:r w:rsidRPr="00DD3D47">
        <w:t>Successful applicants must publicly acknowledge support from the Victorian Government and use official approved logos and text in promotional materials, including: publications, media releases and videos. This requirement forms part of the funding agreement.</w:t>
      </w:r>
    </w:p>
    <w:p w14:paraId="02C16ADF" w14:textId="77777777" w:rsidR="00FD1D66" w:rsidRPr="00DD3D47" w:rsidRDefault="00FD1D66" w:rsidP="00FD1D66">
      <w:r w:rsidRPr="00DD3D47">
        <w:t>Successful applicants must liaise with Agriculture Victoria to coordinate any events or announcements related to project activities. Successful applicants may be required to provide information on activity outcomes for use in communication materials.</w:t>
      </w:r>
    </w:p>
    <w:p w14:paraId="512D8F67" w14:textId="77777777" w:rsidR="00FD1D66" w:rsidRPr="0074771B" w:rsidRDefault="00FD1D66" w:rsidP="00665B15">
      <w:pPr>
        <w:pStyle w:val="Heading1"/>
        <w:spacing w:before="360"/>
        <w:rPr>
          <w:color w:val="auto"/>
        </w:rPr>
      </w:pPr>
      <w:bookmarkStart w:id="74" w:name="_Toc54164467"/>
      <w:r w:rsidRPr="0074771B">
        <w:rPr>
          <w:color w:val="auto"/>
        </w:rPr>
        <w:t>Public liability insurance, Working with Children Check, Occupational Health and Safety</w:t>
      </w:r>
      <w:bookmarkEnd w:id="74"/>
    </w:p>
    <w:p w14:paraId="5BE34A92" w14:textId="77777777" w:rsidR="00FD1D66" w:rsidRPr="00DD3D47" w:rsidRDefault="00FD1D66" w:rsidP="00FD1D66">
      <w:r>
        <w:t>The society</w:t>
      </w:r>
      <w:r w:rsidRPr="00DD3D47">
        <w:t xml:space="preserve"> must have current public liability insurance appropriate to the activity outlined in </w:t>
      </w:r>
      <w:r>
        <w:t xml:space="preserve">the grant </w:t>
      </w:r>
      <w:r w:rsidRPr="00DD3D47">
        <w:t xml:space="preserve">application. </w:t>
      </w:r>
    </w:p>
    <w:p w14:paraId="39B09FF3" w14:textId="77777777" w:rsidR="00FD1D66" w:rsidRPr="00DD3D47" w:rsidRDefault="00FD1D66" w:rsidP="00FD1D66">
      <w:r w:rsidRPr="00DD3D47">
        <w:t>If the project works directly with children, those people interacting directly with children will need to have a current Working with Children Check.</w:t>
      </w:r>
    </w:p>
    <w:p w14:paraId="47F5101C" w14:textId="77777777" w:rsidR="00FD1D66" w:rsidRDefault="00FD1D66" w:rsidP="00FD1D66">
      <w:r w:rsidRPr="00DD3D47">
        <w:t>You need to make sure you have a safe system of work in place for your project that protects t</w:t>
      </w:r>
      <w:r>
        <w:t xml:space="preserve">he wok, health and safety </w:t>
      </w:r>
      <w:r w:rsidRPr="00DD3D47">
        <w:t xml:space="preserve">of </w:t>
      </w:r>
      <w:r>
        <w:t>the</w:t>
      </w:r>
      <w:r w:rsidRPr="00DD3D47">
        <w:t xml:space="preserve"> group, volunteers and others on your work site. </w:t>
      </w:r>
      <w:r>
        <w:t>Work, health, safety</w:t>
      </w:r>
      <w:r w:rsidRPr="00DD3D47">
        <w:t xml:space="preserve"> information can be found at worksafe.vic.gov.au</w:t>
      </w:r>
      <w:r>
        <w:t xml:space="preserve">. </w:t>
      </w:r>
    </w:p>
    <w:p w14:paraId="7D056784" w14:textId="6E9C7063" w:rsidR="00FD1D66" w:rsidRPr="00665B15" w:rsidRDefault="00FD1D66" w:rsidP="00FD1D66">
      <w:r>
        <w:t xml:space="preserve">Emphasis must be placed on all work, health and safety requirements being met with strict adherence to </w:t>
      </w:r>
      <w:r w:rsidRPr="002C1E80">
        <w:t xml:space="preserve">current </w:t>
      </w:r>
      <w:r w:rsidR="00B84BDE">
        <w:t>WorkSafe</w:t>
      </w:r>
      <w:r>
        <w:t xml:space="preserve"> guidelines</w:t>
      </w:r>
      <w:r w:rsidR="00665B15">
        <w:t>.</w:t>
      </w:r>
    </w:p>
    <w:p w14:paraId="3796F458" w14:textId="77777777" w:rsidR="00665B15" w:rsidRDefault="00665B15" w:rsidP="00FD1D66">
      <w:pPr>
        <w:rPr>
          <w:b/>
          <w:color w:val="4C7329"/>
          <w:sz w:val="22"/>
        </w:rPr>
      </w:pPr>
    </w:p>
    <w:p w14:paraId="37D5083E" w14:textId="77777777" w:rsidR="00594715" w:rsidRDefault="00594715" w:rsidP="00FD1D66">
      <w:pPr>
        <w:rPr>
          <w:b/>
          <w:color w:val="4C7329"/>
          <w:sz w:val="22"/>
        </w:rPr>
      </w:pPr>
    </w:p>
    <w:p w14:paraId="4ED49289" w14:textId="77777777" w:rsidR="00594715" w:rsidRDefault="00594715" w:rsidP="00FD1D66">
      <w:pPr>
        <w:rPr>
          <w:b/>
          <w:color w:val="4C7329"/>
          <w:sz w:val="22"/>
        </w:rPr>
      </w:pPr>
    </w:p>
    <w:p w14:paraId="53612478" w14:textId="122F31D2" w:rsidR="00FD1D66" w:rsidRPr="0074771B" w:rsidRDefault="00FD1D66" w:rsidP="00EB4371">
      <w:pPr>
        <w:pStyle w:val="Heading1"/>
        <w:rPr>
          <w:b w:val="0"/>
          <w:color w:val="auto"/>
        </w:rPr>
      </w:pPr>
      <w:bookmarkStart w:id="75" w:name="_Toc54164468"/>
      <w:r w:rsidRPr="0074771B">
        <w:rPr>
          <w:color w:val="auto"/>
        </w:rPr>
        <w:lastRenderedPageBreak/>
        <w:t>PAYMENT OF THE GRANT</w:t>
      </w:r>
      <w:bookmarkEnd w:id="75"/>
    </w:p>
    <w:p w14:paraId="50C0F0A0" w14:textId="77777777" w:rsidR="00FD1D66" w:rsidRPr="00DD3D47" w:rsidRDefault="00FD1D66" w:rsidP="00FD1D66">
      <w:r w:rsidRPr="00DD3D47">
        <w:t>Successful grant recipients must provide the following documentation once projects are completed.</w:t>
      </w:r>
    </w:p>
    <w:p w14:paraId="14DC0C95" w14:textId="77777777" w:rsidR="00FD1D66" w:rsidRPr="0074771B" w:rsidRDefault="00FD1D66" w:rsidP="00594715">
      <w:pPr>
        <w:pStyle w:val="Heading2"/>
        <w:rPr>
          <w:b w:val="0"/>
        </w:rPr>
      </w:pPr>
      <w:bookmarkStart w:id="76" w:name="_Toc54164228"/>
      <w:bookmarkStart w:id="77" w:name="_Toc54164469"/>
      <w:r w:rsidRPr="0074771B">
        <w:t>Required Documents</w:t>
      </w:r>
      <w:bookmarkEnd w:id="76"/>
      <w:bookmarkEnd w:id="77"/>
    </w:p>
    <w:p w14:paraId="58DB7D87" w14:textId="77777777" w:rsidR="00FD1D66" w:rsidRPr="002D6189" w:rsidRDefault="00FD1D66" w:rsidP="00FD1D66">
      <w:pPr>
        <w:pStyle w:val="Agbulletlist"/>
      </w:pPr>
      <w:r w:rsidRPr="002D6189">
        <w:t xml:space="preserve">Paid tax invoices/receipts for all contracted work, addressed to the respective </w:t>
      </w:r>
      <w:r>
        <w:t>successful applicant</w:t>
      </w:r>
    </w:p>
    <w:p w14:paraId="776B963B" w14:textId="3718A28D" w:rsidR="00FD1D66" w:rsidRPr="002D6189" w:rsidRDefault="00FD1D66" w:rsidP="00FD1D66">
      <w:pPr>
        <w:pStyle w:val="Agbulletlist"/>
      </w:pPr>
      <w:r w:rsidRPr="002D6189">
        <w:t>Paid tax invoices/receipts for any items purchased toward the project</w:t>
      </w:r>
    </w:p>
    <w:p w14:paraId="756F4EBD" w14:textId="238286C9" w:rsidR="00FD1D66" w:rsidRPr="002D6189" w:rsidRDefault="00FD1D66" w:rsidP="00FD1D66">
      <w:pPr>
        <w:pStyle w:val="Agbulletlist"/>
      </w:pPr>
      <w:r w:rsidRPr="002D6189">
        <w:t>Details of any in-kind support calculated at $</w:t>
      </w:r>
      <w:r w:rsidR="0014079E">
        <w:t>3</w:t>
      </w:r>
      <w:r w:rsidRPr="002D6189">
        <w:t>0 per hour for labour and machinery</w:t>
      </w:r>
    </w:p>
    <w:p w14:paraId="4A2CABDC" w14:textId="7B379F99" w:rsidR="00FD1D66" w:rsidRPr="002D6189" w:rsidRDefault="00FD1D66" w:rsidP="00FD1D66">
      <w:pPr>
        <w:pStyle w:val="Agbulletlist"/>
      </w:pPr>
      <w:r w:rsidRPr="002D6189">
        <w:t>For facilities, photographs showing the completed project</w:t>
      </w:r>
    </w:p>
    <w:p w14:paraId="2EC9F2DC" w14:textId="77777777" w:rsidR="00FD1D66" w:rsidRDefault="00FD1D66" w:rsidP="00FD1D66">
      <w:pPr>
        <w:pStyle w:val="Agbulletlist"/>
      </w:pPr>
      <w:r w:rsidRPr="002D6189">
        <w:t>For business activities, the relevant report</w:t>
      </w:r>
      <w:r>
        <w:t>,</w:t>
      </w:r>
      <w:r w:rsidRPr="002D6189">
        <w:t xml:space="preserve"> plan</w:t>
      </w:r>
      <w:r>
        <w:t xml:space="preserve"> and permits</w:t>
      </w:r>
    </w:p>
    <w:p w14:paraId="1476B6E5" w14:textId="3DCAF174" w:rsidR="00FD1D66" w:rsidRPr="002D6189" w:rsidRDefault="00FD1D66" w:rsidP="00FD1D66">
      <w:pPr>
        <w:pStyle w:val="Agbulletlist"/>
      </w:pPr>
      <w:r>
        <w:t>Any relevant legal documents pertaining to ownership of the works or tenure of the property</w:t>
      </w:r>
    </w:p>
    <w:p w14:paraId="295321EB" w14:textId="1B2A3F97" w:rsidR="00FD1D66" w:rsidRDefault="00FD1D66" w:rsidP="00FD1D66">
      <w:r w:rsidRPr="00DD3D47">
        <w:t xml:space="preserve">Payment will be processed as soon as possible once the above documents are received. Please note that </w:t>
      </w:r>
      <w:r>
        <w:t xml:space="preserve">payment of each grant instalment will be within 30 days of </w:t>
      </w:r>
      <w:r w:rsidR="0052443E">
        <w:t>DJPR</w:t>
      </w:r>
      <w:r>
        <w:t xml:space="preserve"> receiving invoices made out to </w:t>
      </w:r>
      <w:r w:rsidRPr="000B5D1C">
        <w:t>DJPR</w:t>
      </w:r>
      <w:r>
        <w:t xml:space="preserve">, as per the dates specified in </w:t>
      </w:r>
      <w:r w:rsidRPr="00240559">
        <w:t>Schedule 1 of the grant agreement, in two instalments.</w:t>
      </w:r>
      <w:r>
        <w:t xml:space="preserve"> </w:t>
      </w:r>
    </w:p>
    <w:p w14:paraId="75490D15" w14:textId="094218CC" w:rsidR="00FD1D66" w:rsidRDefault="00FD1D66" w:rsidP="00FD1D66">
      <w:r>
        <w:t>The first payment will be for 90</w:t>
      </w:r>
      <w:r w:rsidR="00E1039C">
        <w:t xml:space="preserve"> per cent</w:t>
      </w:r>
      <w:r>
        <w:t xml:space="preserve"> of the total grant amount as specified in Schedule 1 of the grant agreement and </w:t>
      </w:r>
      <w:r w:rsidRPr="00DD3D47">
        <w:t>10</w:t>
      </w:r>
      <w:r w:rsidR="00E1039C">
        <w:t xml:space="preserve"> per cent</w:t>
      </w:r>
      <w:r w:rsidRPr="00DD3D47">
        <w:t xml:space="preserve"> </w:t>
      </w:r>
      <w:r>
        <w:t xml:space="preserve">acquittal </w:t>
      </w:r>
      <w:r w:rsidRPr="00DD3D47">
        <w:t xml:space="preserve">of the grant money will be paid after </w:t>
      </w:r>
      <w:r>
        <w:t xml:space="preserve">receipt of the </w:t>
      </w:r>
      <w:r w:rsidRPr="00DD3D47">
        <w:t xml:space="preserve">completion </w:t>
      </w:r>
      <w:r>
        <w:t xml:space="preserve">report </w:t>
      </w:r>
      <w:r w:rsidRPr="00DD3D47">
        <w:t>and once all do</w:t>
      </w:r>
      <w:r>
        <w:t>c</w:t>
      </w:r>
      <w:r w:rsidRPr="00DD3D47">
        <w:t>umentation is received</w:t>
      </w:r>
      <w:r>
        <w:t xml:space="preserve"> and verified</w:t>
      </w:r>
      <w:r w:rsidRPr="00DD3D47">
        <w:t>.</w:t>
      </w:r>
      <w:r>
        <w:t xml:space="preserve"> Please ensure that all remittance details have not changed since the application was submitted and are clearly identified on the invoice. </w:t>
      </w:r>
    </w:p>
    <w:p w14:paraId="0E87E13B" w14:textId="41054F7A" w:rsidR="00FD1D66" w:rsidRPr="00DD3D47" w:rsidRDefault="00FD1D66" w:rsidP="00FD1D66">
      <w:r w:rsidRPr="00DD3D47">
        <w:t>The final 10</w:t>
      </w:r>
      <w:r w:rsidR="00E1039C">
        <w:t xml:space="preserve"> per cent</w:t>
      </w:r>
      <w:r w:rsidRPr="00DD3D47">
        <w:t xml:space="preserve"> invoice may be submitted for processing, however payment will only be made once the supportive documents have been </w:t>
      </w:r>
      <w:r>
        <w:t>verified</w:t>
      </w:r>
      <w:r w:rsidRPr="00DD3D47">
        <w:t>. Payment may be delayed if there are discrepancies in any of the documents provided. Grants that require an inspection will be paid after receipt of an inspection report from a Department representative.</w:t>
      </w:r>
    </w:p>
    <w:p w14:paraId="0DD85EFE" w14:textId="77777777" w:rsidR="00FD1D66" w:rsidRPr="00DD3D47" w:rsidRDefault="00FD1D66" w:rsidP="00FD1D66">
      <w:r w:rsidRPr="00DD3D47">
        <w:t xml:space="preserve">To ensure final payments are processed before the end of financial year, please provide all required documents before </w:t>
      </w:r>
      <w:r w:rsidRPr="00240559">
        <w:t>1 June 2021</w:t>
      </w:r>
      <w:r>
        <w:t>.</w:t>
      </w:r>
      <w:r w:rsidRPr="00DD3D47">
        <w:t xml:space="preserve"> Should the </w:t>
      </w:r>
      <w:r>
        <w:t>applicant</w:t>
      </w:r>
      <w:r w:rsidRPr="00DD3D47">
        <w:t xml:space="preserve"> require an extension, please </w:t>
      </w:r>
      <w:r>
        <w:t>email</w:t>
      </w:r>
      <w:r w:rsidRPr="00DD3D47">
        <w:t xml:space="preserve"> the request, detailing the reason. </w:t>
      </w:r>
    </w:p>
    <w:p w14:paraId="40C0DF7C" w14:textId="77777777" w:rsidR="00FD1D66" w:rsidRPr="0074771B" w:rsidRDefault="00FD1D66" w:rsidP="00FD1D66">
      <w:pPr>
        <w:pStyle w:val="Heading1"/>
        <w:rPr>
          <w:color w:val="auto"/>
        </w:rPr>
      </w:pPr>
      <w:bookmarkStart w:id="78" w:name="_Toc54164229"/>
      <w:bookmarkStart w:id="79" w:name="_Toc54164470"/>
      <w:r w:rsidRPr="0074771B">
        <w:rPr>
          <w:color w:val="auto"/>
        </w:rPr>
        <w:t>ENQUIRIES</w:t>
      </w:r>
      <w:bookmarkEnd w:id="78"/>
      <w:bookmarkEnd w:id="79"/>
    </w:p>
    <w:p w14:paraId="424A6E24" w14:textId="77777777" w:rsidR="00FD1D66" w:rsidRPr="00DD3D47" w:rsidRDefault="00FD1D66" w:rsidP="00FD1D66">
      <w:r w:rsidRPr="00DD3D47">
        <w:t xml:space="preserve">If you require assistance with your grant application and/or advice on how to apply online, please contact the grants </w:t>
      </w:r>
      <w:r w:rsidRPr="006E762E">
        <w:t>administrator on (03)</w:t>
      </w:r>
      <w:r>
        <w:t xml:space="preserve"> </w:t>
      </w:r>
      <w:r w:rsidRPr="006E762E">
        <w:t xml:space="preserve">8377 4518 or via email </w:t>
      </w:r>
      <w:bookmarkStart w:id="80" w:name="_Hlk18509688"/>
      <w:r>
        <w:fldChar w:fldCharType="begin"/>
      </w:r>
      <w:r>
        <w:instrText xml:space="preserve"> HYPERLINK "mailto:</w:instrText>
      </w:r>
      <w:r w:rsidRPr="00B62261">
        <w:instrText>agricultural.grants@agriculture.vic.gov.au</w:instrText>
      </w:r>
      <w:r>
        <w:instrText xml:space="preserve">" </w:instrText>
      </w:r>
      <w:r>
        <w:fldChar w:fldCharType="separate"/>
      </w:r>
      <w:r w:rsidRPr="00AF41C1">
        <w:rPr>
          <w:rStyle w:val="Hyperlink"/>
        </w:rPr>
        <w:t>agricultural.grants@agriculture.vic.gov.au</w:t>
      </w:r>
      <w:bookmarkEnd w:id="80"/>
      <w:r>
        <w:fldChar w:fldCharType="end"/>
      </w:r>
      <w:r>
        <w:t xml:space="preserve"> </w:t>
      </w:r>
      <w:r w:rsidRPr="00F844CA">
        <w:t>.</w:t>
      </w:r>
    </w:p>
    <w:p w14:paraId="3C70299B" w14:textId="40A98930" w:rsidR="00FD1D66" w:rsidRPr="0074771B" w:rsidRDefault="00FD1D66" w:rsidP="00FD1D66">
      <w:pPr>
        <w:pStyle w:val="Heading1"/>
        <w:rPr>
          <w:color w:val="auto"/>
        </w:rPr>
      </w:pPr>
      <w:bookmarkStart w:id="81" w:name="_Toc54164471"/>
      <w:r w:rsidRPr="0074771B">
        <w:rPr>
          <w:color w:val="auto"/>
        </w:rPr>
        <w:t>PRIVACY</w:t>
      </w:r>
      <w:bookmarkEnd w:id="81"/>
    </w:p>
    <w:p w14:paraId="35F8E092" w14:textId="65BB9D12" w:rsidR="00FD1D66" w:rsidRPr="00DD3D47" w:rsidRDefault="00FD1D66" w:rsidP="00FD1D66">
      <w:r w:rsidRPr="00DD3D47">
        <w:t xml:space="preserve">Any personal information about you or a third party in your application will be collected by </w:t>
      </w:r>
      <w:r w:rsidR="0052443E">
        <w:t>the Department of Jobs, Precincts and Regions</w:t>
      </w:r>
      <w:r w:rsidRPr="00DD3D47">
        <w:t xml:space="preserve"> for the purpose of grant administration. If you intend to include personal information about third parties in your application, please ensure that they are aware of the contents of this Privacy Statement.</w:t>
      </w:r>
    </w:p>
    <w:p w14:paraId="27CC22E6" w14:textId="77777777" w:rsidR="00FD1D66" w:rsidRPr="00DD3D47" w:rsidRDefault="00FD1D66" w:rsidP="00FD1D66">
      <w:r w:rsidRPr="00DD3D47">
        <w:t xml:space="preserve">Any personal information about you or a third party in your correspondence will be collected, held, managed, used, disclosed or transferred in accordance with the provisions of the </w:t>
      </w:r>
      <w:r w:rsidRPr="00907B35">
        <w:rPr>
          <w:i/>
        </w:rPr>
        <w:t>Privacy and Data Protection Act 2014</w:t>
      </w:r>
      <w:r w:rsidRPr="00DD3D47">
        <w:t xml:space="preserve"> (Vic) and other applicable laws.</w:t>
      </w:r>
    </w:p>
    <w:p w14:paraId="5D638D92" w14:textId="77777777" w:rsidR="00FD1D66" w:rsidRDefault="00FD1D66" w:rsidP="00FD1D66">
      <w:pPr>
        <w:spacing w:after="0"/>
      </w:pPr>
      <w:r w:rsidRPr="00DD3D47">
        <w:t>The Department of Jobs, Precincts and Regions is committed to protecting the privacy of personal information. You can find the Department’s Privacy Policy online at http://agriculture.vic.gov.au/privacy. Enquiries about access to information about you held by the Department should be directed to the Department’s Privacy Unit by phone on:</w:t>
      </w:r>
    </w:p>
    <w:p w14:paraId="4F3B06D6" w14:textId="77777777" w:rsidR="00FD1D66" w:rsidRPr="00FA13B8" w:rsidRDefault="00FD1D66" w:rsidP="00FD1D66">
      <w:pPr>
        <w:spacing w:after="0"/>
        <w:rPr>
          <w:color w:val="FF0000"/>
        </w:rPr>
      </w:pPr>
      <w:r w:rsidRPr="00D73528">
        <w:t xml:space="preserve">(03) 9651 9749 or email </w:t>
      </w:r>
      <w:hyperlink r:id="rId21" w:history="1">
        <w:r w:rsidRPr="00D73528">
          <w:rPr>
            <w:rStyle w:val="Hyperlink"/>
          </w:rPr>
          <w:t>privacy@ecodev.vic.gov.au</w:t>
        </w:r>
      </w:hyperlink>
      <w:r w:rsidRPr="00D73528">
        <w:t>.</w:t>
      </w:r>
      <w:r>
        <w:rPr>
          <w:color w:val="FF0000"/>
        </w:rPr>
        <w:t xml:space="preserve"> </w:t>
      </w:r>
    </w:p>
    <w:p w14:paraId="26820FB1" w14:textId="77777777" w:rsidR="00FD1D66" w:rsidRPr="0074771B" w:rsidRDefault="00FD1D66" w:rsidP="00FD1D66">
      <w:pPr>
        <w:pStyle w:val="Heading1"/>
        <w:rPr>
          <w:color w:val="auto"/>
        </w:rPr>
      </w:pPr>
      <w:bookmarkStart w:id="82" w:name="_Toc54164472"/>
      <w:r w:rsidRPr="0074771B">
        <w:rPr>
          <w:color w:val="auto"/>
        </w:rPr>
        <w:t>ACCESSIBILITY</w:t>
      </w:r>
      <w:bookmarkEnd w:id="82"/>
    </w:p>
    <w:p w14:paraId="66A0CBDF" w14:textId="28E0DEFA" w:rsidR="00FD1D66" w:rsidRPr="00A60AB2" w:rsidRDefault="00FD1D66" w:rsidP="00FD1D66">
      <w:pPr>
        <w:rPr>
          <w:color w:val="auto"/>
        </w:rPr>
      </w:pPr>
      <w:r w:rsidRPr="00DD3D47">
        <w:t>If you would like to receive this publication in an accessible format, please contact Agriculture Victoria via email</w:t>
      </w:r>
      <w:r>
        <w:t xml:space="preserve">: </w:t>
      </w:r>
      <w:hyperlink r:id="rId22" w:history="1">
        <w:r w:rsidRPr="00AF41C1">
          <w:rPr>
            <w:rStyle w:val="Hyperlink"/>
          </w:rPr>
          <w:t>agricultural.grants@agriculture.vic.gov.au</w:t>
        </w:r>
      </w:hyperlink>
      <w:r>
        <w:t xml:space="preserve"> or visit </w:t>
      </w:r>
      <w:hyperlink r:id="rId23" w:history="1">
        <w:r w:rsidRPr="00AE0167">
          <w:rPr>
            <w:rStyle w:val="Hyperlink"/>
            <w:rFonts w:cs="Arial"/>
            <w:szCs w:val="18"/>
          </w:rPr>
          <w:t>www.agriculture.vic.gov.au</w:t>
        </w:r>
      </w:hyperlink>
      <w:r>
        <w:rPr>
          <w:rFonts w:cs="Arial"/>
          <w:szCs w:val="18"/>
        </w:rPr>
        <w:t xml:space="preserve"> </w:t>
      </w:r>
      <w:r w:rsidRPr="00A60AB2">
        <w:rPr>
          <w:rStyle w:val="Hyperlink"/>
          <w:rFonts w:cs="Arial"/>
          <w:color w:val="auto"/>
          <w:szCs w:val="18"/>
          <w:u w:val="none"/>
        </w:rPr>
        <w:t>for the word or PDF format.</w:t>
      </w:r>
    </w:p>
    <w:p w14:paraId="41BA0A4B" w14:textId="77777777" w:rsidR="00FD1D66" w:rsidRDefault="00FD1D66" w:rsidP="00FD1D66"/>
    <w:p w14:paraId="6E50F0E5" w14:textId="77777777" w:rsidR="0056601E" w:rsidRDefault="0056601E" w:rsidP="0056601E">
      <w:pPr>
        <w:pStyle w:val="Agbodytext"/>
      </w:pPr>
    </w:p>
    <w:sectPr w:rsidR="0056601E" w:rsidSect="004910CB">
      <w:headerReference w:type="default" r:id="rId24"/>
      <w:pgSz w:w="11900" w:h="16840"/>
      <w:pgMar w:top="1560" w:right="1080" w:bottom="1440" w:left="108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72EB6" w14:textId="77777777" w:rsidR="002A628E" w:rsidRDefault="002A628E" w:rsidP="008954B2">
      <w:r>
        <w:separator/>
      </w:r>
    </w:p>
  </w:endnote>
  <w:endnote w:type="continuationSeparator" w:id="0">
    <w:p w14:paraId="6D2C5DF7" w14:textId="77777777" w:rsidR="002A628E" w:rsidRDefault="002A628E" w:rsidP="008954B2">
      <w:r>
        <w:continuationSeparator/>
      </w:r>
    </w:p>
  </w:endnote>
  <w:endnote w:type="continuationNotice" w:id="1">
    <w:p w14:paraId="3FD0D219" w14:textId="77777777" w:rsidR="002A628E" w:rsidRDefault="002A62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SemiBold">
    <w:altName w:val="Calibri"/>
    <w:charset w:val="00"/>
    <w:family w:val="auto"/>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VIC-ExtraLight">
    <w:altName w:val="Times New Roman"/>
    <w:charset w:val="00"/>
    <w:family w:val="auto"/>
    <w:pitch w:val="variable"/>
    <w:sig w:usb0="00000001" w:usb1="00000000" w:usb2="00000000" w:usb3="00000000" w:csb0="00000093" w:csb1="00000000"/>
  </w:font>
  <w:font w:name="DI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22F43" w14:textId="77777777" w:rsidR="00CC6E7E" w:rsidRDefault="00CC6E7E" w:rsidP="000E49DE">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6BC6D9" w14:textId="77777777" w:rsidR="00CC6E7E" w:rsidRDefault="00CC6E7E" w:rsidP="00E151A4">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FCA84" w14:textId="5281042E" w:rsidR="00CC6E7E" w:rsidRDefault="00BD601F" w:rsidP="00BD601F">
    <w:pPr>
      <w:tabs>
        <w:tab w:val="left" w:pos="1420"/>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1681D" w14:textId="77777777" w:rsidR="00A7671F" w:rsidRDefault="00A7671F" w:rsidP="00A7671F">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5A8C">
      <w:rPr>
        <w:rStyle w:val="PageNumber"/>
        <w:noProof/>
      </w:rPr>
      <w:t>3</w:t>
    </w:r>
    <w:r>
      <w:rPr>
        <w:rStyle w:val="PageNumber"/>
      </w:rPr>
      <w:fldChar w:fldCharType="end"/>
    </w:r>
  </w:p>
  <w:p w14:paraId="3C93F6C7" w14:textId="77777777" w:rsidR="00C1517F" w:rsidRPr="0083718E" w:rsidRDefault="00C1517F" w:rsidP="00C1517F">
    <w:pPr>
      <w:ind w:right="360"/>
      <w:rPr>
        <w:sz w:val="16"/>
        <w:szCs w:val="16"/>
      </w:rPr>
    </w:pPr>
    <w:r>
      <w:rPr>
        <w:rFonts w:ascii="Helv" w:hAnsi="Helv" w:cs="Helv"/>
        <w:color w:val="000000"/>
        <w:sz w:val="16"/>
        <w:szCs w:val="16"/>
        <w:lang w:val="en-AU"/>
      </w:rPr>
      <w:t xml:space="preserve">Agricultural and Pastoral Societies - </w:t>
    </w:r>
    <w:r w:rsidRPr="0083718E">
      <w:rPr>
        <w:rFonts w:ascii="Helv" w:hAnsi="Helv" w:cs="Helv"/>
        <w:color w:val="000000"/>
        <w:sz w:val="16"/>
        <w:szCs w:val="16"/>
        <w:lang w:val="en-AU"/>
      </w:rPr>
      <w:t>Grant Guidelines</w:t>
    </w:r>
  </w:p>
  <w:p w14:paraId="136F0CC2" w14:textId="77777777" w:rsidR="00A7671F" w:rsidRPr="00A7671F" w:rsidRDefault="00A7671F" w:rsidP="008928D2">
    <w:pPr>
      <w:ind w:right="360" w:firstLine="7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45215" w14:textId="77777777" w:rsidR="00FD1D66" w:rsidRDefault="00FD1D66" w:rsidP="00202F7F">
    <w:pPr>
      <w:framePr w:wrap="none" w:vAnchor="text" w:hAnchor="page" w:x="10628" w:y="-3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35DB42F" w14:textId="77777777" w:rsidR="00FD1D66" w:rsidRPr="0083718E" w:rsidRDefault="00FD1D66" w:rsidP="00A276AB">
    <w:pPr>
      <w:ind w:right="360"/>
      <w:rPr>
        <w:sz w:val="16"/>
        <w:szCs w:val="16"/>
      </w:rPr>
    </w:pPr>
    <w:bookmarkStart w:id="1" w:name="_Hlk11760164"/>
    <w:bookmarkStart w:id="2" w:name="_Hlk11760165"/>
    <w:r>
      <w:rPr>
        <w:rFonts w:ascii="Helv" w:hAnsi="Helv" w:cs="Helv"/>
        <w:color w:val="000000"/>
        <w:sz w:val="16"/>
        <w:szCs w:val="16"/>
        <w:lang w:val="en-AU"/>
      </w:rPr>
      <w:t xml:space="preserve">Agricultural and Pastoral Societies - </w:t>
    </w:r>
    <w:r w:rsidRPr="0083718E">
      <w:rPr>
        <w:rFonts w:ascii="Helv" w:hAnsi="Helv" w:cs="Helv"/>
        <w:color w:val="000000"/>
        <w:sz w:val="16"/>
        <w:szCs w:val="16"/>
        <w:lang w:val="en-AU"/>
      </w:rPr>
      <w:t>Grant Guidelines</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7C2EA" w14:textId="77777777" w:rsidR="002A628E" w:rsidRDefault="002A628E" w:rsidP="008954B2">
      <w:r>
        <w:separator/>
      </w:r>
    </w:p>
  </w:footnote>
  <w:footnote w:type="continuationSeparator" w:id="0">
    <w:p w14:paraId="61CD5256" w14:textId="77777777" w:rsidR="002A628E" w:rsidRDefault="002A628E" w:rsidP="008954B2">
      <w:r>
        <w:continuationSeparator/>
      </w:r>
    </w:p>
  </w:footnote>
  <w:footnote w:type="continuationNotice" w:id="1">
    <w:p w14:paraId="53A43D63" w14:textId="77777777" w:rsidR="002A628E" w:rsidRDefault="002A62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6407A" w14:textId="02A5D15A" w:rsidR="00CC6E7E" w:rsidRDefault="00F041F9" w:rsidP="000771B2">
    <w:pPr>
      <w:tabs>
        <w:tab w:val="center" w:pos="5241"/>
      </w:tabs>
      <w:jc w:val="right"/>
    </w:pPr>
    <w:r>
      <w:rPr>
        <w:noProof/>
      </w:rPr>
      <w:drawing>
        <wp:anchor distT="0" distB="0" distL="114300" distR="114300" simplePos="0" relativeHeight="251658240" behindDoc="1" locked="0" layoutInCell="1" allowOverlap="1" wp14:anchorId="7C3A63D8" wp14:editId="4E5FE212">
          <wp:simplePos x="0" y="0"/>
          <wp:positionH relativeFrom="column">
            <wp:posOffset>-477511</wp:posOffset>
          </wp:positionH>
          <wp:positionV relativeFrom="paragraph">
            <wp:posOffset>-450215</wp:posOffset>
          </wp:positionV>
          <wp:extent cx="7611570" cy="10658901"/>
          <wp:effectExtent l="0" t="0" r="889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52541"/>
                  <a:stretch/>
                </pic:blipFill>
                <pic:spPr bwMode="auto">
                  <a:xfrm>
                    <a:off x="0" y="0"/>
                    <a:ext cx="7623348" cy="1067539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5909" w:rsidRPr="005D35C4">
      <w:rPr>
        <w:noProof/>
        <w:lang w:val="en-AU" w:eastAsia="en-AU"/>
      </w:rPr>
      <w:drawing>
        <wp:anchor distT="0" distB="0" distL="114300" distR="114300" simplePos="0" relativeHeight="251658241" behindDoc="1" locked="0" layoutInCell="1" allowOverlap="1" wp14:anchorId="1913C0AB" wp14:editId="20EA04F9">
          <wp:simplePos x="0" y="0"/>
          <wp:positionH relativeFrom="page">
            <wp:posOffset>-27977</wp:posOffset>
          </wp:positionH>
          <wp:positionV relativeFrom="page">
            <wp:posOffset>6985</wp:posOffset>
          </wp:positionV>
          <wp:extent cx="7609205" cy="10763885"/>
          <wp:effectExtent l="152400" t="152400" r="353695" b="361315"/>
          <wp:wrapNone/>
          <wp:docPr id="68" name="Picture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466 Ag Word Cover Image Templates18.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09205" cy="1076388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725CF0">
      <w:rPr>
        <w:noProof/>
      </w:rPr>
      <w:drawing>
        <wp:anchor distT="0" distB="0" distL="114300" distR="114300" simplePos="0" relativeHeight="251658243" behindDoc="0" locked="0" layoutInCell="1" allowOverlap="1" wp14:anchorId="584B2DC2" wp14:editId="4297F673">
          <wp:simplePos x="0" y="0"/>
          <wp:positionH relativeFrom="margin">
            <wp:posOffset>5322570</wp:posOffset>
          </wp:positionH>
          <wp:positionV relativeFrom="margin">
            <wp:posOffset>-1849755</wp:posOffset>
          </wp:positionV>
          <wp:extent cx="1409700" cy="405765"/>
          <wp:effectExtent l="0" t="0" r="0" b="0"/>
          <wp:wrapSquare wrapText="bothSides"/>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409700" cy="405765"/>
                  </a:xfrm>
                  <a:prstGeom prst="rect">
                    <a:avLst/>
                  </a:prstGeom>
                </pic:spPr>
              </pic:pic>
            </a:graphicData>
          </a:graphic>
          <wp14:sizeRelH relativeFrom="margin">
            <wp14:pctWidth>0</wp14:pctWidth>
          </wp14:sizeRelH>
          <wp14:sizeRelV relativeFrom="margin">
            <wp14:pctHeight>0</wp14:pctHeight>
          </wp14:sizeRelV>
        </wp:anchor>
      </w:drawing>
    </w:r>
    <w:r w:rsidR="000771B2">
      <w:rPr>
        <w:noProof/>
        <w:lang w:val="en-AU" w:eastAsia="en-AU"/>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DFC41" w14:textId="77777777" w:rsidR="00697CEB" w:rsidRDefault="00697CEB">
    <w:pPr>
      <w:pStyle w:val="Header"/>
    </w:pPr>
    <w:r w:rsidRPr="00D62D1E">
      <w:rPr>
        <w:noProof/>
        <w:lang w:val="en-AU" w:eastAsia="en-AU"/>
      </w:rPr>
      <w:drawing>
        <wp:anchor distT="0" distB="0" distL="114300" distR="114300" simplePos="0" relativeHeight="251658244" behindDoc="1" locked="0" layoutInCell="1" allowOverlap="1" wp14:anchorId="72739710" wp14:editId="51123483">
          <wp:simplePos x="0" y="0"/>
          <wp:positionH relativeFrom="page">
            <wp:posOffset>-4763</wp:posOffset>
          </wp:positionH>
          <wp:positionV relativeFrom="page">
            <wp:posOffset>15558</wp:posOffset>
          </wp:positionV>
          <wp:extent cx="7560000" cy="923661"/>
          <wp:effectExtent l="0" t="0" r="0" b="0"/>
          <wp:wrapNone/>
          <wp:docPr id="71" name="Picture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2366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8C979" w14:textId="77777777" w:rsidR="00FD1D66" w:rsidRDefault="00FD1D66" w:rsidP="00202E7B">
    <w:pPr>
      <w:tabs>
        <w:tab w:val="center" w:pos="5241"/>
        <w:tab w:val="left" w:pos="5820"/>
        <w:tab w:val="left" w:pos="8980"/>
      </w:tabs>
    </w:pPr>
    <w:r w:rsidRPr="00D62D1E">
      <w:rPr>
        <w:noProof/>
        <w:lang w:val="en-AU" w:eastAsia="en-AU"/>
      </w:rPr>
      <w:drawing>
        <wp:anchor distT="0" distB="0" distL="114300" distR="114300" simplePos="0" relativeHeight="251658245" behindDoc="1" locked="0" layoutInCell="1" allowOverlap="1" wp14:anchorId="7A9FDB4A" wp14:editId="39082835">
          <wp:simplePos x="0" y="0"/>
          <wp:positionH relativeFrom="page">
            <wp:posOffset>0</wp:posOffset>
          </wp:positionH>
          <wp:positionV relativeFrom="page">
            <wp:posOffset>20569</wp:posOffset>
          </wp:positionV>
          <wp:extent cx="7560000" cy="923661"/>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23661"/>
                  </a:xfrm>
                  <a:prstGeom prst="rect">
                    <a:avLst/>
                  </a:prstGeom>
                </pic:spPr>
              </pic:pic>
            </a:graphicData>
          </a:graphic>
          <wp14:sizeRelH relativeFrom="margin">
            <wp14:pctWidth>0</wp14:pctWidth>
          </wp14:sizeRelH>
          <wp14:sizeRelV relativeFrom="margin">
            <wp14:pctHeight>0</wp14:pctHeight>
          </wp14:sizeRelV>
        </wp:anchor>
      </w:drawing>
    </w:r>
    <w:r>
      <w:t xml:space="preserve"> </w:t>
    </w:r>
    <w:r>
      <w:tab/>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12480" w14:textId="77777777" w:rsidR="00306B4E" w:rsidRDefault="00C6675C" w:rsidP="00EF3DC4">
    <w:r w:rsidRPr="00D62D1E">
      <w:rPr>
        <w:noProof/>
        <w:lang w:val="en-AU" w:eastAsia="en-AU"/>
      </w:rPr>
      <w:drawing>
        <wp:anchor distT="0" distB="0" distL="114300" distR="114300" simplePos="0" relativeHeight="251658242" behindDoc="1" locked="0" layoutInCell="1" allowOverlap="1" wp14:anchorId="5E043B15" wp14:editId="0F739070">
          <wp:simplePos x="0" y="0"/>
          <wp:positionH relativeFrom="page">
            <wp:posOffset>0</wp:posOffset>
          </wp:positionH>
          <wp:positionV relativeFrom="page">
            <wp:posOffset>20569</wp:posOffset>
          </wp:positionV>
          <wp:extent cx="7560000" cy="923661"/>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2366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818396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EB1210"/>
    <w:multiLevelType w:val="multilevel"/>
    <w:tmpl w:val="804E93AC"/>
    <w:lvl w:ilvl="0">
      <w:start w:val="1"/>
      <w:numFmt w:val="bullet"/>
      <w:lvlText w:val=""/>
      <w:lvlJc w:val="left"/>
      <w:pPr>
        <w:tabs>
          <w:tab w:val="num" w:pos="6"/>
        </w:tabs>
        <w:ind w:left="6" w:hanging="360"/>
      </w:pPr>
      <w:rPr>
        <w:rFonts w:ascii="Symbol" w:hAnsi="Symbol" w:hint="default"/>
        <w:sz w:val="20"/>
      </w:rPr>
    </w:lvl>
    <w:lvl w:ilvl="1">
      <w:start w:val="1"/>
      <w:numFmt w:val="bullet"/>
      <w:lvlText w:val="o"/>
      <w:lvlJc w:val="left"/>
      <w:pPr>
        <w:tabs>
          <w:tab w:val="num" w:pos="726"/>
        </w:tabs>
        <w:ind w:left="726" w:hanging="360"/>
      </w:pPr>
      <w:rPr>
        <w:rFonts w:ascii="Courier New" w:hAnsi="Courier New" w:hint="default"/>
        <w:sz w:val="20"/>
      </w:rPr>
    </w:lvl>
    <w:lvl w:ilvl="2">
      <w:start w:val="1"/>
      <w:numFmt w:val="bullet"/>
      <w:lvlText w:val=""/>
      <w:lvlJc w:val="left"/>
      <w:pPr>
        <w:tabs>
          <w:tab w:val="num" w:pos="1446"/>
        </w:tabs>
        <w:ind w:left="1446" w:hanging="360"/>
      </w:pPr>
      <w:rPr>
        <w:rFonts w:ascii="Wingdings" w:hAnsi="Wingdings" w:hint="default"/>
        <w:sz w:val="20"/>
      </w:rPr>
    </w:lvl>
    <w:lvl w:ilvl="3">
      <w:start w:val="1"/>
      <w:numFmt w:val="decimal"/>
      <w:lvlText w:val="%4)"/>
      <w:lvlJc w:val="left"/>
      <w:pPr>
        <w:ind w:left="2166" w:hanging="360"/>
      </w:pPr>
      <w:rPr>
        <w:rFonts w:hint="default"/>
      </w:rPr>
    </w:lvl>
    <w:lvl w:ilvl="4" w:tentative="1">
      <w:start w:val="1"/>
      <w:numFmt w:val="bullet"/>
      <w:lvlText w:val=""/>
      <w:lvlJc w:val="left"/>
      <w:pPr>
        <w:tabs>
          <w:tab w:val="num" w:pos="2886"/>
        </w:tabs>
        <w:ind w:left="2886" w:hanging="360"/>
      </w:pPr>
      <w:rPr>
        <w:rFonts w:ascii="Wingdings" w:hAnsi="Wingdings" w:hint="default"/>
        <w:sz w:val="20"/>
      </w:rPr>
    </w:lvl>
    <w:lvl w:ilvl="5" w:tentative="1">
      <w:start w:val="1"/>
      <w:numFmt w:val="bullet"/>
      <w:lvlText w:val=""/>
      <w:lvlJc w:val="left"/>
      <w:pPr>
        <w:tabs>
          <w:tab w:val="num" w:pos="3606"/>
        </w:tabs>
        <w:ind w:left="3606" w:hanging="360"/>
      </w:pPr>
      <w:rPr>
        <w:rFonts w:ascii="Wingdings" w:hAnsi="Wingdings" w:hint="default"/>
        <w:sz w:val="20"/>
      </w:rPr>
    </w:lvl>
    <w:lvl w:ilvl="6" w:tentative="1">
      <w:start w:val="1"/>
      <w:numFmt w:val="bullet"/>
      <w:lvlText w:val=""/>
      <w:lvlJc w:val="left"/>
      <w:pPr>
        <w:tabs>
          <w:tab w:val="num" w:pos="4326"/>
        </w:tabs>
        <w:ind w:left="4326" w:hanging="360"/>
      </w:pPr>
      <w:rPr>
        <w:rFonts w:ascii="Wingdings" w:hAnsi="Wingdings" w:hint="default"/>
        <w:sz w:val="20"/>
      </w:rPr>
    </w:lvl>
    <w:lvl w:ilvl="7" w:tentative="1">
      <w:start w:val="1"/>
      <w:numFmt w:val="bullet"/>
      <w:lvlText w:val=""/>
      <w:lvlJc w:val="left"/>
      <w:pPr>
        <w:tabs>
          <w:tab w:val="num" w:pos="5046"/>
        </w:tabs>
        <w:ind w:left="5046" w:hanging="360"/>
      </w:pPr>
      <w:rPr>
        <w:rFonts w:ascii="Wingdings" w:hAnsi="Wingdings" w:hint="default"/>
        <w:sz w:val="20"/>
      </w:rPr>
    </w:lvl>
    <w:lvl w:ilvl="8" w:tentative="1">
      <w:start w:val="1"/>
      <w:numFmt w:val="bullet"/>
      <w:lvlText w:val=""/>
      <w:lvlJc w:val="left"/>
      <w:pPr>
        <w:tabs>
          <w:tab w:val="num" w:pos="5766"/>
        </w:tabs>
        <w:ind w:left="5766" w:hanging="360"/>
      </w:pPr>
      <w:rPr>
        <w:rFonts w:ascii="Wingdings" w:hAnsi="Wingdings" w:hint="default"/>
        <w:sz w:val="20"/>
      </w:rPr>
    </w:lvl>
  </w:abstractNum>
  <w:abstractNum w:abstractNumId="12" w15:restartNumberingAfterBreak="0">
    <w:nsid w:val="037C55B7"/>
    <w:multiLevelType w:val="hybridMultilevel"/>
    <w:tmpl w:val="2CC04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42B186B"/>
    <w:multiLevelType w:val="multilevel"/>
    <w:tmpl w:val="5DA4F516"/>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4" w15:restartNumberingAfterBreak="0">
    <w:nsid w:val="0A365F92"/>
    <w:multiLevelType w:val="hybridMultilevel"/>
    <w:tmpl w:val="542A3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B5F7010"/>
    <w:multiLevelType w:val="hybridMultilevel"/>
    <w:tmpl w:val="B950C5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0F3474A1"/>
    <w:multiLevelType w:val="hybridMultilevel"/>
    <w:tmpl w:val="22927C42"/>
    <w:lvl w:ilvl="0" w:tplc="88B0353C">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3490C2C"/>
    <w:multiLevelType w:val="hybridMultilevel"/>
    <w:tmpl w:val="5EDA4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5102DA7"/>
    <w:multiLevelType w:val="hybridMultilevel"/>
    <w:tmpl w:val="40927D06"/>
    <w:lvl w:ilvl="0" w:tplc="0C09000F">
      <w:start w:val="1"/>
      <w:numFmt w:val="decimal"/>
      <w:lvlText w:val="%1."/>
      <w:lvlJc w:val="left"/>
      <w:pPr>
        <w:ind w:left="284" w:hanging="284"/>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5C119A4"/>
    <w:multiLevelType w:val="hybridMultilevel"/>
    <w:tmpl w:val="B2F84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CB7E9C"/>
    <w:multiLevelType w:val="hybridMultilevel"/>
    <w:tmpl w:val="02909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83A787B"/>
    <w:multiLevelType w:val="hybridMultilevel"/>
    <w:tmpl w:val="8F8A0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50820E9"/>
    <w:multiLevelType w:val="hybridMultilevel"/>
    <w:tmpl w:val="8CC4BB8A"/>
    <w:lvl w:ilvl="0" w:tplc="88B0353C">
      <w:numFmt w:val="bullet"/>
      <w:lvlText w:val="•"/>
      <w:lvlJc w:val="left"/>
      <w:pPr>
        <w:ind w:left="720" w:hanging="72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7A33102"/>
    <w:multiLevelType w:val="hybridMultilevel"/>
    <w:tmpl w:val="B69C091A"/>
    <w:lvl w:ilvl="0" w:tplc="88B0353C">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1410DDB"/>
    <w:multiLevelType w:val="multilevel"/>
    <w:tmpl w:val="5DA4F5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42E46C7E"/>
    <w:multiLevelType w:val="hybridMultilevel"/>
    <w:tmpl w:val="F16C4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2F45528"/>
    <w:multiLevelType w:val="hybridMultilevel"/>
    <w:tmpl w:val="ADC0556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49115E65"/>
    <w:multiLevelType w:val="multilevel"/>
    <w:tmpl w:val="11040FCC"/>
    <w:lvl w:ilvl="0">
      <w:start w:val="1"/>
      <w:numFmt w:val="upperRoman"/>
      <w:lvlText w:val="%1."/>
      <w:lvlJc w:val="right"/>
      <w:pPr>
        <w:tabs>
          <w:tab w:val="num" w:pos="644"/>
        </w:tabs>
        <w:ind w:left="644" w:hanging="360"/>
      </w:pPr>
      <w:rPr>
        <w:rFonts w:hint="default"/>
        <w:sz w:val="20"/>
      </w:r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30"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6D43BD7"/>
    <w:multiLevelType w:val="hybridMultilevel"/>
    <w:tmpl w:val="A516EABA"/>
    <w:lvl w:ilvl="0" w:tplc="88B0353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6E03BC"/>
    <w:multiLevelType w:val="hybridMultilevel"/>
    <w:tmpl w:val="D2768D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D490E82"/>
    <w:multiLevelType w:val="hybridMultilevel"/>
    <w:tmpl w:val="8A1E027C"/>
    <w:lvl w:ilvl="0" w:tplc="A2B2178A">
      <w:start w:val="1"/>
      <w:numFmt w:val="upperRoman"/>
      <w:lvlText w:val="%1."/>
      <w:lvlJc w:val="right"/>
      <w:pPr>
        <w:ind w:left="1004" w:hanging="360"/>
      </w:pPr>
      <w:rPr>
        <w:b w:val="0"/>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4" w15:restartNumberingAfterBreak="0">
    <w:nsid w:val="5DB77491"/>
    <w:multiLevelType w:val="hybridMultilevel"/>
    <w:tmpl w:val="E30E1D9E"/>
    <w:lvl w:ilvl="0" w:tplc="9C4EF612">
      <w:start w:val="1"/>
      <w:numFmt w:val="bullet"/>
      <w:pStyle w:val="Agbulletlist"/>
      <w:lvlText w:val=""/>
      <w:lvlJc w:val="left"/>
      <w:pPr>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0920AD"/>
    <w:multiLevelType w:val="multilevel"/>
    <w:tmpl w:val="5DA4F51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63267BE9"/>
    <w:multiLevelType w:val="hybridMultilevel"/>
    <w:tmpl w:val="29D67B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6D22E9"/>
    <w:multiLevelType w:val="hybridMultilevel"/>
    <w:tmpl w:val="FCBA1748"/>
    <w:lvl w:ilvl="0" w:tplc="0C090013">
      <w:start w:val="1"/>
      <w:numFmt w:val="upperRoman"/>
      <w:lvlText w:val="%1."/>
      <w:lvlJc w:val="righ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8" w15:restartNumberingAfterBreak="0">
    <w:nsid w:val="690542F2"/>
    <w:multiLevelType w:val="multilevel"/>
    <w:tmpl w:val="BFAC9DB6"/>
    <w:lvl w:ilvl="0">
      <w:start w:val="1"/>
      <w:numFmt w:val="decimal"/>
      <w:lvlText w:val="%1"/>
      <w:lvlJc w:val="left"/>
      <w:pPr>
        <w:ind w:left="432" w:hanging="432"/>
      </w:pPr>
    </w:lvl>
    <w:lvl w:ilvl="1">
      <w:start w:val="1"/>
      <w:numFmt w:val="decimal"/>
      <w:lvlText w:val="%1.%2"/>
      <w:lvlJc w:val="left"/>
      <w:pPr>
        <w:ind w:left="576" w:hanging="576"/>
      </w:pPr>
    </w:lvl>
    <w:lvl w:ilvl="2">
      <w:start w:val="1"/>
      <w:numFmt w:val="lowerRoman"/>
      <w:lvlText w:val="%3."/>
      <w:lvlJc w:val="right"/>
      <w:pPr>
        <w:ind w:left="1287"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7DAD254D"/>
    <w:multiLevelType w:val="multilevel"/>
    <w:tmpl w:val="6A5CB9D8"/>
    <w:lvl w:ilvl="0">
      <w:start w:val="1"/>
      <w:numFmt w:val="bullet"/>
      <w:lvlText w:val=""/>
      <w:lvlJc w:val="left"/>
      <w:pPr>
        <w:tabs>
          <w:tab w:val="num" w:pos="1995"/>
        </w:tabs>
        <w:ind w:left="1995" w:hanging="360"/>
      </w:pPr>
      <w:rPr>
        <w:rFonts w:ascii="Symbol" w:hAnsi="Symbol" w:hint="default"/>
        <w:sz w:val="20"/>
      </w:rPr>
    </w:lvl>
    <w:lvl w:ilvl="1" w:tentative="1">
      <w:start w:val="1"/>
      <w:numFmt w:val="bullet"/>
      <w:lvlText w:val=""/>
      <w:lvlJc w:val="left"/>
      <w:pPr>
        <w:tabs>
          <w:tab w:val="num" w:pos="2715"/>
        </w:tabs>
        <w:ind w:left="2715" w:hanging="360"/>
      </w:pPr>
      <w:rPr>
        <w:rFonts w:ascii="Symbol" w:hAnsi="Symbol" w:hint="default"/>
        <w:sz w:val="20"/>
      </w:rPr>
    </w:lvl>
    <w:lvl w:ilvl="2" w:tentative="1">
      <w:start w:val="1"/>
      <w:numFmt w:val="bullet"/>
      <w:lvlText w:val=""/>
      <w:lvlJc w:val="left"/>
      <w:pPr>
        <w:tabs>
          <w:tab w:val="num" w:pos="3435"/>
        </w:tabs>
        <w:ind w:left="3435" w:hanging="360"/>
      </w:pPr>
      <w:rPr>
        <w:rFonts w:ascii="Symbol" w:hAnsi="Symbol" w:hint="default"/>
        <w:sz w:val="20"/>
      </w:rPr>
    </w:lvl>
    <w:lvl w:ilvl="3" w:tentative="1">
      <w:start w:val="1"/>
      <w:numFmt w:val="bullet"/>
      <w:lvlText w:val=""/>
      <w:lvlJc w:val="left"/>
      <w:pPr>
        <w:tabs>
          <w:tab w:val="num" w:pos="4155"/>
        </w:tabs>
        <w:ind w:left="4155" w:hanging="360"/>
      </w:pPr>
      <w:rPr>
        <w:rFonts w:ascii="Symbol" w:hAnsi="Symbol" w:hint="default"/>
        <w:sz w:val="20"/>
      </w:rPr>
    </w:lvl>
    <w:lvl w:ilvl="4" w:tentative="1">
      <w:start w:val="1"/>
      <w:numFmt w:val="bullet"/>
      <w:lvlText w:val=""/>
      <w:lvlJc w:val="left"/>
      <w:pPr>
        <w:tabs>
          <w:tab w:val="num" w:pos="4875"/>
        </w:tabs>
        <w:ind w:left="4875" w:hanging="360"/>
      </w:pPr>
      <w:rPr>
        <w:rFonts w:ascii="Symbol" w:hAnsi="Symbol" w:hint="default"/>
        <w:sz w:val="20"/>
      </w:rPr>
    </w:lvl>
    <w:lvl w:ilvl="5" w:tentative="1">
      <w:start w:val="1"/>
      <w:numFmt w:val="bullet"/>
      <w:lvlText w:val=""/>
      <w:lvlJc w:val="left"/>
      <w:pPr>
        <w:tabs>
          <w:tab w:val="num" w:pos="5595"/>
        </w:tabs>
        <w:ind w:left="5595" w:hanging="360"/>
      </w:pPr>
      <w:rPr>
        <w:rFonts w:ascii="Symbol" w:hAnsi="Symbol" w:hint="default"/>
        <w:sz w:val="20"/>
      </w:rPr>
    </w:lvl>
    <w:lvl w:ilvl="6" w:tentative="1">
      <w:start w:val="1"/>
      <w:numFmt w:val="bullet"/>
      <w:lvlText w:val=""/>
      <w:lvlJc w:val="left"/>
      <w:pPr>
        <w:tabs>
          <w:tab w:val="num" w:pos="6315"/>
        </w:tabs>
        <w:ind w:left="6315" w:hanging="360"/>
      </w:pPr>
      <w:rPr>
        <w:rFonts w:ascii="Symbol" w:hAnsi="Symbol" w:hint="default"/>
        <w:sz w:val="20"/>
      </w:rPr>
    </w:lvl>
    <w:lvl w:ilvl="7" w:tentative="1">
      <w:start w:val="1"/>
      <w:numFmt w:val="bullet"/>
      <w:lvlText w:val=""/>
      <w:lvlJc w:val="left"/>
      <w:pPr>
        <w:tabs>
          <w:tab w:val="num" w:pos="7035"/>
        </w:tabs>
        <w:ind w:left="7035" w:hanging="360"/>
      </w:pPr>
      <w:rPr>
        <w:rFonts w:ascii="Symbol" w:hAnsi="Symbol" w:hint="default"/>
        <w:sz w:val="20"/>
      </w:rPr>
    </w:lvl>
    <w:lvl w:ilvl="8" w:tentative="1">
      <w:start w:val="1"/>
      <w:numFmt w:val="bullet"/>
      <w:lvlText w:val=""/>
      <w:lvlJc w:val="left"/>
      <w:pPr>
        <w:tabs>
          <w:tab w:val="num" w:pos="7755"/>
        </w:tabs>
        <w:ind w:left="7755"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9"/>
  </w:num>
  <w:num w:numId="13">
    <w:abstractNumId w:val="34"/>
  </w:num>
  <w:num w:numId="14">
    <w:abstractNumId w:val="30"/>
  </w:num>
  <w:num w:numId="15">
    <w:abstractNumId w:val="25"/>
  </w:num>
  <w:num w:numId="16">
    <w:abstractNumId w:val="38"/>
  </w:num>
  <w:num w:numId="17">
    <w:abstractNumId w:val="36"/>
  </w:num>
  <w:num w:numId="18">
    <w:abstractNumId w:val="12"/>
  </w:num>
  <w:num w:numId="19">
    <w:abstractNumId w:val="11"/>
  </w:num>
  <w:num w:numId="20">
    <w:abstractNumId w:val="39"/>
  </w:num>
  <w:num w:numId="21">
    <w:abstractNumId w:val="26"/>
  </w:num>
  <w:num w:numId="22">
    <w:abstractNumId w:val="35"/>
  </w:num>
  <w:num w:numId="23">
    <w:abstractNumId w:val="13"/>
  </w:num>
  <w:num w:numId="24">
    <w:abstractNumId w:val="22"/>
  </w:num>
  <w:num w:numId="25">
    <w:abstractNumId w:val="20"/>
  </w:num>
  <w:num w:numId="26">
    <w:abstractNumId w:val="27"/>
  </w:num>
  <w:num w:numId="27">
    <w:abstractNumId w:val="28"/>
  </w:num>
  <w:num w:numId="28">
    <w:abstractNumId w:val="29"/>
  </w:num>
  <w:num w:numId="29">
    <w:abstractNumId w:val="37"/>
  </w:num>
  <w:num w:numId="30">
    <w:abstractNumId w:val="33"/>
  </w:num>
  <w:num w:numId="31">
    <w:abstractNumId w:val="34"/>
  </w:num>
  <w:num w:numId="32">
    <w:abstractNumId w:val="34"/>
  </w:num>
  <w:num w:numId="33">
    <w:abstractNumId w:val="34"/>
  </w:num>
  <w:num w:numId="34">
    <w:abstractNumId w:val="34"/>
  </w:num>
  <w:num w:numId="35">
    <w:abstractNumId w:val="34"/>
  </w:num>
  <w:num w:numId="36">
    <w:abstractNumId w:val="17"/>
  </w:num>
  <w:num w:numId="37">
    <w:abstractNumId w:val="21"/>
  </w:num>
  <w:num w:numId="38">
    <w:abstractNumId w:val="15"/>
  </w:num>
  <w:num w:numId="39">
    <w:abstractNumId w:val="32"/>
  </w:num>
  <w:num w:numId="40">
    <w:abstractNumId w:val="14"/>
  </w:num>
  <w:num w:numId="41">
    <w:abstractNumId w:val="31"/>
  </w:num>
  <w:num w:numId="42">
    <w:abstractNumId w:val="23"/>
  </w:num>
  <w:num w:numId="43">
    <w:abstractNumId w:val="16"/>
  </w:num>
  <w:num w:numId="44">
    <w:abstractNumId w:val="24"/>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activeWritingStyle w:appName="MSWord" w:lang="en-US" w:vendorID="64" w:dllVersion="6" w:nlCheck="1" w:checkStyle="0"/>
  <w:activeWritingStyle w:appName="MSWord" w:lang="en-AU"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77B9"/>
    <w:rsid w:val="000019FF"/>
    <w:rsid w:val="000045DA"/>
    <w:rsid w:val="000057C1"/>
    <w:rsid w:val="00006E11"/>
    <w:rsid w:val="0001256F"/>
    <w:rsid w:val="00012CFD"/>
    <w:rsid w:val="000148A5"/>
    <w:rsid w:val="0001540B"/>
    <w:rsid w:val="000157CC"/>
    <w:rsid w:val="00015CAF"/>
    <w:rsid w:val="00016981"/>
    <w:rsid w:val="0001779E"/>
    <w:rsid w:val="00022374"/>
    <w:rsid w:val="000229C8"/>
    <w:rsid w:val="00023DAB"/>
    <w:rsid w:val="00024147"/>
    <w:rsid w:val="000267F5"/>
    <w:rsid w:val="0002784E"/>
    <w:rsid w:val="00031CD9"/>
    <w:rsid w:val="00034E4D"/>
    <w:rsid w:val="000356FF"/>
    <w:rsid w:val="00040EDD"/>
    <w:rsid w:val="00044589"/>
    <w:rsid w:val="00046D33"/>
    <w:rsid w:val="000477A5"/>
    <w:rsid w:val="0005026F"/>
    <w:rsid w:val="00051E50"/>
    <w:rsid w:val="00052EE6"/>
    <w:rsid w:val="00053F5F"/>
    <w:rsid w:val="00055C19"/>
    <w:rsid w:val="00060CC6"/>
    <w:rsid w:val="0006301A"/>
    <w:rsid w:val="000630B0"/>
    <w:rsid w:val="00066C72"/>
    <w:rsid w:val="0007353F"/>
    <w:rsid w:val="000771B2"/>
    <w:rsid w:val="00082A8C"/>
    <w:rsid w:val="00083DD9"/>
    <w:rsid w:val="0008614D"/>
    <w:rsid w:val="00091081"/>
    <w:rsid w:val="000942AA"/>
    <w:rsid w:val="000952D6"/>
    <w:rsid w:val="00097C89"/>
    <w:rsid w:val="000A00FC"/>
    <w:rsid w:val="000A124A"/>
    <w:rsid w:val="000A2968"/>
    <w:rsid w:val="000A4B5F"/>
    <w:rsid w:val="000B3FA6"/>
    <w:rsid w:val="000B44D9"/>
    <w:rsid w:val="000B517A"/>
    <w:rsid w:val="000B518C"/>
    <w:rsid w:val="000B5D1C"/>
    <w:rsid w:val="000B6B6B"/>
    <w:rsid w:val="000C059C"/>
    <w:rsid w:val="000C35AB"/>
    <w:rsid w:val="000C3A75"/>
    <w:rsid w:val="000C5C85"/>
    <w:rsid w:val="000C695E"/>
    <w:rsid w:val="000C7342"/>
    <w:rsid w:val="000D01A0"/>
    <w:rsid w:val="000D5A39"/>
    <w:rsid w:val="000D6550"/>
    <w:rsid w:val="000D6FA5"/>
    <w:rsid w:val="000D77B9"/>
    <w:rsid w:val="000E4906"/>
    <w:rsid w:val="000E527F"/>
    <w:rsid w:val="000E7D8D"/>
    <w:rsid w:val="000F0CF3"/>
    <w:rsid w:val="000F6263"/>
    <w:rsid w:val="000F6B9A"/>
    <w:rsid w:val="000F755D"/>
    <w:rsid w:val="0010180B"/>
    <w:rsid w:val="001048E6"/>
    <w:rsid w:val="00106737"/>
    <w:rsid w:val="00107895"/>
    <w:rsid w:val="00111B05"/>
    <w:rsid w:val="00112F0D"/>
    <w:rsid w:val="001251F3"/>
    <w:rsid w:val="00125F73"/>
    <w:rsid w:val="001323E0"/>
    <w:rsid w:val="00133657"/>
    <w:rsid w:val="0013470D"/>
    <w:rsid w:val="0013504F"/>
    <w:rsid w:val="00140704"/>
    <w:rsid w:val="0014079E"/>
    <w:rsid w:val="00150D4B"/>
    <w:rsid w:val="001510C1"/>
    <w:rsid w:val="001552F8"/>
    <w:rsid w:val="0015585C"/>
    <w:rsid w:val="00160591"/>
    <w:rsid w:val="00161B42"/>
    <w:rsid w:val="0016634C"/>
    <w:rsid w:val="0016672B"/>
    <w:rsid w:val="00170C8D"/>
    <w:rsid w:val="00170F76"/>
    <w:rsid w:val="001714D3"/>
    <w:rsid w:val="0017166E"/>
    <w:rsid w:val="001731CD"/>
    <w:rsid w:val="001740FD"/>
    <w:rsid w:val="0017666B"/>
    <w:rsid w:val="001768D9"/>
    <w:rsid w:val="00180AE6"/>
    <w:rsid w:val="00181391"/>
    <w:rsid w:val="00181EBA"/>
    <w:rsid w:val="00182B4F"/>
    <w:rsid w:val="00183402"/>
    <w:rsid w:val="0018361D"/>
    <w:rsid w:val="00186068"/>
    <w:rsid w:val="00187ECC"/>
    <w:rsid w:val="001928B0"/>
    <w:rsid w:val="0019645A"/>
    <w:rsid w:val="00196C59"/>
    <w:rsid w:val="001B0EA2"/>
    <w:rsid w:val="001C3524"/>
    <w:rsid w:val="001C3F77"/>
    <w:rsid w:val="001C4D16"/>
    <w:rsid w:val="001C699F"/>
    <w:rsid w:val="001C77BC"/>
    <w:rsid w:val="001D1174"/>
    <w:rsid w:val="001D4AD5"/>
    <w:rsid w:val="001D51E7"/>
    <w:rsid w:val="001D707C"/>
    <w:rsid w:val="001D7441"/>
    <w:rsid w:val="001E4F9F"/>
    <w:rsid w:val="00202E7B"/>
    <w:rsid w:val="002042F7"/>
    <w:rsid w:val="002110C8"/>
    <w:rsid w:val="00211388"/>
    <w:rsid w:val="00216443"/>
    <w:rsid w:val="0022018E"/>
    <w:rsid w:val="00220616"/>
    <w:rsid w:val="00222716"/>
    <w:rsid w:val="00222CD0"/>
    <w:rsid w:val="002248AB"/>
    <w:rsid w:val="00226D31"/>
    <w:rsid w:val="00227222"/>
    <w:rsid w:val="00234624"/>
    <w:rsid w:val="00236EC2"/>
    <w:rsid w:val="002438E0"/>
    <w:rsid w:val="002474D3"/>
    <w:rsid w:val="00247F47"/>
    <w:rsid w:val="00251F7A"/>
    <w:rsid w:val="00253A9B"/>
    <w:rsid w:val="002568DB"/>
    <w:rsid w:val="00257C7B"/>
    <w:rsid w:val="00261A36"/>
    <w:rsid w:val="00263DD3"/>
    <w:rsid w:val="00265323"/>
    <w:rsid w:val="00273DF3"/>
    <w:rsid w:val="00275313"/>
    <w:rsid w:val="002A628E"/>
    <w:rsid w:val="002A6BC3"/>
    <w:rsid w:val="002B03BE"/>
    <w:rsid w:val="002B0C9A"/>
    <w:rsid w:val="002B0F13"/>
    <w:rsid w:val="002C1E80"/>
    <w:rsid w:val="002C5A8C"/>
    <w:rsid w:val="002C7206"/>
    <w:rsid w:val="002D0F17"/>
    <w:rsid w:val="002D2245"/>
    <w:rsid w:val="002D4392"/>
    <w:rsid w:val="002D4E11"/>
    <w:rsid w:val="002D6189"/>
    <w:rsid w:val="002D6834"/>
    <w:rsid w:val="002D796A"/>
    <w:rsid w:val="002D796C"/>
    <w:rsid w:val="002D7F5F"/>
    <w:rsid w:val="002E050C"/>
    <w:rsid w:val="002E083D"/>
    <w:rsid w:val="002E1D81"/>
    <w:rsid w:val="002E2A24"/>
    <w:rsid w:val="002E41D6"/>
    <w:rsid w:val="002E6BC3"/>
    <w:rsid w:val="002E7B55"/>
    <w:rsid w:val="002F2EEF"/>
    <w:rsid w:val="002F52EF"/>
    <w:rsid w:val="00303654"/>
    <w:rsid w:val="00305B34"/>
    <w:rsid w:val="00306B4E"/>
    <w:rsid w:val="00307306"/>
    <w:rsid w:val="00307590"/>
    <w:rsid w:val="00310575"/>
    <w:rsid w:val="00310E09"/>
    <w:rsid w:val="00311445"/>
    <w:rsid w:val="00313E6E"/>
    <w:rsid w:val="00316A2C"/>
    <w:rsid w:val="00320B43"/>
    <w:rsid w:val="00321F07"/>
    <w:rsid w:val="00323B2F"/>
    <w:rsid w:val="00325FE6"/>
    <w:rsid w:val="00326980"/>
    <w:rsid w:val="00327A32"/>
    <w:rsid w:val="003326C3"/>
    <w:rsid w:val="003368D2"/>
    <w:rsid w:val="0034043C"/>
    <w:rsid w:val="00340C5D"/>
    <w:rsid w:val="0034305E"/>
    <w:rsid w:val="003450AE"/>
    <w:rsid w:val="00345A69"/>
    <w:rsid w:val="003534F4"/>
    <w:rsid w:val="003556A2"/>
    <w:rsid w:val="00355D50"/>
    <w:rsid w:val="0035629E"/>
    <w:rsid w:val="0036024D"/>
    <w:rsid w:val="00360C73"/>
    <w:rsid w:val="0036138F"/>
    <w:rsid w:val="00362F7B"/>
    <w:rsid w:val="00363FEC"/>
    <w:rsid w:val="00365018"/>
    <w:rsid w:val="00367DE3"/>
    <w:rsid w:val="0037063F"/>
    <w:rsid w:val="00370F35"/>
    <w:rsid w:val="003712E6"/>
    <w:rsid w:val="00375679"/>
    <w:rsid w:val="00376B6F"/>
    <w:rsid w:val="00377C55"/>
    <w:rsid w:val="00377E78"/>
    <w:rsid w:val="00381C6B"/>
    <w:rsid w:val="003857DD"/>
    <w:rsid w:val="00385A36"/>
    <w:rsid w:val="00385F05"/>
    <w:rsid w:val="003901D2"/>
    <w:rsid w:val="00395C55"/>
    <w:rsid w:val="00397B9B"/>
    <w:rsid w:val="003A0AFB"/>
    <w:rsid w:val="003A0C46"/>
    <w:rsid w:val="003A2768"/>
    <w:rsid w:val="003A2782"/>
    <w:rsid w:val="003A296B"/>
    <w:rsid w:val="003A36A6"/>
    <w:rsid w:val="003A467E"/>
    <w:rsid w:val="003A5FE7"/>
    <w:rsid w:val="003A63C5"/>
    <w:rsid w:val="003B0006"/>
    <w:rsid w:val="003B40F9"/>
    <w:rsid w:val="003B6B53"/>
    <w:rsid w:val="003B79F8"/>
    <w:rsid w:val="003C077D"/>
    <w:rsid w:val="003C0877"/>
    <w:rsid w:val="003C1B36"/>
    <w:rsid w:val="003C2BD3"/>
    <w:rsid w:val="003C2E56"/>
    <w:rsid w:val="003C4A74"/>
    <w:rsid w:val="003C4BC8"/>
    <w:rsid w:val="003D032C"/>
    <w:rsid w:val="003D0C2E"/>
    <w:rsid w:val="003D2960"/>
    <w:rsid w:val="003D2CE4"/>
    <w:rsid w:val="003D2EDE"/>
    <w:rsid w:val="003D45DC"/>
    <w:rsid w:val="003D5E8C"/>
    <w:rsid w:val="003E0A4E"/>
    <w:rsid w:val="003E3C5A"/>
    <w:rsid w:val="003E4749"/>
    <w:rsid w:val="003E4764"/>
    <w:rsid w:val="003E52E2"/>
    <w:rsid w:val="003E59F9"/>
    <w:rsid w:val="003F24C6"/>
    <w:rsid w:val="003F32CC"/>
    <w:rsid w:val="003F5E3D"/>
    <w:rsid w:val="003F7974"/>
    <w:rsid w:val="00400D2F"/>
    <w:rsid w:val="00401770"/>
    <w:rsid w:val="00403238"/>
    <w:rsid w:val="004057E3"/>
    <w:rsid w:val="00407A36"/>
    <w:rsid w:val="0041026F"/>
    <w:rsid w:val="00411D1D"/>
    <w:rsid w:val="00416217"/>
    <w:rsid w:val="00417B12"/>
    <w:rsid w:val="004224C1"/>
    <w:rsid w:val="004225BA"/>
    <w:rsid w:val="00422B5C"/>
    <w:rsid w:val="0042478B"/>
    <w:rsid w:val="00424C15"/>
    <w:rsid w:val="00433BDE"/>
    <w:rsid w:val="004367E4"/>
    <w:rsid w:val="0044094D"/>
    <w:rsid w:val="00445648"/>
    <w:rsid w:val="00446CF3"/>
    <w:rsid w:val="00446D6C"/>
    <w:rsid w:val="0045026C"/>
    <w:rsid w:val="00451586"/>
    <w:rsid w:val="004575E6"/>
    <w:rsid w:val="00460072"/>
    <w:rsid w:val="0046684C"/>
    <w:rsid w:val="004748E5"/>
    <w:rsid w:val="00474925"/>
    <w:rsid w:val="0047692D"/>
    <w:rsid w:val="00480133"/>
    <w:rsid w:val="004801EE"/>
    <w:rsid w:val="00481F25"/>
    <w:rsid w:val="0048350E"/>
    <w:rsid w:val="004910CB"/>
    <w:rsid w:val="00492859"/>
    <w:rsid w:val="0049387E"/>
    <w:rsid w:val="00494881"/>
    <w:rsid w:val="004A0178"/>
    <w:rsid w:val="004A2968"/>
    <w:rsid w:val="004A33C4"/>
    <w:rsid w:val="004A5E15"/>
    <w:rsid w:val="004A6184"/>
    <w:rsid w:val="004A6747"/>
    <w:rsid w:val="004B22D5"/>
    <w:rsid w:val="004B4DB3"/>
    <w:rsid w:val="004C1EB7"/>
    <w:rsid w:val="004C382C"/>
    <w:rsid w:val="004C4081"/>
    <w:rsid w:val="004C6338"/>
    <w:rsid w:val="004C6BB0"/>
    <w:rsid w:val="004D054D"/>
    <w:rsid w:val="004D363F"/>
    <w:rsid w:val="004D43DC"/>
    <w:rsid w:val="004E3F21"/>
    <w:rsid w:val="004E51E2"/>
    <w:rsid w:val="004E6C60"/>
    <w:rsid w:val="004F1BDC"/>
    <w:rsid w:val="004F40F9"/>
    <w:rsid w:val="004F447C"/>
    <w:rsid w:val="00501B76"/>
    <w:rsid w:val="0050256E"/>
    <w:rsid w:val="00502D82"/>
    <w:rsid w:val="00502E5E"/>
    <w:rsid w:val="00503BED"/>
    <w:rsid w:val="0050566C"/>
    <w:rsid w:val="00505E74"/>
    <w:rsid w:val="005113CF"/>
    <w:rsid w:val="00511AAF"/>
    <w:rsid w:val="005124D7"/>
    <w:rsid w:val="00512EBF"/>
    <w:rsid w:val="0051399E"/>
    <w:rsid w:val="00516B50"/>
    <w:rsid w:val="00521235"/>
    <w:rsid w:val="0052443E"/>
    <w:rsid w:val="0052672F"/>
    <w:rsid w:val="00531B4F"/>
    <w:rsid w:val="005320D1"/>
    <w:rsid w:val="00533F39"/>
    <w:rsid w:val="00536541"/>
    <w:rsid w:val="005429CF"/>
    <w:rsid w:val="00543F55"/>
    <w:rsid w:val="00547588"/>
    <w:rsid w:val="00552B45"/>
    <w:rsid w:val="00552FF9"/>
    <w:rsid w:val="0055425E"/>
    <w:rsid w:val="00555F2A"/>
    <w:rsid w:val="00555F54"/>
    <w:rsid w:val="0056112B"/>
    <w:rsid w:val="00561D1A"/>
    <w:rsid w:val="00561F82"/>
    <w:rsid w:val="00563E9E"/>
    <w:rsid w:val="0056601E"/>
    <w:rsid w:val="005715B8"/>
    <w:rsid w:val="00582C16"/>
    <w:rsid w:val="00585B37"/>
    <w:rsid w:val="00590E4A"/>
    <w:rsid w:val="00594715"/>
    <w:rsid w:val="00596C94"/>
    <w:rsid w:val="005A0417"/>
    <w:rsid w:val="005A35AC"/>
    <w:rsid w:val="005A47DB"/>
    <w:rsid w:val="005B1366"/>
    <w:rsid w:val="005B1D27"/>
    <w:rsid w:val="005B1F45"/>
    <w:rsid w:val="005B365F"/>
    <w:rsid w:val="005B3F36"/>
    <w:rsid w:val="005C02FB"/>
    <w:rsid w:val="005C1AEB"/>
    <w:rsid w:val="005C3353"/>
    <w:rsid w:val="005C3BF4"/>
    <w:rsid w:val="005C4C18"/>
    <w:rsid w:val="005D0365"/>
    <w:rsid w:val="005D098F"/>
    <w:rsid w:val="005D35C4"/>
    <w:rsid w:val="005D37DA"/>
    <w:rsid w:val="005D4E08"/>
    <w:rsid w:val="005D6D23"/>
    <w:rsid w:val="005D735D"/>
    <w:rsid w:val="005E07E2"/>
    <w:rsid w:val="005E4E9F"/>
    <w:rsid w:val="005F1513"/>
    <w:rsid w:val="005F15A0"/>
    <w:rsid w:val="005F28D4"/>
    <w:rsid w:val="005F39D2"/>
    <w:rsid w:val="005F493C"/>
    <w:rsid w:val="005F60F2"/>
    <w:rsid w:val="00601B3F"/>
    <w:rsid w:val="00605F20"/>
    <w:rsid w:val="00606541"/>
    <w:rsid w:val="00607424"/>
    <w:rsid w:val="00610FC7"/>
    <w:rsid w:val="0061304B"/>
    <w:rsid w:val="00616F24"/>
    <w:rsid w:val="00624BBC"/>
    <w:rsid w:val="00625585"/>
    <w:rsid w:val="006265BF"/>
    <w:rsid w:val="00626867"/>
    <w:rsid w:val="00631F36"/>
    <w:rsid w:val="00632C8A"/>
    <w:rsid w:val="006339DA"/>
    <w:rsid w:val="006351F3"/>
    <w:rsid w:val="00635AFB"/>
    <w:rsid w:val="00641571"/>
    <w:rsid w:val="00651678"/>
    <w:rsid w:val="006522BA"/>
    <w:rsid w:val="00657C99"/>
    <w:rsid w:val="00660AA4"/>
    <w:rsid w:val="0066292A"/>
    <w:rsid w:val="006638F3"/>
    <w:rsid w:val="00665B15"/>
    <w:rsid w:val="006660A7"/>
    <w:rsid w:val="00667D31"/>
    <w:rsid w:val="00670D9D"/>
    <w:rsid w:val="006737CE"/>
    <w:rsid w:val="00675F2D"/>
    <w:rsid w:val="006810EF"/>
    <w:rsid w:val="00683142"/>
    <w:rsid w:val="006850FE"/>
    <w:rsid w:val="00692762"/>
    <w:rsid w:val="00694091"/>
    <w:rsid w:val="006964A5"/>
    <w:rsid w:val="00697A26"/>
    <w:rsid w:val="00697CEB"/>
    <w:rsid w:val="006A18F0"/>
    <w:rsid w:val="006A35C8"/>
    <w:rsid w:val="006A3FA9"/>
    <w:rsid w:val="006A422E"/>
    <w:rsid w:val="006A4C71"/>
    <w:rsid w:val="006A5C8C"/>
    <w:rsid w:val="006A6409"/>
    <w:rsid w:val="006B2E77"/>
    <w:rsid w:val="006B2EB0"/>
    <w:rsid w:val="006B67B8"/>
    <w:rsid w:val="006C06D2"/>
    <w:rsid w:val="006C39DA"/>
    <w:rsid w:val="006D07C3"/>
    <w:rsid w:val="006D4F9C"/>
    <w:rsid w:val="006D6768"/>
    <w:rsid w:val="006D676B"/>
    <w:rsid w:val="006D7762"/>
    <w:rsid w:val="006D7F41"/>
    <w:rsid w:val="006E0DEB"/>
    <w:rsid w:val="006E22EE"/>
    <w:rsid w:val="006E2399"/>
    <w:rsid w:val="006E2947"/>
    <w:rsid w:val="006E32F2"/>
    <w:rsid w:val="006E5C91"/>
    <w:rsid w:val="006E5E81"/>
    <w:rsid w:val="006E762E"/>
    <w:rsid w:val="006F1A0E"/>
    <w:rsid w:val="00700273"/>
    <w:rsid w:val="007003EB"/>
    <w:rsid w:val="007019BC"/>
    <w:rsid w:val="00702F33"/>
    <w:rsid w:val="00707577"/>
    <w:rsid w:val="00713106"/>
    <w:rsid w:val="007148AF"/>
    <w:rsid w:val="007219EC"/>
    <w:rsid w:val="00721DAF"/>
    <w:rsid w:val="00722767"/>
    <w:rsid w:val="007247C1"/>
    <w:rsid w:val="0072525E"/>
    <w:rsid w:val="00725CF0"/>
    <w:rsid w:val="00727EEF"/>
    <w:rsid w:val="007302E7"/>
    <w:rsid w:val="00731CDF"/>
    <w:rsid w:val="007331D1"/>
    <w:rsid w:val="0073577E"/>
    <w:rsid w:val="0073663F"/>
    <w:rsid w:val="00737B27"/>
    <w:rsid w:val="0074385E"/>
    <w:rsid w:val="007468B2"/>
    <w:rsid w:val="0074771B"/>
    <w:rsid w:val="007519E5"/>
    <w:rsid w:val="00753C9E"/>
    <w:rsid w:val="00755E42"/>
    <w:rsid w:val="0076002F"/>
    <w:rsid w:val="0076017E"/>
    <w:rsid w:val="0076187E"/>
    <w:rsid w:val="00761939"/>
    <w:rsid w:val="00763A68"/>
    <w:rsid w:val="00763B94"/>
    <w:rsid w:val="00770B5E"/>
    <w:rsid w:val="00772965"/>
    <w:rsid w:val="0077471B"/>
    <w:rsid w:val="00774DF8"/>
    <w:rsid w:val="00775982"/>
    <w:rsid w:val="00775C11"/>
    <w:rsid w:val="007822A0"/>
    <w:rsid w:val="00782D1D"/>
    <w:rsid w:val="0078524B"/>
    <w:rsid w:val="00786863"/>
    <w:rsid w:val="0078748A"/>
    <w:rsid w:val="007879F4"/>
    <w:rsid w:val="00792085"/>
    <w:rsid w:val="00795909"/>
    <w:rsid w:val="00796679"/>
    <w:rsid w:val="0079670D"/>
    <w:rsid w:val="007A1312"/>
    <w:rsid w:val="007A4BB8"/>
    <w:rsid w:val="007A6436"/>
    <w:rsid w:val="007B601A"/>
    <w:rsid w:val="007C65C8"/>
    <w:rsid w:val="007C7887"/>
    <w:rsid w:val="007D1389"/>
    <w:rsid w:val="007D1724"/>
    <w:rsid w:val="007D21F7"/>
    <w:rsid w:val="007D310A"/>
    <w:rsid w:val="007D4225"/>
    <w:rsid w:val="007D5119"/>
    <w:rsid w:val="007E0B48"/>
    <w:rsid w:val="007E0D6E"/>
    <w:rsid w:val="007E2546"/>
    <w:rsid w:val="007E28A9"/>
    <w:rsid w:val="007E32D3"/>
    <w:rsid w:val="007E683D"/>
    <w:rsid w:val="007F046C"/>
    <w:rsid w:val="007F610A"/>
    <w:rsid w:val="0080159C"/>
    <w:rsid w:val="00803F42"/>
    <w:rsid w:val="00804DEB"/>
    <w:rsid w:val="008061D8"/>
    <w:rsid w:val="008101E8"/>
    <w:rsid w:val="00811664"/>
    <w:rsid w:val="00811FA2"/>
    <w:rsid w:val="00812EDD"/>
    <w:rsid w:val="00813878"/>
    <w:rsid w:val="0081569C"/>
    <w:rsid w:val="00817065"/>
    <w:rsid w:val="0082475D"/>
    <w:rsid w:val="008279BF"/>
    <w:rsid w:val="008322AA"/>
    <w:rsid w:val="00832CBF"/>
    <w:rsid w:val="00833E2D"/>
    <w:rsid w:val="00836DFE"/>
    <w:rsid w:val="00837AE8"/>
    <w:rsid w:val="0084369F"/>
    <w:rsid w:val="00847910"/>
    <w:rsid w:val="00851CBC"/>
    <w:rsid w:val="00852AA9"/>
    <w:rsid w:val="00852EA1"/>
    <w:rsid w:val="00853FF0"/>
    <w:rsid w:val="008575FB"/>
    <w:rsid w:val="0086129D"/>
    <w:rsid w:val="008639BE"/>
    <w:rsid w:val="008647F6"/>
    <w:rsid w:val="008650FD"/>
    <w:rsid w:val="00865E32"/>
    <w:rsid w:val="00865F0A"/>
    <w:rsid w:val="008722BE"/>
    <w:rsid w:val="0087252A"/>
    <w:rsid w:val="008741C8"/>
    <w:rsid w:val="0087574B"/>
    <w:rsid w:val="00883C18"/>
    <w:rsid w:val="0088425C"/>
    <w:rsid w:val="00884E62"/>
    <w:rsid w:val="00886DB5"/>
    <w:rsid w:val="00887F4C"/>
    <w:rsid w:val="008928D2"/>
    <w:rsid w:val="008954B2"/>
    <w:rsid w:val="008A19B3"/>
    <w:rsid w:val="008A26C3"/>
    <w:rsid w:val="008A4526"/>
    <w:rsid w:val="008A46D6"/>
    <w:rsid w:val="008A757F"/>
    <w:rsid w:val="008B1963"/>
    <w:rsid w:val="008B235C"/>
    <w:rsid w:val="008B47E6"/>
    <w:rsid w:val="008B561E"/>
    <w:rsid w:val="008B5888"/>
    <w:rsid w:val="008B7B9E"/>
    <w:rsid w:val="008C338A"/>
    <w:rsid w:val="008C3756"/>
    <w:rsid w:val="008C5055"/>
    <w:rsid w:val="008C53DD"/>
    <w:rsid w:val="008C5412"/>
    <w:rsid w:val="008C5966"/>
    <w:rsid w:val="008D04F6"/>
    <w:rsid w:val="008D2A20"/>
    <w:rsid w:val="008D2B2B"/>
    <w:rsid w:val="008D2B6D"/>
    <w:rsid w:val="008D37A8"/>
    <w:rsid w:val="008D5A4D"/>
    <w:rsid w:val="008D78B7"/>
    <w:rsid w:val="008E0297"/>
    <w:rsid w:val="008E11FD"/>
    <w:rsid w:val="008E1989"/>
    <w:rsid w:val="008E1C8A"/>
    <w:rsid w:val="008E468C"/>
    <w:rsid w:val="008F31AC"/>
    <w:rsid w:val="008F5149"/>
    <w:rsid w:val="0090217C"/>
    <w:rsid w:val="00904E56"/>
    <w:rsid w:val="00907B35"/>
    <w:rsid w:val="00910293"/>
    <w:rsid w:val="00912E64"/>
    <w:rsid w:val="00912EF1"/>
    <w:rsid w:val="00914089"/>
    <w:rsid w:val="009178B8"/>
    <w:rsid w:val="00926DAE"/>
    <w:rsid w:val="00926F39"/>
    <w:rsid w:val="00927E60"/>
    <w:rsid w:val="0093255F"/>
    <w:rsid w:val="00933E25"/>
    <w:rsid w:val="0093666F"/>
    <w:rsid w:val="00936BAC"/>
    <w:rsid w:val="00937AEF"/>
    <w:rsid w:val="00946B3F"/>
    <w:rsid w:val="009508A6"/>
    <w:rsid w:val="00952C85"/>
    <w:rsid w:val="00955692"/>
    <w:rsid w:val="009558E8"/>
    <w:rsid w:val="00955E60"/>
    <w:rsid w:val="009612CC"/>
    <w:rsid w:val="009620FD"/>
    <w:rsid w:val="00963558"/>
    <w:rsid w:val="00975A9E"/>
    <w:rsid w:val="00980445"/>
    <w:rsid w:val="00982F65"/>
    <w:rsid w:val="00990BA3"/>
    <w:rsid w:val="00994524"/>
    <w:rsid w:val="009A142E"/>
    <w:rsid w:val="009A2A32"/>
    <w:rsid w:val="009A49FA"/>
    <w:rsid w:val="009A6C18"/>
    <w:rsid w:val="009B711C"/>
    <w:rsid w:val="009C112F"/>
    <w:rsid w:val="009C3E7F"/>
    <w:rsid w:val="009D0FAE"/>
    <w:rsid w:val="009D2F90"/>
    <w:rsid w:val="009D4145"/>
    <w:rsid w:val="009D46D8"/>
    <w:rsid w:val="009D6336"/>
    <w:rsid w:val="009D78BA"/>
    <w:rsid w:val="009E1178"/>
    <w:rsid w:val="009E4674"/>
    <w:rsid w:val="009E5342"/>
    <w:rsid w:val="009E5512"/>
    <w:rsid w:val="009E789E"/>
    <w:rsid w:val="009F183A"/>
    <w:rsid w:val="009F42D0"/>
    <w:rsid w:val="00A12903"/>
    <w:rsid w:val="00A13812"/>
    <w:rsid w:val="00A1528A"/>
    <w:rsid w:val="00A21A7E"/>
    <w:rsid w:val="00A22634"/>
    <w:rsid w:val="00A23779"/>
    <w:rsid w:val="00A27C5C"/>
    <w:rsid w:val="00A314C5"/>
    <w:rsid w:val="00A3413C"/>
    <w:rsid w:val="00A41B7F"/>
    <w:rsid w:val="00A41D17"/>
    <w:rsid w:val="00A427D1"/>
    <w:rsid w:val="00A42DEF"/>
    <w:rsid w:val="00A456E2"/>
    <w:rsid w:val="00A46ABB"/>
    <w:rsid w:val="00A47C38"/>
    <w:rsid w:val="00A53013"/>
    <w:rsid w:val="00A55F6C"/>
    <w:rsid w:val="00A605FE"/>
    <w:rsid w:val="00A606FA"/>
    <w:rsid w:val="00A60AB2"/>
    <w:rsid w:val="00A70375"/>
    <w:rsid w:val="00A757FD"/>
    <w:rsid w:val="00A7671F"/>
    <w:rsid w:val="00A81A09"/>
    <w:rsid w:val="00A82012"/>
    <w:rsid w:val="00A8658F"/>
    <w:rsid w:val="00A867BE"/>
    <w:rsid w:val="00A8756E"/>
    <w:rsid w:val="00A93FB6"/>
    <w:rsid w:val="00AA3CC9"/>
    <w:rsid w:val="00AA424A"/>
    <w:rsid w:val="00AA4F72"/>
    <w:rsid w:val="00AA75D7"/>
    <w:rsid w:val="00AB6906"/>
    <w:rsid w:val="00AB7B83"/>
    <w:rsid w:val="00AB7D71"/>
    <w:rsid w:val="00AD01CA"/>
    <w:rsid w:val="00AD0B39"/>
    <w:rsid w:val="00AD158E"/>
    <w:rsid w:val="00AD24C7"/>
    <w:rsid w:val="00AD2AAE"/>
    <w:rsid w:val="00AD2F0A"/>
    <w:rsid w:val="00AD74A5"/>
    <w:rsid w:val="00AE738B"/>
    <w:rsid w:val="00AE78E9"/>
    <w:rsid w:val="00AF5FCF"/>
    <w:rsid w:val="00B04A72"/>
    <w:rsid w:val="00B172AF"/>
    <w:rsid w:val="00B179B3"/>
    <w:rsid w:val="00B2263F"/>
    <w:rsid w:val="00B258F2"/>
    <w:rsid w:val="00B274C6"/>
    <w:rsid w:val="00B276B8"/>
    <w:rsid w:val="00B347F1"/>
    <w:rsid w:val="00B35D07"/>
    <w:rsid w:val="00B40542"/>
    <w:rsid w:val="00B40D06"/>
    <w:rsid w:val="00B4269D"/>
    <w:rsid w:val="00B43DB8"/>
    <w:rsid w:val="00B47936"/>
    <w:rsid w:val="00B47E9B"/>
    <w:rsid w:val="00B50584"/>
    <w:rsid w:val="00B512B5"/>
    <w:rsid w:val="00B551CD"/>
    <w:rsid w:val="00B5588E"/>
    <w:rsid w:val="00B572FE"/>
    <w:rsid w:val="00B606AE"/>
    <w:rsid w:val="00B62261"/>
    <w:rsid w:val="00B65F73"/>
    <w:rsid w:val="00B67CFB"/>
    <w:rsid w:val="00B7284B"/>
    <w:rsid w:val="00B72BD9"/>
    <w:rsid w:val="00B746DE"/>
    <w:rsid w:val="00B74F19"/>
    <w:rsid w:val="00B80439"/>
    <w:rsid w:val="00B80D03"/>
    <w:rsid w:val="00B84BDE"/>
    <w:rsid w:val="00B871BB"/>
    <w:rsid w:val="00B907AF"/>
    <w:rsid w:val="00B937F9"/>
    <w:rsid w:val="00B94261"/>
    <w:rsid w:val="00B953A6"/>
    <w:rsid w:val="00BA2015"/>
    <w:rsid w:val="00BA257F"/>
    <w:rsid w:val="00BA4A03"/>
    <w:rsid w:val="00BA5D32"/>
    <w:rsid w:val="00BA6AC1"/>
    <w:rsid w:val="00BB0BB6"/>
    <w:rsid w:val="00BB17CE"/>
    <w:rsid w:val="00BB27AA"/>
    <w:rsid w:val="00BB2E70"/>
    <w:rsid w:val="00BB44BC"/>
    <w:rsid w:val="00BB5A6D"/>
    <w:rsid w:val="00BB7882"/>
    <w:rsid w:val="00BC1DF2"/>
    <w:rsid w:val="00BC5FB1"/>
    <w:rsid w:val="00BC7343"/>
    <w:rsid w:val="00BC7C12"/>
    <w:rsid w:val="00BD0873"/>
    <w:rsid w:val="00BD1DE7"/>
    <w:rsid w:val="00BD2731"/>
    <w:rsid w:val="00BD4FDD"/>
    <w:rsid w:val="00BD58AD"/>
    <w:rsid w:val="00BD601F"/>
    <w:rsid w:val="00BD7D38"/>
    <w:rsid w:val="00BE068E"/>
    <w:rsid w:val="00BE4964"/>
    <w:rsid w:val="00BF35A6"/>
    <w:rsid w:val="00C01CFE"/>
    <w:rsid w:val="00C02586"/>
    <w:rsid w:val="00C04097"/>
    <w:rsid w:val="00C04D88"/>
    <w:rsid w:val="00C058C4"/>
    <w:rsid w:val="00C0748C"/>
    <w:rsid w:val="00C1090C"/>
    <w:rsid w:val="00C14E78"/>
    <w:rsid w:val="00C1517F"/>
    <w:rsid w:val="00C161D2"/>
    <w:rsid w:val="00C21C0E"/>
    <w:rsid w:val="00C22F84"/>
    <w:rsid w:val="00C231A8"/>
    <w:rsid w:val="00C23353"/>
    <w:rsid w:val="00C23FD3"/>
    <w:rsid w:val="00C240CC"/>
    <w:rsid w:val="00C251B5"/>
    <w:rsid w:val="00C313A6"/>
    <w:rsid w:val="00C34D01"/>
    <w:rsid w:val="00C365A3"/>
    <w:rsid w:val="00C37B06"/>
    <w:rsid w:val="00C40A05"/>
    <w:rsid w:val="00C433B1"/>
    <w:rsid w:val="00C43BB0"/>
    <w:rsid w:val="00C44299"/>
    <w:rsid w:val="00C45A88"/>
    <w:rsid w:val="00C45B22"/>
    <w:rsid w:val="00C51394"/>
    <w:rsid w:val="00C52F9D"/>
    <w:rsid w:val="00C54644"/>
    <w:rsid w:val="00C552CF"/>
    <w:rsid w:val="00C6357E"/>
    <w:rsid w:val="00C6675C"/>
    <w:rsid w:val="00C700D9"/>
    <w:rsid w:val="00C707E3"/>
    <w:rsid w:val="00C720EE"/>
    <w:rsid w:val="00C73391"/>
    <w:rsid w:val="00C7447F"/>
    <w:rsid w:val="00C81A26"/>
    <w:rsid w:val="00C82FB7"/>
    <w:rsid w:val="00C85827"/>
    <w:rsid w:val="00C85B34"/>
    <w:rsid w:val="00C86A07"/>
    <w:rsid w:val="00C901F7"/>
    <w:rsid w:val="00C9311A"/>
    <w:rsid w:val="00C946B9"/>
    <w:rsid w:val="00C952D5"/>
    <w:rsid w:val="00C9610F"/>
    <w:rsid w:val="00CA5410"/>
    <w:rsid w:val="00CA63CF"/>
    <w:rsid w:val="00CB092F"/>
    <w:rsid w:val="00CB3E61"/>
    <w:rsid w:val="00CC3EFF"/>
    <w:rsid w:val="00CC4D3B"/>
    <w:rsid w:val="00CC6379"/>
    <w:rsid w:val="00CC6E7E"/>
    <w:rsid w:val="00CD0EC4"/>
    <w:rsid w:val="00CD25BF"/>
    <w:rsid w:val="00CD33A9"/>
    <w:rsid w:val="00CD566D"/>
    <w:rsid w:val="00CD6D60"/>
    <w:rsid w:val="00CE3F09"/>
    <w:rsid w:val="00CE4E03"/>
    <w:rsid w:val="00CE56DA"/>
    <w:rsid w:val="00CE6A19"/>
    <w:rsid w:val="00CF0624"/>
    <w:rsid w:val="00CF1F31"/>
    <w:rsid w:val="00CF230A"/>
    <w:rsid w:val="00CF4C91"/>
    <w:rsid w:val="00CF54FB"/>
    <w:rsid w:val="00CF6159"/>
    <w:rsid w:val="00CF6169"/>
    <w:rsid w:val="00D02650"/>
    <w:rsid w:val="00D059E6"/>
    <w:rsid w:val="00D07207"/>
    <w:rsid w:val="00D07B12"/>
    <w:rsid w:val="00D111C0"/>
    <w:rsid w:val="00D11366"/>
    <w:rsid w:val="00D170D9"/>
    <w:rsid w:val="00D2235C"/>
    <w:rsid w:val="00D23F45"/>
    <w:rsid w:val="00D261D4"/>
    <w:rsid w:val="00D26276"/>
    <w:rsid w:val="00D26394"/>
    <w:rsid w:val="00D274A7"/>
    <w:rsid w:val="00D30687"/>
    <w:rsid w:val="00D307B8"/>
    <w:rsid w:val="00D318F3"/>
    <w:rsid w:val="00D3198D"/>
    <w:rsid w:val="00D32DDA"/>
    <w:rsid w:val="00D33348"/>
    <w:rsid w:val="00D33A77"/>
    <w:rsid w:val="00D33D02"/>
    <w:rsid w:val="00D35680"/>
    <w:rsid w:val="00D35FD8"/>
    <w:rsid w:val="00D37BD2"/>
    <w:rsid w:val="00D37EB4"/>
    <w:rsid w:val="00D51660"/>
    <w:rsid w:val="00D54C5D"/>
    <w:rsid w:val="00D55D23"/>
    <w:rsid w:val="00D576C4"/>
    <w:rsid w:val="00D61E50"/>
    <w:rsid w:val="00D624CD"/>
    <w:rsid w:val="00D627A1"/>
    <w:rsid w:val="00D62EE1"/>
    <w:rsid w:val="00D712F4"/>
    <w:rsid w:val="00D714CF"/>
    <w:rsid w:val="00D73528"/>
    <w:rsid w:val="00D73C27"/>
    <w:rsid w:val="00D75798"/>
    <w:rsid w:val="00D800BD"/>
    <w:rsid w:val="00D81919"/>
    <w:rsid w:val="00D83AE5"/>
    <w:rsid w:val="00D86120"/>
    <w:rsid w:val="00D91388"/>
    <w:rsid w:val="00D95257"/>
    <w:rsid w:val="00DA3189"/>
    <w:rsid w:val="00DA460B"/>
    <w:rsid w:val="00DA6734"/>
    <w:rsid w:val="00DB0C8E"/>
    <w:rsid w:val="00DB2787"/>
    <w:rsid w:val="00DB312C"/>
    <w:rsid w:val="00DB4230"/>
    <w:rsid w:val="00DC3C90"/>
    <w:rsid w:val="00DC7BE4"/>
    <w:rsid w:val="00DC7CEE"/>
    <w:rsid w:val="00DD3D47"/>
    <w:rsid w:val="00DE0446"/>
    <w:rsid w:val="00DE0775"/>
    <w:rsid w:val="00DE2747"/>
    <w:rsid w:val="00DE4095"/>
    <w:rsid w:val="00DE58DB"/>
    <w:rsid w:val="00DF01D4"/>
    <w:rsid w:val="00DF17B4"/>
    <w:rsid w:val="00DF2300"/>
    <w:rsid w:val="00DF3CA8"/>
    <w:rsid w:val="00E00F8A"/>
    <w:rsid w:val="00E044B6"/>
    <w:rsid w:val="00E055A2"/>
    <w:rsid w:val="00E1039C"/>
    <w:rsid w:val="00E108FC"/>
    <w:rsid w:val="00E115D3"/>
    <w:rsid w:val="00E176FC"/>
    <w:rsid w:val="00E21EE4"/>
    <w:rsid w:val="00E33B9B"/>
    <w:rsid w:val="00E35AD2"/>
    <w:rsid w:val="00E40173"/>
    <w:rsid w:val="00E46F10"/>
    <w:rsid w:val="00E515EC"/>
    <w:rsid w:val="00E55B1A"/>
    <w:rsid w:val="00E564C6"/>
    <w:rsid w:val="00E565FB"/>
    <w:rsid w:val="00E713AB"/>
    <w:rsid w:val="00E713D1"/>
    <w:rsid w:val="00E72395"/>
    <w:rsid w:val="00E75949"/>
    <w:rsid w:val="00E760C6"/>
    <w:rsid w:val="00E81053"/>
    <w:rsid w:val="00E833BA"/>
    <w:rsid w:val="00E836FB"/>
    <w:rsid w:val="00E83995"/>
    <w:rsid w:val="00E84985"/>
    <w:rsid w:val="00E8611A"/>
    <w:rsid w:val="00E86C6B"/>
    <w:rsid w:val="00E912E4"/>
    <w:rsid w:val="00E92EED"/>
    <w:rsid w:val="00E92F95"/>
    <w:rsid w:val="00E96F3D"/>
    <w:rsid w:val="00EA18D1"/>
    <w:rsid w:val="00EA2186"/>
    <w:rsid w:val="00EA28E7"/>
    <w:rsid w:val="00EA6D18"/>
    <w:rsid w:val="00EB0BDF"/>
    <w:rsid w:val="00EB2DB8"/>
    <w:rsid w:val="00EB4371"/>
    <w:rsid w:val="00EB5137"/>
    <w:rsid w:val="00EC0C00"/>
    <w:rsid w:val="00EC56EC"/>
    <w:rsid w:val="00ED149B"/>
    <w:rsid w:val="00EE1C8C"/>
    <w:rsid w:val="00EE4977"/>
    <w:rsid w:val="00EE50AE"/>
    <w:rsid w:val="00EF0BC6"/>
    <w:rsid w:val="00EF114C"/>
    <w:rsid w:val="00EF3DC4"/>
    <w:rsid w:val="00EF49CF"/>
    <w:rsid w:val="00F041F9"/>
    <w:rsid w:val="00F051AD"/>
    <w:rsid w:val="00F05CE8"/>
    <w:rsid w:val="00F069A0"/>
    <w:rsid w:val="00F069D4"/>
    <w:rsid w:val="00F06EF0"/>
    <w:rsid w:val="00F100DA"/>
    <w:rsid w:val="00F10699"/>
    <w:rsid w:val="00F13EAF"/>
    <w:rsid w:val="00F14293"/>
    <w:rsid w:val="00F14723"/>
    <w:rsid w:val="00F14FA0"/>
    <w:rsid w:val="00F15010"/>
    <w:rsid w:val="00F16047"/>
    <w:rsid w:val="00F20931"/>
    <w:rsid w:val="00F229CA"/>
    <w:rsid w:val="00F24407"/>
    <w:rsid w:val="00F2478B"/>
    <w:rsid w:val="00F26E3C"/>
    <w:rsid w:val="00F300DE"/>
    <w:rsid w:val="00F315D5"/>
    <w:rsid w:val="00F3193C"/>
    <w:rsid w:val="00F32585"/>
    <w:rsid w:val="00F34091"/>
    <w:rsid w:val="00F3796F"/>
    <w:rsid w:val="00F40A9B"/>
    <w:rsid w:val="00F41B13"/>
    <w:rsid w:val="00F42C67"/>
    <w:rsid w:val="00F46D27"/>
    <w:rsid w:val="00F476B5"/>
    <w:rsid w:val="00F50D79"/>
    <w:rsid w:val="00F518BA"/>
    <w:rsid w:val="00F52461"/>
    <w:rsid w:val="00F53073"/>
    <w:rsid w:val="00F53B11"/>
    <w:rsid w:val="00F54B92"/>
    <w:rsid w:val="00F56899"/>
    <w:rsid w:val="00F56C05"/>
    <w:rsid w:val="00F56DBD"/>
    <w:rsid w:val="00F6049C"/>
    <w:rsid w:val="00F60988"/>
    <w:rsid w:val="00F623A7"/>
    <w:rsid w:val="00F63224"/>
    <w:rsid w:val="00F63690"/>
    <w:rsid w:val="00F6400D"/>
    <w:rsid w:val="00F64B13"/>
    <w:rsid w:val="00F654BD"/>
    <w:rsid w:val="00F70385"/>
    <w:rsid w:val="00F711B7"/>
    <w:rsid w:val="00F72341"/>
    <w:rsid w:val="00F72CF9"/>
    <w:rsid w:val="00F7492C"/>
    <w:rsid w:val="00F7514A"/>
    <w:rsid w:val="00F841C6"/>
    <w:rsid w:val="00F842C3"/>
    <w:rsid w:val="00F844CA"/>
    <w:rsid w:val="00F85E1E"/>
    <w:rsid w:val="00F90027"/>
    <w:rsid w:val="00F91644"/>
    <w:rsid w:val="00F92999"/>
    <w:rsid w:val="00F94571"/>
    <w:rsid w:val="00FA13B8"/>
    <w:rsid w:val="00FA40C1"/>
    <w:rsid w:val="00FA46DF"/>
    <w:rsid w:val="00FA5889"/>
    <w:rsid w:val="00FA5D66"/>
    <w:rsid w:val="00FB690C"/>
    <w:rsid w:val="00FB7659"/>
    <w:rsid w:val="00FC1D98"/>
    <w:rsid w:val="00FC619B"/>
    <w:rsid w:val="00FC647B"/>
    <w:rsid w:val="00FD1D66"/>
    <w:rsid w:val="00FD3AD5"/>
    <w:rsid w:val="00FD3EA3"/>
    <w:rsid w:val="00FD4A31"/>
    <w:rsid w:val="00FD4DA5"/>
    <w:rsid w:val="00FD53BA"/>
    <w:rsid w:val="00FE1A30"/>
    <w:rsid w:val="00FE1F50"/>
    <w:rsid w:val="00FE6DEF"/>
    <w:rsid w:val="00FF1C1B"/>
    <w:rsid w:val="00FF2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1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1D6"/>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202E7B"/>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2042F7"/>
    <w:pPr>
      <w:spacing w:before="360" w:after="80"/>
      <w:outlineLvl w:val="1"/>
    </w:pPr>
    <w:rPr>
      <w:b/>
      <w:color w:val="auto"/>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4">
    <w:name w:val="heading 4"/>
    <w:basedOn w:val="Normal"/>
    <w:next w:val="Normal"/>
    <w:link w:val="Heading4Char"/>
    <w:uiPriority w:val="9"/>
    <w:unhideWhenUsed/>
    <w:qFormat/>
    <w:rsid w:val="00362F7B"/>
    <w:pPr>
      <w:keepNext/>
      <w:keepLines/>
      <w:spacing w:before="280" w:after="0" w:line="240" w:lineRule="auto"/>
      <w:ind w:left="864" w:hanging="864"/>
      <w:outlineLvl w:val="3"/>
    </w:pPr>
    <w:rPr>
      <w:rFonts w:eastAsiaTheme="majorEastAsia" w:cstheme="majorBidi"/>
      <w:b/>
      <w:bCs/>
      <w:iCs/>
      <w:szCs w:val="20"/>
      <w:lang w:val="en-AU"/>
    </w:rPr>
  </w:style>
  <w:style w:type="paragraph" w:styleId="Heading5">
    <w:name w:val="heading 5"/>
    <w:basedOn w:val="Normal"/>
    <w:next w:val="Normal"/>
    <w:link w:val="Heading5Char"/>
    <w:uiPriority w:val="9"/>
    <w:unhideWhenUsed/>
    <w:rsid w:val="00362F7B"/>
    <w:pPr>
      <w:keepNext/>
      <w:keepLines/>
      <w:spacing w:before="280" w:after="0" w:line="240" w:lineRule="auto"/>
      <w:ind w:left="1008" w:hanging="1008"/>
      <w:outlineLvl w:val="4"/>
    </w:pPr>
    <w:rPr>
      <w:rFonts w:eastAsiaTheme="majorEastAsia" w:cstheme="majorBidi"/>
      <w:szCs w:val="20"/>
      <w:lang w:val="en-AU"/>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62F7B"/>
    <w:pPr>
      <w:keepNext/>
      <w:keepLines/>
      <w:spacing w:before="200" w:after="0" w:line="240" w:lineRule="auto"/>
      <w:ind w:left="1296" w:hanging="1296"/>
      <w:outlineLvl w:val="6"/>
    </w:pPr>
    <w:rPr>
      <w:rFonts w:asciiTheme="majorHAnsi" w:eastAsiaTheme="majorEastAsia" w:hAnsiTheme="majorHAnsi" w:cstheme="majorBidi"/>
      <w:i/>
      <w:iCs/>
      <w:color w:val="404040" w:themeColor="text1" w:themeTint="BF"/>
      <w:szCs w:val="20"/>
      <w:lang w:val="en-AU"/>
    </w:rPr>
  </w:style>
  <w:style w:type="paragraph" w:styleId="Heading8">
    <w:name w:val="heading 8"/>
    <w:basedOn w:val="Normal"/>
    <w:next w:val="Normal"/>
    <w:link w:val="Heading8Char"/>
    <w:uiPriority w:val="9"/>
    <w:semiHidden/>
    <w:unhideWhenUsed/>
    <w:qFormat/>
    <w:rsid w:val="00362F7B"/>
    <w:pPr>
      <w:keepNext/>
      <w:keepLines/>
      <w:spacing w:before="200" w:after="0" w:line="240" w:lineRule="auto"/>
      <w:ind w:left="1440" w:hanging="1440"/>
      <w:outlineLvl w:val="7"/>
    </w:pPr>
    <w:rPr>
      <w:rFonts w:asciiTheme="majorHAnsi" w:eastAsiaTheme="majorEastAsia" w:hAnsiTheme="majorHAnsi" w:cstheme="majorBidi"/>
      <w:color w:val="404040" w:themeColor="text1" w:themeTint="BF"/>
      <w:szCs w:val="20"/>
      <w:lang w:val="en-AU"/>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EBF"/>
    <w:rPr>
      <w:color w:val="0563C1" w:themeColor="hyperlink"/>
      <w:u w:val="single"/>
    </w:rPr>
  </w:style>
  <w:style w:type="character" w:customStyle="1" w:styleId="Heading1Char">
    <w:name w:val="Heading 1 Char"/>
    <w:basedOn w:val="DefaultParagraphFont"/>
    <w:link w:val="Heading1"/>
    <w:uiPriority w:val="9"/>
    <w:rsid w:val="00202E7B"/>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rsid w:val="002042F7"/>
    <w:rPr>
      <w:rFonts w:ascii="Arial" w:hAnsi="Arial" w:cs="VIC-SemiBold"/>
      <w:b/>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paragraph" w:customStyle="1" w:styleId="Agdividertext">
    <w:name w:val="Ag divider text"/>
    <w:basedOn w:val="Normal"/>
    <w:next w:val="Normal"/>
    <w:qFormat/>
    <w:rsid w:val="00512EBF"/>
    <w:pPr>
      <w:spacing w:after="0" w:line="480" w:lineRule="exact"/>
      <w:ind w:left="4678"/>
    </w:pPr>
    <w:rPr>
      <w:rFonts w:cstheme="minorBidi"/>
      <w:bCs/>
      <w:color w:val="FFFFFF" w:themeColor="background1"/>
      <w:sz w:val="48"/>
      <w:szCs w:val="24"/>
      <w:lang w:val="en-AU"/>
    </w:rPr>
  </w:style>
  <w:style w:type="paragraph" w:customStyle="1" w:styleId="Agcontentsheading">
    <w:name w:val="Ag contents heading"/>
    <w:basedOn w:val="Normal"/>
    <w:qFormat/>
    <w:rsid w:val="004D43DC"/>
    <w:pPr>
      <w:spacing w:before="240" w:after="240" w:line="240" w:lineRule="auto"/>
    </w:pPr>
    <w:rPr>
      <w:rFonts w:cs="Arial"/>
      <w:color w:val="4C7329"/>
      <w:sz w:val="32"/>
    </w:rPr>
  </w:style>
  <w:style w:type="character" w:styleId="PageNumber">
    <w:name w:val="page number"/>
    <w:basedOn w:val="DefaultParagraphFont"/>
    <w:uiPriority w:val="99"/>
    <w:semiHidden/>
    <w:unhideWhenUsed/>
    <w:rsid w:val="00CC6E7E"/>
  </w:style>
  <w:style w:type="paragraph" w:styleId="TOC1">
    <w:name w:val="toc 1"/>
    <w:basedOn w:val="Normal"/>
    <w:next w:val="Normal"/>
    <w:autoRedefine/>
    <w:uiPriority w:val="39"/>
    <w:unhideWhenUsed/>
    <w:rsid w:val="00D81919"/>
    <w:pPr>
      <w:tabs>
        <w:tab w:val="right" w:leader="dot" w:pos="9072"/>
      </w:tabs>
      <w:spacing w:after="0" w:line="360" w:lineRule="auto"/>
      <w:ind w:right="384"/>
    </w:pPr>
    <w:rPr>
      <w:rFonts w:cstheme="minorBidi"/>
      <w:b/>
      <w:caps/>
      <w:noProof/>
      <w:color w:val="auto"/>
      <w:sz w:val="20"/>
      <w:szCs w:val="24"/>
    </w:rPr>
  </w:style>
  <w:style w:type="paragraph" w:styleId="TOC2">
    <w:name w:val="toc 2"/>
    <w:basedOn w:val="TOC3"/>
    <w:next w:val="Normal"/>
    <w:autoRedefine/>
    <w:uiPriority w:val="39"/>
    <w:unhideWhenUsed/>
    <w:rsid w:val="00512EBF"/>
  </w:style>
  <w:style w:type="paragraph" w:styleId="TOC3">
    <w:name w:val="toc 3"/>
    <w:basedOn w:val="TOC1"/>
    <w:next w:val="Normal"/>
    <w:autoRedefine/>
    <w:uiPriority w:val="39"/>
    <w:unhideWhenUsed/>
    <w:rsid w:val="00512EBF"/>
  </w:style>
  <w:style w:type="paragraph" w:styleId="TOC4">
    <w:name w:val="toc 4"/>
    <w:basedOn w:val="Normal"/>
    <w:next w:val="Normal"/>
    <w:autoRedefine/>
    <w:uiPriority w:val="39"/>
    <w:unhideWhenUsed/>
    <w:rsid w:val="00E176FC"/>
    <w:pPr>
      <w:ind w:left="540"/>
    </w:pPr>
  </w:style>
  <w:style w:type="paragraph" w:styleId="TOC5">
    <w:name w:val="toc 5"/>
    <w:basedOn w:val="Normal"/>
    <w:next w:val="Normal"/>
    <w:autoRedefine/>
    <w:uiPriority w:val="39"/>
    <w:unhideWhenUsed/>
    <w:rsid w:val="00E176FC"/>
    <w:pPr>
      <w:ind w:left="720"/>
    </w:pPr>
  </w:style>
  <w:style w:type="paragraph" w:styleId="TOC6">
    <w:name w:val="toc 6"/>
    <w:basedOn w:val="Normal"/>
    <w:next w:val="Normal"/>
    <w:autoRedefine/>
    <w:uiPriority w:val="39"/>
    <w:unhideWhenUsed/>
    <w:rsid w:val="00E176FC"/>
    <w:pPr>
      <w:ind w:left="900"/>
    </w:pPr>
  </w:style>
  <w:style w:type="paragraph" w:styleId="TOC7">
    <w:name w:val="toc 7"/>
    <w:basedOn w:val="Normal"/>
    <w:next w:val="Normal"/>
    <w:autoRedefine/>
    <w:uiPriority w:val="39"/>
    <w:unhideWhenUsed/>
    <w:rsid w:val="00E176FC"/>
    <w:pPr>
      <w:ind w:left="1080"/>
    </w:pPr>
  </w:style>
  <w:style w:type="paragraph" w:styleId="TOC8">
    <w:name w:val="toc 8"/>
    <w:basedOn w:val="Normal"/>
    <w:next w:val="Normal"/>
    <w:autoRedefine/>
    <w:uiPriority w:val="39"/>
    <w:unhideWhenUsed/>
    <w:rsid w:val="00E176FC"/>
    <w:pPr>
      <w:ind w:left="1260"/>
    </w:pPr>
  </w:style>
  <w:style w:type="paragraph" w:styleId="TOC9">
    <w:name w:val="toc 9"/>
    <w:basedOn w:val="Normal"/>
    <w:next w:val="Normal"/>
    <w:autoRedefine/>
    <w:uiPriority w:val="39"/>
    <w:unhideWhenUsed/>
    <w:rsid w:val="00E176FC"/>
    <w:pPr>
      <w:ind w:left="1440"/>
    </w:pPr>
  </w:style>
  <w:style w:type="table" w:styleId="TableGrid">
    <w:name w:val="Table Grid"/>
    <w:basedOn w:val="TableNormal"/>
    <w:uiPriority w:val="59"/>
    <w:rsid w:val="00D83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covertitle1">
    <w:name w:val="Ag cover title 1"/>
    <w:basedOn w:val="Normal"/>
    <w:qFormat/>
    <w:rsid w:val="00512EBF"/>
    <w:pPr>
      <w:widowControl w:val="0"/>
      <w:suppressAutoHyphens/>
      <w:autoSpaceDE w:val="0"/>
      <w:autoSpaceDN w:val="0"/>
      <w:adjustRightInd w:val="0"/>
      <w:spacing w:after="283" w:line="620" w:lineRule="atLeast"/>
      <w:ind w:left="4395"/>
      <w:jc w:val="right"/>
      <w:textAlignment w:val="center"/>
    </w:pPr>
    <w:rPr>
      <w:b/>
      <w:bCs/>
      <w:noProof/>
      <w:color w:val="FFFFFF" w:themeColor="background1"/>
      <w:sz w:val="52"/>
    </w:rPr>
  </w:style>
  <w:style w:type="paragraph" w:customStyle="1" w:styleId="Agcovertitle2">
    <w:name w:val="Ag cover title 2"/>
    <w:basedOn w:val="Normal"/>
    <w:qFormat/>
    <w:rsid w:val="00512EBF"/>
    <w:pPr>
      <w:widowControl w:val="0"/>
      <w:suppressAutoHyphens/>
      <w:autoSpaceDE w:val="0"/>
      <w:autoSpaceDN w:val="0"/>
      <w:adjustRightInd w:val="0"/>
      <w:spacing w:after="0" w:line="400" w:lineRule="atLeast"/>
      <w:jc w:val="right"/>
      <w:textAlignment w:val="center"/>
    </w:pPr>
    <w:rPr>
      <w:rFonts w:cs="VIC-ExtraLight"/>
      <w:color w:val="FFFFFF" w:themeColor="background1"/>
      <w:sz w:val="32"/>
      <w:szCs w:val="32"/>
      <w:lang w:val="en-GB"/>
    </w:rPr>
  </w:style>
  <w:style w:type="paragraph" w:customStyle="1" w:styleId="Agaccessibilityheading">
    <w:name w:val="Ag accessibility heading"/>
    <w:basedOn w:val="Heading2"/>
    <w:qFormat/>
    <w:rsid w:val="002E41D6"/>
    <w:pPr>
      <w:spacing w:before="120"/>
    </w:pPr>
  </w:style>
  <w:style w:type="paragraph" w:customStyle="1" w:styleId="Agbodytext">
    <w:name w:val="Ag body text"/>
    <w:basedOn w:val="Normal"/>
    <w:qFormat/>
    <w:rsid w:val="002E41D6"/>
  </w:style>
  <w:style w:type="paragraph" w:customStyle="1" w:styleId="Agbulletlist">
    <w:name w:val="Ag bullet list"/>
    <w:basedOn w:val="Normal"/>
    <w:qFormat/>
    <w:rsid w:val="00512EBF"/>
    <w:pPr>
      <w:numPr>
        <w:numId w:val="13"/>
      </w:numPr>
    </w:pPr>
  </w:style>
  <w:style w:type="paragraph" w:customStyle="1" w:styleId="instructions">
    <w:name w:val="instructions"/>
    <w:basedOn w:val="Normal"/>
    <w:link w:val="instructionsChar"/>
    <w:qFormat/>
    <w:rsid w:val="00D261D4"/>
    <w:pPr>
      <w:spacing w:before="60" w:line="240" w:lineRule="auto"/>
    </w:pPr>
    <w:rPr>
      <w:rFonts w:eastAsia="Times New Roman" w:cs="Times New Roman"/>
      <w:color w:val="ED7D31" w:themeColor="accent2"/>
      <w:szCs w:val="20"/>
      <w:lang w:val="en-AU"/>
    </w:rPr>
  </w:style>
  <w:style w:type="character" w:customStyle="1" w:styleId="instructionsChar">
    <w:name w:val="instructions Char"/>
    <w:basedOn w:val="DefaultParagraphFont"/>
    <w:link w:val="instructions"/>
    <w:rsid w:val="00D261D4"/>
    <w:rPr>
      <w:rFonts w:ascii="Arial" w:eastAsia="Times New Roman" w:hAnsi="Arial" w:cs="Times New Roman"/>
      <w:color w:val="ED7D31" w:themeColor="accent2"/>
      <w:sz w:val="18"/>
      <w:szCs w:val="20"/>
      <w:lang w:val="en-AU"/>
    </w:rPr>
  </w:style>
  <w:style w:type="character" w:customStyle="1" w:styleId="Heading4Char">
    <w:name w:val="Heading 4 Char"/>
    <w:basedOn w:val="DefaultParagraphFont"/>
    <w:link w:val="Heading4"/>
    <w:uiPriority w:val="9"/>
    <w:rsid w:val="00362F7B"/>
    <w:rPr>
      <w:rFonts w:ascii="Arial" w:eastAsiaTheme="majorEastAsia" w:hAnsi="Arial" w:cstheme="majorBidi"/>
      <w:b/>
      <w:bCs/>
      <w:iCs/>
      <w:color w:val="000000" w:themeColor="text1"/>
      <w:sz w:val="18"/>
      <w:szCs w:val="20"/>
      <w:lang w:val="en-AU"/>
    </w:rPr>
  </w:style>
  <w:style w:type="character" w:customStyle="1" w:styleId="Heading5Char">
    <w:name w:val="Heading 5 Char"/>
    <w:basedOn w:val="DefaultParagraphFont"/>
    <w:link w:val="Heading5"/>
    <w:uiPriority w:val="9"/>
    <w:rsid w:val="00362F7B"/>
    <w:rPr>
      <w:rFonts w:ascii="Arial" w:eastAsiaTheme="majorEastAsia" w:hAnsi="Arial" w:cstheme="majorBidi"/>
      <w:color w:val="000000" w:themeColor="text1"/>
      <w:sz w:val="18"/>
      <w:szCs w:val="20"/>
      <w:lang w:val="en-AU"/>
    </w:rPr>
  </w:style>
  <w:style w:type="character" w:customStyle="1" w:styleId="Heading7Char">
    <w:name w:val="Heading 7 Char"/>
    <w:basedOn w:val="DefaultParagraphFont"/>
    <w:link w:val="Heading7"/>
    <w:uiPriority w:val="9"/>
    <w:semiHidden/>
    <w:rsid w:val="00362F7B"/>
    <w:rPr>
      <w:rFonts w:asciiTheme="majorHAnsi" w:eastAsiaTheme="majorEastAsia" w:hAnsiTheme="majorHAnsi" w:cstheme="majorBidi"/>
      <w:i/>
      <w:iCs/>
      <w:color w:val="404040" w:themeColor="text1" w:themeTint="BF"/>
      <w:sz w:val="18"/>
      <w:szCs w:val="20"/>
      <w:lang w:val="en-AU"/>
    </w:rPr>
  </w:style>
  <w:style w:type="character" w:customStyle="1" w:styleId="Heading8Char">
    <w:name w:val="Heading 8 Char"/>
    <w:basedOn w:val="DefaultParagraphFont"/>
    <w:link w:val="Heading8"/>
    <w:uiPriority w:val="9"/>
    <w:semiHidden/>
    <w:rsid w:val="00362F7B"/>
    <w:rPr>
      <w:rFonts w:asciiTheme="majorHAnsi" w:eastAsiaTheme="majorEastAsia" w:hAnsiTheme="majorHAnsi" w:cstheme="majorBidi"/>
      <w:color w:val="404040" w:themeColor="text1" w:themeTint="BF"/>
      <w:sz w:val="18"/>
      <w:szCs w:val="20"/>
      <w:lang w:val="en-AU"/>
    </w:rPr>
  </w:style>
  <w:style w:type="paragraph" w:styleId="ListParagraph">
    <w:name w:val="List Paragraph"/>
    <w:basedOn w:val="Normal"/>
    <w:link w:val="ListParagraphChar"/>
    <w:uiPriority w:val="34"/>
    <w:qFormat/>
    <w:rsid w:val="00362F7B"/>
    <w:pPr>
      <w:spacing w:after="0" w:line="240" w:lineRule="auto"/>
      <w:ind w:left="720"/>
      <w:contextualSpacing/>
    </w:pPr>
    <w:rPr>
      <w:rFonts w:ascii="Times New Roman" w:eastAsia="Times New Roman" w:hAnsi="Times New Roman" w:cs="Times New Roman"/>
      <w:color w:val="53565A"/>
      <w:sz w:val="24"/>
      <w:szCs w:val="24"/>
      <w:lang w:val="en-AU" w:eastAsia="en-AU"/>
    </w:rPr>
  </w:style>
  <w:style w:type="character" w:customStyle="1" w:styleId="ListParagraphChar">
    <w:name w:val="List Paragraph Char"/>
    <w:link w:val="ListParagraph"/>
    <w:uiPriority w:val="34"/>
    <w:locked/>
    <w:rsid w:val="00362F7B"/>
    <w:rPr>
      <w:rFonts w:ascii="Times New Roman" w:eastAsia="Times New Roman" w:hAnsi="Times New Roman" w:cs="Times New Roman"/>
      <w:color w:val="53565A"/>
      <w:lang w:val="en-AU" w:eastAsia="en-AU"/>
    </w:rPr>
  </w:style>
  <w:style w:type="paragraph" w:customStyle="1" w:styleId="Pa7">
    <w:name w:val="Pa7"/>
    <w:basedOn w:val="Normal"/>
    <w:next w:val="Normal"/>
    <w:uiPriority w:val="99"/>
    <w:rsid w:val="00362F7B"/>
    <w:pPr>
      <w:autoSpaceDE w:val="0"/>
      <w:autoSpaceDN w:val="0"/>
      <w:adjustRightInd w:val="0"/>
      <w:spacing w:after="0" w:line="181" w:lineRule="atLeast"/>
    </w:pPr>
    <w:rPr>
      <w:rFonts w:ascii="DIN" w:eastAsia="Times New Roman" w:hAnsi="DIN" w:cs="Times New Roman"/>
      <w:color w:val="auto"/>
      <w:sz w:val="24"/>
      <w:szCs w:val="24"/>
      <w:lang w:val="en-AU" w:eastAsia="en-AU"/>
    </w:rPr>
  </w:style>
  <w:style w:type="character" w:customStyle="1" w:styleId="ind">
    <w:name w:val="ind"/>
    <w:basedOn w:val="DefaultParagraphFont"/>
    <w:rsid w:val="00362F7B"/>
  </w:style>
  <w:style w:type="paragraph" w:styleId="BalloonText">
    <w:name w:val="Balloon Text"/>
    <w:basedOn w:val="Normal"/>
    <w:link w:val="BalloonTextChar"/>
    <w:uiPriority w:val="99"/>
    <w:semiHidden/>
    <w:unhideWhenUsed/>
    <w:rsid w:val="00C85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B34"/>
    <w:rPr>
      <w:rFonts w:ascii="Tahoma" w:hAnsi="Tahoma" w:cs="Tahoma"/>
      <w:color w:val="000000" w:themeColor="text1"/>
      <w:sz w:val="16"/>
      <w:szCs w:val="16"/>
    </w:rPr>
  </w:style>
  <w:style w:type="paragraph" w:styleId="TOCHeading">
    <w:name w:val="TOC Heading"/>
    <w:basedOn w:val="Heading1"/>
    <w:next w:val="Normal"/>
    <w:uiPriority w:val="39"/>
    <w:semiHidden/>
    <w:unhideWhenUsed/>
    <w:qFormat/>
    <w:rsid w:val="008061D8"/>
    <w:pPr>
      <w:keepNext/>
      <w:keepLines/>
      <w:spacing w:after="0" w:line="276" w:lineRule="auto"/>
      <w:outlineLvl w:val="9"/>
    </w:pPr>
    <w:rPr>
      <w:rFonts w:asciiTheme="majorHAnsi" w:eastAsiaTheme="majorEastAsia" w:hAnsiTheme="majorHAnsi" w:cstheme="majorBidi"/>
      <w:caps w:val="0"/>
      <w:color w:val="2E74B5" w:themeColor="accent1" w:themeShade="BF"/>
      <w:sz w:val="28"/>
      <w:szCs w:val="28"/>
      <w:lang w:eastAsia="ja-JP"/>
    </w:rPr>
  </w:style>
  <w:style w:type="character" w:styleId="IntenseEmphasis">
    <w:name w:val="Intense Emphasis"/>
    <w:basedOn w:val="DefaultParagraphFont"/>
    <w:uiPriority w:val="21"/>
    <w:qFormat/>
    <w:rsid w:val="00DC7CEE"/>
    <w:rPr>
      <w:b/>
      <w:bCs/>
      <w:i/>
      <w:iCs/>
      <w:color w:val="5B9BD5" w:themeColor="accent1"/>
    </w:rPr>
  </w:style>
  <w:style w:type="character" w:styleId="CommentReference">
    <w:name w:val="annotation reference"/>
    <w:basedOn w:val="DefaultParagraphFont"/>
    <w:uiPriority w:val="99"/>
    <w:semiHidden/>
    <w:unhideWhenUsed/>
    <w:rsid w:val="001C4D16"/>
    <w:rPr>
      <w:sz w:val="16"/>
      <w:szCs w:val="16"/>
    </w:rPr>
  </w:style>
  <w:style w:type="paragraph" w:styleId="CommentText">
    <w:name w:val="annotation text"/>
    <w:basedOn w:val="Normal"/>
    <w:link w:val="CommentTextChar"/>
    <w:uiPriority w:val="99"/>
    <w:semiHidden/>
    <w:unhideWhenUsed/>
    <w:rsid w:val="001C4D16"/>
    <w:pPr>
      <w:spacing w:line="240" w:lineRule="auto"/>
    </w:pPr>
    <w:rPr>
      <w:sz w:val="20"/>
      <w:szCs w:val="20"/>
    </w:rPr>
  </w:style>
  <w:style w:type="character" w:customStyle="1" w:styleId="CommentTextChar">
    <w:name w:val="Comment Text Char"/>
    <w:basedOn w:val="DefaultParagraphFont"/>
    <w:link w:val="CommentText"/>
    <w:uiPriority w:val="99"/>
    <w:semiHidden/>
    <w:rsid w:val="001C4D16"/>
    <w:rPr>
      <w:rFonts w:ascii="Arial" w:hAnsi="Arial" w:cs="VIC-SemiBold"/>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1C4D16"/>
    <w:rPr>
      <w:b/>
      <w:bCs/>
    </w:rPr>
  </w:style>
  <w:style w:type="character" w:customStyle="1" w:styleId="CommentSubjectChar">
    <w:name w:val="Comment Subject Char"/>
    <w:basedOn w:val="CommentTextChar"/>
    <w:link w:val="CommentSubject"/>
    <w:uiPriority w:val="99"/>
    <w:semiHidden/>
    <w:rsid w:val="001C4D16"/>
    <w:rPr>
      <w:rFonts w:ascii="Arial" w:hAnsi="Arial" w:cs="VIC-SemiBold"/>
      <w:b/>
      <w:bCs/>
      <w:color w:val="000000" w:themeColor="text1"/>
      <w:sz w:val="20"/>
      <w:szCs w:val="20"/>
    </w:rPr>
  </w:style>
  <w:style w:type="character" w:styleId="Emphasis">
    <w:name w:val="Emphasis"/>
    <w:basedOn w:val="DefaultParagraphFont"/>
    <w:uiPriority w:val="20"/>
    <w:qFormat/>
    <w:rsid w:val="0056601E"/>
    <w:rPr>
      <w:i/>
      <w:iCs/>
    </w:rPr>
  </w:style>
  <w:style w:type="character" w:styleId="UnresolvedMention">
    <w:name w:val="Unresolved Mention"/>
    <w:basedOn w:val="DefaultParagraphFont"/>
    <w:uiPriority w:val="99"/>
    <w:semiHidden/>
    <w:unhideWhenUsed/>
    <w:rsid w:val="003A467E"/>
    <w:rPr>
      <w:color w:val="808080"/>
      <w:shd w:val="clear" w:color="auto" w:fill="E6E6E6"/>
    </w:rPr>
  </w:style>
  <w:style w:type="paragraph" w:styleId="Revision">
    <w:name w:val="Revision"/>
    <w:hidden/>
    <w:uiPriority w:val="99"/>
    <w:semiHidden/>
    <w:rsid w:val="00D26394"/>
    <w:rPr>
      <w:rFonts w:ascii="Arial" w:hAnsi="Arial" w:cs="VIC-SemiBold"/>
      <w:color w:val="000000" w:themeColor="text1"/>
      <w:sz w:val="1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445113">
      <w:bodyDiv w:val="1"/>
      <w:marLeft w:val="0"/>
      <w:marRight w:val="0"/>
      <w:marTop w:val="0"/>
      <w:marBottom w:val="0"/>
      <w:divBdr>
        <w:top w:val="none" w:sz="0" w:space="0" w:color="auto"/>
        <w:left w:val="none" w:sz="0" w:space="0" w:color="auto"/>
        <w:bottom w:val="none" w:sz="0" w:space="0" w:color="auto"/>
        <w:right w:val="none" w:sz="0" w:space="0" w:color="auto"/>
      </w:divBdr>
    </w:div>
    <w:div w:id="790442511">
      <w:bodyDiv w:val="1"/>
      <w:marLeft w:val="0"/>
      <w:marRight w:val="0"/>
      <w:marTop w:val="0"/>
      <w:marBottom w:val="0"/>
      <w:divBdr>
        <w:top w:val="none" w:sz="0" w:space="0" w:color="auto"/>
        <w:left w:val="none" w:sz="0" w:space="0" w:color="auto"/>
        <w:bottom w:val="none" w:sz="0" w:space="0" w:color="auto"/>
        <w:right w:val="none" w:sz="0" w:space="0" w:color="auto"/>
      </w:divBdr>
    </w:div>
    <w:div w:id="1931695702">
      <w:bodyDiv w:val="1"/>
      <w:marLeft w:val="0"/>
      <w:marRight w:val="0"/>
      <w:marTop w:val="0"/>
      <w:marBottom w:val="0"/>
      <w:divBdr>
        <w:top w:val="none" w:sz="0" w:space="0" w:color="auto"/>
        <w:left w:val="none" w:sz="0" w:space="0" w:color="auto"/>
        <w:bottom w:val="none" w:sz="0" w:space="0" w:color="auto"/>
        <w:right w:val="none" w:sz="0" w:space="0" w:color="auto"/>
      </w:divBdr>
    </w:div>
    <w:div w:id="1953239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urldefense.proofpoint.com/v2/url?u=https-3A__businessvic.secure.force.com_PublicForm-3Fid-3Dagripast2021&amp;d=DwIFAw&amp;c=JnBkUqWXzx2bz-3a05d47Q&amp;r=tBlYnV_6AC26D49xtwSFQYBEJf0QoAcp1QsW0wuukS5M7OIaikfbfOlPU_lCp3rR&amp;m=jrP0afThV3f1qQ4JZKuxeILjOULTFYplmvt7D4n83cg&amp;s=szZ6P1NwOS9rQnpdpTT92rS47cQpQKuJNo1-X_OuC_4&amp;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rivacy@ecodev.vic.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vicagshows.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www.agriculture.vic.gov.au" TargetMode="External"/><Relationship Id="rId10" Type="http://schemas.openxmlformats.org/officeDocument/2006/relationships/endnotes" Target="endnotes.xml"/><Relationship Id="rId19" Type="http://schemas.openxmlformats.org/officeDocument/2006/relationships/hyperlink" Target="http://agriculture.vic.gov.au/about-us/doing-business-with-us/agricultural-and-pastoral-society-gra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agricultural.grants@agriculture.vic.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970BEACE03694C871877939D5FF997" ma:contentTypeVersion="13" ma:contentTypeDescription="Create a new document." ma:contentTypeScope="" ma:versionID="eff09d505c6800755fad164b191a5a1b">
  <xsd:schema xmlns:xsd="http://www.w3.org/2001/XMLSchema" xmlns:xs="http://www.w3.org/2001/XMLSchema" xmlns:p="http://schemas.microsoft.com/office/2006/metadata/properties" xmlns:ns3="f2bc8ae1-30d8-4907-9c46-2ecbf6cbb0a9" xmlns:ns4="21cd8326-edc5-475e-b3cf-0dd952d77590" targetNamespace="http://schemas.microsoft.com/office/2006/metadata/properties" ma:root="true" ma:fieldsID="fcd418fb0cb2f42c857fa1f3986e5db7" ns3:_="" ns4:_="">
    <xsd:import namespace="f2bc8ae1-30d8-4907-9c46-2ecbf6cbb0a9"/>
    <xsd:import namespace="21cd8326-edc5-475e-b3cf-0dd952d775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c8ae1-30d8-4907-9c46-2ecbf6cbb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cd8326-edc5-475e-b3cf-0dd952d775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1338EE2-F514-486A-BD1E-1171C4CE6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c8ae1-30d8-4907-9c46-2ecbf6cbb0a9"/>
    <ds:schemaRef ds:uri="21cd8326-edc5-475e-b3cf-0dd952d77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D9BF9A-B219-4462-B74D-AB92D03D8908}">
  <ds:schemaRefs>
    <ds:schemaRef ds:uri="http://schemas.microsoft.com/sharepoint/v3/contenttype/forms"/>
  </ds:schemaRefs>
</ds:datastoreItem>
</file>

<file path=customXml/itemProps3.xml><?xml version="1.0" encoding="utf-8"?>
<ds:datastoreItem xmlns:ds="http://schemas.openxmlformats.org/officeDocument/2006/customXml" ds:itemID="{35107AEF-7D29-4ECD-9D30-CA2D360B9A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4C491D-C278-4435-B06E-179290E54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3237</Words>
  <Characters>18453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2020-11-11T04:14:00Z</dcterms:created>
  <dcterms:modified xsi:type="dcterms:W3CDTF">2020-11-11T04:22:00Z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0x0101007D970BEACE03694C871877939D5FF997</vt:lpwstr>
  </property>
  <property fmtid="{D5CDD505-2E9C-101B-9397-08002B2CF9AE}" pid="3" name="_DocHome">
    <vt:i4>1230816812</vt:i4>
  </property>
  <property fmtid="{D5CDD505-2E9C-101B-9397-08002B2CF9AE}" pid="4" name="DEDJTRDivision">
    <vt:lpwstr>2;#Agriculture Victoria|aa595c92-527f-46eb-8130-f23c3634d9e6</vt:lpwstr>
  </property>
  <property fmtid="{D5CDD505-2E9C-101B-9397-08002B2CF9AE}" pid="5" name="DEDJTRSecurityClassification">
    <vt:lpwstr/>
  </property>
  <property fmtid="{D5CDD505-2E9C-101B-9397-08002B2CF9AE}" pid="6" name="DEDJTRBranch">
    <vt:lpwstr/>
  </property>
  <property fmtid="{D5CDD505-2E9C-101B-9397-08002B2CF9AE}" pid="7" name="DEDJTRSection">
    <vt:lpwstr/>
  </property>
  <property fmtid="{D5CDD505-2E9C-101B-9397-08002B2CF9AE}" pid="8" name="DEDJTRGroup">
    <vt:lpwstr>1;#Employment Investment and Trade|55ce1999-68b6-4f37-bdce-009ad410cd2a</vt:lpwstr>
  </property>
  <property fmtid="{D5CDD505-2E9C-101B-9397-08002B2CF9AE}" pid="9" name="_docset_NoMedatataSyncRequired">
    <vt:lpwstr>False</vt:lpwstr>
  </property>
  <property fmtid="{D5CDD505-2E9C-101B-9397-08002B2CF9AE}" pid="10" name="Replytype">
    <vt:lpwstr/>
  </property>
</Properties>
</file>