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07"/>
        <w:rPr>
          <w:rFonts w:ascii="Times New Roman"/>
          <w:sz w:val="40"/>
        </w:rPr>
      </w:pPr>
      <w:r>
        <w:rPr/>
        <mc:AlternateContent>
          <mc:Choice Requires="wps">
            <w:drawing>
              <wp:anchor distT="0" distB="0" distL="0" distR="0" allowOverlap="1" layoutInCell="1" locked="0" behindDoc="1" simplePos="0" relativeHeight="483849216">
                <wp:simplePos x="0" y="0"/>
                <wp:positionH relativeFrom="page">
                  <wp:posOffset>3505834</wp:posOffset>
                </wp:positionH>
                <wp:positionV relativeFrom="page">
                  <wp:posOffset>10401300</wp:posOffset>
                </wp:positionV>
                <wp:extent cx="550545" cy="1524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550545" cy="152400"/>
                        </a:xfrm>
                        <a:prstGeom prst="rect">
                          <a:avLst/>
                        </a:prstGeom>
                      </wps:spPr>
                      <wps:txbx>
                        <w:txbxContent>
                          <w:p>
                            <w:pPr>
                              <w:spacing w:line="240" w:lineRule="exact" w:before="0"/>
                              <w:ind w:left="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6.049988pt;margin-top:819pt;width:43.35pt;height:12pt;mso-position-horizontal-relative:page;mso-position-vertical-relative:page;z-index:-19467264" type="#_x0000_t202" id="docshape1" filled="false" stroked="false">
                <v:textbox inset="0,0,0,0">
                  <w:txbxContent>
                    <w:p>
                      <w:pPr>
                        <w:spacing w:line="240" w:lineRule="exact" w:before="0"/>
                        <w:ind w:left="0" w:right="0" w:firstLine="0"/>
                        <w:jc w:val="left"/>
                        <w:rPr>
                          <w:rFonts w:ascii="Calibri"/>
                          <w:sz w:val="24"/>
                        </w:rPr>
                      </w:pPr>
                      <w:r>
                        <w:rPr>
                          <w:rFonts w:ascii="Calibri"/>
                          <w:spacing w:val="-2"/>
                          <w:sz w:val="24"/>
                        </w:rPr>
                        <w:t>OFFICIAL</w:t>
                      </w:r>
                    </w:p>
                  </w:txbxContent>
                </v:textbox>
                <w10:wrap type="none"/>
              </v:shape>
            </w:pict>
          </mc:Fallback>
        </mc:AlternateContent>
      </w:r>
      <w:r>
        <w:rPr/>
        <mc:AlternateContent>
          <mc:Choice Requires="wps">
            <w:drawing>
              <wp:anchor distT="0" distB="0" distL="0" distR="0" allowOverlap="1" layoutInCell="1" locked="0" behindDoc="1" simplePos="0" relativeHeight="483850240">
                <wp:simplePos x="0" y="0"/>
                <wp:positionH relativeFrom="page">
                  <wp:posOffset>0</wp:posOffset>
                </wp:positionH>
                <wp:positionV relativeFrom="page">
                  <wp:posOffset>2798406</wp:posOffset>
                </wp:positionV>
                <wp:extent cx="7560945" cy="638746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945" cy="6387465"/>
                          <a:chExt cx="7560945" cy="6387465"/>
                        </a:xfrm>
                      </wpg:grpSpPr>
                      <pic:pic>
                        <pic:nvPicPr>
                          <pic:cNvPr id="3" name="Image 3"/>
                          <pic:cNvPicPr/>
                        </pic:nvPicPr>
                        <pic:blipFill>
                          <a:blip r:embed="rId6" cstate="print"/>
                          <a:stretch>
                            <a:fillRect/>
                          </a:stretch>
                        </pic:blipFill>
                        <pic:spPr>
                          <a:xfrm>
                            <a:off x="13336" y="619036"/>
                            <a:ext cx="7547229" cy="5768086"/>
                          </a:xfrm>
                          <a:prstGeom prst="rect">
                            <a:avLst/>
                          </a:prstGeom>
                        </pic:spPr>
                      </pic:pic>
                      <pic:pic>
                        <pic:nvPicPr>
                          <pic:cNvPr id="4" name="Image 4" descr="A dog standing on a hill  Description automatically generated"/>
                          <pic:cNvPicPr/>
                        </pic:nvPicPr>
                        <pic:blipFill>
                          <a:blip r:embed="rId7" cstate="print"/>
                          <a:stretch>
                            <a:fillRect/>
                          </a:stretch>
                        </pic:blipFill>
                        <pic:spPr>
                          <a:xfrm>
                            <a:off x="3609340" y="605193"/>
                            <a:ext cx="3951223" cy="3195446"/>
                          </a:xfrm>
                          <a:prstGeom prst="rect">
                            <a:avLst/>
                          </a:prstGeom>
                        </pic:spPr>
                      </pic:pic>
                      <pic:pic>
                        <pic:nvPicPr>
                          <pic:cNvPr id="5" name="Image 5"/>
                          <pic:cNvPicPr/>
                        </pic:nvPicPr>
                        <pic:blipFill>
                          <a:blip r:embed="rId8" cstate="print"/>
                          <a:stretch>
                            <a:fillRect/>
                          </a:stretch>
                        </pic:blipFill>
                        <pic:spPr>
                          <a:xfrm>
                            <a:off x="0" y="3792258"/>
                            <a:ext cx="3605529" cy="2590165"/>
                          </a:xfrm>
                          <a:prstGeom prst="rect">
                            <a:avLst/>
                          </a:prstGeom>
                        </pic:spPr>
                      </pic:pic>
                      <wps:wsp>
                        <wps:cNvPr id="6" name="Graphic 6"/>
                        <wps:cNvSpPr/>
                        <wps:spPr>
                          <a:xfrm>
                            <a:off x="0" y="0"/>
                            <a:ext cx="7560945" cy="607695"/>
                          </a:xfrm>
                          <a:custGeom>
                            <a:avLst/>
                            <a:gdLst/>
                            <a:ahLst/>
                            <a:cxnLst/>
                            <a:rect l="l" t="t" r="r" b="b"/>
                            <a:pathLst>
                              <a:path w="7560945" h="607695">
                                <a:moveTo>
                                  <a:pt x="0" y="0"/>
                                </a:moveTo>
                                <a:lnTo>
                                  <a:pt x="0" y="607225"/>
                                </a:lnTo>
                                <a:lnTo>
                                  <a:pt x="7560564" y="607225"/>
                                </a:lnTo>
                                <a:lnTo>
                                  <a:pt x="7560564" y="0"/>
                                </a:lnTo>
                                <a:lnTo>
                                  <a:pt x="0" y="0"/>
                                </a:lnTo>
                                <a:close/>
                              </a:path>
                            </a:pathLst>
                          </a:custGeom>
                          <a:solidFill>
                            <a:srgbClr val="1F1546"/>
                          </a:solidFill>
                        </wps:spPr>
                        <wps:bodyPr wrap="square" lIns="0" tIns="0" rIns="0" bIns="0" rtlCol="0">
                          <a:prstTxWarp prst="textNoShape">
                            <a:avLst/>
                          </a:prstTxWarp>
                          <a:noAutofit/>
                        </wps:bodyPr>
                      </wps:wsp>
                    </wpg:wgp>
                  </a:graphicData>
                </a:graphic>
              </wp:anchor>
            </w:drawing>
          </mc:Choice>
          <mc:Fallback>
            <w:pict>
              <v:group style="position:absolute;margin-left:0pt;margin-top:220.346985pt;width:595.35pt;height:502.95pt;mso-position-horizontal-relative:page;mso-position-vertical-relative:page;z-index:-19466240" id="docshapegroup2" coordorigin="0,4407" coordsize="11907,10059">
                <v:shape style="position:absolute;left:21;top:5381;width:11886;height:9084" type="#_x0000_t75" id="docshape3" stroked="false">
                  <v:imagedata r:id="rId6" o:title=""/>
                </v:shape>
                <v:shape style="position:absolute;left:5684;top:5360;width:6223;height:5033" type="#_x0000_t75" id="docshape4" alt="A dog standing on a hill  Description automatically generated" stroked="false">
                  <v:imagedata r:id="rId7" o:title=""/>
                </v:shape>
                <v:shape style="position:absolute;left:0;top:10379;width:5678;height:4079" type="#_x0000_t75" id="docshape5" stroked="false">
                  <v:imagedata r:id="rId8" o:title=""/>
                </v:shape>
                <v:rect style="position:absolute;left:0;top:4406;width:11907;height:957" id="docshape6" filled="true" fillcolor="#1f1546" stroked="false">
                  <v:fill type="solid"/>
                </v:rect>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3403599</wp:posOffset>
                </wp:positionV>
                <wp:extent cx="7560945" cy="728535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945" cy="7285355"/>
                          <a:chExt cx="7560945" cy="7285355"/>
                        </a:xfrm>
                      </wpg:grpSpPr>
                      <pic:pic>
                        <pic:nvPicPr>
                          <pic:cNvPr id="8" name="Image 8" descr="Integrated rabbit control | Invasive animal management | Pest animals |  Biosecurity | Agriculture Victoria"/>
                          <pic:cNvPicPr/>
                        </pic:nvPicPr>
                        <pic:blipFill>
                          <a:blip r:embed="rId9" cstate="print"/>
                          <a:stretch>
                            <a:fillRect/>
                          </a:stretch>
                        </pic:blipFill>
                        <pic:spPr>
                          <a:xfrm>
                            <a:off x="0" y="0"/>
                            <a:ext cx="3607562" cy="3177540"/>
                          </a:xfrm>
                          <a:prstGeom prst="rect">
                            <a:avLst/>
                          </a:prstGeom>
                        </pic:spPr>
                      </pic:pic>
                      <pic:pic>
                        <pic:nvPicPr>
                          <pic:cNvPr id="9" name="Image 9"/>
                          <pic:cNvPicPr/>
                        </pic:nvPicPr>
                        <pic:blipFill>
                          <a:blip r:embed="rId10" cstate="print"/>
                          <a:stretch>
                            <a:fillRect/>
                          </a:stretch>
                        </pic:blipFill>
                        <pic:spPr>
                          <a:xfrm>
                            <a:off x="5569673" y="6404224"/>
                            <a:ext cx="771345" cy="437576"/>
                          </a:xfrm>
                          <a:prstGeom prst="rect">
                            <a:avLst/>
                          </a:prstGeom>
                        </pic:spPr>
                      </pic:pic>
                      <wps:wsp>
                        <wps:cNvPr id="10" name="Graphic 10"/>
                        <wps:cNvSpPr/>
                        <wps:spPr>
                          <a:xfrm>
                            <a:off x="6444060" y="6549878"/>
                            <a:ext cx="2540" cy="243840"/>
                          </a:xfrm>
                          <a:custGeom>
                            <a:avLst/>
                            <a:gdLst/>
                            <a:ahLst/>
                            <a:cxnLst/>
                            <a:rect l="l" t="t" r="r" b="b"/>
                            <a:pathLst>
                              <a:path w="2540" h="243840">
                                <a:moveTo>
                                  <a:pt x="2052" y="0"/>
                                </a:moveTo>
                                <a:lnTo>
                                  <a:pt x="0" y="0"/>
                                </a:lnTo>
                                <a:lnTo>
                                  <a:pt x="0" y="243233"/>
                                </a:lnTo>
                                <a:lnTo>
                                  <a:pt x="2052" y="243233"/>
                                </a:lnTo>
                                <a:lnTo>
                                  <a:pt x="2052" y="0"/>
                                </a:lnTo>
                                <a:close/>
                              </a:path>
                            </a:pathLst>
                          </a:custGeom>
                          <a:solidFill>
                            <a:srgbClr val="1F1546"/>
                          </a:solidFill>
                        </wps:spPr>
                        <wps:bodyPr wrap="square" lIns="0" tIns="0" rIns="0" bIns="0" rtlCol="0">
                          <a:prstTxWarp prst="textNoShape">
                            <a:avLst/>
                          </a:prstTxWarp>
                          <a:noAutofit/>
                        </wps:bodyPr>
                      </wps:wsp>
                      <pic:pic>
                        <pic:nvPicPr>
                          <pic:cNvPr id="11" name="Image 11"/>
                          <pic:cNvPicPr/>
                        </pic:nvPicPr>
                        <pic:blipFill>
                          <a:blip r:embed="rId11" cstate="print"/>
                          <a:stretch>
                            <a:fillRect/>
                          </a:stretch>
                        </pic:blipFill>
                        <pic:spPr>
                          <a:xfrm>
                            <a:off x="6545594" y="6549818"/>
                            <a:ext cx="746397" cy="244463"/>
                          </a:xfrm>
                          <a:prstGeom prst="rect">
                            <a:avLst/>
                          </a:prstGeom>
                        </pic:spPr>
                      </pic:pic>
                      <pic:pic>
                        <pic:nvPicPr>
                          <pic:cNvPr id="12" name="Image 12" descr="Feral pigs expanded their range in Victoria over recent years. | Stock &amp;  Land | VIC"/>
                          <pic:cNvPicPr/>
                        </pic:nvPicPr>
                        <pic:blipFill>
                          <a:blip r:embed="rId12" cstate="print"/>
                          <a:stretch>
                            <a:fillRect/>
                          </a:stretch>
                        </pic:blipFill>
                        <pic:spPr>
                          <a:xfrm>
                            <a:off x="3609340" y="3203575"/>
                            <a:ext cx="3951223" cy="2581275"/>
                          </a:xfrm>
                          <a:prstGeom prst="rect">
                            <a:avLst/>
                          </a:prstGeom>
                        </pic:spPr>
                      </pic:pic>
                      <pic:pic>
                        <pic:nvPicPr>
                          <pic:cNvPr id="13" name="Image 13"/>
                          <pic:cNvPicPr/>
                        </pic:nvPicPr>
                        <pic:blipFill>
                          <a:blip r:embed="rId13" cstate="print"/>
                          <a:stretch>
                            <a:fillRect/>
                          </a:stretch>
                        </pic:blipFill>
                        <pic:spPr>
                          <a:xfrm>
                            <a:off x="2490470" y="1179194"/>
                            <a:ext cx="5070094" cy="6106160"/>
                          </a:xfrm>
                          <a:prstGeom prst="rect">
                            <a:avLst/>
                          </a:prstGeom>
                        </pic:spPr>
                      </pic:pic>
                    </wpg:wgp>
                  </a:graphicData>
                </a:graphic>
              </wp:anchor>
            </w:drawing>
          </mc:Choice>
          <mc:Fallback>
            <w:pict>
              <v:group style="position:absolute;margin-left:0pt;margin-top:267.999969pt;width:595.35pt;height:573.65pt;mso-position-horizontal-relative:page;mso-position-vertical-relative:page;z-index:15731712" id="docshapegroup7" coordorigin="0,5360" coordsize="11907,11473">
                <v:shape style="position:absolute;left:0;top:5360;width:5682;height:5004" type="#_x0000_t75" id="docshape8" alt="Integrated rabbit control | Invasive animal management | Pest animals |  Biosecurity | Agriculture Victoria" stroked="false">
                  <v:imagedata r:id="rId9" o:title=""/>
                </v:shape>
                <v:shape style="position:absolute;left:8771;top:15445;width:1215;height:690" type="#_x0000_t75" id="docshape9" stroked="false">
                  <v:imagedata r:id="rId10" o:title=""/>
                </v:shape>
                <v:rect style="position:absolute;left:10148;top:15674;width:4;height:384" id="docshape10" filled="true" fillcolor="#1f1546" stroked="false">
                  <v:fill type="solid"/>
                </v:rect>
                <v:shape style="position:absolute;left:10308;top:15674;width:1176;height:385" type="#_x0000_t75" id="docshape11" stroked="false">
                  <v:imagedata r:id="rId11" o:title=""/>
                </v:shape>
                <v:shape style="position:absolute;left:5684;top:10405;width:6223;height:4065" type="#_x0000_t75" id="docshape12" alt="Feral pigs expanded their range in Victoria over recent years. | Stock &amp;  Land | VIC" stroked="false">
                  <v:imagedata r:id="rId12" o:title=""/>
                </v:shape>
                <v:shape style="position:absolute;left:3922;top:7217;width:7985;height:9616" type="#_x0000_t75" id="docshape13" stroked="false">
                  <v:imagedata r:id="rId13" o:title=""/>
                </v:shape>
                <w10:wrap type="none"/>
              </v:group>
            </w:pict>
          </mc:Fallback>
        </mc:AlternateContent>
      </w:r>
    </w:p>
    <w:p>
      <w:pPr>
        <w:spacing w:before="0"/>
        <w:ind w:left="327" w:right="0" w:firstLine="0"/>
        <w:jc w:val="left"/>
        <w:rPr>
          <w:b/>
          <w:sz w:val="40"/>
        </w:rPr>
      </w:pPr>
      <w:r>
        <w:rPr/>
        <mc:AlternateContent>
          <mc:Choice Requires="wps">
            <w:drawing>
              <wp:anchor distT="0" distB="0" distL="0" distR="0" allowOverlap="1" layoutInCell="1" locked="0" behindDoc="1" simplePos="0" relativeHeight="483849728">
                <wp:simplePos x="0" y="0"/>
                <wp:positionH relativeFrom="page">
                  <wp:posOffset>787908</wp:posOffset>
                </wp:positionH>
                <wp:positionV relativeFrom="paragraph">
                  <wp:posOffset>826711</wp:posOffset>
                </wp:positionV>
                <wp:extent cx="1283335" cy="14160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283335" cy="141605"/>
                        </a:xfrm>
                        <a:prstGeom prst="rect">
                          <a:avLst/>
                        </a:prstGeom>
                      </wps:spPr>
                      <wps:txbx>
                        <w:txbxContent>
                          <w:p>
                            <w:pPr>
                              <w:spacing w:line="223" w:lineRule="exact" w:before="0"/>
                              <w:ind w:left="0" w:right="0" w:firstLine="0"/>
                              <w:jc w:val="left"/>
                              <w:rPr>
                                <w:b/>
                                <w:sz w:val="20"/>
                              </w:rPr>
                            </w:pPr>
                            <w:r>
                              <w:rPr>
                                <w:b/>
                                <w:color w:val="1F1546"/>
                                <w:sz w:val="20"/>
                              </w:rPr>
                              <w:t>Gaskamp</w:t>
                            </w:r>
                            <w:r>
                              <w:rPr>
                                <w:b/>
                                <w:color w:val="1F1546"/>
                                <w:spacing w:val="-3"/>
                                <w:sz w:val="20"/>
                              </w:rPr>
                              <w:t> </w:t>
                            </w:r>
                            <w:r>
                              <w:rPr>
                                <w:color w:val="1F1546"/>
                                <w:sz w:val="20"/>
                              </w:rPr>
                              <w:t>et</w:t>
                            </w:r>
                            <w:r>
                              <w:rPr>
                                <w:color w:val="1F1546"/>
                                <w:spacing w:val="-7"/>
                                <w:sz w:val="20"/>
                              </w:rPr>
                              <w:t> </w:t>
                            </w:r>
                            <w:r>
                              <w:rPr>
                                <w:color w:val="1F1546"/>
                                <w:sz w:val="20"/>
                              </w:rPr>
                              <w:t>al.</w:t>
                            </w:r>
                            <w:r>
                              <w:rPr>
                                <w:color w:val="1F1546"/>
                                <w:spacing w:val="-6"/>
                                <w:sz w:val="20"/>
                              </w:rPr>
                              <w:t> </w:t>
                            </w:r>
                            <w:r>
                              <w:rPr>
                                <w:b/>
                                <w:color w:val="1F1546"/>
                                <w:spacing w:val="-2"/>
                                <w:sz w:val="20"/>
                              </w:rPr>
                              <w:t>(2021)</w:t>
                            </w:r>
                          </w:p>
                        </w:txbxContent>
                      </wps:txbx>
                      <wps:bodyPr wrap="square" lIns="0" tIns="0" rIns="0" bIns="0" rtlCol="0">
                        <a:noAutofit/>
                      </wps:bodyPr>
                    </wps:wsp>
                  </a:graphicData>
                </a:graphic>
              </wp:anchor>
            </w:drawing>
          </mc:Choice>
          <mc:Fallback>
            <w:pict>
              <v:shape style="position:absolute;margin-left:62.040001pt;margin-top:65.095428pt;width:101.05pt;height:11.15pt;mso-position-horizontal-relative:page;mso-position-vertical-relative:paragraph;z-index:-19466752" type="#_x0000_t202" id="docshape14" filled="false" stroked="false">
                <v:textbox inset="0,0,0,0">
                  <w:txbxContent>
                    <w:p>
                      <w:pPr>
                        <w:spacing w:line="223" w:lineRule="exact" w:before="0"/>
                        <w:ind w:left="0" w:right="0" w:firstLine="0"/>
                        <w:jc w:val="left"/>
                        <w:rPr>
                          <w:b/>
                          <w:sz w:val="20"/>
                        </w:rPr>
                      </w:pPr>
                      <w:r>
                        <w:rPr>
                          <w:b/>
                          <w:color w:val="1F1546"/>
                          <w:sz w:val="20"/>
                        </w:rPr>
                        <w:t>Gaskamp</w:t>
                      </w:r>
                      <w:r>
                        <w:rPr>
                          <w:b/>
                          <w:color w:val="1F1546"/>
                          <w:spacing w:val="-3"/>
                          <w:sz w:val="20"/>
                        </w:rPr>
                        <w:t> </w:t>
                      </w:r>
                      <w:r>
                        <w:rPr>
                          <w:color w:val="1F1546"/>
                          <w:sz w:val="20"/>
                        </w:rPr>
                        <w:t>et</w:t>
                      </w:r>
                      <w:r>
                        <w:rPr>
                          <w:color w:val="1F1546"/>
                          <w:spacing w:val="-7"/>
                          <w:sz w:val="20"/>
                        </w:rPr>
                        <w:t> </w:t>
                      </w:r>
                      <w:r>
                        <w:rPr>
                          <w:color w:val="1F1546"/>
                          <w:sz w:val="20"/>
                        </w:rPr>
                        <w:t>al.</w:t>
                      </w:r>
                      <w:r>
                        <w:rPr>
                          <w:color w:val="1F1546"/>
                          <w:spacing w:val="-6"/>
                          <w:sz w:val="20"/>
                        </w:rPr>
                        <w:t> </w:t>
                      </w:r>
                      <w:r>
                        <w:rPr>
                          <w:b/>
                          <w:color w:val="1F1546"/>
                          <w:spacing w:val="-2"/>
                          <w:sz w:val="20"/>
                        </w:rPr>
                        <w:t>(2021)</w:t>
                      </w:r>
                    </w:p>
                  </w:txbxContent>
                </v:textbox>
                <w10:wrap type="none"/>
              </v:shape>
            </w:pict>
          </mc:Fallback>
        </mc:AlternateContent>
      </w:r>
      <w:r>
        <w:rPr/>
        <mc:AlternateContent>
          <mc:Choice Requires="wps">
            <w:drawing>
              <wp:anchor distT="0" distB="0" distL="0" distR="0" allowOverlap="1" layoutInCell="1" locked="0" behindDoc="1" simplePos="0" relativeHeight="483850752">
                <wp:simplePos x="0" y="0"/>
                <wp:positionH relativeFrom="page">
                  <wp:posOffset>637133</wp:posOffset>
                </wp:positionH>
                <wp:positionV relativeFrom="paragraph">
                  <wp:posOffset>-490703</wp:posOffset>
                </wp:positionV>
                <wp:extent cx="6291580" cy="225996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6291580" cy="2259965"/>
                        </a:xfrm>
                        <a:custGeom>
                          <a:avLst/>
                          <a:gdLst/>
                          <a:ahLst/>
                          <a:cxnLst/>
                          <a:rect l="l" t="t" r="r" b="b"/>
                          <a:pathLst>
                            <a:path w="6291580" h="2259965">
                              <a:moveTo>
                                <a:pt x="6291453" y="0"/>
                              </a:moveTo>
                              <a:lnTo>
                                <a:pt x="0" y="0"/>
                              </a:lnTo>
                              <a:lnTo>
                                <a:pt x="0" y="2259837"/>
                              </a:lnTo>
                              <a:lnTo>
                                <a:pt x="6291453" y="2259837"/>
                              </a:lnTo>
                              <a:lnTo>
                                <a:pt x="62914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0.167999pt;margin-top:-38.638046pt;width:495.39pt;height:177.94pt;mso-position-horizontal-relative:page;mso-position-vertical-relative:paragraph;z-index:-19465728" id="docshape15" filled="true" fillcolor="#ffffff" stroked="false">
                <v:fill type="solid"/>
                <w10:wrap type="none"/>
              </v:rect>
            </w:pict>
          </mc:Fallback>
        </mc:AlternateContent>
      </w:r>
      <w:r>
        <w:rPr>
          <w:b/>
          <w:color w:val="1F1546"/>
          <w:sz w:val="40"/>
        </w:rPr>
        <w:t>The</w:t>
      </w:r>
      <w:r>
        <w:rPr>
          <w:b/>
          <w:color w:val="1F1546"/>
          <w:spacing w:val="-4"/>
          <w:sz w:val="40"/>
        </w:rPr>
        <w:t> </w:t>
      </w:r>
      <w:r>
        <w:rPr>
          <w:b/>
          <w:color w:val="1F1546"/>
          <w:sz w:val="40"/>
        </w:rPr>
        <w:t>use</w:t>
      </w:r>
      <w:r>
        <w:rPr>
          <w:b/>
          <w:color w:val="1F1546"/>
          <w:spacing w:val="-4"/>
          <w:sz w:val="40"/>
        </w:rPr>
        <w:t> </w:t>
      </w:r>
      <w:r>
        <w:rPr>
          <w:b/>
          <w:color w:val="1F1546"/>
          <w:sz w:val="40"/>
        </w:rPr>
        <w:t>of</w:t>
      </w:r>
      <w:r>
        <w:rPr>
          <w:b/>
          <w:color w:val="1F1546"/>
          <w:spacing w:val="-4"/>
          <w:sz w:val="40"/>
        </w:rPr>
        <w:t> </w:t>
      </w:r>
      <w:r>
        <w:rPr>
          <w:b/>
          <w:color w:val="1F1546"/>
          <w:sz w:val="40"/>
        </w:rPr>
        <w:t>1080</w:t>
      </w:r>
      <w:r>
        <w:rPr>
          <w:b/>
          <w:color w:val="1F1546"/>
          <w:spacing w:val="-4"/>
          <w:sz w:val="40"/>
        </w:rPr>
        <w:t> </w:t>
      </w:r>
      <w:r>
        <w:rPr>
          <w:b/>
          <w:color w:val="1F1546"/>
          <w:sz w:val="40"/>
        </w:rPr>
        <w:t>and</w:t>
      </w:r>
      <w:r>
        <w:rPr>
          <w:b/>
          <w:color w:val="1F1546"/>
          <w:spacing w:val="-5"/>
          <w:sz w:val="40"/>
        </w:rPr>
        <w:t> </w:t>
      </w:r>
      <w:r>
        <w:rPr>
          <w:b/>
          <w:color w:val="1F1546"/>
          <w:sz w:val="40"/>
        </w:rPr>
        <w:t>other</w:t>
      </w:r>
      <w:r>
        <w:rPr>
          <w:b/>
          <w:color w:val="1F1546"/>
          <w:spacing w:val="-6"/>
          <w:sz w:val="40"/>
        </w:rPr>
        <w:t> </w:t>
      </w:r>
      <w:r>
        <w:rPr>
          <w:b/>
          <w:color w:val="1F1546"/>
          <w:sz w:val="40"/>
        </w:rPr>
        <w:t>methods</w:t>
      </w:r>
      <w:r>
        <w:rPr>
          <w:b/>
          <w:color w:val="1F1546"/>
          <w:spacing w:val="-4"/>
          <w:sz w:val="40"/>
        </w:rPr>
        <w:t> </w:t>
      </w:r>
      <w:r>
        <w:rPr>
          <w:b/>
          <w:color w:val="1F1546"/>
          <w:sz w:val="40"/>
        </w:rPr>
        <w:t>for</w:t>
      </w:r>
      <w:r>
        <w:rPr>
          <w:b/>
          <w:color w:val="1F1546"/>
          <w:spacing w:val="-4"/>
          <w:sz w:val="40"/>
        </w:rPr>
        <w:t> </w:t>
      </w:r>
      <w:r>
        <w:rPr>
          <w:b/>
          <w:color w:val="1F1546"/>
          <w:sz w:val="40"/>
        </w:rPr>
        <w:t>controlling European Rabbits, Feral Pigs, Red Foxes and unprotected Dingoes and Wild Dogs in Victoria</w:t>
      </w:r>
    </w:p>
    <w:p>
      <w:pPr>
        <w:pStyle w:val="Heading3"/>
        <w:spacing w:before="239"/>
        <w:ind w:left="327" w:firstLine="0"/>
      </w:pPr>
      <w:r>
        <w:rPr>
          <w:color w:val="1F1546"/>
        </w:rPr>
        <w:t>April</w:t>
      </w:r>
      <w:r>
        <w:rPr>
          <w:color w:val="1F1546"/>
          <w:spacing w:val="-7"/>
        </w:rPr>
        <w:t> </w:t>
      </w:r>
      <w:r>
        <w:rPr>
          <w:color w:val="1F1546"/>
          <w:spacing w:val="-4"/>
        </w:rPr>
        <w:t>2025</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7"/>
        <w:rPr>
          <w:b/>
          <w:sz w:val="24"/>
        </w:rPr>
      </w:pPr>
    </w:p>
    <w:p>
      <w:pPr>
        <w:spacing w:before="0"/>
        <w:ind w:left="115" w:right="0" w:firstLine="0"/>
        <w:jc w:val="left"/>
        <w:rPr>
          <w:b/>
          <w:sz w:val="24"/>
        </w:rPr>
      </w:pPr>
      <w:r>
        <w:rPr>
          <w:b/>
          <w:color w:val="FFFFFF"/>
          <w:sz w:val="24"/>
        </w:rPr>
        <w:t>Arthur</w:t>
      </w:r>
      <w:r>
        <w:rPr>
          <w:b/>
          <w:color w:val="FFFFFF"/>
          <w:spacing w:val="-6"/>
          <w:sz w:val="24"/>
        </w:rPr>
        <w:t> </w:t>
      </w:r>
      <w:r>
        <w:rPr>
          <w:b/>
          <w:color w:val="FFFFFF"/>
          <w:sz w:val="24"/>
        </w:rPr>
        <w:t>Rylah</w:t>
      </w:r>
      <w:r>
        <w:rPr>
          <w:b/>
          <w:color w:val="FFFFFF"/>
          <w:spacing w:val="-6"/>
          <w:sz w:val="24"/>
        </w:rPr>
        <w:t> </w:t>
      </w:r>
      <w:r>
        <w:rPr>
          <w:b/>
          <w:color w:val="FFFFFF"/>
          <w:sz w:val="24"/>
        </w:rPr>
        <w:t>Institute</w:t>
      </w:r>
      <w:r>
        <w:rPr>
          <w:b/>
          <w:color w:val="FFFFFF"/>
          <w:spacing w:val="-7"/>
          <w:sz w:val="24"/>
        </w:rPr>
        <w:t> </w:t>
      </w:r>
      <w:r>
        <w:rPr>
          <w:b/>
          <w:color w:val="FFFFFF"/>
          <w:sz w:val="24"/>
        </w:rPr>
        <w:t>for</w:t>
      </w:r>
      <w:r>
        <w:rPr>
          <w:b/>
          <w:color w:val="FFFFFF"/>
          <w:spacing w:val="-6"/>
          <w:sz w:val="24"/>
        </w:rPr>
        <w:t> </w:t>
      </w:r>
      <w:r>
        <w:rPr>
          <w:b/>
          <w:color w:val="FFFFFF"/>
          <w:sz w:val="24"/>
        </w:rPr>
        <w:t>Environmental</w:t>
      </w:r>
      <w:r>
        <w:rPr>
          <w:b/>
          <w:color w:val="FFFFFF"/>
          <w:spacing w:val="-7"/>
          <w:sz w:val="24"/>
        </w:rPr>
        <w:t> </w:t>
      </w:r>
      <w:r>
        <w:rPr>
          <w:b/>
          <w:color w:val="FFFFFF"/>
          <w:sz w:val="24"/>
        </w:rPr>
        <w:t>Research</w:t>
      </w:r>
      <w:r>
        <w:rPr>
          <w:b/>
          <w:color w:val="FFFFFF"/>
          <w:spacing w:val="-2"/>
          <w:sz w:val="24"/>
        </w:rPr>
        <w:t> </w:t>
      </w:r>
      <w:r>
        <w:rPr>
          <w:b/>
          <w:color w:val="FFFFFF"/>
          <w:sz w:val="24"/>
        </w:rPr>
        <w:t>Unpublished</w:t>
      </w:r>
      <w:r>
        <w:rPr>
          <w:b/>
          <w:color w:val="FFFFFF"/>
          <w:spacing w:val="-8"/>
          <w:sz w:val="24"/>
        </w:rPr>
        <w:t> </w:t>
      </w:r>
      <w:r>
        <w:rPr>
          <w:b/>
          <w:color w:val="FFFFFF"/>
          <w:spacing w:val="-2"/>
          <w:sz w:val="24"/>
        </w:rPr>
        <w:t>Report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
        <w:rPr>
          <w:b/>
        </w:rPr>
      </w:pPr>
      <w:r>
        <w:rPr/>
        <w:drawing>
          <wp:anchor distT="0" distB="0" distL="0" distR="0" allowOverlap="1" layoutInCell="1" locked="0" behindDoc="1" simplePos="0" relativeHeight="487587840">
            <wp:simplePos x="0" y="0"/>
            <wp:positionH relativeFrom="page">
              <wp:posOffset>4320540</wp:posOffset>
            </wp:positionH>
            <wp:positionV relativeFrom="paragraph">
              <wp:posOffset>177406</wp:posOffset>
            </wp:positionV>
            <wp:extent cx="963643" cy="500157"/>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963643" cy="500157"/>
                    </a:xfrm>
                    <a:prstGeom prst="rect">
                      <a:avLst/>
                    </a:prstGeom>
                  </pic:spPr>
                </pic:pic>
              </a:graphicData>
            </a:graphic>
          </wp:anchor>
        </w:drawing>
      </w:r>
    </w:p>
    <w:p>
      <w:pPr>
        <w:pStyle w:val="BodyText"/>
        <w:ind w:left="4627"/>
      </w:pPr>
      <w:r>
        <w:rPr/>
        <mc:AlternateContent>
          <mc:Choice Requires="wps">
            <w:drawing>
              <wp:inline distT="0" distB="0" distL="0" distR="0">
                <wp:extent cx="771525" cy="254635"/>
                <wp:effectExtent l="0" t="0" r="0" b="0"/>
                <wp:docPr id="17" name="Group 17"/>
                <wp:cNvGraphicFramePr>
                  <a:graphicFrameLocks/>
                </wp:cNvGraphicFramePr>
                <a:graphic>
                  <a:graphicData uri="http://schemas.microsoft.com/office/word/2010/wordprocessingGroup">
                    <wpg:wgp>
                      <wpg:cNvPr id="17" name="Group 17"/>
                      <wpg:cNvGrpSpPr/>
                      <wpg:grpSpPr>
                        <a:xfrm>
                          <a:off x="0" y="0"/>
                          <a:ext cx="771525" cy="254635"/>
                          <a:chExt cx="771525" cy="254635"/>
                        </a:xfrm>
                      </wpg:grpSpPr>
                      <wps:wsp>
                        <wps:cNvPr id="18" name="Graphic 18"/>
                        <wps:cNvSpPr/>
                        <wps:spPr>
                          <a:xfrm>
                            <a:off x="0" y="0"/>
                            <a:ext cx="771525" cy="254635"/>
                          </a:xfrm>
                          <a:custGeom>
                            <a:avLst/>
                            <a:gdLst/>
                            <a:ahLst/>
                            <a:cxnLst/>
                            <a:rect l="l" t="t" r="r" b="b"/>
                            <a:pathLst>
                              <a:path w="771525" h="254635">
                                <a:moveTo>
                                  <a:pt x="771525" y="0"/>
                                </a:moveTo>
                                <a:lnTo>
                                  <a:pt x="0" y="0"/>
                                </a:lnTo>
                                <a:lnTo>
                                  <a:pt x="0" y="254635"/>
                                </a:lnTo>
                                <a:lnTo>
                                  <a:pt x="771525" y="254635"/>
                                </a:lnTo>
                                <a:lnTo>
                                  <a:pt x="77152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60.75pt;height:20.05pt;mso-position-horizontal-relative:char;mso-position-vertical-relative:line" id="docshapegroup16" coordorigin="0,0" coordsize="1215,401">
                <v:rect style="position:absolute;left:0;top:0;width:1215;height:401" id="docshape17" filled="true" fillcolor="#ffffff" stroked="false">
                  <v:fill type="solid"/>
                </v:rect>
              </v:group>
            </w:pict>
          </mc:Fallback>
        </mc:AlternateContent>
      </w:r>
      <w:r>
        <w:rPr/>
      </w:r>
    </w:p>
    <w:p>
      <w:pPr>
        <w:spacing w:after="0"/>
        <w:sectPr>
          <w:footerReference w:type="default" r:id="rId5"/>
          <w:type w:val="continuous"/>
          <w:pgSz w:w="11910" w:h="16850"/>
          <w:pgMar w:header="0" w:footer="0" w:top="700" w:bottom="0" w:left="820" w:right="980"/>
          <w:pgNumType w:start="1"/>
        </w:sect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07"/>
        <w:rPr>
          <w:b/>
          <w:sz w:val="18"/>
        </w:rPr>
      </w:pPr>
    </w:p>
    <w:p>
      <w:pPr>
        <w:spacing w:before="0"/>
        <w:ind w:left="312" w:right="5161" w:firstLine="0"/>
        <w:jc w:val="left"/>
        <w:rPr>
          <w:sz w:val="18"/>
        </w:rPr>
      </w:pPr>
      <w:r>
        <w:rPr>
          <w:sz w:val="18"/>
        </w:rPr>
        <w:t>Arthur Rylah Institute for Environmental Research Department</w:t>
      </w:r>
      <w:r>
        <w:rPr>
          <w:spacing w:val="-7"/>
          <w:sz w:val="18"/>
        </w:rPr>
        <w:t> </w:t>
      </w:r>
      <w:r>
        <w:rPr>
          <w:sz w:val="18"/>
        </w:rPr>
        <w:t>of</w:t>
      </w:r>
      <w:r>
        <w:rPr>
          <w:spacing w:val="-5"/>
          <w:sz w:val="18"/>
        </w:rPr>
        <w:t> </w:t>
      </w:r>
      <w:r>
        <w:rPr>
          <w:sz w:val="18"/>
        </w:rPr>
        <w:t>Energy,</w:t>
      </w:r>
      <w:r>
        <w:rPr>
          <w:spacing w:val="-7"/>
          <w:sz w:val="18"/>
        </w:rPr>
        <w:t> </w:t>
      </w:r>
      <w:r>
        <w:rPr>
          <w:sz w:val="18"/>
        </w:rPr>
        <w:t>Environment</w:t>
      </w:r>
      <w:r>
        <w:rPr>
          <w:spacing w:val="-5"/>
          <w:sz w:val="18"/>
        </w:rPr>
        <w:t> </w:t>
      </w:r>
      <w:r>
        <w:rPr>
          <w:sz w:val="18"/>
        </w:rPr>
        <w:t>and</w:t>
      </w:r>
      <w:r>
        <w:rPr>
          <w:spacing w:val="-5"/>
          <w:sz w:val="18"/>
        </w:rPr>
        <w:t> </w:t>
      </w:r>
      <w:r>
        <w:rPr>
          <w:sz w:val="18"/>
        </w:rPr>
        <w:t>Climate</w:t>
      </w:r>
      <w:r>
        <w:rPr>
          <w:spacing w:val="-7"/>
          <w:sz w:val="18"/>
        </w:rPr>
        <w:t> </w:t>
      </w:r>
      <w:r>
        <w:rPr>
          <w:sz w:val="18"/>
        </w:rPr>
        <w:t>Action PO Box 137, Heidelberg, Victoria 3084</w:t>
      </w:r>
    </w:p>
    <w:p>
      <w:pPr>
        <w:spacing w:line="207" w:lineRule="exact" w:before="0"/>
        <w:ind w:left="312" w:right="0" w:firstLine="0"/>
        <w:jc w:val="left"/>
        <w:rPr>
          <w:sz w:val="18"/>
        </w:rPr>
      </w:pPr>
      <w:r>
        <w:rPr>
          <w:sz w:val="18"/>
        </w:rPr>
        <w:t>Phone</w:t>
      </w:r>
      <w:r>
        <w:rPr>
          <w:spacing w:val="-4"/>
          <w:sz w:val="18"/>
        </w:rPr>
        <w:t> </w:t>
      </w:r>
      <w:r>
        <w:rPr>
          <w:sz w:val="18"/>
        </w:rPr>
        <w:t>(03)</w:t>
      </w:r>
      <w:r>
        <w:rPr>
          <w:spacing w:val="-5"/>
          <w:sz w:val="18"/>
        </w:rPr>
        <w:t> </w:t>
      </w:r>
      <w:r>
        <w:rPr>
          <w:sz w:val="18"/>
        </w:rPr>
        <w:t>9450</w:t>
      </w:r>
      <w:r>
        <w:rPr>
          <w:spacing w:val="-6"/>
          <w:sz w:val="18"/>
        </w:rPr>
        <w:t> </w:t>
      </w:r>
      <w:r>
        <w:rPr>
          <w:spacing w:val="-4"/>
          <w:sz w:val="18"/>
        </w:rPr>
        <w:t>8600</w:t>
      </w:r>
    </w:p>
    <w:p>
      <w:pPr>
        <w:spacing w:line="207" w:lineRule="exact" w:before="0"/>
        <w:ind w:left="312" w:right="0" w:firstLine="0"/>
        <w:jc w:val="left"/>
        <w:rPr>
          <w:sz w:val="18"/>
        </w:rPr>
      </w:pPr>
      <w:r>
        <w:rPr>
          <w:sz w:val="18"/>
        </w:rPr>
        <w:t>Website:</w:t>
      </w:r>
      <w:r>
        <w:rPr>
          <w:spacing w:val="-2"/>
          <w:sz w:val="18"/>
        </w:rPr>
        <w:t> </w:t>
      </w:r>
      <w:hyperlink r:id="rId15">
        <w:r>
          <w:rPr>
            <w:color w:val="0000FF"/>
            <w:spacing w:val="-2"/>
            <w:sz w:val="18"/>
            <w:u w:val="single" w:color="0000FF"/>
          </w:rPr>
          <w:t>www.ari.vic.gov.au</w:t>
        </w:r>
      </w:hyperlink>
    </w:p>
    <w:p>
      <w:pPr>
        <w:pStyle w:val="BodyText"/>
        <w:spacing w:before="33"/>
        <w:rPr>
          <w:sz w:val="18"/>
        </w:rPr>
      </w:pPr>
    </w:p>
    <w:p>
      <w:pPr>
        <w:spacing w:line="240" w:lineRule="auto" w:before="0"/>
        <w:ind w:left="312" w:right="247" w:firstLine="0"/>
        <w:jc w:val="left"/>
        <w:rPr>
          <w:sz w:val="18"/>
        </w:rPr>
      </w:pPr>
      <w:r>
        <w:rPr>
          <w:b/>
          <w:sz w:val="18"/>
        </w:rPr>
        <w:t>Citation</w:t>
      </w:r>
      <w:r>
        <w:rPr>
          <w:sz w:val="18"/>
        </w:rPr>
        <w:t>:</w:t>
      </w:r>
      <w:r>
        <w:rPr>
          <w:spacing w:val="-2"/>
          <w:sz w:val="18"/>
        </w:rPr>
        <w:t> </w:t>
      </w:r>
      <w:r>
        <w:rPr>
          <w:sz w:val="18"/>
        </w:rPr>
        <w:t>DEECA.</w:t>
      </w:r>
      <w:r>
        <w:rPr>
          <w:spacing w:val="-2"/>
          <w:sz w:val="18"/>
        </w:rPr>
        <w:t> </w:t>
      </w:r>
      <w:r>
        <w:rPr>
          <w:sz w:val="18"/>
        </w:rPr>
        <w:t>(2025).</w:t>
      </w:r>
      <w:r>
        <w:rPr>
          <w:spacing w:val="-4"/>
          <w:sz w:val="18"/>
        </w:rPr>
        <w:t> </w:t>
      </w:r>
      <w:r>
        <w:rPr>
          <w:sz w:val="18"/>
        </w:rPr>
        <w:t>The</w:t>
      </w:r>
      <w:r>
        <w:rPr>
          <w:spacing w:val="-4"/>
          <w:sz w:val="18"/>
        </w:rPr>
        <w:t> </w:t>
      </w:r>
      <w:r>
        <w:rPr>
          <w:sz w:val="18"/>
        </w:rPr>
        <w:t>use</w:t>
      </w:r>
      <w:r>
        <w:rPr>
          <w:spacing w:val="-4"/>
          <w:sz w:val="18"/>
        </w:rPr>
        <w:t> </w:t>
      </w:r>
      <w:r>
        <w:rPr>
          <w:sz w:val="18"/>
        </w:rPr>
        <w:t>of</w:t>
      </w:r>
      <w:r>
        <w:rPr>
          <w:spacing w:val="-2"/>
          <w:sz w:val="18"/>
        </w:rPr>
        <w:t> </w:t>
      </w:r>
      <w:r>
        <w:rPr>
          <w:sz w:val="18"/>
        </w:rPr>
        <w:t>1080</w:t>
      </w:r>
      <w:r>
        <w:rPr>
          <w:spacing w:val="-2"/>
          <w:sz w:val="18"/>
        </w:rPr>
        <w:t> </w:t>
      </w:r>
      <w:r>
        <w:rPr>
          <w:sz w:val="18"/>
        </w:rPr>
        <w:t>and</w:t>
      </w:r>
      <w:r>
        <w:rPr>
          <w:spacing w:val="-4"/>
          <w:sz w:val="18"/>
        </w:rPr>
        <w:t> </w:t>
      </w:r>
      <w:r>
        <w:rPr>
          <w:sz w:val="18"/>
        </w:rPr>
        <w:t>other</w:t>
      </w:r>
      <w:r>
        <w:rPr>
          <w:spacing w:val="-4"/>
          <w:sz w:val="18"/>
        </w:rPr>
        <w:t> </w:t>
      </w:r>
      <w:r>
        <w:rPr>
          <w:sz w:val="18"/>
        </w:rPr>
        <w:t>methods</w:t>
      </w:r>
      <w:r>
        <w:rPr>
          <w:spacing w:val="-1"/>
          <w:sz w:val="18"/>
        </w:rPr>
        <w:t> </w:t>
      </w:r>
      <w:r>
        <w:rPr>
          <w:sz w:val="18"/>
        </w:rPr>
        <w:t>for</w:t>
      </w:r>
      <w:r>
        <w:rPr>
          <w:spacing w:val="-4"/>
          <w:sz w:val="18"/>
        </w:rPr>
        <w:t> </w:t>
      </w:r>
      <w:r>
        <w:rPr>
          <w:sz w:val="18"/>
        </w:rPr>
        <w:t>controlling</w:t>
      </w:r>
      <w:r>
        <w:rPr>
          <w:spacing w:val="-1"/>
          <w:sz w:val="18"/>
        </w:rPr>
        <w:t> </w:t>
      </w:r>
      <w:r>
        <w:rPr>
          <w:sz w:val="18"/>
        </w:rPr>
        <w:t>European</w:t>
      </w:r>
      <w:r>
        <w:rPr>
          <w:spacing w:val="-1"/>
          <w:sz w:val="18"/>
        </w:rPr>
        <w:t> </w:t>
      </w:r>
      <w:r>
        <w:rPr>
          <w:sz w:val="18"/>
        </w:rPr>
        <w:t>Rabbits,</w:t>
      </w:r>
      <w:r>
        <w:rPr>
          <w:spacing w:val="-4"/>
          <w:sz w:val="18"/>
        </w:rPr>
        <w:t> </w:t>
      </w:r>
      <w:r>
        <w:rPr>
          <w:sz w:val="18"/>
        </w:rPr>
        <w:t>Feral Pigs,</w:t>
      </w:r>
      <w:r>
        <w:rPr>
          <w:spacing w:val="-2"/>
          <w:sz w:val="18"/>
        </w:rPr>
        <w:t> </w:t>
      </w:r>
      <w:r>
        <w:rPr>
          <w:sz w:val="18"/>
        </w:rPr>
        <w:t>Red</w:t>
      </w:r>
      <w:r>
        <w:rPr>
          <w:spacing w:val="-1"/>
          <w:sz w:val="18"/>
        </w:rPr>
        <w:t> </w:t>
      </w:r>
      <w:r>
        <w:rPr>
          <w:sz w:val="18"/>
        </w:rPr>
        <w:t>Foxes and Dingoes and Wild Dogs in Victoria. Arthur Rylah Institute for Environmental Research Unpublished Report for Agriculture Victoria. Department of Energy, Environment and Climate Action, Heidelberg, Victoria.</w:t>
      </w:r>
    </w:p>
    <w:p>
      <w:pPr>
        <w:pStyle w:val="BodyText"/>
        <w:spacing w:before="34"/>
        <w:rPr>
          <w:sz w:val="18"/>
        </w:rPr>
      </w:pPr>
    </w:p>
    <w:p>
      <w:pPr>
        <w:spacing w:before="0"/>
        <w:ind w:left="312" w:right="0" w:firstLine="0"/>
        <w:jc w:val="left"/>
        <w:rPr>
          <w:sz w:val="18"/>
        </w:rPr>
      </w:pPr>
      <w:r>
        <w:rPr>
          <w:b/>
          <w:sz w:val="18"/>
        </w:rPr>
        <w:t>Front</w:t>
      </w:r>
      <w:r>
        <w:rPr>
          <w:b/>
          <w:spacing w:val="-2"/>
          <w:sz w:val="18"/>
        </w:rPr>
        <w:t> </w:t>
      </w:r>
      <w:r>
        <w:rPr>
          <w:b/>
          <w:sz w:val="18"/>
        </w:rPr>
        <w:t>cover</w:t>
      </w:r>
      <w:r>
        <w:rPr>
          <w:b/>
          <w:spacing w:val="-2"/>
          <w:sz w:val="18"/>
        </w:rPr>
        <w:t> </w:t>
      </w:r>
      <w:r>
        <w:rPr>
          <w:b/>
          <w:sz w:val="18"/>
        </w:rPr>
        <w:t>photo</w:t>
      </w:r>
      <w:r>
        <w:rPr>
          <w:sz w:val="18"/>
        </w:rPr>
        <w:t>:</w:t>
      </w:r>
      <w:r>
        <w:rPr>
          <w:spacing w:val="-4"/>
          <w:sz w:val="18"/>
        </w:rPr>
        <w:t> </w:t>
      </w:r>
      <w:r>
        <w:rPr>
          <w:sz w:val="18"/>
        </w:rPr>
        <w:t>European</w:t>
      </w:r>
      <w:r>
        <w:rPr>
          <w:spacing w:val="-3"/>
          <w:sz w:val="18"/>
        </w:rPr>
        <w:t> </w:t>
      </w:r>
      <w:r>
        <w:rPr>
          <w:sz w:val="18"/>
        </w:rPr>
        <w:t>Rabbit</w:t>
      </w:r>
      <w:r>
        <w:rPr>
          <w:spacing w:val="-4"/>
          <w:sz w:val="18"/>
        </w:rPr>
        <w:t> </w:t>
      </w:r>
      <w:r>
        <w:rPr>
          <w:sz w:val="18"/>
        </w:rPr>
        <w:t>(Agriculture</w:t>
      </w:r>
      <w:r>
        <w:rPr>
          <w:spacing w:val="-2"/>
          <w:sz w:val="18"/>
        </w:rPr>
        <w:t> </w:t>
      </w:r>
      <w:r>
        <w:rPr>
          <w:sz w:val="18"/>
        </w:rPr>
        <w:t>Victoria),</w:t>
      </w:r>
      <w:r>
        <w:rPr>
          <w:spacing w:val="-4"/>
          <w:sz w:val="18"/>
        </w:rPr>
        <w:t> </w:t>
      </w:r>
      <w:r>
        <w:rPr>
          <w:sz w:val="18"/>
        </w:rPr>
        <w:t>Dingo</w:t>
      </w:r>
      <w:r>
        <w:rPr>
          <w:spacing w:val="-1"/>
          <w:sz w:val="18"/>
        </w:rPr>
        <w:t> </w:t>
      </w:r>
      <w:r>
        <w:rPr>
          <w:sz w:val="18"/>
        </w:rPr>
        <w:t>(DEECA),</w:t>
      </w:r>
      <w:r>
        <w:rPr>
          <w:spacing w:val="-2"/>
          <w:sz w:val="18"/>
        </w:rPr>
        <w:t> </w:t>
      </w:r>
      <w:r>
        <w:rPr>
          <w:sz w:val="18"/>
        </w:rPr>
        <w:t>Red</w:t>
      </w:r>
      <w:r>
        <w:rPr>
          <w:spacing w:val="-2"/>
          <w:sz w:val="18"/>
        </w:rPr>
        <w:t> </w:t>
      </w:r>
      <w:r>
        <w:rPr>
          <w:sz w:val="18"/>
        </w:rPr>
        <w:t>Fox</w:t>
      </w:r>
      <w:r>
        <w:rPr>
          <w:spacing w:val="-1"/>
          <w:sz w:val="18"/>
        </w:rPr>
        <w:t> </w:t>
      </w:r>
      <w:r>
        <w:rPr>
          <w:sz w:val="18"/>
        </w:rPr>
        <w:t>(Agriculture</w:t>
      </w:r>
      <w:r>
        <w:rPr>
          <w:spacing w:val="-2"/>
          <w:sz w:val="18"/>
        </w:rPr>
        <w:t> </w:t>
      </w:r>
      <w:r>
        <w:rPr>
          <w:sz w:val="18"/>
        </w:rPr>
        <w:t>Victoria), mob</w:t>
      </w:r>
      <w:r>
        <w:rPr>
          <w:spacing w:val="-2"/>
          <w:sz w:val="18"/>
        </w:rPr>
        <w:t> </w:t>
      </w:r>
      <w:r>
        <w:rPr>
          <w:sz w:val="18"/>
        </w:rPr>
        <w:t>of</w:t>
      </w:r>
      <w:r>
        <w:rPr>
          <w:spacing w:val="-4"/>
          <w:sz w:val="18"/>
        </w:rPr>
        <w:t> </w:t>
      </w:r>
      <w:r>
        <w:rPr>
          <w:sz w:val="18"/>
        </w:rPr>
        <w:t>Feral Pigs (Stack and Land).</w:t>
      </w:r>
    </w:p>
    <w:p>
      <w:pPr>
        <w:pStyle w:val="BodyText"/>
        <w:spacing w:before="34"/>
        <w:rPr>
          <w:sz w:val="18"/>
        </w:rPr>
      </w:pPr>
    </w:p>
    <w:p>
      <w:pPr>
        <w:spacing w:before="0"/>
        <w:ind w:left="312" w:right="0" w:firstLine="0"/>
        <w:jc w:val="left"/>
        <w:rPr>
          <w:sz w:val="18"/>
        </w:rPr>
      </w:pPr>
      <w:r>
        <w:rPr>
          <w:sz w:val="18"/>
        </w:rPr>
        <w:t>Edited</w:t>
      </w:r>
      <w:r>
        <w:rPr>
          <w:spacing w:val="-4"/>
          <w:sz w:val="18"/>
        </w:rPr>
        <w:t> </w:t>
      </w:r>
      <w:r>
        <w:rPr>
          <w:sz w:val="18"/>
        </w:rPr>
        <w:t>by</w:t>
      </w:r>
      <w:r>
        <w:rPr>
          <w:spacing w:val="-1"/>
          <w:sz w:val="18"/>
        </w:rPr>
        <w:t> </w:t>
      </w:r>
      <w:r>
        <w:rPr>
          <w:sz w:val="18"/>
        </w:rPr>
        <w:t>Fox</w:t>
      </w:r>
      <w:r>
        <w:rPr>
          <w:spacing w:val="-4"/>
          <w:sz w:val="18"/>
        </w:rPr>
        <w:t> </w:t>
      </w:r>
      <w:r>
        <w:rPr>
          <w:sz w:val="18"/>
        </w:rPr>
        <w:t>Writing</w:t>
      </w:r>
      <w:r>
        <w:rPr>
          <w:spacing w:val="-1"/>
          <w:sz w:val="18"/>
        </w:rPr>
        <w:t> </w:t>
      </w:r>
      <w:r>
        <w:rPr>
          <w:spacing w:val="-2"/>
          <w:sz w:val="18"/>
        </w:rPr>
        <w:t>Services</w:t>
      </w:r>
    </w:p>
    <w:p>
      <w:pPr>
        <w:pStyle w:val="BodyText"/>
        <w:spacing w:before="16"/>
      </w:pPr>
      <w:r>
        <w:rPr/>
        <mc:AlternateContent>
          <mc:Choice Requires="wps">
            <w:drawing>
              <wp:anchor distT="0" distB="0" distL="0" distR="0" allowOverlap="1" layoutInCell="1" locked="0" behindDoc="1" simplePos="0" relativeHeight="487591424">
                <wp:simplePos x="0" y="0"/>
                <wp:positionH relativeFrom="page">
                  <wp:posOffset>725805</wp:posOffset>
                </wp:positionH>
                <wp:positionV relativeFrom="paragraph">
                  <wp:posOffset>172034</wp:posOffset>
                </wp:positionV>
                <wp:extent cx="6101080" cy="1483995"/>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6101080" cy="1483995"/>
                          <a:chExt cx="6101080" cy="1483995"/>
                        </a:xfrm>
                      </wpg:grpSpPr>
                      <pic:pic>
                        <pic:nvPicPr>
                          <pic:cNvPr id="20" name="Image 20"/>
                          <pic:cNvPicPr/>
                        </pic:nvPicPr>
                        <pic:blipFill>
                          <a:blip r:embed="rId16" cstate="print"/>
                          <a:stretch>
                            <a:fillRect/>
                          </a:stretch>
                        </pic:blipFill>
                        <pic:spPr>
                          <a:xfrm>
                            <a:off x="3804284" y="0"/>
                            <a:ext cx="2296794" cy="1475740"/>
                          </a:xfrm>
                          <a:prstGeom prst="rect">
                            <a:avLst/>
                          </a:prstGeom>
                        </pic:spPr>
                      </pic:pic>
                      <wps:wsp>
                        <wps:cNvPr id="21" name="Graphic 21"/>
                        <wps:cNvSpPr/>
                        <wps:spPr>
                          <a:xfrm>
                            <a:off x="0" y="8254"/>
                            <a:ext cx="4512310" cy="1475740"/>
                          </a:xfrm>
                          <a:custGeom>
                            <a:avLst/>
                            <a:gdLst/>
                            <a:ahLst/>
                            <a:cxnLst/>
                            <a:rect l="l" t="t" r="r" b="b"/>
                            <a:pathLst>
                              <a:path w="4512310" h="1475740">
                                <a:moveTo>
                                  <a:pt x="4512310" y="0"/>
                                </a:moveTo>
                                <a:lnTo>
                                  <a:pt x="0" y="0"/>
                                </a:lnTo>
                                <a:lnTo>
                                  <a:pt x="0" y="1475739"/>
                                </a:lnTo>
                                <a:lnTo>
                                  <a:pt x="3816350" y="1475739"/>
                                </a:lnTo>
                                <a:lnTo>
                                  <a:pt x="4512310" y="0"/>
                                </a:lnTo>
                                <a:close/>
                              </a:path>
                            </a:pathLst>
                          </a:custGeom>
                          <a:solidFill>
                            <a:srgbClr val="1F1546"/>
                          </a:solidFill>
                        </wps:spPr>
                        <wps:bodyPr wrap="square" lIns="0" tIns="0" rIns="0" bIns="0" rtlCol="0">
                          <a:prstTxWarp prst="textNoShape">
                            <a:avLst/>
                          </a:prstTxWarp>
                          <a:noAutofit/>
                        </wps:bodyPr>
                      </wps:wsp>
                      <wps:wsp>
                        <wps:cNvPr id="22" name="Textbox 22"/>
                        <wps:cNvSpPr txBox="1"/>
                        <wps:spPr>
                          <a:xfrm>
                            <a:off x="0" y="0"/>
                            <a:ext cx="6101080" cy="1483995"/>
                          </a:xfrm>
                          <a:prstGeom prst="rect">
                            <a:avLst/>
                          </a:prstGeom>
                        </wps:spPr>
                        <wps:txbx>
                          <w:txbxContent>
                            <w:p>
                              <w:pPr>
                                <w:spacing w:line="240" w:lineRule="auto" w:before="30"/>
                                <w:rPr>
                                  <w:sz w:val="18"/>
                                </w:rPr>
                              </w:pPr>
                            </w:p>
                            <w:p>
                              <w:pPr>
                                <w:spacing w:line="244" w:lineRule="auto" w:before="0"/>
                                <w:ind w:left="283" w:right="3361" w:firstLine="0"/>
                                <w:jc w:val="left"/>
                                <w:rPr>
                                  <w:rFonts w:ascii="Calibri" w:hAnsi="Calibri"/>
                                  <w:sz w:val="18"/>
                                </w:rPr>
                              </w:pPr>
                              <w:r>
                                <w:rPr>
                                  <w:rFonts w:ascii="Calibri" w:hAnsi="Calibri"/>
                                  <w:color w:val="FFFFFF"/>
                                  <w:sz w:val="18"/>
                                </w:rPr>
                                <w:t>We acknowledge and respect Victorian Traditional Owners as the original custodians</w:t>
                              </w:r>
                              <w:r>
                                <w:rPr>
                                  <w:rFonts w:ascii="Calibri" w:hAnsi="Calibri"/>
                                  <w:color w:val="FFFFFF"/>
                                  <w:spacing w:val="-5"/>
                                  <w:sz w:val="18"/>
                                </w:rPr>
                                <w:t> </w:t>
                              </w:r>
                              <w:r>
                                <w:rPr>
                                  <w:rFonts w:ascii="Calibri" w:hAnsi="Calibri"/>
                                  <w:color w:val="FFFFFF"/>
                                  <w:sz w:val="18"/>
                                </w:rPr>
                                <w:t>of</w:t>
                              </w:r>
                              <w:r>
                                <w:rPr>
                                  <w:rFonts w:ascii="Calibri" w:hAnsi="Calibri"/>
                                  <w:color w:val="FFFFFF"/>
                                  <w:spacing w:val="-5"/>
                                  <w:sz w:val="18"/>
                                </w:rPr>
                                <w:t> </w:t>
                              </w:r>
                              <w:r>
                                <w:rPr>
                                  <w:rFonts w:ascii="Calibri" w:hAnsi="Calibri"/>
                                  <w:color w:val="FFFFFF"/>
                                  <w:sz w:val="18"/>
                                </w:rPr>
                                <w:t>Victoria’s</w:t>
                              </w:r>
                              <w:r>
                                <w:rPr>
                                  <w:rFonts w:ascii="Calibri" w:hAnsi="Calibri"/>
                                  <w:color w:val="FFFFFF"/>
                                  <w:spacing w:val="-5"/>
                                  <w:sz w:val="18"/>
                                </w:rPr>
                                <w:t> </w:t>
                              </w:r>
                              <w:r>
                                <w:rPr>
                                  <w:rFonts w:ascii="Calibri" w:hAnsi="Calibri"/>
                                  <w:color w:val="FFFFFF"/>
                                  <w:sz w:val="18"/>
                                </w:rPr>
                                <w:t>land</w:t>
                              </w:r>
                              <w:r>
                                <w:rPr>
                                  <w:rFonts w:ascii="Calibri" w:hAnsi="Calibri"/>
                                  <w:color w:val="FFFFFF"/>
                                  <w:spacing w:val="-5"/>
                                  <w:sz w:val="18"/>
                                </w:rPr>
                                <w:t> </w:t>
                              </w:r>
                              <w:r>
                                <w:rPr>
                                  <w:rFonts w:ascii="Calibri" w:hAnsi="Calibri"/>
                                  <w:color w:val="FFFFFF"/>
                                  <w:sz w:val="18"/>
                                </w:rPr>
                                <w:t>and</w:t>
                              </w:r>
                              <w:r>
                                <w:rPr>
                                  <w:rFonts w:ascii="Calibri" w:hAnsi="Calibri"/>
                                  <w:color w:val="FFFFFF"/>
                                  <w:spacing w:val="-3"/>
                                  <w:sz w:val="18"/>
                                </w:rPr>
                                <w:t> </w:t>
                              </w:r>
                              <w:r>
                                <w:rPr>
                                  <w:rFonts w:ascii="Calibri" w:hAnsi="Calibri"/>
                                  <w:color w:val="FFFFFF"/>
                                  <w:sz w:val="18"/>
                                </w:rPr>
                                <w:t>waters,</w:t>
                              </w:r>
                              <w:r>
                                <w:rPr>
                                  <w:rFonts w:ascii="Calibri" w:hAnsi="Calibri"/>
                                  <w:color w:val="FFFFFF"/>
                                  <w:spacing w:val="-4"/>
                                  <w:sz w:val="18"/>
                                </w:rPr>
                                <w:t> </w:t>
                              </w:r>
                              <w:r>
                                <w:rPr>
                                  <w:rFonts w:ascii="Calibri" w:hAnsi="Calibri"/>
                                  <w:color w:val="FFFFFF"/>
                                  <w:sz w:val="18"/>
                                </w:rPr>
                                <w:t>their</w:t>
                              </w:r>
                              <w:r>
                                <w:rPr>
                                  <w:rFonts w:ascii="Calibri" w:hAnsi="Calibri"/>
                                  <w:color w:val="FFFFFF"/>
                                  <w:spacing w:val="-2"/>
                                  <w:sz w:val="18"/>
                                </w:rPr>
                                <w:t> </w:t>
                              </w:r>
                              <w:r>
                                <w:rPr>
                                  <w:rFonts w:ascii="Calibri" w:hAnsi="Calibri"/>
                                  <w:color w:val="FFFFFF"/>
                                  <w:sz w:val="18"/>
                                </w:rPr>
                                <w:t>unique</w:t>
                              </w:r>
                              <w:r>
                                <w:rPr>
                                  <w:rFonts w:ascii="Calibri" w:hAnsi="Calibri"/>
                                  <w:color w:val="FFFFFF"/>
                                  <w:spacing w:val="-5"/>
                                  <w:sz w:val="18"/>
                                </w:rPr>
                                <w:t> </w:t>
                              </w:r>
                              <w:r>
                                <w:rPr>
                                  <w:rFonts w:ascii="Calibri" w:hAnsi="Calibri"/>
                                  <w:color w:val="FFFFFF"/>
                                  <w:sz w:val="18"/>
                                </w:rPr>
                                <w:t>ability</w:t>
                              </w:r>
                              <w:r>
                                <w:rPr>
                                  <w:rFonts w:ascii="Calibri" w:hAnsi="Calibri"/>
                                  <w:color w:val="FFFFFF"/>
                                  <w:spacing w:val="-4"/>
                                  <w:sz w:val="18"/>
                                </w:rPr>
                                <w:t> </w:t>
                              </w:r>
                              <w:r>
                                <w:rPr>
                                  <w:rFonts w:ascii="Calibri" w:hAnsi="Calibri"/>
                                  <w:color w:val="FFFFFF"/>
                                  <w:sz w:val="18"/>
                                </w:rPr>
                                <w:t>to</w:t>
                              </w:r>
                              <w:r>
                                <w:rPr>
                                  <w:rFonts w:ascii="Calibri" w:hAnsi="Calibri"/>
                                  <w:color w:val="FFFFFF"/>
                                  <w:spacing w:val="-4"/>
                                  <w:sz w:val="18"/>
                                </w:rPr>
                                <w:t> </w:t>
                              </w:r>
                              <w:r>
                                <w:rPr>
                                  <w:rFonts w:ascii="Calibri" w:hAnsi="Calibri"/>
                                  <w:color w:val="FFFFFF"/>
                                  <w:sz w:val="18"/>
                                </w:rPr>
                                <w:t>care</w:t>
                              </w:r>
                              <w:r>
                                <w:rPr>
                                  <w:rFonts w:ascii="Calibri" w:hAnsi="Calibri"/>
                                  <w:color w:val="FFFFFF"/>
                                  <w:spacing w:val="-5"/>
                                  <w:sz w:val="18"/>
                                </w:rPr>
                                <w:t> </w:t>
                              </w:r>
                              <w:r>
                                <w:rPr>
                                  <w:rFonts w:ascii="Calibri" w:hAnsi="Calibri"/>
                                  <w:color w:val="FFFFFF"/>
                                  <w:sz w:val="18"/>
                                </w:rPr>
                                <w:t>for</w:t>
                              </w:r>
                              <w:r>
                                <w:rPr>
                                  <w:rFonts w:ascii="Calibri" w:hAnsi="Calibri"/>
                                  <w:color w:val="FFFFFF"/>
                                  <w:spacing w:val="-4"/>
                                  <w:sz w:val="18"/>
                                </w:rPr>
                                <w:t> </w:t>
                              </w:r>
                              <w:r>
                                <w:rPr>
                                  <w:rFonts w:ascii="Calibri" w:hAnsi="Calibri"/>
                                  <w:color w:val="FFFFFF"/>
                                  <w:sz w:val="18"/>
                                </w:rPr>
                                <w:t>Country and deep spiritual connection to it.</w:t>
                              </w:r>
                            </w:p>
                            <w:p>
                              <w:pPr>
                                <w:spacing w:line="247" w:lineRule="auto" w:before="79"/>
                                <w:ind w:left="283" w:right="4268" w:firstLine="0"/>
                                <w:jc w:val="left"/>
                                <w:rPr>
                                  <w:rFonts w:ascii="Calibri"/>
                                  <w:sz w:val="18"/>
                                </w:rPr>
                              </w:pPr>
                              <w:r>
                                <w:rPr>
                                  <w:rFonts w:ascii="Calibri"/>
                                  <w:color w:val="FFFFFF"/>
                                  <w:sz w:val="18"/>
                                </w:rPr>
                                <w:t>We</w:t>
                              </w:r>
                              <w:r>
                                <w:rPr>
                                  <w:rFonts w:ascii="Calibri"/>
                                  <w:color w:val="FFFFFF"/>
                                  <w:spacing w:val="-6"/>
                                  <w:sz w:val="18"/>
                                </w:rPr>
                                <w:t> </w:t>
                              </w:r>
                              <w:r>
                                <w:rPr>
                                  <w:rFonts w:ascii="Calibri"/>
                                  <w:color w:val="FFFFFF"/>
                                  <w:sz w:val="18"/>
                                </w:rPr>
                                <w:t>honour</w:t>
                              </w:r>
                              <w:r>
                                <w:rPr>
                                  <w:rFonts w:ascii="Calibri"/>
                                  <w:color w:val="FFFFFF"/>
                                  <w:spacing w:val="-5"/>
                                  <w:sz w:val="18"/>
                                </w:rPr>
                                <w:t> </w:t>
                              </w:r>
                              <w:r>
                                <w:rPr>
                                  <w:rFonts w:ascii="Calibri"/>
                                  <w:color w:val="FFFFFF"/>
                                  <w:sz w:val="18"/>
                                </w:rPr>
                                <w:t>Elders</w:t>
                              </w:r>
                              <w:r>
                                <w:rPr>
                                  <w:rFonts w:ascii="Calibri"/>
                                  <w:color w:val="FFFFFF"/>
                                  <w:spacing w:val="-4"/>
                                  <w:sz w:val="18"/>
                                </w:rPr>
                                <w:t> </w:t>
                              </w:r>
                              <w:r>
                                <w:rPr>
                                  <w:rFonts w:ascii="Calibri"/>
                                  <w:color w:val="FFFFFF"/>
                                  <w:sz w:val="18"/>
                                </w:rPr>
                                <w:t>past</w:t>
                              </w:r>
                              <w:r>
                                <w:rPr>
                                  <w:rFonts w:ascii="Calibri"/>
                                  <w:color w:val="FFFFFF"/>
                                  <w:spacing w:val="-5"/>
                                  <w:sz w:val="18"/>
                                </w:rPr>
                                <w:t> </w:t>
                              </w:r>
                              <w:r>
                                <w:rPr>
                                  <w:rFonts w:ascii="Calibri"/>
                                  <w:color w:val="FFFFFF"/>
                                  <w:sz w:val="18"/>
                                </w:rPr>
                                <w:t>and</w:t>
                              </w:r>
                              <w:r>
                                <w:rPr>
                                  <w:rFonts w:ascii="Calibri"/>
                                  <w:color w:val="FFFFFF"/>
                                  <w:spacing w:val="-6"/>
                                  <w:sz w:val="18"/>
                                </w:rPr>
                                <w:t> </w:t>
                              </w:r>
                              <w:r>
                                <w:rPr>
                                  <w:rFonts w:ascii="Calibri"/>
                                  <w:color w:val="FFFFFF"/>
                                  <w:sz w:val="18"/>
                                </w:rPr>
                                <w:t>present</w:t>
                              </w:r>
                              <w:r>
                                <w:rPr>
                                  <w:rFonts w:ascii="Calibri"/>
                                  <w:color w:val="FFFFFF"/>
                                  <w:spacing w:val="-5"/>
                                  <w:sz w:val="18"/>
                                </w:rPr>
                                <w:t> </w:t>
                              </w:r>
                              <w:r>
                                <w:rPr>
                                  <w:rFonts w:ascii="Calibri"/>
                                  <w:color w:val="FFFFFF"/>
                                  <w:sz w:val="18"/>
                                </w:rPr>
                                <w:t>whose</w:t>
                              </w:r>
                              <w:r>
                                <w:rPr>
                                  <w:rFonts w:ascii="Calibri"/>
                                  <w:color w:val="FFFFFF"/>
                                  <w:spacing w:val="-6"/>
                                  <w:sz w:val="18"/>
                                </w:rPr>
                                <w:t> </w:t>
                              </w:r>
                              <w:r>
                                <w:rPr>
                                  <w:rFonts w:ascii="Calibri"/>
                                  <w:color w:val="FFFFFF"/>
                                  <w:sz w:val="18"/>
                                </w:rPr>
                                <w:t>knowledge</w:t>
                              </w:r>
                              <w:r>
                                <w:rPr>
                                  <w:rFonts w:ascii="Calibri"/>
                                  <w:color w:val="FFFFFF"/>
                                  <w:spacing w:val="-6"/>
                                  <w:sz w:val="18"/>
                                </w:rPr>
                                <w:t> </w:t>
                              </w:r>
                              <w:r>
                                <w:rPr>
                                  <w:rFonts w:ascii="Calibri"/>
                                  <w:color w:val="FFFFFF"/>
                                  <w:sz w:val="18"/>
                                </w:rPr>
                                <w:t>and</w:t>
                              </w:r>
                              <w:r>
                                <w:rPr>
                                  <w:rFonts w:ascii="Calibri"/>
                                  <w:color w:val="FFFFFF"/>
                                  <w:spacing w:val="-6"/>
                                  <w:sz w:val="18"/>
                                </w:rPr>
                                <w:t> </w:t>
                              </w:r>
                              <w:r>
                                <w:rPr>
                                  <w:rFonts w:ascii="Calibri"/>
                                  <w:color w:val="FFFFFF"/>
                                  <w:sz w:val="18"/>
                                </w:rPr>
                                <w:t>wisdom has ensured the continuation of culture and traditional practices.</w:t>
                              </w:r>
                            </w:p>
                            <w:p>
                              <w:pPr>
                                <w:spacing w:line="249" w:lineRule="auto" w:before="76"/>
                                <w:ind w:left="283" w:right="3361" w:firstLine="0"/>
                                <w:jc w:val="left"/>
                                <w:rPr>
                                  <w:rFonts w:ascii="Calibri" w:hAnsi="Calibri"/>
                                  <w:sz w:val="18"/>
                                </w:rPr>
                              </w:pPr>
                              <w:r>
                                <w:rPr>
                                  <w:rFonts w:ascii="Calibri" w:hAnsi="Calibri"/>
                                  <w:color w:val="FFFFFF"/>
                                  <w:sz w:val="18"/>
                                </w:rPr>
                                <w:t>DEECA</w:t>
                              </w:r>
                              <w:r>
                                <w:rPr>
                                  <w:rFonts w:ascii="Calibri" w:hAnsi="Calibri"/>
                                  <w:color w:val="FFFFFF"/>
                                  <w:spacing w:val="-5"/>
                                  <w:sz w:val="18"/>
                                </w:rPr>
                                <w:t> </w:t>
                              </w:r>
                              <w:r>
                                <w:rPr>
                                  <w:rFonts w:ascii="Calibri" w:hAnsi="Calibri"/>
                                  <w:color w:val="FFFFFF"/>
                                  <w:sz w:val="18"/>
                                </w:rPr>
                                <w:t>is</w:t>
                              </w:r>
                              <w:r>
                                <w:rPr>
                                  <w:rFonts w:ascii="Calibri" w:hAnsi="Calibri"/>
                                  <w:color w:val="FFFFFF"/>
                                  <w:spacing w:val="-6"/>
                                  <w:sz w:val="18"/>
                                </w:rPr>
                                <w:t> </w:t>
                              </w:r>
                              <w:r>
                                <w:rPr>
                                  <w:rFonts w:ascii="Calibri" w:hAnsi="Calibri"/>
                                  <w:color w:val="FFFFFF"/>
                                  <w:sz w:val="18"/>
                                </w:rPr>
                                <w:t>committed</w:t>
                              </w:r>
                              <w:r>
                                <w:rPr>
                                  <w:rFonts w:ascii="Calibri" w:hAnsi="Calibri"/>
                                  <w:color w:val="FFFFFF"/>
                                  <w:spacing w:val="-5"/>
                                  <w:sz w:val="18"/>
                                </w:rPr>
                                <w:t> </w:t>
                              </w:r>
                              <w:r>
                                <w:rPr>
                                  <w:rFonts w:ascii="Calibri" w:hAnsi="Calibri"/>
                                  <w:color w:val="FFFFFF"/>
                                  <w:sz w:val="18"/>
                                </w:rPr>
                                <w:t>to</w:t>
                              </w:r>
                              <w:r>
                                <w:rPr>
                                  <w:rFonts w:ascii="Calibri" w:hAnsi="Calibri"/>
                                  <w:color w:val="FFFFFF"/>
                                  <w:spacing w:val="-4"/>
                                  <w:sz w:val="18"/>
                                </w:rPr>
                                <w:t> </w:t>
                              </w:r>
                              <w:r>
                                <w:rPr>
                                  <w:rFonts w:ascii="Calibri" w:hAnsi="Calibri"/>
                                  <w:color w:val="FFFFFF"/>
                                  <w:sz w:val="18"/>
                                </w:rPr>
                                <w:t>genuinely</w:t>
                              </w:r>
                              <w:r>
                                <w:rPr>
                                  <w:rFonts w:ascii="Calibri" w:hAnsi="Calibri"/>
                                  <w:color w:val="FFFFFF"/>
                                  <w:spacing w:val="-3"/>
                                  <w:sz w:val="18"/>
                                </w:rPr>
                                <w:t> </w:t>
                              </w:r>
                              <w:r>
                                <w:rPr>
                                  <w:rFonts w:ascii="Calibri" w:hAnsi="Calibri"/>
                                  <w:color w:val="FFFFFF"/>
                                  <w:sz w:val="18"/>
                                </w:rPr>
                                <w:t>partnering</w:t>
                              </w:r>
                              <w:r>
                                <w:rPr>
                                  <w:rFonts w:ascii="Calibri" w:hAnsi="Calibri"/>
                                  <w:color w:val="FFFFFF"/>
                                  <w:spacing w:val="-5"/>
                                  <w:sz w:val="18"/>
                                </w:rPr>
                                <w:t> </w:t>
                              </w:r>
                              <w:r>
                                <w:rPr>
                                  <w:rFonts w:ascii="Calibri" w:hAnsi="Calibri"/>
                                  <w:color w:val="FFFFFF"/>
                                  <w:sz w:val="18"/>
                                </w:rPr>
                                <w:t>with</w:t>
                              </w:r>
                              <w:r>
                                <w:rPr>
                                  <w:rFonts w:ascii="Calibri" w:hAnsi="Calibri"/>
                                  <w:color w:val="FFFFFF"/>
                                  <w:spacing w:val="-5"/>
                                  <w:sz w:val="18"/>
                                </w:rPr>
                                <w:t> </w:t>
                              </w:r>
                              <w:r>
                                <w:rPr>
                                  <w:rFonts w:ascii="Calibri" w:hAnsi="Calibri"/>
                                  <w:color w:val="FFFFFF"/>
                                  <w:sz w:val="18"/>
                                </w:rPr>
                                <w:t>Victorian</w:t>
                              </w:r>
                              <w:r>
                                <w:rPr>
                                  <w:rFonts w:ascii="Calibri" w:hAnsi="Calibri"/>
                                  <w:color w:val="FFFFFF"/>
                                  <w:spacing w:val="-5"/>
                                  <w:sz w:val="18"/>
                                </w:rPr>
                                <w:t> </w:t>
                              </w:r>
                              <w:r>
                                <w:rPr>
                                  <w:rFonts w:ascii="Calibri" w:hAnsi="Calibri"/>
                                  <w:color w:val="FFFFFF"/>
                                  <w:sz w:val="18"/>
                                </w:rPr>
                                <w:t>Traditional</w:t>
                              </w:r>
                              <w:r>
                                <w:rPr>
                                  <w:rFonts w:ascii="Calibri" w:hAnsi="Calibri"/>
                                  <w:color w:val="FFFFFF"/>
                                  <w:spacing w:val="-2"/>
                                  <w:sz w:val="18"/>
                                </w:rPr>
                                <w:t> </w:t>
                              </w:r>
                              <w:r>
                                <w:rPr>
                                  <w:rFonts w:ascii="Calibri" w:hAnsi="Calibri"/>
                                  <w:color w:val="FFFFFF"/>
                                  <w:sz w:val="18"/>
                                </w:rPr>
                                <w:t>Owners and Victoria’s Aboriginal community to progress their aspirations.</w:t>
                              </w:r>
                            </w:p>
                          </w:txbxContent>
                        </wps:txbx>
                        <wps:bodyPr wrap="square" lIns="0" tIns="0" rIns="0" bIns="0" rtlCol="0">
                          <a:noAutofit/>
                        </wps:bodyPr>
                      </wps:wsp>
                    </wpg:wgp>
                  </a:graphicData>
                </a:graphic>
              </wp:anchor>
            </w:drawing>
          </mc:Choice>
          <mc:Fallback>
            <w:pict>
              <v:group style="position:absolute;margin-left:57.150002pt;margin-top:13.546028pt;width:480.4pt;height:116.85pt;mso-position-horizontal-relative:page;mso-position-vertical-relative:paragraph;z-index:-15725056;mso-wrap-distance-left:0;mso-wrap-distance-right:0" id="docshapegroup18" coordorigin="1143,271" coordsize="9608,2337">
                <v:shape style="position:absolute;left:7134;top:270;width:3617;height:2324" type="#_x0000_t75" id="docshape19" stroked="false">
                  <v:imagedata r:id="rId16" o:title=""/>
                </v:shape>
                <v:shape style="position:absolute;left:1143;top:283;width:7106;height:2324" id="docshape20" coordorigin="1143,284" coordsize="7106,2324" path="m8249,284l1143,284,1143,2608,7153,2608,8249,284xe" filled="true" fillcolor="#1f1546" stroked="false">
                  <v:path arrowok="t"/>
                  <v:fill type="solid"/>
                </v:shape>
                <v:shape style="position:absolute;left:1143;top:270;width:9608;height:2337" type="#_x0000_t202" id="docshape21" filled="false" stroked="false">
                  <v:textbox inset="0,0,0,0">
                    <w:txbxContent>
                      <w:p>
                        <w:pPr>
                          <w:spacing w:line="240" w:lineRule="auto" w:before="30"/>
                          <w:rPr>
                            <w:sz w:val="18"/>
                          </w:rPr>
                        </w:pPr>
                      </w:p>
                      <w:p>
                        <w:pPr>
                          <w:spacing w:line="244" w:lineRule="auto" w:before="0"/>
                          <w:ind w:left="283" w:right="3361" w:firstLine="0"/>
                          <w:jc w:val="left"/>
                          <w:rPr>
                            <w:rFonts w:ascii="Calibri" w:hAnsi="Calibri"/>
                            <w:sz w:val="18"/>
                          </w:rPr>
                        </w:pPr>
                        <w:r>
                          <w:rPr>
                            <w:rFonts w:ascii="Calibri" w:hAnsi="Calibri"/>
                            <w:color w:val="FFFFFF"/>
                            <w:sz w:val="18"/>
                          </w:rPr>
                          <w:t>We acknowledge and respect Victorian Traditional Owners as the original custodians</w:t>
                        </w:r>
                        <w:r>
                          <w:rPr>
                            <w:rFonts w:ascii="Calibri" w:hAnsi="Calibri"/>
                            <w:color w:val="FFFFFF"/>
                            <w:spacing w:val="-5"/>
                            <w:sz w:val="18"/>
                          </w:rPr>
                          <w:t> </w:t>
                        </w:r>
                        <w:r>
                          <w:rPr>
                            <w:rFonts w:ascii="Calibri" w:hAnsi="Calibri"/>
                            <w:color w:val="FFFFFF"/>
                            <w:sz w:val="18"/>
                          </w:rPr>
                          <w:t>of</w:t>
                        </w:r>
                        <w:r>
                          <w:rPr>
                            <w:rFonts w:ascii="Calibri" w:hAnsi="Calibri"/>
                            <w:color w:val="FFFFFF"/>
                            <w:spacing w:val="-5"/>
                            <w:sz w:val="18"/>
                          </w:rPr>
                          <w:t> </w:t>
                        </w:r>
                        <w:r>
                          <w:rPr>
                            <w:rFonts w:ascii="Calibri" w:hAnsi="Calibri"/>
                            <w:color w:val="FFFFFF"/>
                            <w:sz w:val="18"/>
                          </w:rPr>
                          <w:t>Victoria’s</w:t>
                        </w:r>
                        <w:r>
                          <w:rPr>
                            <w:rFonts w:ascii="Calibri" w:hAnsi="Calibri"/>
                            <w:color w:val="FFFFFF"/>
                            <w:spacing w:val="-5"/>
                            <w:sz w:val="18"/>
                          </w:rPr>
                          <w:t> </w:t>
                        </w:r>
                        <w:r>
                          <w:rPr>
                            <w:rFonts w:ascii="Calibri" w:hAnsi="Calibri"/>
                            <w:color w:val="FFFFFF"/>
                            <w:sz w:val="18"/>
                          </w:rPr>
                          <w:t>land</w:t>
                        </w:r>
                        <w:r>
                          <w:rPr>
                            <w:rFonts w:ascii="Calibri" w:hAnsi="Calibri"/>
                            <w:color w:val="FFFFFF"/>
                            <w:spacing w:val="-5"/>
                            <w:sz w:val="18"/>
                          </w:rPr>
                          <w:t> </w:t>
                        </w:r>
                        <w:r>
                          <w:rPr>
                            <w:rFonts w:ascii="Calibri" w:hAnsi="Calibri"/>
                            <w:color w:val="FFFFFF"/>
                            <w:sz w:val="18"/>
                          </w:rPr>
                          <w:t>and</w:t>
                        </w:r>
                        <w:r>
                          <w:rPr>
                            <w:rFonts w:ascii="Calibri" w:hAnsi="Calibri"/>
                            <w:color w:val="FFFFFF"/>
                            <w:spacing w:val="-3"/>
                            <w:sz w:val="18"/>
                          </w:rPr>
                          <w:t> </w:t>
                        </w:r>
                        <w:r>
                          <w:rPr>
                            <w:rFonts w:ascii="Calibri" w:hAnsi="Calibri"/>
                            <w:color w:val="FFFFFF"/>
                            <w:sz w:val="18"/>
                          </w:rPr>
                          <w:t>waters,</w:t>
                        </w:r>
                        <w:r>
                          <w:rPr>
                            <w:rFonts w:ascii="Calibri" w:hAnsi="Calibri"/>
                            <w:color w:val="FFFFFF"/>
                            <w:spacing w:val="-4"/>
                            <w:sz w:val="18"/>
                          </w:rPr>
                          <w:t> </w:t>
                        </w:r>
                        <w:r>
                          <w:rPr>
                            <w:rFonts w:ascii="Calibri" w:hAnsi="Calibri"/>
                            <w:color w:val="FFFFFF"/>
                            <w:sz w:val="18"/>
                          </w:rPr>
                          <w:t>their</w:t>
                        </w:r>
                        <w:r>
                          <w:rPr>
                            <w:rFonts w:ascii="Calibri" w:hAnsi="Calibri"/>
                            <w:color w:val="FFFFFF"/>
                            <w:spacing w:val="-2"/>
                            <w:sz w:val="18"/>
                          </w:rPr>
                          <w:t> </w:t>
                        </w:r>
                        <w:r>
                          <w:rPr>
                            <w:rFonts w:ascii="Calibri" w:hAnsi="Calibri"/>
                            <w:color w:val="FFFFFF"/>
                            <w:sz w:val="18"/>
                          </w:rPr>
                          <w:t>unique</w:t>
                        </w:r>
                        <w:r>
                          <w:rPr>
                            <w:rFonts w:ascii="Calibri" w:hAnsi="Calibri"/>
                            <w:color w:val="FFFFFF"/>
                            <w:spacing w:val="-5"/>
                            <w:sz w:val="18"/>
                          </w:rPr>
                          <w:t> </w:t>
                        </w:r>
                        <w:r>
                          <w:rPr>
                            <w:rFonts w:ascii="Calibri" w:hAnsi="Calibri"/>
                            <w:color w:val="FFFFFF"/>
                            <w:sz w:val="18"/>
                          </w:rPr>
                          <w:t>ability</w:t>
                        </w:r>
                        <w:r>
                          <w:rPr>
                            <w:rFonts w:ascii="Calibri" w:hAnsi="Calibri"/>
                            <w:color w:val="FFFFFF"/>
                            <w:spacing w:val="-4"/>
                            <w:sz w:val="18"/>
                          </w:rPr>
                          <w:t> </w:t>
                        </w:r>
                        <w:r>
                          <w:rPr>
                            <w:rFonts w:ascii="Calibri" w:hAnsi="Calibri"/>
                            <w:color w:val="FFFFFF"/>
                            <w:sz w:val="18"/>
                          </w:rPr>
                          <w:t>to</w:t>
                        </w:r>
                        <w:r>
                          <w:rPr>
                            <w:rFonts w:ascii="Calibri" w:hAnsi="Calibri"/>
                            <w:color w:val="FFFFFF"/>
                            <w:spacing w:val="-4"/>
                            <w:sz w:val="18"/>
                          </w:rPr>
                          <w:t> </w:t>
                        </w:r>
                        <w:r>
                          <w:rPr>
                            <w:rFonts w:ascii="Calibri" w:hAnsi="Calibri"/>
                            <w:color w:val="FFFFFF"/>
                            <w:sz w:val="18"/>
                          </w:rPr>
                          <w:t>care</w:t>
                        </w:r>
                        <w:r>
                          <w:rPr>
                            <w:rFonts w:ascii="Calibri" w:hAnsi="Calibri"/>
                            <w:color w:val="FFFFFF"/>
                            <w:spacing w:val="-5"/>
                            <w:sz w:val="18"/>
                          </w:rPr>
                          <w:t> </w:t>
                        </w:r>
                        <w:r>
                          <w:rPr>
                            <w:rFonts w:ascii="Calibri" w:hAnsi="Calibri"/>
                            <w:color w:val="FFFFFF"/>
                            <w:sz w:val="18"/>
                          </w:rPr>
                          <w:t>for</w:t>
                        </w:r>
                        <w:r>
                          <w:rPr>
                            <w:rFonts w:ascii="Calibri" w:hAnsi="Calibri"/>
                            <w:color w:val="FFFFFF"/>
                            <w:spacing w:val="-4"/>
                            <w:sz w:val="18"/>
                          </w:rPr>
                          <w:t> </w:t>
                        </w:r>
                        <w:r>
                          <w:rPr>
                            <w:rFonts w:ascii="Calibri" w:hAnsi="Calibri"/>
                            <w:color w:val="FFFFFF"/>
                            <w:sz w:val="18"/>
                          </w:rPr>
                          <w:t>Country and deep spiritual connection to it.</w:t>
                        </w:r>
                      </w:p>
                      <w:p>
                        <w:pPr>
                          <w:spacing w:line="247" w:lineRule="auto" w:before="79"/>
                          <w:ind w:left="283" w:right="4268" w:firstLine="0"/>
                          <w:jc w:val="left"/>
                          <w:rPr>
                            <w:rFonts w:ascii="Calibri"/>
                            <w:sz w:val="18"/>
                          </w:rPr>
                        </w:pPr>
                        <w:r>
                          <w:rPr>
                            <w:rFonts w:ascii="Calibri"/>
                            <w:color w:val="FFFFFF"/>
                            <w:sz w:val="18"/>
                          </w:rPr>
                          <w:t>We</w:t>
                        </w:r>
                        <w:r>
                          <w:rPr>
                            <w:rFonts w:ascii="Calibri"/>
                            <w:color w:val="FFFFFF"/>
                            <w:spacing w:val="-6"/>
                            <w:sz w:val="18"/>
                          </w:rPr>
                          <w:t> </w:t>
                        </w:r>
                        <w:r>
                          <w:rPr>
                            <w:rFonts w:ascii="Calibri"/>
                            <w:color w:val="FFFFFF"/>
                            <w:sz w:val="18"/>
                          </w:rPr>
                          <w:t>honour</w:t>
                        </w:r>
                        <w:r>
                          <w:rPr>
                            <w:rFonts w:ascii="Calibri"/>
                            <w:color w:val="FFFFFF"/>
                            <w:spacing w:val="-5"/>
                            <w:sz w:val="18"/>
                          </w:rPr>
                          <w:t> </w:t>
                        </w:r>
                        <w:r>
                          <w:rPr>
                            <w:rFonts w:ascii="Calibri"/>
                            <w:color w:val="FFFFFF"/>
                            <w:sz w:val="18"/>
                          </w:rPr>
                          <w:t>Elders</w:t>
                        </w:r>
                        <w:r>
                          <w:rPr>
                            <w:rFonts w:ascii="Calibri"/>
                            <w:color w:val="FFFFFF"/>
                            <w:spacing w:val="-4"/>
                            <w:sz w:val="18"/>
                          </w:rPr>
                          <w:t> </w:t>
                        </w:r>
                        <w:r>
                          <w:rPr>
                            <w:rFonts w:ascii="Calibri"/>
                            <w:color w:val="FFFFFF"/>
                            <w:sz w:val="18"/>
                          </w:rPr>
                          <w:t>past</w:t>
                        </w:r>
                        <w:r>
                          <w:rPr>
                            <w:rFonts w:ascii="Calibri"/>
                            <w:color w:val="FFFFFF"/>
                            <w:spacing w:val="-5"/>
                            <w:sz w:val="18"/>
                          </w:rPr>
                          <w:t> </w:t>
                        </w:r>
                        <w:r>
                          <w:rPr>
                            <w:rFonts w:ascii="Calibri"/>
                            <w:color w:val="FFFFFF"/>
                            <w:sz w:val="18"/>
                          </w:rPr>
                          <w:t>and</w:t>
                        </w:r>
                        <w:r>
                          <w:rPr>
                            <w:rFonts w:ascii="Calibri"/>
                            <w:color w:val="FFFFFF"/>
                            <w:spacing w:val="-6"/>
                            <w:sz w:val="18"/>
                          </w:rPr>
                          <w:t> </w:t>
                        </w:r>
                        <w:r>
                          <w:rPr>
                            <w:rFonts w:ascii="Calibri"/>
                            <w:color w:val="FFFFFF"/>
                            <w:sz w:val="18"/>
                          </w:rPr>
                          <w:t>present</w:t>
                        </w:r>
                        <w:r>
                          <w:rPr>
                            <w:rFonts w:ascii="Calibri"/>
                            <w:color w:val="FFFFFF"/>
                            <w:spacing w:val="-5"/>
                            <w:sz w:val="18"/>
                          </w:rPr>
                          <w:t> </w:t>
                        </w:r>
                        <w:r>
                          <w:rPr>
                            <w:rFonts w:ascii="Calibri"/>
                            <w:color w:val="FFFFFF"/>
                            <w:sz w:val="18"/>
                          </w:rPr>
                          <w:t>whose</w:t>
                        </w:r>
                        <w:r>
                          <w:rPr>
                            <w:rFonts w:ascii="Calibri"/>
                            <w:color w:val="FFFFFF"/>
                            <w:spacing w:val="-6"/>
                            <w:sz w:val="18"/>
                          </w:rPr>
                          <w:t> </w:t>
                        </w:r>
                        <w:r>
                          <w:rPr>
                            <w:rFonts w:ascii="Calibri"/>
                            <w:color w:val="FFFFFF"/>
                            <w:sz w:val="18"/>
                          </w:rPr>
                          <w:t>knowledge</w:t>
                        </w:r>
                        <w:r>
                          <w:rPr>
                            <w:rFonts w:ascii="Calibri"/>
                            <w:color w:val="FFFFFF"/>
                            <w:spacing w:val="-6"/>
                            <w:sz w:val="18"/>
                          </w:rPr>
                          <w:t> </w:t>
                        </w:r>
                        <w:r>
                          <w:rPr>
                            <w:rFonts w:ascii="Calibri"/>
                            <w:color w:val="FFFFFF"/>
                            <w:sz w:val="18"/>
                          </w:rPr>
                          <w:t>and</w:t>
                        </w:r>
                        <w:r>
                          <w:rPr>
                            <w:rFonts w:ascii="Calibri"/>
                            <w:color w:val="FFFFFF"/>
                            <w:spacing w:val="-6"/>
                            <w:sz w:val="18"/>
                          </w:rPr>
                          <w:t> </w:t>
                        </w:r>
                        <w:r>
                          <w:rPr>
                            <w:rFonts w:ascii="Calibri"/>
                            <w:color w:val="FFFFFF"/>
                            <w:sz w:val="18"/>
                          </w:rPr>
                          <w:t>wisdom has ensured the continuation of culture and traditional practices.</w:t>
                        </w:r>
                      </w:p>
                      <w:p>
                        <w:pPr>
                          <w:spacing w:line="249" w:lineRule="auto" w:before="76"/>
                          <w:ind w:left="283" w:right="3361" w:firstLine="0"/>
                          <w:jc w:val="left"/>
                          <w:rPr>
                            <w:rFonts w:ascii="Calibri" w:hAnsi="Calibri"/>
                            <w:sz w:val="18"/>
                          </w:rPr>
                        </w:pPr>
                        <w:r>
                          <w:rPr>
                            <w:rFonts w:ascii="Calibri" w:hAnsi="Calibri"/>
                            <w:color w:val="FFFFFF"/>
                            <w:sz w:val="18"/>
                          </w:rPr>
                          <w:t>DEECA</w:t>
                        </w:r>
                        <w:r>
                          <w:rPr>
                            <w:rFonts w:ascii="Calibri" w:hAnsi="Calibri"/>
                            <w:color w:val="FFFFFF"/>
                            <w:spacing w:val="-5"/>
                            <w:sz w:val="18"/>
                          </w:rPr>
                          <w:t> </w:t>
                        </w:r>
                        <w:r>
                          <w:rPr>
                            <w:rFonts w:ascii="Calibri" w:hAnsi="Calibri"/>
                            <w:color w:val="FFFFFF"/>
                            <w:sz w:val="18"/>
                          </w:rPr>
                          <w:t>is</w:t>
                        </w:r>
                        <w:r>
                          <w:rPr>
                            <w:rFonts w:ascii="Calibri" w:hAnsi="Calibri"/>
                            <w:color w:val="FFFFFF"/>
                            <w:spacing w:val="-6"/>
                            <w:sz w:val="18"/>
                          </w:rPr>
                          <w:t> </w:t>
                        </w:r>
                        <w:r>
                          <w:rPr>
                            <w:rFonts w:ascii="Calibri" w:hAnsi="Calibri"/>
                            <w:color w:val="FFFFFF"/>
                            <w:sz w:val="18"/>
                          </w:rPr>
                          <w:t>committed</w:t>
                        </w:r>
                        <w:r>
                          <w:rPr>
                            <w:rFonts w:ascii="Calibri" w:hAnsi="Calibri"/>
                            <w:color w:val="FFFFFF"/>
                            <w:spacing w:val="-5"/>
                            <w:sz w:val="18"/>
                          </w:rPr>
                          <w:t> </w:t>
                        </w:r>
                        <w:r>
                          <w:rPr>
                            <w:rFonts w:ascii="Calibri" w:hAnsi="Calibri"/>
                            <w:color w:val="FFFFFF"/>
                            <w:sz w:val="18"/>
                          </w:rPr>
                          <w:t>to</w:t>
                        </w:r>
                        <w:r>
                          <w:rPr>
                            <w:rFonts w:ascii="Calibri" w:hAnsi="Calibri"/>
                            <w:color w:val="FFFFFF"/>
                            <w:spacing w:val="-4"/>
                            <w:sz w:val="18"/>
                          </w:rPr>
                          <w:t> </w:t>
                        </w:r>
                        <w:r>
                          <w:rPr>
                            <w:rFonts w:ascii="Calibri" w:hAnsi="Calibri"/>
                            <w:color w:val="FFFFFF"/>
                            <w:sz w:val="18"/>
                          </w:rPr>
                          <w:t>genuinely</w:t>
                        </w:r>
                        <w:r>
                          <w:rPr>
                            <w:rFonts w:ascii="Calibri" w:hAnsi="Calibri"/>
                            <w:color w:val="FFFFFF"/>
                            <w:spacing w:val="-3"/>
                            <w:sz w:val="18"/>
                          </w:rPr>
                          <w:t> </w:t>
                        </w:r>
                        <w:r>
                          <w:rPr>
                            <w:rFonts w:ascii="Calibri" w:hAnsi="Calibri"/>
                            <w:color w:val="FFFFFF"/>
                            <w:sz w:val="18"/>
                          </w:rPr>
                          <w:t>partnering</w:t>
                        </w:r>
                        <w:r>
                          <w:rPr>
                            <w:rFonts w:ascii="Calibri" w:hAnsi="Calibri"/>
                            <w:color w:val="FFFFFF"/>
                            <w:spacing w:val="-5"/>
                            <w:sz w:val="18"/>
                          </w:rPr>
                          <w:t> </w:t>
                        </w:r>
                        <w:r>
                          <w:rPr>
                            <w:rFonts w:ascii="Calibri" w:hAnsi="Calibri"/>
                            <w:color w:val="FFFFFF"/>
                            <w:sz w:val="18"/>
                          </w:rPr>
                          <w:t>with</w:t>
                        </w:r>
                        <w:r>
                          <w:rPr>
                            <w:rFonts w:ascii="Calibri" w:hAnsi="Calibri"/>
                            <w:color w:val="FFFFFF"/>
                            <w:spacing w:val="-5"/>
                            <w:sz w:val="18"/>
                          </w:rPr>
                          <w:t> </w:t>
                        </w:r>
                        <w:r>
                          <w:rPr>
                            <w:rFonts w:ascii="Calibri" w:hAnsi="Calibri"/>
                            <w:color w:val="FFFFFF"/>
                            <w:sz w:val="18"/>
                          </w:rPr>
                          <w:t>Victorian</w:t>
                        </w:r>
                        <w:r>
                          <w:rPr>
                            <w:rFonts w:ascii="Calibri" w:hAnsi="Calibri"/>
                            <w:color w:val="FFFFFF"/>
                            <w:spacing w:val="-5"/>
                            <w:sz w:val="18"/>
                          </w:rPr>
                          <w:t> </w:t>
                        </w:r>
                        <w:r>
                          <w:rPr>
                            <w:rFonts w:ascii="Calibri" w:hAnsi="Calibri"/>
                            <w:color w:val="FFFFFF"/>
                            <w:sz w:val="18"/>
                          </w:rPr>
                          <w:t>Traditional</w:t>
                        </w:r>
                        <w:r>
                          <w:rPr>
                            <w:rFonts w:ascii="Calibri" w:hAnsi="Calibri"/>
                            <w:color w:val="FFFFFF"/>
                            <w:spacing w:val="-2"/>
                            <w:sz w:val="18"/>
                          </w:rPr>
                          <w:t> </w:t>
                        </w:r>
                        <w:r>
                          <w:rPr>
                            <w:rFonts w:ascii="Calibri" w:hAnsi="Calibri"/>
                            <w:color w:val="FFFFFF"/>
                            <w:sz w:val="18"/>
                          </w:rPr>
                          <w:t>Owners and Victoria’s Aboriginal community to progress their aspirations.</w:t>
                        </w:r>
                      </w:p>
                    </w:txbxContent>
                  </v:textbox>
                  <w10:wrap type="none"/>
                </v:shape>
                <w10:wrap type="topAndBottom"/>
              </v:group>
            </w:pict>
          </mc:Fallback>
        </mc:AlternateContent>
      </w:r>
    </w:p>
    <w:p>
      <w:pPr>
        <w:pStyle w:val="BodyText"/>
        <w:spacing w:before="46"/>
        <w:rPr>
          <w:sz w:val="18"/>
        </w:rPr>
      </w:pPr>
    </w:p>
    <w:p>
      <w:pPr>
        <w:pStyle w:val="BodyText"/>
        <w:spacing w:before="1"/>
        <w:ind w:left="312"/>
      </w:pPr>
      <w:r>
        <w:rPr>
          <w:color w:val="363534"/>
        </w:rPr>
        <w:t>©</w:t>
      </w:r>
      <w:r>
        <w:rPr>
          <w:color w:val="363534"/>
          <w:spacing w:val="-8"/>
        </w:rPr>
        <w:t> </w:t>
      </w:r>
      <w:r>
        <w:rPr>
          <w:color w:val="363534"/>
        </w:rPr>
        <w:t>The</w:t>
      </w:r>
      <w:r>
        <w:rPr>
          <w:color w:val="363534"/>
          <w:spacing w:val="-5"/>
        </w:rPr>
        <w:t> </w:t>
      </w:r>
      <w:r>
        <w:rPr>
          <w:color w:val="363534"/>
        </w:rPr>
        <w:t>State</w:t>
      </w:r>
      <w:r>
        <w:rPr>
          <w:color w:val="363534"/>
          <w:spacing w:val="-9"/>
        </w:rPr>
        <w:t> </w:t>
      </w:r>
      <w:r>
        <w:rPr>
          <w:color w:val="363534"/>
        </w:rPr>
        <w:t>of</w:t>
      </w:r>
      <w:r>
        <w:rPr>
          <w:color w:val="363534"/>
          <w:spacing w:val="-7"/>
        </w:rPr>
        <w:t> </w:t>
      </w:r>
      <w:r>
        <w:rPr>
          <w:color w:val="363534"/>
        </w:rPr>
        <w:t>Victoria</w:t>
      </w:r>
      <w:r>
        <w:rPr>
          <w:color w:val="363534"/>
          <w:spacing w:val="-7"/>
        </w:rPr>
        <w:t> </w:t>
      </w:r>
      <w:r>
        <w:rPr>
          <w:color w:val="363534"/>
        </w:rPr>
        <w:t>Department</w:t>
      </w:r>
      <w:r>
        <w:rPr>
          <w:color w:val="363534"/>
          <w:spacing w:val="-8"/>
        </w:rPr>
        <w:t> </w:t>
      </w:r>
      <w:r>
        <w:rPr>
          <w:color w:val="363534"/>
        </w:rPr>
        <w:t>of</w:t>
      </w:r>
      <w:r>
        <w:rPr>
          <w:color w:val="363534"/>
          <w:spacing w:val="-5"/>
        </w:rPr>
        <w:t> </w:t>
      </w:r>
      <w:r>
        <w:rPr>
          <w:color w:val="363534"/>
        </w:rPr>
        <w:t>Energy,</w:t>
      </w:r>
      <w:r>
        <w:rPr>
          <w:color w:val="363534"/>
          <w:spacing w:val="-8"/>
        </w:rPr>
        <w:t> </w:t>
      </w:r>
      <w:r>
        <w:rPr>
          <w:color w:val="363534"/>
        </w:rPr>
        <w:t>Environment</w:t>
      </w:r>
      <w:r>
        <w:rPr>
          <w:color w:val="363534"/>
          <w:spacing w:val="-5"/>
        </w:rPr>
        <w:t> </w:t>
      </w:r>
      <w:r>
        <w:rPr>
          <w:color w:val="363534"/>
        </w:rPr>
        <w:t>and</w:t>
      </w:r>
      <w:r>
        <w:rPr>
          <w:color w:val="363534"/>
          <w:spacing w:val="-6"/>
        </w:rPr>
        <w:t> </w:t>
      </w:r>
      <w:r>
        <w:rPr>
          <w:color w:val="363534"/>
        </w:rPr>
        <w:t>Climate</w:t>
      </w:r>
      <w:r>
        <w:rPr>
          <w:color w:val="363534"/>
          <w:spacing w:val="-7"/>
        </w:rPr>
        <w:t> </w:t>
      </w:r>
      <w:r>
        <w:rPr>
          <w:color w:val="363534"/>
        </w:rPr>
        <w:t>Action</w:t>
      </w:r>
      <w:r>
        <w:rPr>
          <w:color w:val="363534"/>
          <w:spacing w:val="-2"/>
        </w:rPr>
        <w:t> </w:t>
      </w:r>
      <w:r>
        <w:rPr>
          <w:color w:val="363534"/>
        </w:rPr>
        <w:t>May</w:t>
      </w:r>
      <w:r>
        <w:rPr>
          <w:color w:val="363534"/>
          <w:spacing w:val="-6"/>
        </w:rPr>
        <w:t> </w:t>
      </w:r>
      <w:r>
        <w:rPr>
          <w:color w:val="363534"/>
          <w:spacing w:val="-4"/>
        </w:rPr>
        <w:t>2025</w:t>
      </w:r>
    </w:p>
    <w:p>
      <w:pPr>
        <w:spacing w:before="98"/>
        <w:ind w:left="312" w:right="0" w:firstLine="0"/>
        <w:jc w:val="left"/>
        <w:rPr>
          <w:b/>
          <w:sz w:val="20"/>
        </w:rPr>
      </w:pPr>
      <w:r>
        <w:rPr>
          <w:b/>
          <w:color w:val="363534"/>
          <w:spacing w:val="-2"/>
          <w:sz w:val="20"/>
        </w:rPr>
        <w:t>Disclaimer</w:t>
      </w:r>
    </w:p>
    <w:p>
      <w:pPr>
        <w:pStyle w:val="BodyText"/>
        <w:spacing w:line="249" w:lineRule="auto" w:before="102"/>
        <w:ind w:left="312" w:right="247"/>
      </w:pPr>
      <w:r>
        <w:rPr>
          <w:color w:val="363534"/>
        </w:rPr>
        <w:t>This publication may be of assistance to you, but the State of Victoria and its employees do not guarantee that the publication is without flaw of any kind or is wholly appropriate for your particular purposes and therefore</w:t>
      </w:r>
      <w:r>
        <w:rPr>
          <w:color w:val="363534"/>
          <w:spacing w:val="-3"/>
        </w:rPr>
        <w:t> </w:t>
      </w:r>
      <w:r>
        <w:rPr>
          <w:color w:val="363534"/>
        </w:rPr>
        <w:t>disclaims</w:t>
      </w:r>
      <w:r>
        <w:rPr>
          <w:color w:val="363534"/>
          <w:spacing w:val="-2"/>
        </w:rPr>
        <w:t> </w:t>
      </w:r>
      <w:r>
        <w:rPr>
          <w:color w:val="363534"/>
        </w:rPr>
        <w:t>all</w:t>
      </w:r>
      <w:r>
        <w:rPr>
          <w:color w:val="363534"/>
          <w:spacing w:val="-2"/>
        </w:rPr>
        <w:t> </w:t>
      </w:r>
      <w:r>
        <w:rPr>
          <w:color w:val="363534"/>
        </w:rPr>
        <w:t>liability</w:t>
      </w:r>
      <w:r>
        <w:rPr>
          <w:color w:val="363534"/>
          <w:spacing w:val="-2"/>
        </w:rPr>
        <w:t> </w:t>
      </w:r>
      <w:r>
        <w:rPr>
          <w:color w:val="363534"/>
        </w:rPr>
        <w:t>for</w:t>
      </w:r>
      <w:r>
        <w:rPr>
          <w:color w:val="363534"/>
          <w:spacing w:val="-2"/>
        </w:rPr>
        <w:t> </w:t>
      </w:r>
      <w:r>
        <w:rPr>
          <w:color w:val="363534"/>
        </w:rPr>
        <w:t>any</w:t>
      </w:r>
      <w:r>
        <w:rPr>
          <w:color w:val="363534"/>
          <w:spacing w:val="-2"/>
        </w:rPr>
        <w:t> </w:t>
      </w:r>
      <w:r>
        <w:rPr>
          <w:color w:val="363534"/>
        </w:rPr>
        <w:t>error,</w:t>
      </w:r>
      <w:r>
        <w:rPr>
          <w:color w:val="363534"/>
          <w:spacing w:val="-1"/>
        </w:rPr>
        <w:t> </w:t>
      </w:r>
      <w:r>
        <w:rPr>
          <w:color w:val="363534"/>
        </w:rPr>
        <w:t>loss</w:t>
      </w:r>
      <w:r>
        <w:rPr>
          <w:color w:val="363534"/>
          <w:spacing w:val="-2"/>
        </w:rPr>
        <w:t> </w:t>
      </w:r>
      <w:r>
        <w:rPr>
          <w:color w:val="363534"/>
        </w:rPr>
        <w:t>or</w:t>
      </w:r>
      <w:r>
        <w:rPr>
          <w:color w:val="363534"/>
          <w:spacing w:val="-3"/>
        </w:rPr>
        <w:t> </w:t>
      </w:r>
      <w:r>
        <w:rPr>
          <w:color w:val="363534"/>
        </w:rPr>
        <w:t>other</w:t>
      </w:r>
      <w:r>
        <w:rPr>
          <w:color w:val="363534"/>
          <w:spacing w:val="-2"/>
        </w:rPr>
        <w:t> </w:t>
      </w:r>
      <w:r>
        <w:rPr>
          <w:color w:val="363534"/>
        </w:rPr>
        <w:t>consequence</w:t>
      </w:r>
      <w:r>
        <w:rPr>
          <w:color w:val="363534"/>
          <w:spacing w:val="-3"/>
        </w:rPr>
        <w:t> </w:t>
      </w:r>
      <w:r>
        <w:rPr>
          <w:color w:val="363534"/>
        </w:rPr>
        <w:t>which</w:t>
      </w:r>
      <w:r>
        <w:rPr>
          <w:color w:val="363534"/>
          <w:spacing w:val="-2"/>
        </w:rPr>
        <w:t> </w:t>
      </w:r>
      <w:r>
        <w:rPr>
          <w:color w:val="363534"/>
        </w:rPr>
        <w:t>may</w:t>
      </w:r>
      <w:r>
        <w:rPr>
          <w:color w:val="363534"/>
          <w:spacing w:val="-1"/>
        </w:rPr>
        <w:t> </w:t>
      </w:r>
      <w:r>
        <w:rPr>
          <w:color w:val="363534"/>
        </w:rPr>
        <w:t>arise</w:t>
      </w:r>
      <w:r>
        <w:rPr>
          <w:color w:val="363534"/>
          <w:spacing w:val="-3"/>
        </w:rPr>
        <w:t> </w:t>
      </w:r>
      <w:r>
        <w:rPr>
          <w:color w:val="363534"/>
        </w:rPr>
        <w:t>from</w:t>
      </w:r>
      <w:r>
        <w:rPr>
          <w:color w:val="363534"/>
          <w:spacing w:val="-2"/>
        </w:rPr>
        <w:t> </w:t>
      </w:r>
      <w:r>
        <w:rPr>
          <w:color w:val="363534"/>
        </w:rPr>
        <w:t>you</w:t>
      </w:r>
      <w:r>
        <w:rPr>
          <w:color w:val="363534"/>
          <w:spacing w:val="-4"/>
        </w:rPr>
        <w:t> </w:t>
      </w:r>
      <w:r>
        <w:rPr>
          <w:color w:val="363534"/>
        </w:rPr>
        <w:t>relying</w:t>
      </w:r>
      <w:r>
        <w:rPr>
          <w:color w:val="363534"/>
          <w:spacing w:val="-3"/>
        </w:rPr>
        <w:t> </w:t>
      </w:r>
      <w:r>
        <w:rPr>
          <w:color w:val="363534"/>
        </w:rPr>
        <w:t>on any information in this publication.</w:t>
      </w:r>
    </w:p>
    <w:p>
      <w:pPr>
        <w:tabs>
          <w:tab w:pos="9950" w:val="right" w:leader="none"/>
        </w:tabs>
        <w:spacing w:before="113"/>
        <w:ind w:left="5586"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ii</w:t>
      </w:r>
    </w:p>
    <w:p>
      <w:pPr>
        <w:spacing w:after="0"/>
        <w:jc w:val="left"/>
        <w:rPr>
          <w:sz w:val="20"/>
        </w:rPr>
        <w:sectPr>
          <w:pgSz w:w="11910" w:h="16840"/>
          <w:pgMar w:header="0" w:footer="0" w:top="1920" w:bottom="280" w:left="820" w:right="980"/>
        </w:sectPr>
      </w:pPr>
    </w:p>
    <w:p>
      <w:pPr>
        <w:pStyle w:val="Title"/>
        <w:spacing w:before="65"/>
      </w:pPr>
      <w:r>
        <w:rPr/>
        <w:t>The</w:t>
      </w:r>
      <w:r>
        <w:rPr>
          <w:spacing w:val="-3"/>
        </w:rPr>
        <w:t> </w:t>
      </w:r>
      <w:r>
        <w:rPr/>
        <w:t>use</w:t>
      </w:r>
      <w:r>
        <w:rPr>
          <w:spacing w:val="-3"/>
        </w:rPr>
        <w:t> </w:t>
      </w:r>
      <w:r>
        <w:rPr/>
        <w:t>of 1080</w:t>
      </w:r>
      <w:r>
        <w:rPr>
          <w:spacing w:val="-2"/>
        </w:rPr>
        <w:t> </w:t>
      </w:r>
      <w:r>
        <w:rPr/>
        <w:t>and</w:t>
      </w:r>
      <w:r>
        <w:rPr>
          <w:spacing w:val="-2"/>
        </w:rPr>
        <w:t> </w:t>
      </w:r>
      <w:r>
        <w:rPr/>
        <w:t>other</w:t>
      </w:r>
      <w:r>
        <w:rPr>
          <w:spacing w:val="-2"/>
        </w:rPr>
        <w:t> </w:t>
      </w:r>
      <w:r>
        <w:rPr/>
        <w:t>methods</w:t>
      </w:r>
      <w:r>
        <w:rPr>
          <w:spacing w:val="-2"/>
        </w:rPr>
        <w:t> </w:t>
      </w:r>
      <w:r>
        <w:rPr>
          <w:spacing w:val="-5"/>
        </w:rPr>
        <w:t>for</w:t>
      </w:r>
    </w:p>
    <w:p>
      <w:pPr>
        <w:pStyle w:val="Title"/>
        <w:ind w:right="324"/>
      </w:pPr>
      <w:r>
        <w:rPr/>
        <w:t>controlling European Rabbits, Feral Pigs, Red</w:t>
      </w:r>
      <w:r>
        <w:rPr>
          <w:spacing w:val="-6"/>
        </w:rPr>
        <w:t> </w:t>
      </w:r>
      <w:r>
        <w:rPr/>
        <w:t>Foxes</w:t>
      </w:r>
      <w:r>
        <w:rPr>
          <w:spacing w:val="-4"/>
        </w:rPr>
        <w:t> </w:t>
      </w:r>
      <w:r>
        <w:rPr/>
        <w:t>and</w:t>
      </w:r>
      <w:r>
        <w:rPr>
          <w:spacing w:val="-5"/>
        </w:rPr>
        <w:t> </w:t>
      </w:r>
      <w:r>
        <w:rPr/>
        <w:t>Dingoes</w:t>
      </w:r>
      <w:r>
        <w:rPr>
          <w:spacing w:val="-6"/>
        </w:rPr>
        <w:t> </w:t>
      </w:r>
      <w:r>
        <w:rPr/>
        <w:t>and</w:t>
      </w:r>
      <w:r>
        <w:rPr>
          <w:spacing w:val="-7"/>
        </w:rPr>
        <w:t> </w:t>
      </w:r>
      <w:r>
        <w:rPr/>
        <w:t>Wild</w:t>
      </w:r>
      <w:r>
        <w:rPr>
          <w:spacing w:val="-6"/>
        </w:rPr>
        <w:t> </w:t>
      </w:r>
      <w:r>
        <w:rPr/>
        <w:t>Dogs</w:t>
      </w:r>
      <w:r>
        <w:rPr>
          <w:spacing w:val="-5"/>
        </w:rPr>
        <w:t> </w:t>
      </w:r>
      <w:r>
        <w:rPr/>
        <w:t>in </w:t>
      </w:r>
      <w:r>
        <w:rPr>
          <w:spacing w:val="-2"/>
        </w:rPr>
        <w:t>Victoria</w:t>
      </w: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spacing w:before="62"/>
        <w:rPr>
          <w:b/>
          <w:sz w:val="48"/>
        </w:rPr>
      </w:pPr>
    </w:p>
    <w:p>
      <w:pPr>
        <w:spacing w:line="235" w:lineRule="auto" w:before="1"/>
        <w:ind w:left="312" w:right="1038" w:firstLine="0"/>
        <w:jc w:val="left"/>
        <w:rPr>
          <w:sz w:val="32"/>
        </w:rPr>
      </w:pPr>
      <w:r>
        <w:rPr>
          <w:sz w:val="32"/>
        </w:rPr>
        <w:t>Arthur</w:t>
      </w:r>
      <w:r>
        <w:rPr>
          <w:spacing w:val="-9"/>
          <w:sz w:val="32"/>
        </w:rPr>
        <w:t> </w:t>
      </w:r>
      <w:r>
        <w:rPr>
          <w:sz w:val="32"/>
        </w:rPr>
        <w:t>Rylah</w:t>
      </w:r>
      <w:r>
        <w:rPr>
          <w:spacing w:val="-9"/>
          <w:sz w:val="32"/>
        </w:rPr>
        <w:t> </w:t>
      </w:r>
      <w:r>
        <w:rPr>
          <w:sz w:val="32"/>
        </w:rPr>
        <w:t>Institute</w:t>
      </w:r>
      <w:r>
        <w:rPr>
          <w:spacing w:val="-9"/>
          <w:sz w:val="32"/>
        </w:rPr>
        <w:t> </w:t>
      </w:r>
      <w:r>
        <w:rPr>
          <w:sz w:val="32"/>
        </w:rPr>
        <w:t>for</w:t>
      </w:r>
      <w:r>
        <w:rPr>
          <w:spacing w:val="-9"/>
          <w:sz w:val="32"/>
        </w:rPr>
        <w:t> </w:t>
      </w:r>
      <w:r>
        <w:rPr>
          <w:sz w:val="32"/>
        </w:rPr>
        <w:t>Environmental</w:t>
      </w:r>
      <w:r>
        <w:rPr>
          <w:spacing w:val="-7"/>
          <w:sz w:val="32"/>
        </w:rPr>
        <w:t> </w:t>
      </w:r>
      <w:r>
        <w:rPr>
          <w:sz w:val="32"/>
        </w:rPr>
        <w:t>Research Unpublished Report for Agriculture Victoria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4"/>
        <w:rPr>
          <w:sz w:val="18"/>
        </w:rPr>
      </w:pPr>
    </w:p>
    <w:p>
      <w:pPr>
        <w:tabs>
          <w:tab w:pos="9953" w:val="right" w:leader="none"/>
        </w:tabs>
        <w:spacing w:before="0"/>
        <w:ind w:left="5577"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10"/>
          <w:sz w:val="20"/>
        </w:rPr>
        <w:t>1</w:t>
      </w:r>
    </w:p>
    <w:p>
      <w:pPr>
        <w:spacing w:after="0"/>
        <w:jc w:val="left"/>
        <w:rPr>
          <w:sz w:val="20"/>
        </w:rPr>
        <w:sectPr>
          <w:pgSz w:w="11910" w:h="16850"/>
          <w:pgMar w:header="0" w:footer="0" w:top="1680" w:bottom="280" w:left="820" w:right="980"/>
        </w:sectPr>
      </w:pPr>
    </w:p>
    <w:p>
      <w:pPr>
        <w:pStyle w:val="Heading1"/>
      </w:pPr>
      <w:bookmarkStart w:name="_TOC_250094" w:id="1"/>
      <w:bookmarkEnd w:id="1"/>
      <w:r>
        <w:rPr>
          <w:color w:val="001F5F"/>
          <w:spacing w:val="-2"/>
        </w:rPr>
        <w:t>Acknowledgements</w:t>
      </w:r>
    </w:p>
    <w:p>
      <w:pPr>
        <w:spacing w:before="600"/>
        <w:ind w:left="312" w:right="247" w:firstLine="0"/>
        <w:jc w:val="left"/>
        <w:rPr>
          <w:sz w:val="20"/>
        </w:rPr>
      </w:pPr>
      <w:r>
        <w:rPr>
          <w:sz w:val="20"/>
        </w:rPr>
        <w:t>This</w:t>
      </w:r>
      <w:r>
        <w:rPr>
          <w:spacing w:val="-4"/>
          <w:sz w:val="20"/>
        </w:rPr>
        <w:t> </w:t>
      </w:r>
      <w:r>
        <w:rPr>
          <w:sz w:val="20"/>
        </w:rPr>
        <w:t>project</w:t>
      </w:r>
      <w:r>
        <w:rPr>
          <w:spacing w:val="-5"/>
          <w:sz w:val="20"/>
        </w:rPr>
        <w:t> </w:t>
      </w:r>
      <w:r>
        <w:rPr>
          <w:sz w:val="20"/>
        </w:rPr>
        <w:t>was</w:t>
      </w:r>
      <w:r>
        <w:rPr>
          <w:spacing w:val="-4"/>
          <w:sz w:val="20"/>
        </w:rPr>
        <w:t> </w:t>
      </w:r>
      <w:r>
        <w:rPr>
          <w:sz w:val="20"/>
        </w:rPr>
        <w:t>funded</w:t>
      </w:r>
      <w:r>
        <w:rPr>
          <w:spacing w:val="-4"/>
          <w:sz w:val="20"/>
        </w:rPr>
        <w:t> </w:t>
      </w:r>
      <w:r>
        <w:rPr>
          <w:sz w:val="20"/>
        </w:rPr>
        <w:t>by</w:t>
      </w:r>
      <w:r>
        <w:rPr>
          <w:spacing w:val="-2"/>
          <w:sz w:val="20"/>
        </w:rPr>
        <w:t> </w:t>
      </w:r>
      <w:r>
        <w:rPr>
          <w:sz w:val="20"/>
        </w:rPr>
        <w:t>Agriculture</w:t>
      </w:r>
      <w:r>
        <w:rPr>
          <w:spacing w:val="-3"/>
          <w:sz w:val="20"/>
        </w:rPr>
        <w:t> </w:t>
      </w:r>
      <w:r>
        <w:rPr>
          <w:sz w:val="20"/>
        </w:rPr>
        <w:t>Victoria</w:t>
      </w:r>
      <w:r>
        <w:rPr>
          <w:spacing w:val="-1"/>
          <w:sz w:val="20"/>
        </w:rPr>
        <w:t> </w:t>
      </w:r>
      <w:r>
        <w:rPr>
          <w:sz w:val="20"/>
        </w:rPr>
        <w:t>under</w:t>
      </w:r>
      <w:r>
        <w:rPr>
          <w:spacing w:val="-4"/>
          <w:sz w:val="20"/>
        </w:rPr>
        <w:t> </w:t>
      </w:r>
      <w:r>
        <w:rPr>
          <w:sz w:val="20"/>
        </w:rPr>
        <w:t>the</w:t>
      </w:r>
      <w:r>
        <w:rPr>
          <w:spacing w:val="-5"/>
          <w:sz w:val="20"/>
        </w:rPr>
        <w:t> </w:t>
      </w:r>
      <w:r>
        <w:rPr>
          <w:sz w:val="20"/>
        </w:rPr>
        <w:t>Victorian</w:t>
      </w:r>
      <w:r>
        <w:rPr>
          <w:spacing w:val="-6"/>
          <w:sz w:val="20"/>
        </w:rPr>
        <w:t> </w:t>
      </w:r>
      <w:r>
        <w:rPr>
          <w:sz w:val="20"/>
        </w:rPr>
        <w:t>Governments </w:t>
      </w:r>
      <w:r>
        <w:rPr>
          <w:i/>
          <w:sz w:val="20"/>
        </w:rPr>
        <w:t>Backing</w:t>
      </w:r>
      <w:r>
        <w:rPr>
          <w:i/>
          <w:spacing w:val="-3"/>
          <w:sz w:val="20"/>
        </w:rPr>
        <w:t> </w:t>
      </w:r>
      <w:r>
        <w:rPr>
          <w:i/>
          <w:sz w:val="20"/>
        </w:rPr>
        <w:t>Victorian</w:t>
      </w:r>
      <w:r>
        <w:rPr>
          <w:i/>
          <w:sz w:val="20"/>
        </w:rPr>
        <w:t> Producers to Grow </w:t>
      </w:r>
      <w:r>
        <w:rPr>
          <w:sz w:val="20"/>
        </w:rPr>
        <w:t>election commitment</w:t>
      </w:r>
    </w:p>
    <w:p>
      <w:pPr>
        <w:spacing w:after="0"/>
        <w:jc w:val="left"/>
        <w:rPr>
          <w:sz w:val="20"/>
        </w:rPr>
        <w:sectPr>
          <w:footerReference w:type="even" r:id="rId17"/>
          <w:footerReference w:type="default" r:id="rId18"/>
          <w:pgSz w:w="11910" w:h="16850"/>
          <w:pgMar w:header="0" w:footer="688" w:top="1060" w:bottom="880" w:left="820" w:right="980"/>
          <w:pgNumType w:start="2"/>
        </w:sectPr>
      </w:pPr>
    </w:p>
    <w:p>
      <w:pPr>
        <w:pStyle w:val="Heading1"/>
      </w:pPr>
      <w:r>
        <w:rPr>
          <w:color w:val="001F5F"/>
          <w:spacing w:val="-2"/>
        </w:rPr>
        <w:t>Glossary</w:t>
      </w:r>
    </w:p>
    <w:p>
      <w:pPr>
        <w:pStyle w:val="BodyText"/>
      </w:pPr>
    </w:p>
    <w:p>
      <w:pPr>
        <w:pStyle w:val="BodyText"/>
        <w:spacing w:before="17"/>
      </w:pPr>
    </w:p>
    <w:tbl>
      <w:tblPr>
        <w:tblW w:w="0" w:type="auto"/>
        <w:jc w:val="left"/>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0"/>
        <w:gridCol w:w="5431"/>
      </w:tblGrid>
      <w:tr>
        <w:trPr>
          <w:trHeight w:val="286" w:hRule="atLeast"/>
        </w:trPr>
        <w:tc>
          <w:tcPr>
            <w:tcW w:w="1120" w:type="dxa"/>
          </w:tcPr>
          <w:p>
            <w:pPr>
              <w:pStyle w:val="TableParagraph"/>
              <w:spacing w:line="223" w:lineRule="exact"/>
              <w:ind w:left="50"/>
              <w:rPr>
                <w:sz w:val="20"/>
              </w:rPr>
            </w:pPr>
            <w:r>
              <w:rPr>
                <w:spacing w:val="-4"/>
                <w:sz w:val="20"/>
              </w:rPr>
              <w:t>ACTA</w:t>
            </w:r>
          </w:p>
        </w:tc>
        <w:tc>
          <w:tcPr>
            <w:tcW w:w="5431" w:type="dxa"/>
          </w:tcPr>
          <w:p>
            <w:pPr>
              <w:pStyle w:val="TableParagraph"/>
              <w:spacing w:line="223" w:lineRule="exact"/>
              <w:ind w:left="370"/>
              <w:rPr>
                <w:sz w:val="20"/>
              </w:rPr>
            </w:pPr>
            <w:r>
              <w:rPr>
                <w:sz w:val="20"/>
              </w:rPr>
              <w:t>Animal</w:t>
            </w:r>
            <w:r>
              <w:rPr>
                <w:spacing w:val="-12"/>
                <w:sz w:val="20"/>
              </w:rPr>
              <w:t> </w:t>
            </w:r>
            <w:r>
              <w:rPr>
                <w:sz w:val="20"/>
              </w:rPr>
              <w:t>Control</w:t>
            </w:r>
            <w:r>
              <w:rPr>
                <w:spacing w:val="-11"/>
                <w:sz w:val="20"/>
              </w:rPr>
              <w:t> </w:t>
            </w:r>
            <w:r>
              <w:rPr>
                <w:sz w:val="20"/>
              </w:rPr>
              <w:t>Technologies</w:t>
            </w:r>
            <w:r>
              <w:rPr>
                <w:spacing w:val="-10"/>
                <w:sz w:val="20"/>
              </w:rPr>
              <w:t> </w:t>
            </w:r>
            <w:r>
              <w:rPr>
                <w:spacing w:val="-2"/>
                <w:sz w:val="20"/>
              </w:rPr>
              <w:t>Australia</w:t>
            </w:r>
          </w:p>
        </w:tc>
      </w:tr>
      <w:tr>
        <w:trPr>
          <w:trHeight w:val="350" w:hRule="atLeast"/>
        </w:trPr>
        <w:tc>
          <w:tcPr>
            <w:tcW w:w="1120" w:type="dxa"/>
          </w:tcPr>
          <w:p>
            <w:pPr>
              <w:pStyle w:val="TableParagraph"/>
              <w:spacing w:before="56"/>
              <w:ind w:left="50"/>
              <w:rPr>
                <w:sz w:val="20"/>
              </w:rPr>
            </w:pPr>
            <w:r>
              <w:rPr>
                <w:spacing w:val="-4"/>
                <w:sz w:val="20"/>
              </w:rPr>
              <w:t>ACUP</w:t>
            </w:r>
          </w:p>
        </w:tc>
        <w:tc>
          <w:tcPr>
            <w:tcW w:w="5431" w:type="dxa"/>
          </w:tcPr>
          <w:p>
            <w:pPr>
              <w:pStyle w:val="TableParagraph"/>
              <w:spacing w:before="56"/>
              <w:ind w:left="370"/>
              <w:rPr>
                <w:sz w:val="20"/>
              </w:rPr>
            </w:pPr>
            <w:r>
              <w:rPr>
                <w:sz w:val="20"/>
              </w:rPr>
              <w:t>Agricultural</w:t>
            </w:r>
            <w:r>
              <w:rPr>
                <w:spacing w:val="-11"/>
                <w:sz w:val="20"/>
              </w:rPr>
              <w:t> </w:t>
            </w:r>
            <w:r>
              <w:rPr>
                <w:sz w:val="20"/>
              </w:rPr>
              <w:t>Chemical</w:t>
            </w:r>
            <w:r>
              <w:rPr>
                <w:spacing w:val="-9"/>
                <w:sz w:val="20"/>
              </w:rPr>
              <w:t> </w:t>
            </w:r>
            <w:r>
              <w:rPr>
                <w:sz w:val="20"/>
              </w:rPr>
              <w:t>Users</w:t>
            </w:r>
            <w:r>
              <w:rPr>
                <w:spacing w:val="-8"/>
                <w:sz w:val="20"/>
              </w:rPr>
              <w:t> </w:t>
            </w:r>
            <w:r>
              <w:rPr>
                <w:spacing w:val="-2"/>
                <w:sz w:val="20"/>
              </w:rPr>
              <w:t>Permit</w:t>
            </w:r>
          </w:p>
        </w:tc>
      </w:tr>
      <w:tr>
        <w:trPr>
          <w:trHeight w:val="349" w:hRule="atLeast"/>
        </w:trPr>
        <w:tc>
          <w:tcPr>
            <w:tcW w:w="1120" w:type="dxa"/>
          </w:tcPr>
          <w:p>
            <w:pPr>
              <w:pStyle w:val="TableParagraph"/>
              <w:spacing w:before="56"/>
              <w:ind w:left="50"/>
              <w:rPr>
                <w:sz w:val="20"/>
              </w:rPr>
            </w:pPr>
            <w:r>
              <w:rPr>
                <w:spacing w:val="-2"/>
                <w:sz w:val="20"/>
              </w:rPr>
              <w:t>APVMA</w:t>
            </w:r>
          </w:p>
        </w:tc>
        <w:tc>
          <w:tcPr>
            <w:tcW w:w="5431" w:type="dxa"/>
          </w:tcPr>
          <w:p>
            <w:pPr>
              <w:pStyle w:val="TableParagraph"/>
              <w:spacing w:before="56"/>
              <w:ind w:left="370"/>
              <w:rPr>
                <w:sz w:val="20"/>
              </w:rPr>
            </w:pPr>
            <w:r>
              <w:rPr>
                <w:sz w:val="20"/>
              </w:rPr>
              <w:t>Australian</w:t>
            </w:r>
            <w:r>
              <w:rPr>
                <w:spacing w:val="-12"/>
                <w:sz w:val="20"/>
              </w:rPr>
              <w:t> </w:t>
            </w:r>
            <w:r>
              <w:rPr>
                <w:sz w:val="20"/>
              </w:rPr>
              <w:t>Pesticides</w:t>
            </w:r>
            <w:r>
              <w:rPr>
                <w:spacing w:val="-10"/>
                <w:sz w:val="20"/>
              </w:rPr>
              <w:t> </w:t>
            </w:r>
            <w:r>
              <w:rPr>
                <w:sz w:val="20"/>
              </w:rPr>
              <w:t>and</w:t>
            </w:r>
            <w:r>
              <w:rPr>
                <w:spacing w:val="-9"/>
                <w:sz w:val="20"/>
              </w:rPr>
              <w:t> </w:t>
            </w:r>
            <w:r>
              <w:rPr>
                <w:sz w:val="20"/>
              </w:rPr>
              <w:t>Veterinary</w:t>
            </w:r>
            <w:r>
              <w:rPr>
                <w:spacing w:val="-10"/>
                <w:sz w:val="20"/>
              </w:rPr>
              <w:t> </w:t>
            </w:r>
            <w:r>
              <w:rPr>
                <w:sz w:val="20"/>
              </w:rPr>
              <w:t>Medicines</w:t>
            </w:r>
            <w:r>
              <w:rPr>
                <w:spacing w:val="-10"/>
                <w:sz w:val="20"/>
              </w:rPr>
              <w:t> </w:t>
            </w:r>
            <w:r>
              <w:rPr>
                <w:spacing w:val="-2"/>
                <w:sz w:val="20"/>
              </w:rPr>
              <w:t>Authority</w:t>
            </w:r>
          </w:p>
        </w:tc>
      </w:tr>
      <w:tr>
        <w:trPr>
          <w:trHeight w:val="349" w:hRule="atLeast"/>
        </w:trPr>
        <w:tc>
          <w:tcPr>
            <w:tcW w:w="1120" w:type="dxa"/>
          </w:tcPr>
          <w:p>
            <w:pPr>
              <w:pStyle w:val="TableParagraph"/>
              <w:spacing w:before="55"/>
              <w:ind w:left="50"/>
              <w:rPr>
                <w:sz w:val="20"/>
              </w:rPr>
            </w:pPr>
            <w:r>
              <w:rPr>
                <w:spacing w:val="-5"/>
                <w:sz w:val="20"/>
              </w:rPr>
              <w:t>CE</w:t>
            </w:r>
          </w:p>
        </w:tc>
        <w:tc>
          <w:tcPr>
            <w:tcW w:w="5431" w:type="dxa"/>
          </w:tcPr>
          <w:p>
            <w:pPr>
              <w:pStyle w:val="TableParagraph"/>
              <w:spacing w:before="55"/>
              <w:ind w:left="370"/>
              <w:rPr>
                <w:sz w:val="20"/>
              </w:rPr>
            </w:pPr>
            <w:r>
              <w:rPr>
                <w:sz w:val="20"/>
              </w:rPr>
              <w:t>Capture</w:t>
            </w:r>
            <w:r>
              <w:rPr>
                <w:spacing w:val="-9"/>
                <w:sz w:val="20"/>
              </w:rPr>
              <w:t> </w:t>
            </w:r>
            <w:r>
              <w:rPr>
                <w:spacing w:val="-2"/>
                <w:sz w:val="20"/>
              </w:rPr>
              <w:t>efficacy</w:t>
            </w:r>
          </w:p>
        </w:tc>
      </w:tr>
      <w:tr>
        <w:trPr>
          <w:trHeight w:val="350" w:hRule="atLeast"/>
        </w:trPr>
        <w:tc>
          <w:tcPr>
            <w:tcW w:w="1120" w:type="dxa"/>
          </w:tcPr>
          <w:p>
            <w:pPr>
              <w:pStyle w:val="TableParagraph"/>
              <w:spacing w:before="56"/>
              <w:ind w:left="50"/>
              <w:rPr>
                <w:sz w:val="20"/>
              </w:rPr>
            </w:pPr>
            <w:r>
              <w:rPr>
                <w:spacing w:val="-5"/>
                <w:sz w:val="20"/>
              </w:rPr>
              <w:t>CEA</w:t>
            </w:r>
          </w:p>
        </w:tc>
        <w:tc>
          <w:tcPr>
            <w:tcW w:w="5431" w:type="dxa"/>
          </w:tcPr>
          <w:p>
            <w:pPr>
              <w:pStyle w:val="TableParagraph"/>
              <w:spacing w:before="56"/>
              <w:ind w:left="370"/>
              <w:rPr>
                <w:sz w:val="20"/>
              </w:rPr>
            </w:pPr>
            <w:r>
              <w:rPr>
                <w:spacing w:val="-2"/>
                <w:sz w:val="20"/>
              </w:rPr>
              <w:t>Cost-effectiveness</w:t>
            </w:r>
            <w:r>
              <w:rPr>
                <w:spacing w:val="16"/>
                <w:sz w:val="20"/>
              </w:rPr>
              <w:t> </w:t>
            </w:r>
            <w:r>
              <w:rPr>
                <w:spacing w:val="-2"/>
                <w:sz w:val="20"/>
              </w:rPr>
              <w:t>analysis</w:t>
            </w:r>
          </w:p>
        </w:tc>
      </w:tr>
      <w:tr>
        <w:trPr>
          <w:trHeight w:val="350" w:hRule="atLeast"/>
        </w:trPr>
        <w:tc>
          <w:tcPr>
            <w:tcW w:w="1120" w:type="dxa"/>
          </w:tcPr>
          <w:p>
            <w:pPr>
              <w:pStyle w:val="TableParagraph"/>
              <w:spacing w:before="56"/>
              <w:ind w:left="50"/>
              <w:rPr>
                <w:sz w:val="20"/>
              </w:rPr>
            </w:pPr>
            <w:r>
              <w:rPr>
                <w:spacing w:val="-5"/>
                <w:sz w:val="20"/>
              </w:rPr>
              <w:t>CPE</w:t>
            </w:r>
          </w:p>
        </w:tc>
        <w:tc>
          <w:tcPr>
            <w:tcW w:w="5431" w:type="dxa"/>
          </w:tcPr>
          <w:p>
            <w:pPr>
              <w:pStyle w:val="TableParagraph"/>
              <w:spacing w:before="56"/>
              <w:ind w:left="370"/>
              <w:rPr>
                <w:sz w:val="20"/>
              </w:rPr>
            </w:pPr>
            <w:r>
              <w:rPr>
                <w:sz w:val="20"/>
              </w:rPr>
              <w:t>Canid</w:t>
            </w:r>
            <w:r>
              <w:rPr>
                <w:spacing w:val="-9"/>
                <w:sz w:val="20"/>
              </w:rPr>
              <w:t> </w:t>
            </w:r>
            <w:r>
              <w:rPr>
                <w:sz w:val="20"/>
              </w:rPr>
              <w:t>pest</w:t>
            </w:r>
            <w:r>
              <w:rPr>
                <w:spacing w:val="-6"/>
                <w:sz w:val="20"/>
              </w:rPr>
              <w:t> </w:t>
            </w:r>
            <w:r>
              <w:rPr>
                <w:spacing w:val="-2"/>
                <w:sz w:val="20"/>
              </w:rPr>
              <w:t>ejector</w:t>
            </w:r>
          </w:p>
        </w:tc>
      </w:tr>
      <w:tr>
        <w:trPr>
          <w:trHeight w:val="350" w:hRule="atLeast"/>
        </w:trPr>
        <w:tc>
          <w:tcPr>
            <w:tcW w:w="1120" w:type="dxa"/>
          </w:tcPr>
          <w:p>
            <w:pPr>
              <w:pStyle w:val="TableParagraph"/>
              <w:spacing w:before="56"/>
              <w:ind w:left="50"/>
              <w:rPr>
                <w:sz w:val="20"/>
              </w:rPr>
            </w:pPr>
            <w:r>
              <w:rPr>
                <w:spacing w:val="-5"/>
                <w:sz w:val="20"/>
              </w:rPr>
              <w:t>LGA</w:t>
            </w:r>
          </w:p>
        </w:tc>
        <w:tc>
          <w:tcPr>
            <w:tcW w:w="5431" w:type="dxa"/>
          </w:tcPr>
          <w:p>
            <w:pPr>
              <w:pStyle w:val="TableParagraph"/>
              <w:spacing w:before="56"/>
              <w:ind w:left="370"/>
              <w:rPr>
                <w:sz w:val="20"/>
              </w:rPr>
            </w:pPr>
            <w:r>
              <w:rPr>
                <w:sz w:val="20"/>
              </w:rPr>
              <w:t>Livestock</w:t>
            </w:r>
            <w:r>
              <w:rPr>
                <w:spacing w:val="-11"/>
                <w:sz w:val="20"/>
              </w:rPr>
              <w:t> </w:t>
            </w:r>
            <w:r>
              <w:rPr>
                <w:sz w:val="20"/>
              </w:rPr>
              <w:t>guardian</w:t>
            </w:r>
            <w:r>
              <w:rPr>
                <w:spacing w:val="-13"/>
                <w:sz w:val="20"/>
              </w:rPr>
              <w:t> </w:t>
            </w:r>
            <w:r>
              <w:rPr>
                <w:spacing w:val="-2"/>
                <w:sz w:val="20"/>
              </w:rPr>
              <w:t>animal</w:t>
            </w:r>
          </w:p>
        </w:tc>
      </w:tr>
      <w:tr>
        <w:trPr>
          <w:trHeight w:val="350" w:hRule="atLeast"/>
        </w:trPr>
        <w:tc>
          <w:tcPr>
            <w:tcW w:w="1120" w:type="dxa"/>
          </w:tcPr>
          <w:p>
            <w:pPr>
              <w:pStyle w:val="TableParagraph"/>
              <w:spacing w:before="56"/>
              <w:ind w:left="50"/>
              <w:rPr>
                <w:sz w:val="20"/>
              </w:rPr>
            </w:pPr>
            <w:r>
              <w:rPr>
                <w:spacing w:val="-5"/>
                <w:sz w:val="20"/>
              </w:rPr>
              <w:t>LGD</w:t>
            </w:r>
          </w:p>
        </w:tc>
        <w:tc>
          <w:tcPr>
            <w:tcW w:w="5431" w:type="dxa"/>
          </w:tcPr>
          <w:p>
            <w:pPr>
              <w:pStyle w:val="TableParagraph"/>
              <w:spacing w:before="56"/>
              <w:ind w:left="370"/>
              <w:rPr>
                <w:sz w:val="20"/>
              </w:rPr>
            </w:pPr>
            <w:r>
              <w:rPr>
                <w:sz w:val="20"/>
              </w:rPr>
              <w:t>Livestock</w:t>
            </w:r>
            <w:r>
              <w:rPr>
                <w:spacing w:val="-11"/>
                <w:sz w:val="20"/>
              </w:rPr>
              <w:t> </w:t>
            </w:r>
            <w:r>
              <w:rPr>
                <w:sz w:val="20"/>
              </w:rPr>
              <w:t>guardian</w:t>
            </w:r>
            <w:r>
              <w:rPr>
                <w:spacing w:val="-13"/>
                <w:sz w:val="20"/>
              </w:rPr>
              <w:t> </w:t>
            </w:r>
            <w:r>
              <w:rPr>
                <w:spacing w:val="-5"/>
                <w:sz w:val="20"/>
              </w:rPr>
              <w:t>dog</w:t>
            </w:r>
          </w:p>
        </w:tc>
      </w:tr>
      <w:tr>
        <w:trPr>
          <w:trHeight w:val="349" w:hRule="atLeast"/>
        </w:trPr>
        <w:tc>
          <w:tcPr>
            <w:tcW w:w="1120" w:type="dxa"/>
          </w:tcPr>
          <w:p>
            <w:pPr>
              <w:pStyle w:val="TableParagraph"/>
              <w:spacing w:before="56"/>
              <w:ind w:left="50"/>
              <w:rPr>
                <w:sz w:val="20"/>
              </w:rPr>
            </w:pPr>
            <w:r>
              <w:rPr>
                <w:spacing w:val="-5"/>
                <w:sz w:val="20"/>
              </w:rPr>
              <w:t>LTD</w:t>
            </w:r>
          </w:p>
        </w:tc>
        <w:tc>
          <w:tcPr>
            <w:tcW w:w="5431" w:type="dxa"/>
          </w:tcPr>
          <w:p>
            <w:pPr>
              <w:pStyle w:val="TableParagraph"/>
              <w:spacing w:before="56"/>
              <w:ind w:left="370"/>
              <w:rPr>
                <w:sz w:val="20"/>
              </w:rPr>
            </w:pPr>
            <w:r>
              <w:rPr>
                <w:sz w:val="20"/>
              </w:rPr>
              <w:t>Lethal</w:t>
            </w:r>
            <w:r>
              <w:rPr>
                <w:spacing w:val="-8"/>
                <w:sz w:val="20"/>
              </w:rPr>
              <w:t> </w:t>
            </w:r>
            <w:r>
              <w:rPr>
                <w:sz w:val="20"/>
              </w:rPr>
              <w:t>trap</w:t>
            </w:r>
            <w:r>
              <w:rPr>
                <w:spacing w:val="-7"/>
                <w:sz w:val="20"/>
              </w:rPr>
              <w:t> </w:t>
            </w:r>
            <w:r>
              <w:rPr>
                <w:spacing w:val="-2"/>
                <w:sz w:val="20"/>
              </w:rPr>
              <w:t>device</w:t>
            </w:r>
          </w:p>
        </w:tc>
      </w:tr>
      <w:tr>
        <w:trPr>
          <w:trHeight w:val="349" w:hRule="atLeast"/>
        </w:trPr>
        <w:tc>
          <w:tcPr>
            <w:tcW w:w="1120" w:type="dxa"/>
          </w:tcPr>
          <w:p>
            <w:pPr>
              <w:pStyle w:val="TableParagraph"/>
              <w:spacing w:before="55"/>
              <w:ind w:left="50"/>
              <w:rPr>
                <w:sz w:val="20"/>
              </w:rPr>
            </w:pPr>
            <w:r>
              <w:rPr>
                <w:spacing w:val="-4"/>
                <w:sz w:val="20"/>
              </w:rPr>
              <w:t>PAPP</w:t>
            </w:r>
          </w:p>
        </w:tc>
        <w:tc>
          <w:tcPr>
            <w:tcW w:w="5431" w:type="dxa"/>
          </w:tcPr>
          <w:p>
            <w:pPr>
              <w:pStyle w:val="TableParagraph"/>
              <w:spacing w:before="55"/>
              <w:ind w:left="370"/>
              <w:rPr>
                <w:sz w:val="20"/>
              </w:rPr>
            </w:pPr>
            <w:r>
              <w:rPr>
                <w:spacing w:val="-2"/>
                <w:sz w:val="20"/>
              </w:rPr>
              <w:t>Para-aminopropiophenone</w:t>
            </w:r>
          </w:p>
        </w:tc>
      </w:tr>
      <w:tr>
        <w:trPr>
          <w:trHeight w:val="350" w:hRule="atLeast"/>
        </w:trPr>
        <w:tc>
          <w:tcPr>
            <w:tcW w:w="1120" w:type="dxa"/>
          </w:tcPr>
          <w:p>
            <w:pPr>
              <w:pStyle w:val="TableParagraph"/>
              <w:spacing w:before="56"/>
              <w:ind w:left="50"/>
              <w:rPr>
                <w:sz w:val="20"/>
              </w:rPr>
            </w:pPr>
            <w:r>
              <w:rPr>
                <w:spacing w:val="-5"/>
                <w:sz w:val="20"/>
              </w:rPr>
              <w:t>RHD</w:t>
            </w:r>
          </w:p>
        </w:tc>
        <w:tc>
          <w:tcPr>
            <w:tcW w:w="5431" w:type="dxa"/>
          </w:tcPr>
          <w:p>
            <w:pPr>
              <w:pStyle w:val="TableParagraph"/>
              <w:spacing w:before="56"/>
              <w:ind w:left="370"/>
              <w:rPr>
                <w:sz w:val="20"/>
              </w:rPr>
            </w:pPr>
            <w:r>
              <w:rPr>
                <w:sz w:val="20"/>
              </w:rPr>
              <w:t>Rabbit</w:t>
            </w:r>
            <w:r>
              <w:rPr>
                <w:spacing w:val="-16"/>
                <w:sz w:val="20"/>
              </w:rPr>
              <w:t> </w:t>
            </w:r>
            <w:r>
              <w:rPr>
                <w:sz w:val="20"/>
              </w:rPr>
              <w:t>haemorrhagic</w:t>
            </w:r>
            <w:r>
              <w:rPr>
                <w:spacing w:val="-13"/>
                <w:sz w:val="20"/>
              </w:rPr>
              <w:t> </w:t>
            </w:r>
            <w:r>
              <w:rPr>
                <w:spacing w:val="-2"/>
                <w:sz w:val="20"/>
              </w:rPr>
              <w:t>disease</w:t>
            </w:r>
          </w:p>
        </w:tc>
      </w:tr>
      <w:tr>
        <w:trPr>
          <w:trHeight w:val="286" w:hRule="atLeast"/>
        </w:trPr>
        <w:tc>
          <w:tcPr>
            <w:tcW w:w="1120" w:type="dxa"/>
          </w:tcPr>
          <w:p>
            <w:pPr>
              <w:pStyle w:val="TableParagraph"/>
              <w:spacing w:line="210" w:lineRule="exact" w:before="56"/>
              <w:ind w:left="50"/>
              <w:rPr>
                <w:sz w:val="20"/>
              </w:rPr>
            </w:pPr>
            <w:r>
              <w:rPr>
                <w:spacing w:val="-4"/>
                <w:sz w:val="20"/>
              </w:rPr>
              <w:t>RHDV</w:t>
            </w:r>
          </w:p>
        </w:tc>
        <w:tc>
          <w:tcPr>
            <w:tcW w:w="5431" w:type="dxa"/>
          </w:tcPr>
          <w:p>
            <w:pPr>
              <w:pStyle w:val="TableParagraph"/>
              <w:spacing w:line="210" w:lineRule="exact" w:before="56"/>
              <w:ind w:left="370"/>
              <w:rPr>
                <w:sz w:val="20"/>
              </w:rPr>
            </w:pPr>
            <w:r>
              <w:rPr>
                <w:sz w:val="20"/>
              </w:rPr>
              <w:t>Rabbit</w:t>
            </w:r>
            <w:r>
              <w:rPr>
                <w:spacing w:val="-12"/>
                <w:sz w:val="20"/>
              </w:rPr>
              <w:t> </w:t>
            </w:r>
            <w:r>
              <w:rPr>
                <w:sz w:val="20"/>
              </w:rPr>
              <w:t>haemorrhagic</w:t>
            </w:r>
            <w:r>
              <w:rPr>
                <w:spacing w:val="-11"/>
                <w:sz w:val="20"/>
              </w:rPr>
              <w:t> </w:t>
            </w:r>
            <w:r>
              <w:rPr>
                <w:sz w:val="20"/>
              </w:rPr>
              <w:t>disease</w:t>
            </w:r>
            <w:r>
              <w:rPr>
                <w:spacing w:val="-11"/>
                <w:sz w:val="20"/>
              </w:rPr>
              <w:t> </w:t>
            </w:r>
            <w:r>
              <w:rPr>
                <w:spacing w:val="-2"/>
                <w:sz w:val="20"/>
              </w:rPr>
              <w:t>virus</w:t>
            </w:r>
          </w:p>
        </w:tc>
      </w:tr>
    </w:tbl>
    <w:p>
      <w:pPr>
        <w:spacing w:after="0" w:line="210" w:lineRule="exact"/>
        <w:rPr>
          <w:sz w:val="20"/>
        </w:rPr>
        <w:sectPr>
          <w:pgSz w:w="11910" w:h="16850"/>
          <w:pgMar w:header="0" w:footer="688" w:top="1060" w:bottom="880" w:left="820" w:right="980"/>
        </w:sectPr>
      </w:pPr>
    </w:p>
    <w:p>
      <w:pPr>
        <w:pStyle w:val="Heading1"/>
      </w:pPr>
      <w:r>
        <w:rPr>
          <w:color w:val="001F5F"/>
          <w:spacing w:val="-2"/>
        </w:rPr>
        <w:t>Contents</w:t>
      </w:r>
    </w:p>
    <w:p>
      <w:pPr>
        <w:spacing w:after="0"/>
        <w:sectPr>
          <w:pgSz w:w="11910" w:h="16850"/>
          <w:pgMar w:header="0" w:footer="688" w:top="1060" w:bottom="1307" w:left="820" w:right="980"/>
        </w:sectPr>
      </w:pPr>
    </w:p>
    <w:sdt>
      <w:sdtPr>
        <w:docPartObj>
          <w:docPartGallery w:val="Table of Contents"/>
          <w:docPartUnique/>
        </w:docPartObj>
      </w:sdtPr>
      <w:sdtEndPr/>
      <w:sdtContent>
        <w:p>
          <w:pPr>
            <w:pStyle w:val="TOC2"/>
            <w:tabs>
              <w:tab w:pos="9943" w:val="right" w:leader="none"/>
            </w:tabs>
            <w:spacing w:before="600"/>
            <w:ind w:left="312" w:firstLine="0"/>
            <w:rPr>
              <w:b/>
            </w:rPr>
          </w:pPr>
          <w:r>
            <w:rPr/>
            <mc:AlternateContent>
              <mc:Choice Requires="wps">
                <w:drawing>
                  <wp:anchor distT="0" distB="0" distL="0" distR="0" allowOverlap="1" layoutInCell="1" locked="0" behindDoc="0" simplePos="0" relativeHeight="15732736">
                    <wp:simplePos x="0" y="0"/>
                    <wp:positionH relativeFrom="page">
                      <wp:posOffset>701040</wp:posOffset>
                    </wp:positionH>
                    <wp:positionV relativeFrom="paragraph">
                      <wp:posOffset>548791</wp:posOffset>
                    </wp:positionV>
                    <wp:extent cx="6158230"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55.200001pt,43.211952pt" to="540.100001pt,43.211952pt" stroked="true" strokeweight="1.44pt" strokecolor="#218591">
                    <v:stroke dashstyle="shortdot"/>
                    <w10:wrap type="none"/>
                  </v:line>
                </w:pict>
              </mc:Fallback>
            </mc:AlternateContent>
          </w:r>
          <w:hyperlink w:history="true" w:anchor="_TOC_250094">
            <w:r>
              <w:rPr>
                <w:color w:val="001F5F"/>
                <w:spacing w:val="-2"/>
              </w:rPr>
              <w:t>Acknowledgements</w:t>
            </w:r>
            <w:r>
              <w:rPr>
                <w:color w:val="001F5F"/>
              </w:rPr>
              <w:tab/>
            </w:r>
            <w:r>
              <w:rPr>
                <w:b/>
                <w:color w:val="001F5F"/>
                <w:spacing w:val="-10"/>
              </w:rPr>
              <w:t>1</w:t>
            </w:r>
          </w:hyperlink>
        </w:p>
        <w:p>
          <w:pPr>
            <w:pStyle w:val="TOC1"/>
            <w:tabs>
              <w:tab w:pos="9943" w:val="right" w:leader="none"/>
            </w:tabs>
            <w:ind w:left="312" w:firstLine="0"/>
          </w:pPr>
          <w:r>
            <w:rPr/>
            <mc:AlternateContent>
              <mc:Choice Requires="wps">
                <w:drawing>
                  <wp:anchor distT="0" distB="0" distL="0" distR="0" allowOverlap="1" layoutInCell="1" locked="0" behindDoc="0" simplePos="0" relativeHeight="15733248">
                    <wp:simplePos x="0" y="0"/>
                    <wp:positionH relativeFrom="page">
                      <wp:posOffset>701040</wp:posOffset>
                    </wp:positionH>
                    <wp:positionV relativeFrom="paragraph">
                      <wp:posOffset>238162</wp:posOffset>
                    </wp:positionV>
                    <wp:extent cx="6158230"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55.200001pt,18.75293pt" to="540.100001pt,18.75293pt" stroked="true" strokeweight="1.44pt" strokecolor="#218591">
                    <v:stroke dashstyle="shortdot"/>
                    <w10:wrap type="none"/>
                  </v:line>
                </w:pict>
              </mc:Fallback>
            </mc:AlternateContent>
          </w:r>
          <w:hyperlink w:history="true" w:anchor="_TOC_250093">
            <w:r>
              <w:rPr>
                <w:color w:val="001F5F"/>
              </w:rPr>
              <w:t>Executive</w:t>
            </w:r>
            <w:r>
              <w:rPr>
                <w:color w:val="001F5F"/>
                <w:spacing w:val="-12"/>
              </w:rPr>
              <w:t> </w:t>
            </w:r>
            <w:r>
              <w:rPr>
                <w:color w:val="001F5F"/>
                <w:spacing w:val="-2"/>
              </w:rPr>
              <w:t>Summary</w:t>
            </w:r>
            <w:r>
              <w:rPr>
                <w:color w:val="001F5F"/>
              </w:rPr>
              <w:tab/>
            </w:r>
            <w:r>
              <w:rPr>
                <w:color w:val="001F5F"/>
                <w:spacing w:val="-10"/>
              </w:rPr>
              <w:t>9</w:t>
            </w:r>
          </w:hyperlink>
        </w:p>
        <w:p>
          <w:pPr>
            <w:pStyle w:val="TOC2"/>
            <w:tabs>
              <w:tab w:pos="9943" w:val="right" w:leader="none"/>
            </w:tabs>
            <w:spacing w:before="209"/>
            <w:ind w:left="312" w:firstLine="0"/>
          </w:pPr>
          <w:hyperlink w:history="true" w:anchor="_TOC_250092">
            <w:r>
              <w:rPr/>
              <w:t>Key</w:t>
            </w:r>
            <w:r>
              <w:rPr>
                <w:spacing w:val="-5"/>
              </w:rPr>
              <w:t> </w:t>
            </w:r>
            <w:r>
              <w:rPr>
                <w:spacing w:val="-2"/>
              </w:rPr>
              <w:t>findings</w:t>
            </w:r>
            <w:r>
              <w:rPr/>
              <w:tab/>
            </w:r>
            <w:r>
              <w:rPr>
                <w:spacing w:val="-10"/>
              </w:rPr>
              <w:t>9</w:t>
            </w:r>
          </w:hyperlink>
        </w:p>
        <w:p>
          <w:pPr>
            <w:pStyle w:val="TOC3"/>
            <w:tabs>
              <w:tab w:pos="9943" w:val="right" w:leader="none"/>
            </w:tabs>
            <w:spacing w:before="60"/>
            <w:ind w:left="879" w:firstLine="0"/>
          </w:pPr>
          <w:hyperlink w:history="true" w:anchor="_TOC_250091">
            <w:r>
              <w:rPr/>
              <w:t>Efficacy</w:t>
            </w:r>
            <w:r>
              <w:rPr>
                <w:spacing w:val="-7"/>
              </w:rPr>
              <w:t> </w:t>
            </w:r>
            <w:r>
              <w:rPr/>
              <w:t>and</w:t>
            </w:r>
            <w:r>
              <w:rPr>
                <w:spacing w:val="-8"/>
              </w:rPr>
              <w:t> </w:t>
            </w:r>
            <w:r>
              <w:rPr/>
              <w:t>cost-effectiveness</w:t>
            </w:r>
            <w:r>
              <w:rPr>
                <w:spacing w:val="-7"/>
              </w:rPr>
              <w:t> </w:t>
            </w:r>
            <w:r>
              <w:rPr/>
              <w:t>of</w:t>
            </w:r>
            <w:r>
              <w:rPr>
                <w:spacing w:val="-7"/>
              </w:rPr>
              <w:t> </w:t>
            </w:r>
            <w:r>
              <w:rPr/>
              <w:t>1080</w:t>
            </w:r>
            <w:r>
              <w:rPr>
                <w:spacing w:val="-8"/>
              </w:rPr>
              <w:t> </w:t>
            </w:r>
            <w:r>
              <w:rPr/>
              <w:t>and</w:t>
            </w:r>
            <w:r>
              <w:rPr>
                <w:spacing w:val="-6"/>
              </w:rPr>
              <w:t> </w:t>
            </w:r>
            <w:r>
              <w:rPr/>
              <w:t>other</w:t>
            </w:r>
            <w:r>
              <w:rPr>
                <w:spacing w:val="-5"/>
              </w:rPr>
              <w:t> </w:t>
            </w:r>
            <w:r>
              <w:rPr/>
              <w:t>lethal</w:t>
            </w:r>
            <w:r>
              <w:rPr>
                <w:spacing w:val="-9"/>
              </w:rPr>
              <w:t> </w:t>
            </w:r>
            <w:r>
              <w:rPr>
                <w:spacing w:val="-2"/>
              </w:rPr>
              <w:t>methods</w:t>
            </w:r>
            <w:r>
              <w:rPr/>
              <w:tab/>
            </w:r>
            <w:r>
              <w:rPr>
                <w:spacing w:val="-10"/>
              </w:rPr>
              <w:t>9</w:t>
            </w:r>
          </w:hyperlink>
        </w:p>
        <w:p>
          <w:pPr>
            <w:pStyle w:val="TOC3"/>
            <w:tabs>
              <w:tab w:pos="9941" w:val="right" w:leader="none"/>
            </w:tabs>
            <w:ind w:left="879" w:firstLine="0"/>
          </w:pPr>
          <w:hyperlink w:history="true" w:anchor="_TOC_250090">
            <w:r>
              <w:rPr/>
              <w:t>Efficacy</w:t>
            </w:r>
            <w:r>
              <w:rPr>
                <w:spacing w:val="-11"/>
              </w:rPr>
              <w:t> </w:t>
            </w:r>
            <w:r>
              <w:rPr/>
              <w:t>and</w:t>
            </w:r>
            <w:r>
              <w:rPr>
                <w:spacing w:val="-12"/>
              </w:rPr>
              <w:t> </w:t>
            </w:r>
            <w:r>
              <w:rPr/>
              <w:t>cost-effectiveness</w:t>
            </w:r>
            <w:r>
              <w:rPr>
                <w:spacing w:val="-11"/>
              </w:rPr>
              <w:t> </w:t>
            </w:r>
            <w:r>
              <w:rPr/>
              <w:t>non-lethal</w:t>
            </w:r>
            <w:r>
              <w:rPr>
                <w:spacing w:val="-12"/>
              </w:rPr>
              <w:t> </w:t>
            </w:r>
            <w:r>
              <w:rPr>
                <w:spacing w:val="-2"/>
              </w:rPr>
              <w:t>methods</w:t>
            </w:r>
            <w:r>
              <w:rPr/>
              <w:tab/>
            </w:r>
            <w:r>
              <w:rPr>
                <w:spacing w:val="-5"/>
              </w:rPr>
              <w:t>10</w:t>
            </w:r>
          </w:hyperlink>
        </w:p>
        <w:p>
          <w:pPr>
            <w:pStyle w:val="TOC3"/>
            <w:tabs>
              <w:tab w:pos="9941" w:val="right" w:leader="none"/>
            </w:tabs>
            <w:spacing w:before="120"/>
            <w:ind w:left="879" w:firstLine="0"/>
          </w:pPr>
          <w:hyperlink w:history="true" w:anchor="_TOC_250089">
            <w:r>
              <w:rPr/>
              <w:t>Impact</w:t>
            </w:r>
            <w:r>
              <w:rPr>
                <w:spacing w:val="-6"/>
              </w:rPr>
              <w:t> </w:t>
            </w:r>
            <w:r>
              <w:rPr/>
              <w:t>on</w:t>
            </w:r>
            <w:r>
              <w:rPr>
                <w:spacing w:val="-8"/>
              </w:rPr>
              <w:t> </w:t>
            </w:r>
            <w:r>
              <w:rPr/>
              <w:t>non-target</w:t>
            </w:r>
            <w:r>
              <w:rPr>
                <w:spacing w:val="-7"/>
              </w:rPr>
              <w:t> </w:t>
            </w:r>
            <w:r>
              <w:rPr/>
              <w:t>species</w:t>
            </w:r>
            <w:r>
              <w:rPr>
                <w:spacing w:val="-6"/>
              </w:rPr>
              <w:t> </w:t>
            </w:r>
            <w:r>
              <w:rPr/>
              <w:t>of</w:t>
            </w:r>
            <w:r>
              <w:rPr>
                <w:spacing w:val="-8"/>
              </w:rPr>
              <w:t> </w:t>
            </w:r>
            <w:r>
              <w:rPr/>
              <w:t>lethal</w:t>
            </w:r>
            <w:r>
              <w:rPr>
                <w:spacing w:val="-8"/>
              </w:rPr>
              <w:t> </w:t>
            </w:r>
            <w:r>
              <w:rPr/>
              <w:t>control</w:t>
            </w:r>
            <w:r>
              <w:rPr>
                <w:spacing w:val="-6"/>
              </w:rPr>
              <w:t> </w:t>
            </w:r>
            <w:r>
              <w:rPr>
                <w:spacing w:val="-2"/>
              </w:rPr>
              <w:t>methods</w:t>
            </w:r>
            <w:r>
              <w:rPr/>
              <w:tab/>
            </w:r>
            <w:r>
              <w:rPr>
                <w:spacing w:val="-5"/>
              </w:rPr>
              <w:t>10</w:t>
            </w:r>
          </w:hyperlink>
        </w:p>
        <w:p>
          <w:pPr>
            <w:pStyle w:val="TOC3"/>
            <w:tabs>
              <w:tab w:pos="9941" w:val="right" w:leader="none"/>
            </w:tabs>
            <w:spacing w:before="120"/>
            <w:ind w:left="879" w:firstLine="0"/>
          </w:pPr>
          <w:hyperlink w:history="true" w:anchor="_TOC_250088">
            <w:r>
              <w:rPr/>
              <w:t>Social</w:t>
            </w:r>
            <w:r>
              <w:rPr>
                <w:spacing w:val="-9"/>
              </w:rPr>
              <w:t> </w:t>
            </w:r>
            <w:r>
              <w:rPr/>
              <w:t>and</w:t>
            </w:r>
            <w:r>
              <w:rPr>
                <w:spacing w:val="-8"/>
              </w:rPr>
              <w:t> </w:t>
            </w:r>
            <w:r>
              <w:rPr/>
              <w:t>cultural</w:t>
            </w:r>
            <w:r>
              <w:rPr>
                <w:spacing w:val="-9"/>
              </w:rPr>
              <w:t> </w:t>
            </w:r>
            <w:r>
              <w:rPr>
                <w:spacing w:val="-2"/>
              </w:rPr>
              <w:t>considerations</w:t>
            </w:r>
            <w:r>
              <w:rPr/>
              <w:tab/>
            </w:r>
            <w:r>
              <w:rPr>
                <w:spacing w:val="-5"/>
              </w:rPr>
              <w:t>11</w:t>
            </w:r>
          </w:hyperlink>
        </w:p>
        <w:p>
          <w:pPr>
            <w:pStyle w:val="TOC3"/>
            <w:tabs>
              <w:tab w:pos="9941" w:val="right" w:leader="none"/>
            </w:tabs>
            <w:ind w:left="879" w:firstLine="0"/>
          </w:pPr>
          <w:hyperlink w:history="true" w:anchor="_TOC_250087">
            <w:r>
              <w:rPr/>
              <w:t>Humaneness</w:t>
            </w:r>
            <w:r>
              <w:rPr>
                <w:spacing w:val="-10"/>
              </w:rPr>
              <w:t> </w:t>
            </w:r>
            <w:r>
              <w:rPr/>
              <w:t>and</w:t>
            </w:r>
            <w:r>
              <w:rPr>
                <w:spacing w:val="-9"/>
              </w:rPr>
              <w:t> </w:t>
            </w:r>
            <w:r>
              <w:rPr/>
              <w:t>animal</w:t>
            </w:r>
            <w:r>
              <w:rPr>
                <w:spacing w:val="-11"/>
              </w:rPr>
              <w:t> </w:t>
            </w:r>
            <w:r>
              <w:rPr/>
              <w:t>welfare</w:t>
            </w:r>
            <w:r>
              <w:rPr>
                <w:spacing w:val="-9"/>
              </w:rPr>
              <w:t> </w:t>
            </w:r>
            <w:r>
              <w:rPr>
                <w:spacing w:val="-2"/>
              </w:rPr>
              <w:t>issues</w:t>
            </w:r>
            <w:r>
              <w:rPr/>
              <w:tab/>
            </w:r>
            <w:r>
              <w:rPr>
                <w:spacing w:val="-5"/>
              </w:rPr>
              <w:t>11</w:t>
            </w:r>
          </w:hyperlink>
        </w:p>
        <w:p>
          <w:pPr>
            <w:pStyle w:val="TOC3"/>
            <w:tabs>
              <w:tab w:pos="9941" w:val="right" w:leader="none"/>
            </w:tabs>
            <w:spacing w:before="118"/>
            <w:ind w:left="879" w:firstLine="0"/>
          </w:pPr>
          <w:hyperlink w:history="true" w:anchor="_TOC_250086">
            <w:r>
              <w:rPr>
                <w:spacing w:val="-2"/>
              </w:rPr>
              <w:t>Environmental</w:t>
            </w:r>
            <w:r>
              <w:rPr>
                <w:spacing w:val="8"/>
              </w:rPr>
              <w:t> </w:t>
            </w:r>
            <w:r>
              <w:rPr>
                <w:spacing w:val="-2"/>
              </w:rPr>
              <w:t>impacts</w:t>
            </w:r>
            <w:r>
              <w:rPr/>
              <w:tab/>
            </w:r>
            <w:r>
              <w:rPr>
                <w:spacing w:val="-5"/>
              </w:rPr>
              <w:t>11</w:t>
            </w:r>
          </w:hyperlink>
        </w:p>
        <w:p>
          <w:pPr>
            <w:pStyle w:val="TOC1"/>
            <w:numPr>
              <w:ilvl w:val="0"/>
              <w:numId w:val="1"/>
            </w:numPr>
            <w:tabs>
              <w:tab w:pos="879" w:val="left" w:leader="none"/>
              <w:tab w:pos="9941" w:val="right" w:leader="none"/>
            </w:tabs>
            <w:spacing w:line="240" w:lineRule="auto" w:before="320" w:after="0"/>
            <w:ind w:left="879" w:right="0" w:hanging="567"/>
            <w:jc w:val="left"/>
          </w:pPr>
          <w:r>
            <w:rPr/>
            <mc:AlternateContent>
              <mc:Choice Requires="wps">
                <w:drawing>
                  <wp:anchor distT="0" distB="0" distL="0" distR="0" allowOverlap="1" layoutInCell="1" locked="0" behindDoc="0" simplePos="0" relativeHeight="15733760">
                    <wp:simplePos x="0" y="0"/>
                    <wp:positionH relativeFrom="page">
                      <wp:posOffset>701040</wp:posOffset>
                    </wp:positionH>
                    <wp:positionV relativeFrom="paragraph">
                      <wp:posOffset>372881</wp:posOffset>
                    </wp:positionV>
                    <wp:extent cx="6158230" cy="127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55.200001pt,29.360743pt" to="540.100001pt,29.360743pt" stroked="true" strokeweight="1.44pt" strokecolor="#218591">
                    <v:stroke dashstyle="shortdot"/>
                    <w10:wrap type="none"/>
                  </v:line>
                </w:pict>
              </mc:Fallback>
            </mc:AlternateContent>
          </w:r>
          <w:hyperlink w:history="true" w:anchor="_TOC_250085">
            <w:r>
              <w:rPr>
                <w:color w:val="001F5F"/>
                <w:spacing w:val="-2"/>
              </w:rPr>
              <w:t>Introduction</w:t>
            </w:r>
            <w:r>
              <w:rPr>
                <w:color w:val="001F5F"/>
              </w:rPr>
              <w:tab/>
            </w:r>
            <w:r>
              <w:rPr>
                <w:color w:val="001F5F"/>
                <w:spacing w:val="-5"/>
              </w:rPr>
              <w:t>13</w:t>
            </w:r>
          </w:hyperlink>
        </w:p>
        <w:p>
          <w:pPr>
            <w:pStyle w:val="TOC1"/>
            <w:numPr>
              <w:ilvl w:val="0"/>
              <w:numId w:val="1"/>
            </w:numPr>
            <w:tabs>
              <w:tab w:pos="879" w:val="left" w:leader="none"/>
              <w:tab w:pos="9941" w:val="right" w:leader="none"/>
            </w:tabs>
            <w:spacing w:line="240" w:lineRule="auto" w:before="73" w:after="0"/>
            <w:ind w:left="879" w:right="0" w:hanging="567"/>
            <w:jc w:val="left"/>
          </w:pPr>
          <w:r>
            <w:rPr/>
            <mc:AlternateContent>
              <mc:Choice Requires="wps">
                <w:drawing>
                  <wp:anchor distT="0" distB="0" distL="0" distR="0" allowOverlap="1" layoutInCell="1" locked="0" behindDoc="0" simplePos="0" relativeHeight="15734272">
                    <wp:simplePos x="0" y="0"/>
                    <wp:positionH relativeFrom="page">
                      <wp:posOffset>701040</wp:posOffset>
                    </wp:positionH>
                    <wp:positionV relativeFrom="paragraph">
                      <wp:posOffset>214143</wp:posOffset>
                    </wp:positionV>
                    <wp:extent cx="6158230"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55.200001pt,16.861719pt" to="540.100001pt,16.861719pt" stroked="true" strokeweight="1.44pt" strokecolor="#218591">
                    <v:stroke dashstyle="shortdot"/>
                    <w10:wrap type="none"/>
                  </v:line>
                </w:pict>
              </mc:Fallback>
            </mc:AlternateContent>
          </w:r>
          <w:hyperlink w:history="true" w:anchor="_TOC_250084">
            <w:r>
              <w:rPr>
                <w:color w:val="001F5F"/>
                <w:spacing w:val="-2"/>
              </w:rPr>
              <w:t>Objectives</w:t>
            </w:r>
            <w:r>
              <w:rPr>
                <w:color w:val="001F5F"/>
              </w:rPr>
              <w:tab/>
            </w:r>
            <w:r>
              <w:rPr>
                <w:color w:val="001F5F"/>
                <w:spacing w:val="-5"/>
              </w:rPr>
              <w:t>15</w:t>
            </w:r>
          </w:hyperlink>
        </w:p>
        <w:p>
          <w:pPr>
            <w:pStyle w:val="TOC1"/>
            <w:numPr>
              <w:ilvl w:val="0"/>
              <w:numId w:val="1"/>
            </w:numPr>
            <w:tabs>
              <w:tab w:pos="879" w:val="left" w:leader="none"/>
              <w:tab w:pos="9941" w:val="right" w:leader="none"/>
            </w:tabs>
            <w:spacing w:line="240" w:lineRule="auto" w:before="70" w:after="0"/>
            <w:ind w:left="879" w:right="0" w:hanging="567"/>
            <w:jc w:val="left"/>
          </w:pPr>
          <w:r>
            <w:rPr/>
            <mc:AlternateContent>
              <mc:Choice Requires="wps">
                <w:drawing>
                  <wp:anchor distT="0" distB="0" distL="0" distR="0" allowOverlap="1" layoutInCell="1" locked="0" behindDoc="0" simplePos="0" relativeHeight="15734784">
                    <wp:simplePos x="0" y="0"/>
                    <wp:positionH relativeFrom="page">
                      <wp:posOffset>701040</wp:posOffset>
                    </wp:positionH>
                    <wp:positionV relativeFrom="paragraph">
                      <wp:posOffset>238159</wp:posOffset>
                    </wp:positionV>
                    <wp:extent cx="615823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55.200001pt,18.752695pt" to="540.100001pt,18.752695pt" stroked="true" strokeweight="1.44pt" strokecolor="#218591">
                    <v:stroke dashstyle="shortdot"/>
                    <w10:wrap type="none"/>
                  </v:line>
                </w:pict>
              </mc:Fallback>
            </mc:AlternateContent>
          </w:r>
          <w:hyperlink w:history="true" w:anchor="_TOC_250083">
            <w:r>
              <w:rPr>
                <w:color w:val="001F5F"/>
              </w:rPr>
              <w:t>Scope</w:t>
            </w:r>
            <w:r>
              <w:rPr>
                <w:color w:val="001F5F"/>
                <w:spacing w:val="-5"/>
              </w:rPr>
              <w:t> </w:t>
            </w:r>
            <w:r>
              <w:rPr>
                <w:color w:val="001F5F"/>
              </w:rPr>
              <w:t>of</w:t>
            </w:r>
            <w:r>
              <w:rPr>
                <w:color w:val="001F5F"/>
                <w:spacing w:val="-4"/>
              </w:rPr>
              <w:t> </w:t>
            </w:r>
            <w:r>
              <w:rPr>
                <w:color w:val="001F5F"/>
              </w:rPr>
              <w:t>the</w:t>
            </w:r>
            <w:r>
              <w:rPr>
                <w:color w:val="001F5F"/>
                <w:spacing w:val="-3"/>
              </w:rPr>
              <w:t> </w:t>
            </w:r>
            <w:r>
              <w:rPr>
                <w:color w:val="001F5F"/>
                <w:spacing w:val="-2"/>
              </w:rPr>
              <w:t>review</w:t>
            </w:r>
            <w:r>
              <w:rPr>
                <w:color w:val="001F5F"/>
              </w:rPr>
              <w:tab/>
            </w:r>
            <w:r>
              <w:rPr>
                <w:color w:val="001F5F"/>
                <w:spacing w:val="-5"/>
              </w:rPr>
              <w:t>15</w:t>
            </w:r>
          </w:hyperlink>
        </w:p>
        <w:p>
          <w:pPr>
            <w:pStyle w:val="TOC2"/>
            <w:numPr>
              <w:ilvl w:val="1"/>
              <w:numId w:val="1"/>
            </w:numPr>
            <w:tabs>
              <w:tab w:pos="879" w:val="left" w:leader="none"/>
              <w:tab w:pos="9941" w:val="right" w:leader="none"/>
            </w:tabs>
            <w:spacing w:line="240" w:lineRule="auto" w:before="209" w:after="0"/>
            <w:ind w:left="879" w:right="0" w:hanging="567"/>
            <w:jc w:val="left"/>
          </w:pPr>
          <w:hyperlink w:history="true" w:anchor="_TOC_250082">
            <w:r>
              <w:rPr/>
              <w:t>In</w:t>
            </w:r>
            <w:r>
              <w:rPr>
                <w:spacing w:val="-5"/>
              </w:rPr>
              <w:t> </w:t>
            </w:r>
            <w:r>
              <w:rPr>
                <w:spacing w:val="-2"/>
              </w:rPr>
              <w:t>scope</w:t>
            </w:r>
            <w:r>
              <w:rPr/>
              <w:tab/>
            </w:r>
            <w:r>
              <w:rPr>
                <w:spacing w:val="-5"/>
              </w:rPr>
              <w:t>15</w:t>
            </w:r>
          </w:hyperlink>
        </w:p>
        <w:p>
          <w:pPr>
            <w:pStyle w:val="TOC2"/>
            <w:numPr>
              <w:ilvl w:val="1"/>
              <w:numId w:val="1"/>
            </w:numPr>
            <w:tabs>
              <w:tab w:pos="879" w:val="left" w:leader="none"/>
              <w:tab w:pos="9941" w:val="right" w:leader="none"/>
            </w:tabs>
            <w:spacing w:line="240" w:lineRule="auto" w:before="60" w:after="0"/>
            <w:ind w:left="879" w:right="0" w:hanging="567"/>
            <w:jc w:val="left"/>
          </w:pPr>
          <w:hyperlink w:history="true" w:anchor="_TOC_250081">
            <w:r>
              <w:rPr/>
              <w:t>Out</w:t>
            </w:r>
            <w:r>
              <w:rPr>
                <w:spacing w:val="-4"/>
              </w:rPr>
              <w:t> </w:t>
            </w:r>
            <w:r>
              <w:rPr/>
              <w:t>of</w:t>
            </w:r>
            <w:r>
              <w:rPr>
                <w:spacing w:val="-3"/>
              </w:rPr>
              <w:t> </w:t>
            </w:r>
            <w:r>
              <w:rPr>
                <w:spacing w:val="-2"/>
              </w:rPr>
              <w:t>scope</w:t>
            </w:r>
            <w:r>
              <w:rPr/>
              <w:tab/>
            </w:r>
            <w:r>
              <w:rPr>
                <w:spacing w:val="-5"/>
              </w:rPr>
              <w:t>15</w:t>
            </w:r>
          </w:hyperlink>
        </w:p>
        <w:p>
          <w:pPr>
            <w:pStyle w:val="TOC1"/>
            <w:numPr>
              <w:ilvl w:val="0"/>
              <w:numId w:val="1"/>
            </w:numPr>
            <w:tabs>
              <w:tab w:pos="879" w:val="left" w:leader="none"/>
              <w:tab w:pos="9941" w:val="right" w:leader="none"/>
            </w:tabs>
            <w:spacing w:line="240" w:lineRule="auto" w:before="320" w:after="0"/>
            <w:ind w:left="879" w:right="0" w:hanging="567"/>
            <w:jc w:val="left"/>
          </w:pPr>
          <w:r>
            <w:rPr/>
            <mc:AlternateContent>
              <mc:Choice Requires="wps">
                <w:drawing>
                  <wp:anchor distT="0" distB="0" distL="0" distR="0" allowOverlap="1" layoutInCell="1" locked="0" behindDoc="0" simplePos="0" relativeHeight="15735296">
                    <wp:simplePos x="0" y="0"/>
                    <wp:positionH relativeFrom="page">
                      <wp:posOffset>701040</wp:posOffset>
                    </wp:positionH>
                    <wp:positionV relativeFrom="paragraph">
                      <wp:posOffset>395549</wp:posOffset>
                    </wp:positionV>
                    <wp:extent cx="6158230"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55.200001pt,31.145624pt" to="540.100001pt,31.145624pt" stroked="true" strokeweight="1.44pt" strokecolor="#218591">
                    <v:stroke dashstyle="shortdot"/>
                    <w10:wrap type="none"/>
                  </v:line>
                </w:pict>
              </mc:Fallback>
            </mc:AlternateContent>
          </w:r>
          <w:hyperlink w:history="true" w:anchor="_TOC_250080">
            <w:r>
              <w:rPr>
                <w:color w:val="001F5F"/>
                <w:spacing w:val="-2"/>
              </w:rPr>
              <w:t>Methods</w:t>
            </w:r>
            <w:r>
              <w:rPr>
                <w:color w:val="001F5F"/>
              </w:rPr>
              <w:tab/>
            </w:r>
            <w:r>
              <w:rPr>
                <w:color w:val="001F5F"/>
                <w:spacing w:val="-5"/>
              </w:rPr>
              <w:t>16</w:t>
            </w:r>
          </w:hyperlink>
        </w:p>
        <w:p>
          <w:pPr>
            <w:pStyle w:val="TOC2"/>
            <w:numPr>
              <w:ilvl w:val="1"/>
              <w:numId w:val="1"/>
            </w:numPr>
            <w:tabs>
              <w:tab w:pos="879" w:val="left" w:leader="none"/>
              <w:tab w:pos="9941" w:val="right" w:leader="none"/>
            </w:tabs>
            <w:spacing w:line="240" w:lineRule="auto" w:before="209" w:after="0"/>
            <w:ind w:left="879" w:right="0" w:hanging="567"/>
            <w:jc w:val="left"/>
          </w:pPr>
          <w:hyperlink w:history="true" w:anchor="_TOC_250079">
            <w:r>
              <w:rPr>
                <w:spacing w:val="-2"/>
              </w:rPr>
              <w:t>Literature</w:t>
            </w:r>
            <w:r>
              <w:rPr>
                <w:spacing w:val="3"/>
              </w:rPr>
              <w:t> </w:t>
            </w:r>
            <w:r>
              <w:rPr>
                <w:spacing w:val="-2"/>
              </w:rPr>
              <w:t>search</w:t>
            </w:r>
            <w:r>
              <w:rPr/>
              <w:tab/>
            </w:r>
            <w:r>
              <w:rPr>
                <w:spacing w:val="-5"/>
              </w:rPr>
              <w:t>16</w:t>
            </w:r>
          </w:hyperlink>
        </w:p>
        <w:p>
          <w:pPr>
            <w:pStyle w:val="TOC3"/>
            <w:numPr>
              <w:ilvl w:val="2"/>
              <w:numId w:val="1"/>
            </w:numPr>
            <w:tabs>
              <w:tab w:pos="1589" w:val="left" w:leader="none"/>
              <w:tab w:pos="9941" w:val="right" w:leader="none"/>
            </w:tabs>
            <w:spacing w:line="240" w:lineRule="auto" w:before="60" w:after="0"/>
            <w:ind w:left="1589" w:right="0" w:hanging="710"/>
            <w:jc w:val="left"/>
          </w:pPr>
          <w:hyperlink w:history="true" w:anchor="_TOC_250078">
            <w:r>
              <w:rPr/>
              <w:t>Selection</w:t>
            </w:r>
            <w:r>
              <w:rPr>
                <w:spacing w:val="-12"/>
              </w:rPr>
              <w:t> </w:t>
            </w:r>
            <w:r>
              <w:rPr/>
              <w:t>and</w:t>
            </w:r>
            <w:r>
              <w:rPr>
                <w:spacing w:val="-11"/>
              </w:rPr>
              <w:t> </w:t>
            </w:r>
            <w:r>
              <w:rPr/>
              <w:t>eligibility</w:t>
            </w:r>
            <w:r>
              <w:rPr>
                <w:spacing w:val="-11"/>
              </w:rPr>
              <w:t> </w:t>
            </w:r>
            <w:r>
              <w:rPr>
                <w:spacing w:val="-2"/>
              </w:rPr>
              <w:t>criteria</w:t>
            </w:r>
            <w:r>
              <w:rPr/>
              <w:tab/>
            </w:r>
            <w:r>
              <w:rPr>
                <w:spacing w:val="-5"/>
              </w:rPr>
              <w:t>16</w:t>
            </w:r>
          </w:hyperlink>
        </w:p>
        <w:p>
          <w:pPr>
            <w:pStyle w:val="TOC2"/>
            <w:numPr>
              <w:ilvl w:val="1"/>
              <w:numId w:val="1"/>
            </w:numPr>
            <w:tabs>
              <w:tab w:pos="879" w:val="left" w:leader="none"/>
              <w:tab w:pos="9941" w:val="right" w:leader="none"/>
            </w:tabs>
            <w:spacing w:line="240" w:lineRule="auto" w:before="121" w:after="0"/>
            <w:ind w:left="879" w:right="0" w:hanging="567"/>
            <w:jc w:val="left"/>
          </w:pPr>
          <w:hyperlink w:history="true" w:anchor="_TOC_250077">
            <w:r>
              <w:rPr/>
              <w:t>Cost-effectiveness</w:t>
            </w:r>
            <w:r>
              <w:rPr>
                <w:spacing w:val="-10"/>
              </w:rPr>
              <w:t> </w:t>
            </w:r>
            <w:r>
              <w:rPr/>
              <w:t>of</w:t>
            </w:r>
            <w:r>
              <w:rPr>
                <w:spacing w:val="-8"/>
              </w:rPr>
              <w:t> </w:t>
            </w:r>
            <w:r>
              <w:rPr/>
              <w:t>lethal</w:t>
            </w:r>
            <w:r>
              <w:rPr>
                <w:spacing w:val="-9"/>
              </w:rPr>
              <w:t> </w:t>
            </w:r>
            <w:r>
              <w:rPr>
                <w:spacing w:val="-2"/>
              </w:rPr>
              <w:t>control</w:t>
            </w:r>
            <w:r>
              <w:rPr/>
              <w:tab/>
            </w:r>
            <w:r>
              <w:rPr>
                <w:spacing w:val="-5"/>
              </w:rPr>
              <w:t>17</w:t>
            </w:r>
          </w:hyperlink>
        </w:p>
        <w:p>
          <w:pPr>
            <w:pStyle w:val="TOC1"/>
            <w:numPr>
              <w:ilvl w:val="0"/>
              <w:numId w:val="1"/>
            </w:numPr>
            <w:tabs>
              <w:tab w:pos="879" w:val="left" w:leader="none"/>
              <w:tab w:pos="9941" w:val="right" w:leader="none"/>
            </w:tabs>
            <w:spacing w:line="240" w:lineRule="auto" w:before="320" w:after="0"/>
            <w:ind w:left="879" w:right="0" w:hanging="567"/>
            <w:jc w:val="left"/>
          </w:pPr>
          <w:r>
            <w:rPr/>
            <mc:AlternateContent>
              <mc:Choice Requires="wps">
                <w:drawing>
                  <wp:anchor distT="0" distB="0" distL="0" distR="0" allowOverlap="1" layoutInCell="1" locked="0" behindDoc="0" simplePos="0" relativeHeight="15735808">
                    <wp:simplePos x="0" y="0"/>
                    <wp:positionH relativeFrom="page">
                      <wp:posOffset>701040</wp:posOffset>
                    </wp:positionH>
                    <wp:positionV relativeFrom="paragraph">
                      <wp:posOffset>371215</wp:posOffset>
                    </wp:positionV>
                    <wp:extent cx="6158230" cy="127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808" from="55.200001pt,29.22953pt" to="540.100001pt,29.22953pt" stroked="true" strokeweight="1.44pt" strokecolor="#218591">
                    <v:stroke dashstyle="shortdot"/>
                    <w10:wrap type="none"/>
                  </v:line>
                </w:pict>
              </mc:Fallback>
            </mc:AlternateContent>
          </w:r>
          <w:hyperlink w:history="true" w:anchor="_TOC_250076">
            <w:r>
              <w:rPr>
                <w:color w:val="001F5F"/>
              </w:rPr>
              <w:t>Summary</w:t>
            </w:r>
            <w:r>
              <w:rPr>
                <w:color w:val="001F5F"/>
                <w:spacing w:val="-10"/>
              </w:rPr>
              <w:t> </w:t>
            </w:r>
            <w:r>
              <w:rPr>
                <w:color w:val="001F5F"/>
              </w:rPr>
              <w:t>of</w:t>
            </w:r>
            <w:r>
              <w:rPr>
                <w:color w:val="001F5F"/>
                <w:spacing w:val="-8"/>
              </w:rPr>
              <w:t> </w:t>
            </w:r>
            <w:r>
              <w:rPr>
                <w:color w:val="001F5F"/>
              </w:rPr>
              <w:t>results</w:t>
            </w:r>
            <w:r>
              <w:rPr>
                <w:color w:val="001F5F"/>
                <w:spacing w:val="-9"/>
              </w:rPr>
              <w:t> </w:t>
            </w:r>
            <w:r>
              <w:rPr>
                <w:color w:val="001F5F"/>
              </w:rPr>
              <w:t>from</w:t>
            </w:r>
            <w:r>
              <w:rPr>
                <w:color w:val="001F5F"/>
                <w:spacing w:val="-5"/>
              </w:rPr>
              <w:t> </w:t>
            </w:r>
            <w:r>
              <w:rPr>
                <w:color w:val="001F5F"/>
              </w:rPr>
              <w:t>literature</w:t>
            </w:r>
            <w:r>
              <w:rPr>
                <w:color w:val="001F5F"/>
                <w:spacing w:val="-9"/>
              </w:rPr>
              <w:t> </w:t>
            </w:r>
            <w:r>
              <w:rPr>
                <w:color w:val="001F5F"/>
                <w:spacing w:val="-2"/>
              </w:rPr>
              <w:t>searches</w:t>
            </w:r>
            <w:r>
              <w:rPr>
                <w:color w:val="001F5F"/>
              </w:rPr>
              <w:tab/>
            </w:r>
            <w:r>
              <w:rPr>
                <w:color w:val="001F5F"/>
                <w:spacing w:val="-5"/>
              </w:rPr>
              <w:t>19</w:t>
            </w:r>
          </w:hyperlink>
        </w:p>
        <w:p>
          <w:pPr>
            <w:pStyle w:val="TOC1"/>
            <w:numPr>
              <w:ilvl w:val="0"/>
              <w:numId w:val="1"/>
            </w:numPr>
            <w:tabs>
              <w:tab w:pos="879" w:val="left" w:leader="none"/>
              <w:tab w:pos="9941" w:val="right" w:leader="none"/>
            </w:tabs>
            <w:spacing w:line="240" w:lineRule="auto" w:before="70" w:after="0"/>
            <w:ind w:left="879" w:right="0" w:hanging="567"/>
            <w:jc w:val="left"/>
          </w:pPr>
          <w:r>
            <w:rPr/>
            <mc:AlternateContent>
              <mc:Choice Requires="wps">
                <w:drawing>
                  <wp:anchor distT="0" distB="0" distL="0" distR="0" allowOverlap="1" layoutInCell="1" locked="0" behindDoc="0" simplePos="0" relativeHeight="15736320">
                    <wp:simplePos x="0" y="0"/>
                    <wp:positionH relativeFrom="page">
                      <wp:posOffset>701040</wp:posOffset>
                    </wp:positionH>
                    <wp:positionV relativeFrom="paragraph">
                      <wp:posOffset>238385</wp:posOffset>
                    </wp:positionV>
                    <wp:extent cx="6158230"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55.200001pt,18.770508pt" to="540.100001pt,18.770508pt" stroked="true" strokeweight="1.44pt" strokecolor="#218591">
                    <v:stroke dashstyle="shortdot"/>
                    <w10:wrap type="none"/>
                  </v:line>
                </w:pict>
              </mc:Fallback>
            </mc:AlternateContent>
          </w:r>
          <w:hyperlink w:history="true" w:anchor="_TOC_250075">
            <w:r>
              <w:rPr>
                <w:color w:val="001F5F"/>
              </w:rPr>
              <w:t>A</w:t>
            </w:r>
            <w:r>
              <w:rPr>
                <w:color w:val="001F5F"/>
                <w:spacing w:val="-6"/>
              </w:rPr>
              <w:t> </w:t>
            </w:r>
            <w:r>
              <w:rPr>
                <w:color w:val="001F5F"/>
              </w:rPr>
              <w:t>brief</w:t>
            </w:r>
            <w:r>
              <w:rPr>
                <w:color w:val="001F5F"/>
                <w:spacing w:val="-5"/>
              </w:rPr>
              <w:t> </w:t>
            </w:r>
            <w:r>
              <w:rPr>
                <w:color w:val="001F5F"/>
              </w:rPr>
              <w:t>description</w:t>
            </w:r>
            <w:r>
              <w:rPr>
                <w:color w:val="001F5F"/>
                <w:spacing w:val="-4"/>
              </w:rPr>
              <w:t> </w:t>
            </w:r>
            <w:r>
              <w:rPr>
                <w:color w:val="001F5F"/>
              </w:rPr>
              <w:t>of</w:t>
            </w:r>
            <w:r>
              <w:rPr>
                <w:color w:val="001F5F"/>
                <w:spacing w:val="-4"/>
              </w:rPr>
              <w:t> </w:t>
            </w:r>
            <w:r>
              <w:rPr>
                <w:color w:val="001F5F"/>
              </w:rPr>
              <w:t>the</w:t>
            </w:r>
            <w:r>
              <w:rPr>
                <w:color w:val="001F5F"/>
                <w:spacing w:val="-5"/>
              </w:rPr>
              <w:t> </w:t>
            </w:r>
            <w:r>
              <w:rPr>
                <w:color w:val="001F5F"/>
              </w:rPr>
              <w:t>pest</w:t>
            </w:r>
            <w:r>
              <w:rPr>
                <w:color w:val="001F5F"/>
                <w:spacing w:val="-5"/>
              </w:rPr>
              <w:t> </w:t>
            </w:r>
            <w:r>
              <w:rPr>
                <w:color w:val="001F5F"/>
                <w:spacing w:val="-2"/>
              </w:rPr>
              <w:t>species</w:t>
            </w:r>
            <w:r>
              <w:rPr>
                <w:color w:val="001F5F"/>
              </w:rPr>
              <w:tab/>
            </w:r>
            <w:r>
              <w:rPr>
                <w:color w:val="001F5F"/>
                <w:spacing w:val="-5"/>
              </w:rPr>
              <w:t>21</w:t>
            </w:r>
          </w:hyperlink>
        </w:p>
        <w:p>
          <w:pPr>
            <w:pStyle w:val="TOC2"/>
            <w:numPr>
              <w:ilvl w:val="1"/>
              <w:numId w:val="1"/>
            </w:numPr>
            <w:tabs>
              <w:tab w:pos="879" w:val="left" w:leader="none"/>
              <w:tab w:pos="9941" w:val="right" w:leader="none"/>
            </w:tabs>
            <w:spacing w:line="240" w:lineRule="auto" w:before="209" w:after="0"/>
            <w:ind w:left="879" w:right="0" w:hanging="567"/>
            <w:jc w:val="left"/>
          </w:pPr>
          <w:hyperlink w:history="true" w:anchor="_TOC_250074">
            <w:r>
              <w:rPr/>
              <w:t>European</w:t>
            </w:r>
            <w:r>
              <w:rPr>
                <w:spacing w:val="-13"/>
              </w:rPr>
              <w:t> </w:t>
            </w:r>
            <w:r>
              <w:rPr>
                <w:spacing w:val="-2"/>
              </w:rPr>
              <w:t>Rabbits</w:t>
            </w:r>
            <w:r>
              <w:rPr/>
              <w:tab/>
            </w:r>
            <w:r>
              <w:rPr>
                <w:spacing w:val="-5"/>
              </w:rPr>
              <w:t>21</w:t>
            </w:r>
          </w:hyperlink>
        </w:p>
        <w:p>
          <w:pPr>
            <w:pStyle w:val="TOC2"/>
            <w:numPr>
              <w:ilvl w:val="1"/>
              <w:numId w:val="1"/>
            </w:numPr>
            <w:tabs>
              <w:tab w:pos="879" w:val="left" w:leader="none"/>
              <w:tab w:pos="9941" w:val="right" w:leader="none"/>
            </w:tabs>
            <w:spacing w:line="240" w:lineRule="auto" w:before="61" w:after="0"/>
            <w:ind w:left="879" w:right="0" w:hanging="567"/>
            <w:jc w:val="left"/>
          </w:pPr>
          <w:hyperlink w:history="true" w:anchor="_TOC_250073">
            <w:r>
              <w:rPr/>
              <w:t>Feral</w:t>
            </w:r>
            <w:r>
              <w:rPr>
                <w:spacing w:val="-8"/>
              </w:rPr>
              <w:t> </w:t>
            </w:r>
            <w:r>
              <w:rPr>
                <w:spacing w:val="-4"/>
              </w:rPr>
              <w:t>Pigs</w:t>
            </w:r>
            <w:r>
              <w:rPr/>
              <w:tab/>
            </w:r>
            <w:r>
              <w:rPr>
                <w:spacing w:val="-5"/>
              </w:rPr>
              <w:t>21</w:t>
            </w:r>
          </w:hyperlink>
        </w:p>
        <w:p>
          <w:pPr>
            <w:pStyle w:val="TOC2"/>
            <w:numPr>
              <w:ilvl w:val="1"/>
              <w:numId w:val="1"/>
            </w:numPr>
            <w:tabs>
              <w:tab w:pos="879" w:val="left" w:leader="none"/>
              <w:tab w:pos="9941" w:val="right" w:leader="none"/>
            </w:tabs>
            <w:spacing w:line="240" w:lineRule="auto" w:before="60" w:after="0"/>
            <w:ind w:left="879" w:right="0" w:hanging="567"/>
            <w:jc w:val="left"/>
          </w:pPr>
          <w:hyperlink w:history="true" w:anchor="_TOC_250072">
            <w:r>
              <w:rPr/>
              <w:t>Red</w:t>
            </w:r>
            <w:r>
              <w:rPr>
                <w:spacing w:val="-8"/>
              </w:rPr>
              <w:t> </w:t>
            </w:r>
            <w:r>
              <w:rPr>
                <w:spacing w:val="-4"/>
              </w:rPr>
              <w:t>Foxes</w:t>
            </w:r>
            <w:r>
              <w:rPr/>
              <w:tab/>
            </w:r>
            <w:r>
              <w:rPr>
                <w:spacing w:val="-5"/>
              </w:rPr>
              <w:t>22</w:t>
            </w:r>
          </w:hyperlink>
        </w:p>
        <w:p>
          <w:pPr>
            <w:pStyle w:val="TOC2"/>
            <w:numPr>
              <w:ilvl w:val="1"/>
              <w:numId w:val="1"/>
            </w:numPr>
            <w:tabs>
              <w:tab w:pos="879" w:val="left" w:leader="none"/>
              <w:tab w:pos="9941" w:val="right" w:leader="none"/>
            </w:tabs>
            <w:spacing w:line="240" w:lineRule="auto" w:before="60" w:after="0"/>
            <w:ind w:left="879" w:right="0" w:hanging="567"/>
            <w:jc w:val="left"/>
          </w:pPr>
          <w:hyperlink w:history="true" w:anchor="_TOC_250071">
            <w:r>
              <w:rPr/>
              <w:t>Dingoes</w:t>
            </w:r>
            <w:r>
              <w:rPr>
                <w:spacing w:val="-7"/>
              </w:rPr>
              <w:t> </w:t>
            </w:r>
            <w:r>
              <w:rPr/>
              <w:t>and</w:t>
            </w:r>
            <w:r>
              <w:rPr>
                <w:spacing w:val="-7"/>
              </w:rPr>
              <w:t> </w:t>
            </w:r>
            <w:r>
              <w:rPr/>
              <w:t>Wild</w:t>
            </w:r>
            <w:r>
              <w:rPr>
                <w:spacing w:val="-6"/>
              </w:rPr>
              <w:t> </w:t>
            </w:r>
            <w:r>
              <w:rPr>
                <w:spacing w:val="-4"/>
              </w:rPr>
              <w:t>Dogs</w:t>
            </w:r>
            <w:r>
              <w:rPr/>
              <w:tab/>
            </w:r>
            <w:r>
              <w:rPr>
                <w:spacing w:val="-5"/>
              </w:rPr>
              <w:t>23</w:t>
            </w:r>
          </w:hyperlink>
        </w:p>
        <w:p>
          <w:pPr>
            <w:pStyle w:val="TOC1"/>
            <w:numPr>
              <w:ilvl w:val="0"/>
              <w:numId w:val="1"/>
            </w:numPr>
            <w:tabs>
              <w:tab w:pos="879" w:val="left" w:leader="none"/>
              <w:tab w:pos="9941" w:val="right" w:leader="none"/>
            </w:tabs>
            <w:spacing w:line="240" w:lineRule="auto" w:before="320" w:after="0"/>
            <w:ind w:left="879" w:right="0" w:hanging="567"/>
            <w:jc w:val="left"/>
          </w:pPr>
          <w:r>
            <w:rPr/>
            <mc:AlternateContent>
              <mc:Choice Requires="wps">
                <w:drawing>
                  <wp:anchor distT="0" distB="0" distL="0" distR="0" allowOverlap="1" layoutInCell="1" locked="0" behindDoc="0" simplePos="0" relativeHeight="15736832">
                    <wp:simplePos x="0" y="0"/>
                    <wp:positionH relativeFrom="page">
                      <wp:posOffset>701040</wp:posOffset>
                    </wp:positionH>
                    <wp:positionV relativeFrom="paragraph">
                      <wp:posOffset>371289</wp:posOffset>
                    </wp:positionV>
                    <wp:extent cx="6158230" cy="127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832" from="55.200001pt,29.23539pt" to="540.100001pt,29.23539pt" stroked="true" strokeweight="1.44pt" strokecolor="#218591">
                    <v:stroke dashstyle="shortdot"/>
                    <w10:wrap type="none"/>
                  </v:line>
                </w:pict>
              </mc:Fallback>
            </mc:AlternateContent>
          </w:r>
          <w:hyperlink w:history="true" w:anchor="_TOC_250070">
            <w:r>
              <w:rPr>
                <w:color w:val="001F5F"/>
              </w:rPr>
              <w:t>Effective</w:t>
            </w:r>
            <w:r>
              <w:rPr>
                <w:color w:val="001F5F"/>
                <w:spacing w:val="-7"/>
              </w:rPr>
              <w:t> </w:t>
            </w:r>
            <w:r>
              <w:rPr>
                <w:color w:val="001F5F"/>
              </w:rPr>
              <w:t>pest</w:t>
            </w:r>
            <w:r>
              <w:rPr>
                <w:color w:val="001F5F"/>
                <w:spacing w:val="-7"/>
              </w:rPr>
              <w:t> </w:t>
            </w:r>
            <w:r>
              <w:rPr>
                <w:color w:val="001F5F"/>
              </w:rPr>
              <w:t>animal</w:t>
            </w:r>
            <w:r>
              <w:rPr>
                <w:color w:val="001F5F"/>
                <w:spacing w:val="-6"/>
              </w:rPr>
              <w:t> </w:t>
            </w:r>
            <w:r>
              <w:rPr>
                <w:color w:val="001F5F"/>
              </w:rPr>
              <w:t>control</w:t>
            </w:r>
            <w:r>
              <w:rPr>
                <w:color w:val="001F5F"/>
                <w:spacing w:val="-8"/>
              </w:rPr>
              <w:t> </w:t>
            </w:r>
            <w:r>
              <w:rPr>
                <w:color w:val="001F5F"/>
              </w:rPr>
              <w:t>and</w:t>
            </w:r>
            <w:r>
              <w:rPr>
                <w:color w:val="001F5F"/>
                <w:spacing w:val="-8"/>
              </w:rPr>
              <w:t> </w:t>
            </w:r>
            <w:r>
              <w:rPr>
                <w:color w:val="001F5F"/>
              </w:rPr>
              <w:t>population</w:t>
            </w:r>
            <w:r>
              <w:rPr>
                <w:color w:val="001F5F"/>
                <w:spacing w:val="-7"/>
              </w:rPr>
              <w:t> </w:t>
            </w:r>
            <w:r>
              <w:rPr>
                <w:color w:val="001F5F"/>
                <w:spacing w:val="-2"/>
              </w:rPr>
              <w:t>ecology</w:t>
            </w:r>
            <w:r>
              <w:rPr>
                <w:color w:val="001F5F"/>
              </w:rPr>
              <w:tab/>
            </w:r>
            <w:r>
              <w:rPr>
                <w:color w:val="001F5F"/>
                <w:spacing w:val="-5"/>
              </w:rPr>
              <w:t>24</w:t>
            </w:r>
          </w:hyperlink>
        </w:p>
        <w:p>
          <w:pPr>
            <w:pStyle w:val="TOC1"/>
            <w:numPr>
              <w:ilvl w:val="0"/>
              <w:numId w:val="1"/>
            </w:numPr>
            <w:tabs>
              <w:tab w:pos="879" w:val="left" w:leader="none"/>
              <w:tab w:pos="9941" w:val="right" w:leader="none"/>
            </w:tabs>
            <w:spacing w:line="240" w:lineRule="auto" w:before="70" w:after="0"/>
            <w:ind w:left="879" w:right="0" w:hanging="567"/>
            <w:jc w:val="left"/>
          </w:pPr>
          <w:r>
            <w:rPr/>
            <mc:AlternateContent>
              <mc:Choice Requires="wps">
                <w:drawing>
                  <wp:anchor distT="0" distB="0" distL="0" distR="0" allowOverlap="1" layoutInCell="1" locked="0" behindDoc="0" simplePos="0" relativeHeight="15737344">
                    <wp:simplePos x="0" y="0"/>
                    <wp:positionH relativeFrom="page">
                      <wp:posOffset>701040</wp:posOffset>
                    </wp:positionH>
                    <wp:positionV relativeFrom="paragraph">
                      <wp:posOffset>238459</wp:posOffset>
                    </wp:positionV>
                    <wp:extent cx="6158230"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344" from="55.200001pt,18.776367pt" to="540.100001pt,18.776367pt" stroked="true" strokeweight="1.44pt" strokecolor="#218591">
                    <v:stroke dashstyle="shortdot"/>
                    <w10:wrap type="none"/>
                  </v:line>
                </w:pict>
              </mc:Fallback>
            </mc:AlternateContent>
          </w:r>
          <w:hyperlink w:history="true" w:anchor="_TOC_250069">
            <w:r>
              <w:rPr>
                <w:color w:val="001F5F"/>
              </w:rPr>
              <w:t>Lethal</w:t>
            </w:r>
            <w:r>
              <w:rPr>
                <w:color w:val="001F5F"/>
                <w:spacing w:val="-7"/>
              </w:rPr>
              <w:t> </w:t>
            </w:r>
            <w:r>
              <w:rPr>
                <w:color w:val="001F5F"/>
              </w:rPr>
              <w:t>methods</w:t>
            </w:r>
            <w:r>
              <w:rPr>
                <w:color w:val="001F5F"/>
                <w:spacing w:val="-7"/>
              </w:rPr>
              <w:t> </w:t>
            </w:r>
            <w:r>
              <w:rPr>
                <w:color w:val="001F5F"/>
              </w:rPr>
              <w:t>for</w:t>
            </w:r>
            <w:r>
              <w:rPr>
                <w:color w:val="001F5F"/>
                <w:spacing w:val="-7"/>
              </w:rPr>
              <w:t> </w:t>
            </w:r>
            <w:r>
              <w:rPr>
                <w:color w:val="001F5F"/>
              </w:rPr>
              <w:t>managing</w:t>
            </w:r>
            <w:r>
              <w:rPr>
                <w:color w:val="001F5F"/>
                <w:spacing w:val="-6"/>
              </w:rPr>
              <w:t> </w:t>
            </w:r>
            <w:r>
              <w:rPr>
                <w:color w:val="001F5F"/>
                <w:spacing w:val="-2"/>
              </w:rPr>
              <w:t>rabbits</w:t>
            </w:r>
            <w:r>
              <w:rPr>
                <w:color w:val="001F5F"/>
              </w:rPr>
              <w:tab/>
            </w:r>
            <w:r>
              <w:rPr>
                <w:color w:val="001F5F"/>
                <w:spacing w:val="-5"/>
              </w:rPr>
              <w:t>25</w:t>
            </w:r>
          </w:hyperlink>
        </w:p>
        <w:p>
          <w:pPr>
            <w:pStyle w:val="TOC2"/>
            <w:tabs>
              <w:tab w:pos="879" w:val="left" w:leader="none"/>
              <w:tab w:pos="9720" w:val="left" w:leader="none"/>
            </w:tabs>
            <w:spacing w:before="209"/>
            <w:ind w:left="312" w:firstLine="0"/>
          </w:pPr>
          <w:hyperlink w:history="true" w:anchor="_TOC_250068">
            <w:r>
              <w:rPr>
                <w:spacing w:val="-5"/>
              </w:rPr>
              <w:t>8.1</w:t>
            </w:r>
            <w:r>
              <w:rPr/>
              <w:tab/>
            </w:r>
            <w:r>
              <w:rPr>
                <w:spacing w:val="-4"/>
              </w:rPr>
              <w:t>1080</w:t>
            </w:r>
            <w:r>
              <w:rPr/>
              <w:tab/>
            </w:r>
            <w:r>
              <w:rPr>
                <w:spacing w:val="-5"/>
              </w:rPr>
              <w:t>25</w:t>
            </w:r>
          </w:hyperlink>
        </w:p>
        <w:p>
          <w:pPr>
            <w:pStyle w:val="TOC2"/>
            <w:numPr>
              <w:ilvl w:val="1"/>
              <w:numId w:val="2"/>
            </w:numPr>
            <w:tabs>
              <w:tab w:pos="879" w:val="left" w:leader="none"/>
              <w:tab w:pos="9941" w:val="right" w:leader="none"/>
            </w:tabs>
            <w:spacing w:line="240" w:lineRule="auto" w:before="61" w:after="0"/>
            <w:ind w:left="879" w:right="0" w:hanging="567"/>
            <w:jc w:val="left"/>
          </w:pPr>
          <w:hyperlink w:history="true" w:anchor="_TOC_250067">
            <w:r>
              <w:rPr>
                <w:spacing w:val="-2"/>
              </w:rPr>
              <w:t>Pindone</w:t>
            </w:r>
            <w:r>
              <w:rPr/>
              <w:tab/>
            </w:r>
            <w:r>
              <w:rPr>
                <w:spacing w:val="-5"/>
              </w:rPr>
              <w:t>25</w:t>
            </w:r>
          </w:hyperlink>
        </w:p>
        <w:p>
          <w:pPr>
            <w:pStyle w:val="TOC2"/>
            <w:numPr>
              <w:ilvl w:val="1"/>
              <w:numId w:val="2"/>
            </w:numPr>
            <w:tabs>
              <w:tab w:pos="879" w:val="left" w:leader="none"/>
              <w:tab w:pos="9941" w:val="right" w:leader="none"/>
            </w:tabs>
            <w:spacing w:line="240" w:lineRule="auto" w:before="61" w:after="0"/>
            <w:ind w:left="879" w:right="0" w:hanging="567"/>
            <w:jc w:val="left"/>
          </w:pPr>
          <w:hyperlink w:history="true" w:anchor="_TOC_250066">
            <w:r>
              <w:rPr/>
              <w:t>Warren</w:t>
            </w:r>
            <w:r>
              <w:rPr>
                <w:spacing w:val="-10"/>
              </w:rPr>
              <w:t> </w:t>
            </w:r>
            <w:r>
              <w:rPr>
                <w:spacing w:val="-2"/>
              </w:rPr>
              <w:t>ripping</w:t>
            </w:r>
            <w:r>
              <w:rPr/>
              <w:tab/>
            </w:r>
            <w:r>
              <w:rPr>
                <w:spacing w:val="-5"/>
              </w:rPr>
              <w:t>26</w:t>
            </w:r>
          </w:hyperlink>
        </w:p>
        <w:p>
          <w:pPr>
            <w:pStyle w:val="TOC2"/>
            <w:numPr>
              <w:ilvl w:val="1"/>
              <w:numId w:val="2"/>
            </w:numPr>
            <w:tabs>
              <w:tab w:pos="879" w:val="left" w:leader="none"/>
              <w:tab w:pos="9941" w:val="right" w:leader="none"/>
            </w:tabs>
            <w:spacing w:line="240" w:lineRule="auto" w:before="60" w:after="0"/>
            <w:ind w:left="879" w:right="0" w:hanging="567"/>
            <w:jc w:val="left"/>
          </w:pPr>
          <w:hyperlink w:history="true" w:anchor="_TOC_250065">
            <w:r>
              <w:rPr/>
              <w:t>Warren</w:t>
            </w:r>
            <w:r>
              <w:rPr>
                <w:spacing w:val="-8"/>
              </w:rPr>
              <w:t> </w:t>
            </w:r>
            <w:r>
              <w:rPr>
                <w:spacing w:val="-2"/>
              </w:rPr>
              <w:t>fumigation</w:t>
            </w:r>
            <w:r>
              <w:rPr/>
              <w:tab/>
            </w:r>
            <w:r>
              <w:rPr>
                <w:spacing w:val="-5"/>
              </w:rPr>
              <w:t>27</w:t>
            </w:r>
          </w:hyperlink>
        </w:p>
        <w:p>
          <w:pPr>
            <w:pStyle w:val="TOC2"/>
            <w:numPr>
              <w:ilvl w:val="1"/>
              <w:numId w:val="2"/>
            </w:numPr>
            <w:tabs>
              <w:tab w:pos="879" w:val="left" w:leader="none"/>
              <w:tab w:pos="9941" w:val="right" w:leader="none"/>
            </w:tabs>
            <w:spacing w:line="240" w:lineRule="auto" w:before="61" w:after="0"/>
            <w:ind w:left="879" w:right="0" w:hanging="567"/>
            <w:jc w:val="left"/>
          </w:pPr>
          <w:hyperlink w:history="true" w:anchor="_TOC_250064">
            <w:r>
              <w:rPr>
                <w:spacing w:val="-2"/>
              </w:rPr>
              <w:t>Biocontrol</w:t>
            </w:r>
            <w:r>
              <w:rPr>
                <w:spacing w:val="13"/>
              </w:rPr>
              <w:t> </w:t>
            </w:r>
            <w:r>
              <w:rPr>
                <w:spacing w:val="-2"/>
              </w:rPr>
              <w:t>(RHDV-</w:t>
            </w:r>
            <w:r>
              <w:rPr>
                <w:spacing w:val="-5"/>
              </w:rPr>
              <w:t>K5)</w:t>
            </w:r>
            <w:r>
              <w:rPr/>
              <w:tab/>
            </w:r>
            <w:r>
              <w:rPr>
                <w:spacing w:val="-5"/>
              </w:rPr>
              <w:t>27</w:t>
            </w:r>
          </w:hyperlink>
        </w:p>
        <w:p>
          <w:pPr>
            <w:pStyle w:val="TOC3"/>
            <w:numPr>
              <w:ilvl w:val="2"/>
              <w:numId w:val="2"/>
            </w:numPr>
            <w:tabs>
              <w:tab w:pos="1589" w:val="left" w:leader="none"/>
              <w:tab w:pos="9941" w:val="right" w:leader="none"/>
            </w:tabs>
            <w:spacing w:line="240" w:lineRule="auto" w:before="58" w:after="0"/>
            <w:ind w:left="1589" w:right="0" w:hanging="710"/>
            <w:jc w:val="left"/>
          </w:pPr>
          <w:hyperlink w:history="true" w:anchor="_TOC_250063">
            <w:r>
              <w:rPr/>
              <w:t>Development</w:t>
            </w:r>
            <w:r>
              <w:rPr>
                <w:spacing w:val="-7"/>
              </w:rPr>
              <w:t> </w:t>
            </w:r>
            <w:r>
              <w:rPr/>
              <w:t>and</w:t>
            </w:r>
            <w:r>
              <w:rPr>
                <w:spacing w:val="-8"/>
              </w:rPr>
              <w:t> </w:t>
            </w:r>
            <w:r>
              <w:rPr/>
              <w:t>release</w:t>
            </w:r>
            <w:r>
              <w:rPr>
                <w:spacing w:val="-9"/>
              </w:rPr>
              <w:t> </w:t>
            </w:r>
            <w:r>
              <w:rPr/>
              <w:t>of</w:t>
            </w:r>
            <w:r>
              <w:rPr>
                <w:spacing w:val="-8"/>
              </w:rPr>
              <w:t> </w:t>
            </w:r>
            <w:r>
              <w:rPr/>
              <w:t>RHDV-</w:t>
            </w:r>
            <w:r>
              <w:rPr>
                <w:spacing w:val="-5"/>
              </w:rPr>
              <w:t>K5</w:t>
            </w:r>
            <w:r>
              <w:rPr/>
              <w:tab/>
            </w:r>
            <w:r>
              <w:rPr>
                <w:spacing w:val="-5"/>
              </w:rPr>
              <w:t>27</w:t>
            </w:r>
          </w:hyperlink>
        </w:p>
        <w:p>
          <w:pPr>
            <w:pStyle w:val="TOC3"/>
            <w:numPr>
              <w:ilvl w:val="2"/>
              <w:numId w:val="2"/>
            </w:numPr>
            <w:tabs>
              <w:tab w:pos="1589" w:val="left" w:leader="none"/>
              <w:tab w:pos="9941" w:val="right" w:leader="none"/>
            </w:tabs>
            <w:spacing w:line="240" w:lineRule="auto" w:before="120" w:after="0"/>
            <w:ind w:left="1589" w:right="0" w:hanging="710"/>
            <w:jc w:val="left"/>
          </w:pPr>
          <w:hyperlink w:history="true" w:anchor="_TOC_250062">
            <w:r>
              <w:rPr/>
              <w:t>Limitations</w:t>
            </w:r>
            <w:r>
              <w:rPr>
                <w:spacing w:val="-8"/>
              </w:rPr>
              <w:t> </w:t>
            </w:r>
            <w:r>
              <w:rPr/>
              <w:t>of</w:t>
            </w:r>
            <w:r>
              <w:rPr>
                <w:spacing w:val="-9"/>
              </w:rPr>
              <w:t> </w:t>
            </w:r>
            <w:r>
              <w:rPr/>
              <w:t>RHDV-</w:t>
            </w:r>
            <w:r>
              <w:rPr>
                <w:spacing w:val="-5"/>
              </w:rPr>
              <w:t>K5</w:t>
            </w:r>
            <w:r>
              <w:rPr/>
              <w:tab/>
            </w:r>
            <w:r>
              <w:rPr>
                <w:spacing w:val="-5"/>
              </w:rPr>
              <w:t>28</w:t>
            </w:r>
          </w:hyperlink>
        </w:p>
        <w:p>
          <w:pPr>
            <w:pStyle w:val="TOC2"/>
            <w:numPr>
              <w:ilvl w:val="1"/>
              <w:numId w:val="2"/>
            </w:numPr>
            <w:tabs>
              <w:tab w:pos="879" w:val="left" w:leader="none"/>
              <w:tab w:pos="9941" w:val="right" w:leader="none"/>
            </w:tabs>
            <w:spacing w:line="240" w:lineRule="auto" w:before="120" w:after="0"/>
            <w:ind w:left="879" w:right="0" w:hanging="567"/>
            <w:jc w:val="left"/>
          </w:pPr>
          <w:hyperlink w:history="true" w:anchor="_TOC_250061">
            <w:r>
              <w:rPr>
                <w:spacing w:val="-2"/>
              </w:rPr>
              <w:t>Cost-effectiveness</w:t>
            </w:r>
            <w:r>
              <w:rPr/>
              <w:tab/>
            </w:r>
            <w:r>
              <w:rPr>
                <w:spacing w:val="-5"/>
              </w:rPr>
              <w:t>28</w:t>
            </w:r>
          </w:hyperlink>
        </w:p>
        <w:p>
          <w:pPr>
            <w:pStyle w:val="TOC3"/>
            <w:numPr>
              <w:ilvl w:val="2"/>
              <w:numId w:val="2"/>
            </w:numPr>
            <w:tabs>
              <w:tab w:pos="1589" w:val="left" w:leader="none"/>
              <w:tab w:pos="9941" w:val="right" w:leader="none"/>
            </w:tabs>
            <w:spacing w:line="240" w:lineRule="auto" w:before="61" w:after="0"/>
            <w:ind w:left="1589" w:right="0" w:hanging="710"/>
            <w:jc w:val="left"/>
          </w:pPr>
          <w:hyperlink w:history="true" w:anchor="_TOC_250060">
            <w:r>
              <w:rPr/>
              <w:t>Conventional</w:t>
            </w:r>
            <w:r>
              <w:rPr>
                <w:spacing w:val="-12"/>
              </w:rPr>
              <w:t> </w:t>
            </w:r>
            <w:r>
              <w:rPr/>
              <w:t>control</w:t>
            </w:r>
            <w:r>
              <w:rPr>
                <w:spacing w:val="-12"/>
              </w:rPr>
              <w:t> </w:t>
            </w:r>
            <w:r>
              <w:rPr>
                <w:spacing w:val="-2"/>
              </w:rPr>
              <w:t>methods</w:t>
            </w:r>
            <w:r>
              <w:rPr/>
              <w:tab/>
            </w:r>
            <w:r>
              <w:rPr>
                <w:spacing w:val="-5"/>
              </w:rPr>
              <w:t>28</w:t>
            </w:r>
          </w:hyperlink>
        </w:p>
        <w:p>
          <w:pPr>
            <w:pStyle w:val="TOC3"/>
            <w:numPr>
              <w:ilvl w:val="2"/>
              <w:numId w:val="2"/>
            </w:numPr>
            <w:tabs>
              <w:tab w:pos="1589" w:val="left" w:leader="none"/>
              <w:tab w:pos="9941" w:val="right" w:leader="none"/>
            </w:tabs>
            <w:spacing w:line="240" w:lineRule="auto" w:before="120" w:after="0"/>
            <w:ind w:left="1589" w:right="0" w:hanging="710"/>
            <w:jc w:val="left"/>
          </w:pPr>
          <w:hyperlink w:history="true" w:anchor="_TOC_250059">
            <w:r>
              <w:rPr/>
              <w:t>Pindone</w:t>
            </w:r>
            <w:r>
              <w:rPr>
                <w:spacing w:val="-7"/>
              </w:rPr>
              <w:t> </w:t>
            </w:r>
            <w:r>
              <w:rPr/>
              <w:t>as</w:t>
            </w:r>
            <w:r>
              <w:rPr>
                <w:spacing w:val="-4"/>
              </w:rPr>
              <w:t> </w:t>
            </w:r>
            <w:r>
              <w:rPr/>
              <w:t>an</w:t>
            </w:r>
            <w:r>
              <w:rPr>
                <w:spacing w:val="-7"/>
              </w:rPr>
              <w:t> </w:t>
            </w:r>
            <w:r>
              <w:rPr/>
              <w:t>alternative</w:t>
            </w:r>
            <w:r>
              <w:rPr>
                <w:spacing w:val="-6"/>
              </w:rPr>
              <w:t> </w:t>
            </w:r>
            <w:r>
              <w:rPr/>
              <w:t>to</w:t>
            </w:r>
            <w:r>
              <w:rPr>
                <w:spacing w:val="-6"/>
              </w:rPr>
              <w:t> </w:t>
            </w:r>
            <w:r>
              <w:rPr>
                <w:spacing w:val="-4"/>
              </w:rPr>
              <w:t>1080</w:t>
            </w:r>
            <w:r>
              <w:rPr/>
              <w:tab/>
            </w:r>
            <w:r>
              <w:rPr>
                <w:spacing w:val="-5"/>
              </w:rPr>
              <w:t>29</w:t>
            </w:r>
          </w:hyperlink>
        </w:p>
        <w:p>
          <w:pPr>
            <w:pStyle w:val="TOC3"/>
            <w:numPr>
              <w:ilvl w:val="2"/>
              <w:numId w:val="2"/>
            </w:numPr>
            <w:tabs>
              <w:tab w:pos="1589" w:val="left" w:leader="none"/>
              <w:tab w:pos="9941" w:val="right" w:leader="none"/>
            </w:tabs>
            <w:spacing w:line="240" w:lineRule="auto" w:before="121" w:after="227"/>
            <w:ind w:left="1589" w:right="0" w:hanging="710"/>
            <w:jc w:val="left"/>
          </w:pPr>
          <w:hyperlink w:history="true" w:anchor="_TOC_250058">
            <w:r>
              <w:rPr/>
              <w:t>Integrating</w:t>
            </w:r>
            <w:r>
              <w:rPr>
                <w:spacing w:val="-13"/>
              </w:rPr>
              <w:t> </w:t>
            </w:r>
            <w:r>
              <w:rPr/>
              <w:t>biocontrol</w:t>
            </w:r>
            <w:r>
              <w:rPr>
                <w:spacing w:val="-11"/>
              </w:rPr>
              <w:t> </w:t>
            </w:r>
            <w:r>
              <w:rPr/>
              <w:t>and</w:t>
            </w:r>
            <w:r>
              <w:rPr>
                <w:spacing w:val="-12"/>
              </w:rPr>
              <w:t> </w:t>
            </w:r>
            <w:r>
              <w:rPr/>
              <w:t>conventional</w:t>
            </w:r>
            <w:r>
              <w:rPr>
                <w:spacing w:val="-11"/>
              </w:rPr>
              <w:t> </w:t>
            </w:r>
            <w:r>
              <w:rPr>
                <w:spacing w:val="-2"/>
              </w:rPr>
              <w:t>methods</w:t>
            </w:r>
            <w:r>
              <w:rPr/>
              <w:tab/>
            </w:r>
            <w:r>
              <w:rPr>
                <w:spacing w:val="-5"/>
              </w:rPr>
              <w:t>29</w:t>
            </w:r>
          </w:hyperlink>
        </w:p>
        <w:p>
          <w:pPr>
            <w:pStyle w:val="TOC1"/>
            <w:numPr>
              <w:ilvl w:val="0"/>
              <w:numId w:val="1"/>
            </w:numPr>
            <w:tabs>
              <w:tab w:pos="879" w:val="left" w:leader="none"/>
              <w:tab w:pos="9720" w:val="left" w:leader="none"/>
            </w:tabs>
            <w:spacing w:line="240" w:lineRule="auto" w:before="71" w:after="0"/>
            <w:ind w:left="879" w:right="0" w:hanging="567"/>
            <w:jc w:val="left"/>
          </w:pPr>
          <w:r>
            <w:rPr/>
            <mc:AlternateContent>
              <mc:Choice Requires="wps">
                <w:drawing>
                  <wp:anchor distT="0" distB="0" distL="0" distR="0" allowOverlap="1" layoutInCell="1" locked="0" behindDoc="0" simplePos="0" relativeHeight="15737856">
                    <wp:simplePos x="0" y="0"/>
                    <wp:positionH relativeFrom="page">
                      <wp:posOffset>701040</wp:posOffset>
                    </wp:positionH>
                    <wp:positionV relativeFrom="paragraph">
                      <wp:posOffset>239268</wp:posOffset>
                    </wp:positionV>
                    <wp:extent cx="6158230" cy="127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55.200001pt,18.84pt" to="540.100001pt,18.84pt" stroked="true" strokeweight="1.44pt" strokecolor="#218591">
                    <v:stroke dashstyle="shortdot"/>
                    <w10:wrap type="none"/>
                  </v:line>
                </w:pict>
              </mc:Fallback>
            </mc:AlternateContent>
          </w:r>
          <w:hyperlink w:history="true" w:anchor="_TOC_250057">
            <w:r>
              <w:rPr>
                <w:color w:val="001F5F"/>
              </w:rPr>
              <w:t>Lethal</w:t>
            </w:r>
            <w:r>
              <w:rPr>
                <w:color w:val="001F5F"/>
                <w:spacing w:val="-8"/>
              </w:rPr>
              <w:t> </w:t>
            </w:r>
            <w:r>
              <w:rPr>
                <w:color w:val="001F5F"/>
              </w:rPr>
              <w:t>methods</w:t>
            </w:r>
            <w:r>
              <w:rPr>
                <w:color w:val="001F5F"/>
                <w:spacing w:val="-7"/>
              </w:rPr>
              <w:t> </w:t>
            </w:r>
            <w:r>
              <w:rPr>
                <w:color w:val="001F5F"/>
              </w:rPr>
              <w:t>for</w:t>
            </w:r>
            <w:r>
              <w:rPr>
                <w:color w:val="001F5F"/>
                <w:spacing w:val="-8"/>
              </w:rPr>
              <w:t> </w:t>
            </w:r>
            <w:r>
              <w:rPr>
                <w:color w:val="001F5F"/>
              </w:rPr>
              <w:t>managing</w:t>
            </w:r>
            <w:r>
              <w:rPr>
                <w:color w:val="001F5F"/>
                <w:spacing w:val="-6"/>
              </w:rPr>
              <w:t> </w:t>
            </w:r>
            <w:r>
              <w:rPr>
                <w:color w:val="001F5F"/>
              </w:rPr>
              <w:t>Feral</w:t>
            </w:r>
            <w:r>
              <w:rPr>
                <w:color w:val="001F5F"/>
                <w:spacing w:val="-6"/>
              </w:rPr>
              <w:t> </w:t>
            </w:r>
            <w:r>
              <w:rPr>
                <w:color w:val="001F5F"/>
                <w:spacing w:val="-4"/>
              </w:rPr>
              <w:t>Pigs</w:t>
            </w:r>
            <w:r>
              <w:rPr>
                <w:color w:val="001F5F"/>
              </w:rPr>
              <w:tab/>
            </w:r>
            <w:r>
              <w:rPr>
                <w:color w:val="001F5F"/>
                <w:spacing w:val="-5"/>
              </w:rPr>
              <w:t>35</w:t>
            </w:r>
          </w:hyperlink>
        </w:p>
        <w:p>
          <w:pPr>
            <w:pStyle w:val="TOC2"/>
            <w:tabs>
              <w:tab w:pos="879" w:val="left" w:leader="none"/>
              <w:tab w:pos="9720" w:val="left" w:leader="none"/>
            </w:tabs>
            <w:spacing w:before="212"/>
            <w:ind w:left="312" w:firstLine="0"/>
          </w:pPr>
          <w:hyperlink w:history="true" w:anchor="_TOC_250056">
            <w:r>
              <w:rPr>
                <w:spacing w:val="-5"/>
              </w:rPr>
              <w:t>9.1</w:t>
            </w:r>
            <w:r>
              <w:rPr/>
              <w:tab/>
            </w:r>
            <w:r>
              <w:rPr>
                <w:spacing w:val="-4"/>
              </w:rPr>
              <w:t>1080</w:t>
            </w:r>
            <w:r>
              <w:rPr/>
              <w:tab/>
            </w:r>
            <w:r>
              <w:rPr>
                <w:spacing w:val="-5"/>
              </w:rPr>
              <w:t>35</w:t>
            </w:r>
          </w:hyperlink>
        </w:p>
        <w:p>
          <w:pPr>
            <w:pStyle w:val="TOC2"/>
            <w:numPr>
              <w:ilvl w:val="1"/>
              <w:numId w:val="3"/>
            </w:numPr>
            <w:tabs>
              <w:tab w:pos="879" w:val="left" w:leader="none"/>
              <w:tab w:pos="9720" w:val="left" w:leader="none"/>
            </w:tabs>
            <w:spacing w:line="240" w:lineRule="auto" w:before="61" w:after="0"/>
            <w:ind w:left="879" w:right="0" w:hanging="567"/>
            <w:jc w:val="left"/>
          </w:pPr>
          <w:hyperlink w:history="true" w:anchor="_TOC_250055">
            <w:r>
              <w:rPr/>
              <w:t>Sodium</w:t>
            </w:r>
            <w:r>
              <w:rPr>
                <w:spacing w:val="-10"/>
              </w:rPr>
              <w:t> </w:t>
            </w:r>
            <w:r>
              <w:rPr>
                <w:spacing w:val="-2"/>
              </w:rPr>
              <w:t>nitrite</w:t>
            </w:r>
            <w:r>
              <w:rPr/>
              <w:tab/>
            </w:r>
            <w:r>
              <w:rPr>
                <w:spacing w:val="-5"/>
              </w:rPr>
              <w:t>36</w:t>
            </w:r>
          </w:hyperlink>
        </w:p>
        <w:p>
          <w:pPr>
            <w:pStyle w:val="TOC2"/>
            <w:numPr>
              <w:ilvl w:val="1"/>
              <w:numId w:val="3"/>
            </w:numPr>
            <w:tabs>
              <w:tab w:pos="879" w:val="left" w:leader="none"/>
              <w:tab w:pos="9720" w:val="left" w:leader="none"/>
            </w:tabs>
            <w:spacing w:line="240" w:lineRule="auto" w:before="58" w:after="0"/>
            <w:ind w:left="879" w:right="0" w:hanging="567"/>
            <w:jc w:val="left"/>
          </w:pPr>
          <w:hyperlink w:history="true" w:anchor="_TOC_250054">
            <w:r>
              <w:rPr>
                <w:spacing w:val="-2"/>
              </w:rPr>
              <w:t>Trapping</w:t>
            </w:r>
            <w:r>
              <w:rPr/>
              <w:tab/>
            </w:r>
            <w:r>
              <w:rPr>
                <w:spacing w:val="-5"/>
              </w:rPr>
              <w:t>37</w:t>
            </w:r>
          </w:hyperlink>
        </w:p>
        <w:p>
          <w:pPr>
            <w:pStyle w:val="TOC2"/>
            <w:numPr>
              <w:ilvl w:val="1"/>
              <w:numId w:val="3"/>
            </w:numPr>
            <w:tabs>
              <w:tab w:pos="879" w:val="left" w:leader="none"/>
              <w:tab w:pos="9720" w:val="left" w:leader="none"/>
            </w:tabs>
            <w:spacing w:line="240" w:lineRule="auto" w:before="60" w:after="0"/>
            <w:ind w:left="879" w:right="0" w:hanging="567"/>
            <w:jc w:val="left"/>
          </w:pPr>
          <w:hyperlink w:history="true" w:anchor="_TOC_250053">
            <w:r>
              <w:rPr>
                <w:spacing w:val="-2"/>
              </w:rPr>
              <w:t>Shooting</w:t>
            </w:r>
            <w:r>
              <w:rPr/>
              <w:tab/>
            </w:r>
            <w:r>
              <w:rPr>
                <w:spacing w:val="-5"/>
              </w:rPr>
              <w:t>38</w:t>
            </w:r>
          </w:hyperlink>
        </w:p>
        <w:p>
          <w:pPr>
            <w:pStyle w:val="TOC3"/>
            <w:numPr>
              <w:ilvl w:val="2"/>
              <w:numId w:val="3"/>
            </w:numPr>
            <w:tabs>
              <w:tab w:pos="1589" w:val="left" w:leader="none"/>
              <w:tab w:pos="9720" w:val="left" w:leader="none"/>
            </w:tabs>
            <w:spacing w:line="240" w:lineRule="auto" w:before="61" w:after="0"/>
            <w:ind w:left="1589" w:right="0" w:hanging="710"/>
            <w:jc w:val="left"/>
          </w:pPr>
          <w:hyperlink w:history="true" w:anchor="_TOC_250052">
            <w:r>
              <w:rPr/>
              <w:t>Ground</w:t>
            </w:r>
            <w:r>
              <w:rPr>
                <w:spacing w:val="-10"/>
              </w:rPr>
              <w:t> </w:t>
            </w:r>
            <w:r>
              <w:rPr/>
              <w:t>shooting</w:t>
            </w:r>
            <w:r>
              <w:rPr>
                <w:spacing w:val="-9"/>
              </w:rPr>
              <w:t> </w:t>
            </w:r>
            <w:r>
              <w:rPr/>
              <w:t>(with</w:t>
            </w:r>
            <w:r>
              <w:rPr>
                <w:spacing w:val="-7"/>
              </w:rPr>
              <w:t> </w:t>
            </w:r>
            <w:r>
              <w:rPr/>
              <w:t>and</w:t>
            </w:r>
            <w:r>
              <w:rPr>
                <w:spacing w:val="-7"/>
              </w:rPr>
              <w:t> </w:t>
            </w:r>
            <w:r>
              <w:rPr/>
              <w:t>without</w:t>
            </w:r>
            <w:r>
              <w:rPr>
                <w:spacing w:val="-7"/>
              </w:rPr>
              <w:t> </w:t>
            </w:r>
            <w:r>
              <w:rPr>
                <w:spacing w:val="-2"/>
              </w:rPr>
              <w:t>dogs)</w:t>
            </w:r>
            <w:r>
              <w:rPr/>
              <w:tab/>
            </w:r>
            <w:r>
              <w:rPr>
                <w:spacing w:val="-5"/>
              </w:rPr>
              <w:t>38</w:t>
            </w:r>
          </w:hyperlink>
        </w:p>
        <w:p>
          <w:pPr>
            <w:pStyle w:val="TOC3"/>
            <w:numPr>
              <w:ilvl w:val="2"/>
              <w:numId w:val="3"/>
            </w:numPr>
            <w:tabs>
              <w:tab w:pos="1589" w:val="left" w:leader="none"/>
              <w:tab w:pos="9720" w:val="left" w:leader="none"/>
            </w:tabs>
            <w:spacing w:line="240" w:lineRule="auto" w:before="120" w:after="0"/>
            <w:ind w:left="1589" w:right="0" w:hanging="710"/>
            <w:jc w:val="left"/>
          </w:pPr>
          <w:hyperlink w:history="true" w:anchor="_TOC_250051">
            <w:r>
              <w:rPr/>
              <w:t>Aerial</w:t>
            </w:r>
            <w:r>
              <w:rPr>
                <w:spacing w:val="-11"/>
              </w:rPr>
              <w:t> </w:t>
            </w:r>
            <w:r>
              <w:rPr>
                <w:spacing w:val="-2"/>
              </w:rPr>
              <w:t>shooting</w:t>
            </w:r>
            <w:r>
              <w:rPr/>
              <w:tab/>
            </w:r>
            <w:r>
              <w:rPr>
                <w:spacing w:val="-5"/>
              </w:rPr>
              <w:t>39</w:t>
            </w:r>
          </w:hyperlink>
        </w:p>
        <w:p>
          <w:pPr>
            <w:pStyle w:val="TOC2"/>
            <w:numPr>
              <w:ilvl w:val="1"/>
              <w:numId w:val="3"/>
            </w:numPr>
            <w:tabs>
              <w:tab w:pos="879" w:val="left" w:leader="none"/>
              <w:tab w:pos="9720" w:val="left" w:leader="none"/>
            </w:tabs>
            <w:spacing w:line="240" w:lineRule="auto" w:before="120" w:after="0"/>
            <w:ind w:left="879" w:right="0" w:hanging="567"/>
            <w:jc w:val="left"/>
          </w:pPr>
          <w:hyperlink w:history="true" w:anchor="_TOC_250050">
            <w:r>
              <w:rPr>
                <w:spacing w:val="-2"/>
              </w:rPr>
              <w:t>Cost-effectiveness</w:t>
            </w:r>
            <w:r>
              <w:rPr/>
              <w:tab/>
            </w:r>
            <w:r>
              <w:rPr>
                <w:spacing w:val="-5"/>
              </w:rPr>
              <w:t>40</w:t>
            </w:r>
          </w:hyperlink>
        </w:p>
        <w:p>
          <w:pPr>
            <w:pStyle w:val="TOC3"/>
            <w:numPr>
              <w:ilvl w:val="2"/>
              <w:numId w:val="3"/>
            </w:numPr>
            <w:tabs>
              <w:tab w:pos="1589" w:val="left" w:leader="none"/>
              <w:tab w:pos="9720" w:val="left" w:leader="none"/>
            </w:tabs>
            <w:spacing w:line="240" w:lineRule="auto" w:before="61" w:after="0"/>
            <w:ind w:left="1589" w:right="0" w:hanging="710"/>
            <w:jc w:val="left"/>
          </w:pPr>
          <w:hyperlink w:history="true" w:anchor="_TOC_250049">
            <w:r>
              <w:rPr>
                <w:spacing w:val="-2"/>
              </w:rPr>
              <w:t>Baiting</w:t>
            </w:r>
            <w:r>
              <w:rPr/>
              <w:tab/>
            </w:r>
            <w:r>
              <w:rPr>
                <w:spacing w:val="-5"/>
              </w:rPr>
              <w:t>40</w:t>
            </w:r>
          </w:hyperlink>
        </w:p>
        <w:p>
          <w:pPr>
            <w:pStyle w:val="TOC3"/>
            <w:numPr>
              <w:ilvl w:val="2"/>
              <w:numId w:val="3"/>
            </w:numPr>
            <w:tabs>
              <w:tab w:pos="1589" w:val="left" w:leader="none"/>
              <w:tab w:pos="9720" w:val="left" w:leader="none"/>
            </w:tabs>
            <w:spacing w:line="240" w:lineRule="auto" w:before="118" w:after="0"/>
            <w:ind w:left="1589" w:right="0" w:hanging="710"/>
            <w:jc w:val="left"/>
          </w:pPr>
          <w:hyperlink w:history="true" w:anchor="_TOC_250048">
            <w:r>
              <w:rPr>
                <w:spacing w:val="-2"/>
              </w:rPr>
              <w:t>Trapping</w:t>
            </w:r>
            <w:r>
              <w:rPr/>
              <w:tab/>
            </w:r>
            <w:r>
              <w:rPr>
                <w:spacing w:val="-5"/>
              </w:rPr>
              <w:t>41</w:t>
            </w:r>
          </w:hyperlink>
        </w:p>
        <w:p>
          <w:pPr>
            <w:pStyle w:val="TOC3"/>
            <w:numPr>
              <w:ilvl w:val="2"/>
              <w:numId w:val="3"/>
            </w:numPr>
            <w:tabs>
              <w:tab w:pos="1589" w:val="left" w:leader="none"/>
              <w:tab w:pos="9720" w:val="left" w:leader="none"/>
            </w:tabs>
            <w:spacing w:line="240" w:lineRule="auto" w:before="120" w:after="0"/>
            <w:ind w:left="1589" w:right="0" w:hanging="710"/>
            <w:jc w:val="left"/>
          </w:pPr>
          <w:hyperlink w:history="true" w:anchor="_TOC_250047">
            <w:r>
              <w:rPr/>
              <w:t>Ground-based</w:t>
            </w:r>
            <w:r>
              <w:rPr>
                <w:spacing w:val="-12"/>
              </w:rPr>
              <w:t> </w:t>
            </w:r>
            <w:r>
              <w:rPr/>
              <w:t>shooting</w:t>
            </w:r>
            <w:r>
              <w:rPr>
                <w:spacing w:val="-12"/>
              </w:rPr>
              <w:t> </w:t>
            </w:r>
            <w:r>
              <w:rPr/>
              <w:t>(from</w:t>
            </w:r>
            <w:r>
              <w:rPr>
                <w:spacing w:val="-12"/>
              </w:rPr>
              <w:t> </w:t>
            </w:r>
            <w:r>
              <w:rPr>
                <w:spacing w:val="-2"/>
              </w:rPr>
              <w:t>vehicles)</w:t>
            </w:r>
            <w:r>
              <w:rPr/>
              <w:tab/>
            </w:r>
            <w:r>
              <w:rPr>
                <w:spacing w:val="-5"/>
              </w:rPr>
              <w:t>41</w:t>
            </w:r>
          </w:hyperlink>
        </w:p>
        <w:p>
          <w:pPr>
            <w:pStyle w:val="TOC3"/>
            <w:numPr>
              <w:ilvl w:val="2"/>
              <w:numId w:val="3"/>
            </w:numPr>
            <w:tabs>
              <w:tab w:pos="1589" w:val="left" w:leader="none"/>
              <w:tab w:pos="9720" w:val="left" w:leader="none"/>
            </w:tabs>
            <w:spacing w:line="240" w:lineRule="auto" w:before="121" w:after="0"/>
            <w:ind w:left="1589" w:right="0" w:hanging="710"/>
            <w:jc w:val="left"/>
          </w:pPr>
          <w:hyperlink w:history="true" w:anchor="_TOC_250046">
            <w:r>
              <w:rPr/>
              <w:t>Aerial</w:t>
            </w:r>
            <w:r>
              <w:rPr>
                <w:spacing w:val="-11"/>
              </w:rPr>
              <w:t> </w:t>
            </w:r>
            <w:r>
              <w:rPr>
                <w:spacing w:val="-2"/>
              </w:rPr>
              <w:t>shooting</w:t>
            </w:r>
            <w:r>
              <w:rPr/>
              <w:tab/>
            </w:r>
            <w:r>
              <w:rPr>
                <w:spacing w:val="-5"/>
              </w:rPr>
              <w:t>41</w:t>
            </w:r>
          </w:hyperlink>
        </w:p>
        <w:p>
          <w:pPr>
            <w:pStyle w:val="TOC3"/>
            <w:numPr>
              <w:ilvl w:val="2"/>
              <w:numId w:val="3"/>
            </w:numPr>
            <w:tabs>
              <w:tab w:pos="1589" w:val="left" w:leader="none"/>
              <w:tab w:pos="9720" w:val="left" w:leader="none"/>
            </w:tabs>
            <w:spacing w:line="240" w:lineRule="auto" w:before="121" w:after="0"/>
            <w:ind w:left="1589" w:right="0" w:hanging="710"/>
            <w:jc w:val="left"/>
          </w:pPr>
          <w:hyperlink w:history="true" w:anchor="_TOC_250045">
            <w:r>
              <w:rPr/>
              <w:t>Integrating</w:t>
            </w:r>
            <w:r>
              <w:rPr>
                <w:spacing w:val="-12"/>
              </w:rPr>
              <w:t> </w:t>
            </w:r>
            <w:r>
              <w:rPr/>
              <w:t>control</w:t>
            </w:r>
            <w:r>
              <w:rPr>
                <w:spacing w:val="-10"/>
              </w:rPr>
              <w:t> </w:t>
            </w:r>
            <w:r>
              <w:rPr>
                <w:spacing w:val="-2"/>
              </w:rPr>
              <w:t>methods</w:t>
            </w:r>
            <w:r>
              <w:rPr/>
              <w:tab/>
            </w:r>
            <w:r>
              <w:rPr>
                <w:spacing w:val="-5"/>
              </w:rPr>
              <w:t>41</w:t>
            </w:r>
          </w:hyperlink>
        </w:p>
        <w:p>
          <w:pPr>
            <w:pStyle w:val="TOC1"/>
            <w:numPr>
              <w:ilvl w:val="0"/>
              <w:numId w:val="1"/>
            </w:numPr>
            <w:tabs>
              <w:tab w:pos="879" w:val="left" w:leader="none"/>
              <w:tab w:pos="9720" w:val="left" w:leader="none"/>
            </w:tabs>
            <w:spacing w:line="240" w:lineRule="auto" w:before="319" w:after="0"/>
            <w:ind w:left="879" w:right="0" w:hanging="567"/>
            <w:jc w:val="left"/>
          </w:pPr>
          <w:r>
            <w:rPr/>
            <mc:AlternateContent>
              <mc:Choice Requires="wps">
                <w:drawing>
                  <wp:anchor distT="0" distB="0" distL="0" distR="0" allowOverlap="1" layoutInCell="1" locked="0" behindDoc="0" simplePos="0" relativeHeight="15738368">
                    <wp:simplePos x="0" y="0"/>
                    <wp:positionH relativeFrom="page">
                      <wp:posOffset>701040</wp:posOffset>
                    </wp:positionH>
                    <wp:positionV relativeFrom="paragraph">
                      <wp:posOffset>395258</wp:posOffset>
                    </wp:positionV>
                    <wp:extent cx="6158230" cy="127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55.200001pt,31.122696pt" to="540.100001pt,31.122696pt" stroked="true" strokeweight="1.44pt" strokecolor="#218591">
                    <v:stroke dashstyle="shortdot"/>
                    <w10:wrap type="none"/>
                  </v:line>
                </w:pict>
              </mc:Fallback>
            </mc:AlternateContent>
          </w:r>
          <w:hyperlink w:history="true" w:anchor="_TOC_250044">
            <w:r>
              <w:rPr>
                <w:color w:val="001F5F"/>
              </w:rPr>
              <w:t>Lethal</w:t>
            </w:r>
            <w:r>
              <w:rPr>
                <w:color w:val="001F5F"/>
                <w:spacing w:val="-7"/>
              </w:rPr>
              <w:t> </w:t>
            </w:r>
            <w:r>
              <w:rPr>
                <w:color w:val="001F5F"/>
              </w:rPr>
              <w:t>methods</w:t>
            </w:r>
            <w:r>
              <w:rPr>
                <w:color w:val="001F5F"/>
                <w:spacing w:val="-7"/>
              </w:rPr>
              <w:t> </w:t>
            </w:r>
            <w:r>
              <w:rPr>
                <w:color w:val="001F5F"/>
              </w:rPr>
              <w:t>for</w:t>
            </w:r>
            <w:r>
              <w:rPr>
                <w:color w:val="001F5F"/>
                <w:spacing w:val="-7"/>
              </w:rPr>
              <w:t> </w:t>
            </w:r>
            <w:r>
              <w:rPr>
                <w:color w:val="001F5F"/>
              </w:rPr>
              <w:t>managing</w:t>
            </w:r>
            <w:r>
              <w:rPr>
                <w:color w:val="001F5F"/>
                <w:spacing w:val="-6"/>
              </w:rPr>
              <w:t> </w:t>
            </w:r>
            <w:r>
              <w:rPr>
                <w:color w:val="001F5F"/>
                <w:spacing w:val="-4"/>
              </w:rPr>
              <w:t>foxes</w:t>
            </w:r>
            <w:r>
              <w:rPr>
                <w:color w:val="001F5F"/>
              </w:rPr>
              <w:tab/>
            </w:r>
            <w:r>
              <w:rPr>
                <w:color w:val="001F5F"/>
                <w:spacing w:val="-5"/>
              </w:rPr>
              <w:t>47</w:t>
            </w:r>
          </w:hyperlink>
        </w:p>
        <w:p>
          <w:pPr>
            <w:pStyle w:val="TOC2"/>
            <w:tabs>
              <w:tab w:pos="9720" w:val="left" w:leader="none"/>
            </w:tabs>
            <w:spacing w:before="210"/>
            <w:ind w:left="312" w:firstLine="0"/>
          </w:pPr>
          <w:hyperlink w:history="true" w:anchor="_TOC_250043">
            <w:r>
              <w:rPr/>
              <w:t>10.1</w:t>
            </w:r>
            <w:r>
              <w:rPr>
                <w:spacing w:val="30"/>
              </w:rPr>
              <w:t>  </w:t>
            </w:r>
            <w:r>
              <w:rPr>
                <w:spacing w:val="-4"/>
              </w:rPr>
              <w:t>1080</w:t>
            </w:r>
            <w:r>
              <w:rPr/>
              <w:tab/>
            </w:r>
            <w:r>
              <w:rPr>
                <w:spacing w:val="-5"/>
              </w:rPr>
              <w:t>47</w:t>
            </w:r>
          </w:hyperlink>
        </w:p>
        <w:p>
          <w:pPr>
            <w:pStyle w:val="TOC3"/>
            <w:numPr>
              <w:ilvl w:val="2"/>
              <w:numId w:val="4"/>
            </w:numPr>
            <w:tabs>
              <w:tab w:pos="1588" w:val="left" w:leader="none"/>
              <w:tab w:pos="9720" w:val="left" w:leader="none"/>
            </w:tabs>
            <w:spacing w:line="240" w:lineRule="auto" w:before="60" w:after="0"/>
            <w:ind w:left="1588" w:right="0" w:hanging="709"/>
            <w:jc w:val="left"/>
          </w:pPr>
          <w:hyperlink w:history="true" w:anchor="_TOC_250042">
            <w:r>
              <w:rPr/>
              <w:t>Canid</w:t>
            </w:r>
            <w:r>
              <w:rPr>
                <w:spacing w:val="-9"/>
              </w:rPr>
              <w:t> </w:t>
            </w:r>
            <w:r>
              <w:rPr/>
              <w:t>pest</w:t>
            </w:r>
            <w:r>
              <w:rPr>
                <w:spacing w:val="-8"/>
              </w:rPr>
              <w:t> </w:t>
            </w:r>
            <w:r>
              <w:rPr/>
              <w:t>ejectors</w:t>
            </w:r>
            <w:r>
              <w:rPr>
                <w:spacing w:val="-6"/>
              </w:rPr>
              <w:t> </w:t>
            </w:r>
            <w:r>
              <w:rPr/>
              <w:t>for</w:t>
            </w:r>
            <w:r>
              <w:rPr>
                <w:spacing w:val="-8"/>
              </w:rPr>
              <w:t> </w:t>
            </w:r>
            <w:r>
              <w:rPr/>
              <w:t>controlling</w:t>
            </w:r>
            <w:r>
              <w:rPr>
                <w:spacing w:val="-6"/>
              </w:rPr>
              <w:t> </w:t>
            </w:r>
            <w:r>
              <w:rPr>
                <w:spacing w:val="-4"/>
              </w:rPr>
              <w:t>foxes</w:t>
            </w:r>
            <w:r>
              <w:rPr/>
              <w:tab/>
            </w:r>
            <w:r>
              <w:rPr>
                <w:spacing w:val="-5"/>
              </w:rPr>
              <w:t>50</w:t>
            </w:r>
          </w:hyperlink>
        </w:p>
        <w:p>
          <w:pPr>
            <w:pStyle w:val="TOC2"/>
            <w:numPr>
              <w:ilvl w:val="1"/>
              <w:numId w:val="5"/>
            </w:numPr>
            <w:tabs>
              <w:tab w:pos="876" w:val="left" w:leader="none"/>
              <w:tab w:pos="9720" w:val="left" w:leader="none"/>
            </w:tabs>
            <w:spacing w:line="240" w:lineRule="auto" w:before="120" w:after="0"/>
            <w:ind w:left="876" w:right="0" w:hanging="564"/>
            <w:jc w:val="left"/>
          </w:pPr>
          <w:hyperlink w:history="true" w:anchor="_TOC_250041">
            <w:r>
              <w:rPr/>
              <w:t>PAPP</w:t>
            </w:r>
            <w:r>
              <w:rPr>
                <w:spacing w:val="-6"/>
              </w:rPr>
              <w:t> </w:t>
            </w:r>
            <w:r>
              <w:rPr>
                <w:spacing w:val="-2"/>
              </w:rPr>
              <w:t>baits</w:t>
            </w:r>
            <w:r>
              <w:rPr/>
              <w:tab/>
            </w:r>
            <w:r>
              <w:rPr>
                <w:spacing w:val="-5"/>
              </w:rPr>
              <w:t>51</w:t>
            </w:r>
          </w:hyperlink>
        </w:p>
        <w:p>
          <w:pPr>
            <w:pStyle w:val="TOC2"/>
            <w:numPr>
              <w:ilvl w:val="1"/>
              <w:numId w:val="5"/>
            </w:numPr>
            <w:tabs>
              <w:tab w:pos="876" w:val="left" w:leader="none"/>
              <w:tab w:pos="9720" w:val="left" w:leader="none"/>
            </w:tabs>
            <w:spacing w:line="240" w:lineRule="auto" w:before="61" w:after="0"/>
            <w:ind w:left="876" w:right="0" w:hanging="564"/>
            <w:jc w:val="left"/>
          </w:pPr>
          <w:hyperlink w:history="true" w:anchor="_TOC_250040">
            <w:r>
              <w:rPr>
                <w:spacing w:val="-2"/>
              </w:rPr>
              <w:t>Shooting</w:t>
            </w:r>
            <w:r>
              <w:rPr/>
              <w:tab/>
            </w:r>
            <w:r>
              <w:rPr>
                <w:spacing w:val="-5"/>
              </w:rPr>
              <w:t>51</w:t>
            </w:r>
          </w:hyperlink>
        </w:p>
        <w:p>
          <w:pPr>
            <w:pStyle w:val="TOC2"/>
            <w:numPr>
              <w:ilvl w:val="1"/>
              <w:numId w:val="5"/>
            </w:numPr>
            <w:tabs>
              <w:tab w:pos="876" w:val="left" w:leader="none"/>
              <w:tab w:pos="9720" w:val="left" w:leader="none"/>
            </w:tabs>
            <w:spacing w:line="240" w:lineRule="auto" w:before="60" w:after="0"/>
            <w:ind w:left="876" w:right="0" w:hanging="564"/>
            <w:jc w:val="left"/>
          </w:pPr>
          <w:hyperlink w:history="true" w:anchor="_TOC_250039">
            <w:r>
              <w:rPr>
                <w:spacing w:val="-2"/>
              </w:rPr>
              <w:t>Trapping</w:t>
            </w:r>
            <w:r>
              <w:rPr/>
              <w:tab/>
            </w:r>
            <w:r>
              <w:rPr>
                <w:spacing w:val="-5"/>
              </w:rPr>
              <w:t>52</w:t>
            </w:r>
          </w:hyperlink>
        </w:p>
        <w:p>
          <w:pPr>
            <w:pStyle w:val="TOC2"/>
            <w:numPr>
              <w:ilvl w:val="1"/>
              <w:numId w:val="5"/>
            </w:numPr>
            <w:tabs>
              <w:tab w:pos="876" w:val="left" w:leader="none"/>
              <w:tab w:pos="9720" w:val="left" w:leader="none"/>
            </w:tabs>
            <w:spacing w:line="240" w:lineRule="auto" w:before="61" w:after="0"/>
            <w:ind w:left="876" w:right="0" w:hanging="564"/>
            <w:jc w:val="left"/>
          </w:pPr>
          <w:hyperlink w:history="true" w:anchor="_TOC_250038">
            <w:r>
              <w:rPr/>
              <w:t>Den</w:t>
            </w:r>
            <w:r>
              <w:rPr>
                <w:spacing w:val="-8"/>
              </w:rPr>
              <w:t> </w:t>
            </w:r>
            <w:r>
              <w:rPr>
                <w:spacing w:val="-2"/>
              </w:rPr>
              <w:t>fumigation</w:t>
            </w:r>
            <w:r>
              <w:rPr/>
              <w:tab/>
            </w:r>
            <w:r>
              <w:rPr>
                <w:spacing w:val="-5"/>
              </w:rPr>
              <w:t>53</w:t>
            </w:r>
          </w:hyperlink>
        </w:p>
        <w:p>
          <w:pPr>
            <w:pStyle w:val="TOC2"/>
            <w:numPr>
              <w:ilvl w:val="1"/>
              <w:numId w:val="5"/>
            </w:numPr>
            <w:tabs>
              <w:tab w:pos="876" w:val="left" w:leader="none"/>
              <w:tab w:pos="9720" w:val="left" w:leader="none"/>
            </w:tabs>
            <w:spacing w:line="240" w:lineRule="auto" w:before="58" w:after="0"/>
            <w:ind w:left="876" w:right="0" w:hanging="564"/>
            <w:jc w:val="left"/>
          </w:pPr>
          <w:hyperlink w:history="true" w:anchor="_TOC_250037">
            <w:r>
              <w:rPr>
                <w:spacing w:val="-2"/>
              </w:rPr>
              <w:t>Cost-effectiveness</w:t>
            </w:r>
            <w:r>
              <w:rPr/>
              <w:tab/>
            </w:r>
            <w:r>
              <w:rPr>
                <w:spacing w:val="-5"/>
              </w:rPr>
              <w:t>53</w:t>
            </w:r>
          </w:hyperlink>
        </w:p>
        <w:p>
          <w:pPr>
            <w:pStyle w:val="TOC3"/>
            <w:numPr>
              <w:ilvl w:val="2"/>
              <w:numId w:val="5"/>
            </w:numPr>
            <w:tabs>
              <w:tab w:pos="1588" w:val="left" w:leader="none"/>
              <w:tab w:pos="9720" w:val="left" w:leader="none"/>
            </w:tabs>
            <w:spacing w:line="240" w:lineRule="auto" w:before="60" w:after="0"/>
            <w:ind w:left="1588" w:right="0" w:hanging="709"/>
            <w:jc w:val="left"/>
          </w:pPr>
          <w:hyperlink w:history="true" w:anchor="_TOC_250036">
            <w:r>
              <w:rPr/>
              <w:t>Ground</w:t>
            </w:r>
            <w:r>
              <w:rPr>
                <w:spacing w:val="-9"/>
              </w:rPr>
              <w:t> </w:t>
            </w:r>
            <w:r>
              <w:rPr/>
              <w:t>baiting</w:t>
            </w:r>
            <w:r>
              <w:rPr>
                <w:spacing w:val="-7"/>
              </w:rPr>
              <w:t> </w:t>
            </w:r>
            <w:r>
              <w:rPr/>
              <w:t>(1080</w:t>
            </w:r>
            <w:r>
              <w:rPr>
                <w:spacing w:val="-6"/>
              </w:rPr>
              <w:t> </w:t>
            </w:r>
            <w:r>
              <w:rPr/>
              <w:t>and</w:t>
            </w:r>
            <w:r>
              <w:rPr>
                <w:spacing w:val="-5"/>
              </w:rPr>
              <w:t> </w:t>
            </w:r>
            <w:r>
              <w:rPr/>
              <w:t>PAPP)</w:t>
            </w:r>
            <w:r>
              <w:rPr>
                <w:spacing w:val="-5"/>
              </w:rPr>
              <w:t> </w:t>
            </w:r>
            <w:r>
              <w:rPr/>
              <w:t>and</w:t>
            </w:r>
            <w:r>
              <w:rPr>
                <w:spacing w:val="-6"/>
              </w:rPr>
              <w:t> </w:t>
            </w:r>
            <w:r>
              <w:rPr>
                <w:spacing w:val="-4"/>
              </w:rPr>
              <w:t>CPEs</w:t>
            </w:r>
            <w:r>
              <w:rPr/>
              <w:tab/>
            </w:r>
            <w:r>
              <w:rPr>
                <w:spacing w:val="-5"/>
              </w:rPr>
              <w:t>53</w:t>
            </w:r>
          </w:hyperlink>
        </w:p>
        <w:p>
          <w:pPr>
            <w:pStyle w:val="TOC3"/>
            <w:numPr>
              <w:ilvl w:val="2"/>
              <w:numId w:val="5"/>
            </w:numPr>
            <w:tabs>
              <w:tab w:pos="1588" w:val="left" w:leader="none"/>
              <w:tab w:pos="9720" w:val="left" w:leader="none"/>
            </w:tabs>
            <w:spacing w:line="240" w:lineRule="auto" w:before="121" w:after="0"/>
            <w:ind w:left="1588" w:right="0" w:hanging="709"/>
            <w:jc w:val="left"/>
          </w:pPr>
          <w:hyperlink w:history="true" w:anchor="_TOC_250035">
            <w:r>
              <w:rPr/>
              <w:t>Aerial</w:t>
            </w:r>
            <w:r>
              <w:rPr>
                <w:spacing w:val="-9"/>
              </w:rPr>
              <w:t> </w:t>
            </w:r>
            <w:r>
              <w:rPr>
                <w:spacing w:val="-2"/>
              </w:rPr>
              <w:t>baiting</w:t>
            </w:r>
            <w:r>
              <w:rPr/>
              <w:tab/>
            </w:r>
            <w:r>
              <w:rPr>
                <w:spacing w:val="-5"/>
              </w:rPr>
              <w:t>54</w:t>
            </w:r>
          </w:hyperlink>
        </w:p>
        <w:p>
          <w:pPr>
            <w:pStyle w:val="TOC3"/>
            <w:numPr>
              <w:ilvl w:val="2"/>
              <w:numId w:val="5"/>
            </w:numPr>
            <w:tabs>
              <w:tab w:pos="1588" w:val="left" w:leader="none"/>
              <w:tab w:pos="9720" w:val="left" w:leader="none"/>
            </w:tabs>
            <w:spacing w:line="240" w:lineRule="auto" w:before="120" w:after="0"/>
            <w:ind w:left="1588" w:right="0" w:hanging="709"/>
            <w:jc w:val="left"/>
          </w:pPr>
          <w:hyperlink w:history="true" w:anchor="_TOC_250034">
            <w:r>
              <w:rPr>
                <w:spacing w:val="-2"/>
              </w:rPr>
              <w:t>Ground-based</w:t>
            </w:r>
            <w:r>
              <w:rPr>
                <w:spacing w:val="6"/>
              </w:rPr>
              <w:t> </w:t>
            </w:r>
            <w:r>
              <w:rPr>
                <w:spacing w:val="-2"/>
              </w:rPr>
              <w:t>shooting</w:t>
            </w:r>
            <w:r>
              <w:rPr/>
              <w:tab/>
            </w:r>
            <w:r>
              <w:rPr>
                <w:spacing w:val="-5"/>
              </w:rPr>
              <w:t>54</w:t>
            </w:r>
          </w:hyperlink>
        </w:p>
        <w:p>
          <w:pPr>
            <w:pStyle w:val="TOC3"/>
            <w:numPr>
              <w:ilvl w:val="2"/>
              <w:numId w:val="5"/>
            </w:numPr>
            <w:tabs>
              <w:tab w:pos="1588" w:val="left" w:leader="none"/>
              <w:tab w:pos="9720" w:val="left" w:leader="none"/>
            </w:tabs>
            <w:spacing w:line="240" w:lineRule="auto" w:before="121" w:after="0"/>
            <w:ind w:left="1588" w:right="0" w:hanging="709"/>
            <w:jc w:val="left"/>
          </w:pPr>
          <w:hyperlink w:history="true" w:anchor="_TOC_250033">
            <w:r>
              <w:rPr/>
              <w:t>Trapping</w:t>
            </w:r>
            <w:r>
              <w:rPr>
                <w:spacing w:val="-9"/>
              </w:rPr>
              <w:t> </w:t>
            </w:r>
            <w:r>
              <w:rPr/>
              <w:t>and</w:t>
            </w:r>
            <w:r>
              <w:rPr>
                <w:spacing w:val="-7"/>
              </w:rPr>
              <w:t> </w:t>
            </w:r>
            <w:r>
              <w:rPr/>
              <w:t>den</w:t>
            </w:r>
            <w:r>
              <w:rPr>
                <w:spacing w:val="-6"/>
              </w:rPr>
              <w:t> </w:t>
            </w:r>
            <w:r>
              <w:rPr>
                <w:spacing w:val="-2"/>
              </w:rPr>
              <w:t>fumigation</w:t>
            </w:r>
            <w:r>
              <w:rPr/>
              <w:tab/>
            </w:r>
            <w:r>
              <w:rPr>
                <w:spacing w:val="-5"/>
              </w:rPr>
              <w:t>55</w:t>
            </w:r>
          </w:hyperlink>
        </w:p>
        <w:p>
          <w:pPr>
            <w:pStyle w:val="TOC1"/>
            <w:numPr>
              <w:ilvl w:val="0"/>
              <w:numId w:val="1"/>
            </w:numPr>
            <w:tabs>
              <w:tab w:pos="879" w:val="left" w:leader="none"/>
              <w:tab w:pos="9720" w:val="left" w:leader="none"/>
            </w:tabs>
            <w:spacing w:line="240" w:lineRule="auto" w:before="317" w:after="0"/>
            <w:ind w:left="879" w:right="0" w:hanging="567"/>
            <w:jc w:val="left"/>
          </w:pPr>
          <w:hyperlink w:history="true" w:anchor="_TOC_250032">
            <w:r>
              <w:rPr>
                <w:color w:val="001F5F"/>
              </w:rPr>
              <w:t>Lethal</w:t>
            </w:r>
            <w:r>
              <w:rPr>
                <w:color w:val="001F5F"/>
                <w:spacing w:val="-9"/>
              </w:rPr>
              <w:t> </w:t>
            </w:r>
            <w:r>
              <w:rPr>
                <w:color w:val="001F5F"/>
              </w:rPr>
              <w:t>methods</w:t>
            </w:r>
            <w:r>
              <w:rPr>
                <w:color w:val="001F5F"/>
                <w:spacing w:val="-7"/>
              </w:rPr>
              <w:t> </w:t>
            </w:r>
            <w:r>
              <w:rPr>
                <w:color w:val="001F5F"/>
              </w:rPr>
              <w:t>for</w:t>
            </w:r>
            <w:r>
              <w:rPr>
                <w:color w:val="001F5F"/>
                <w:spacing w:val="-7"/>
              </w:rPr>
              <w:t> </w:t>
            </w:r>
            <w:r>
              <w:rPr>
                <w:color w:val="001F5F"/>
              </w:rPr>
              <w:t>managing</w:t>
            </w:r>
            <w:r>
              <w:rPr>
                <w:color w:val="001F5F"/>
                <w:spacing w:val="-3"/>
              </w:rPr>
              <w:t> </w:t>
            </w:r>
            <w:r>
              <w:rPr>
                <w:color w:val="001F5F"/>
              </w:rPr>
              <w:t>Dingoes</w:t>
            </w:r>
            <w:r>
              <w:rPr>
                <w:color w:val="001F5F"/>
                <w:spacing w:val="-8"/>
              </w:rPr>
              <w:t> </w:t>
            </w:r>
            <w:r>
              <w:rPr>
                <w:color w:val="001F5F"/>
              </w:rPr>
              <w:t>and</w:t>
            </w:r>
            <w:r>
              <w:rPr>
                <w:color w:val="001F5F"/>
                <w:spacing w:val="-4"/>
              </w:rPr>
              <w:t> </w:t>
            </w:r>
            <w:r>
              <w:rPr>
                <w:color w:val="001F5F"/>
              </w:rPr>
              <w:t>Wild</w:t>
            </w:r>
            <w:r>
              <w:rPr>
                <w:color w:val="001F5F"/>
                <w:spacing w:val="-6"/>
              </w:rPr>
              <w:t> </w:t>
            </w:r>
            <w:r>
              <w:rPr>
                <w:color w:val="001F5F"/>
                <w:spacing w:val="-4"/>
              </w:rPr>
              <w:t>Dogs</w:t>
            </w:r>
            <w:r>
              <w:rPr>
                <w:color w:val="001F5F"/>
              </w:rPr>
              <w:tab/>
            </w:r>
            <w:r>
              <w:rPr>
                <w:color w:val="001F5F"/>
                <w:spacing w:val="-5"/>
              </w:rPr>
              <w:t>58</w:t>
            </w:r>
          </w:hyperlink>
        </w:p>
      </w:sdtContent>
    </w:sdt>
    <w:p>
      <w:pPr>
        <w:spacing w:after="0" w:line="240" w:lineRule="auto"/>
        <w:jc w:val="left"/>
        <w:sectPr>
          <w:type w:val="continuous"/>
          <w:pgSz w:w="11910" w:h="16850"/>
          <w:pgMar w:header="0" w:footer="688" w:top="1070" w:bottom="1307" w:left="820" w:right="980"/>
        </w:sectPr>
      </w:pPr>
    </w:p>
    <w:p>
      <w:pPr>
        <w:pStyle w:val="BodyText"/>
        <w:spacing w:before="6"/>
        <w:rPr>
          <w:b/>
          <w:sz w:val="6"/>
        </w:rPr>
      </w:pPr>
    </w:p>
    <w:tbl>
      <w:tblPr>
        <w:tblW w:w="0" w:type="auto"/>
        <w:jc w:val="left"/>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5"/>
        <w:gridCol w:w="722"/>
        <w:gridCol w:w="5103"/>
        <w:gridCol w:w="3365"/>
      </w:tblGrid>
      <w:tr>
        <w:trPr>
          <w:trHeight w:val="385" w:hRule="atLeast"/>
        </w:trPr>
        <w:tc>
          <w:tcPr>
            <w:tcW w:w="505" w:type="dxa"/>
            <w:tcBorders>
              <w:top w:val="dotted" w:sz="12" w:space="0" w:color="218591"/>
            </w:tcBorders>
          </w:tcPr>
          <w:p>
            <w:pPr>
              <w:pStyle w:val="TableParagraph"/>
              <w:spacing w:before="121"/>
              <w:ind w:left="28"/>
              <w:rPr>
                <w:sz w:val="20"/>
              </w:rPr>
            </w:pPr>
            <w:r>
              <w:rPr>
                <w:spacing w:val="-4"/>
                <w:sz w:val="20"/>
              </w:rPr>
              <w:t>11.1</w:t>
            </w:r>
          </w:p>
        </w:tc>
        <w:tc>
          <w:tcPr>
            <w:tcW w:w="722" w:type="dxa"/>
            <w:tcBorders>
              <w:top w:val="dotted" w:sz="12" w:space="0" w:color="218591"/>
            </w:tcBorders>
          </w:tcPr>
          <w:p>
            <w:pPr>
              <w:pStyle w:val="TableParagraph"/>
              <w:spacing w:before="121"/>
              <w:ind w:left="13" w:right="110"/>
              <w:jc w:val="center"/>
              <w:rPr>
                <w:sz w:val="20"/>
              </w:rPr>
            </w:pPr>
            <w:r>
              <w:rPr>
                <w:spacing w:val="-4"/>
                <w:sz w:val="20"/>
              </w:rPr>
              <w:t>1080</w:t>
            </w:r>
          </w:p>
        </w:tc>
        <w:tc>
          <w:tcPr>
            <w:tcW w:w="5103" w:type="dxa"/>
            <w:tcBorders>
              <w:top w:val="dotted" w:sz="12" w:space="0" w:color="218591"/>
            </w:tcBorders>
          </w:tcPr>
          <w:p>
            <w:pPr>
              <w:pStyle w:val="TableParagraph"/>
              <w:rPr>
                <w:rFonts w:ascii="Times New Roman"/>
                <w:sz w:val="18"/>
              </w:rPr>
            </w:pPr>
          </w:p>
        </w:tc>
        <w:tc>
          <w:tcPr>
            <w:tcW w:w="3365" w:type="dxa"/>
            <w:tcBorders>
              <w:top w:val="dotted" w:sz="12" w:space="0" w:color="218591"/>
            </w:tcBorders>
          </w:tcPr>
          <w:p>
            <w:pPr>
              <w:pStyle w:val="TableParagraph"/>
              <w:spacing w:before="121"/>
              <w:ind w:right="35"/>
              <w:jc w:val="right"/>
              <w:rPr>
                <w:sz w:val="20"/>
              </w:rPr>
            </w:pPr>
            <w:r>
              <w:rPr>
                <w:spacing w:val="-5"/>
                <w:sz w:val="20"/>
              </w:rPr>
              <w:t>58</w:t>
            </w:r>
          </w:p>
        </w:tc>
      </w:tr>
      <w:tr>
        <w:trPr>
          <w:trHeight w:val="320" w:hRule="atLeast"/>
        </w:trPr>
        <w:tc>
          <w:tcPr>
            <w:tcW w:w="505" w:type="dxa"/>
          </w:tcPr>
          <w:p>
            <w:pPr>
              <w:pStyle w:val="TableParagraph"/>
              <w:rPr>
                <w:rFonts w:ascii="Times New Roman"/>
                <w:sz w:val="18"/>
              </w:rPr>
            </w:pPr>
          </w:p>
        </w:tc>
        <w:tc>
          <w:tcPr>
            <w:tcW w:w="722" w:type="dxa"/>
          </w:tcPr>
          <w:p>
            <w:pPr>
              <w:pStyle w:val="TableParagraph"/>
              <w:spacing w:before="26"/>
              <w:ind w:left="13"/>
              <w:jc w:val="center"/>
              <w:rPr>
                <w:sz w:val="20"/>
              </w:rPr>
            </w:pPr>
            <w:r>
              <w:rPr>
                <w:spacing w:val="-2"/>
                <w:sz w:val="20"/>
              </w:rPr>
              <w:t>11.1.1</w:t>
            </w:r>
          </w:p>
        </w:tc>
        <w:tc>
          <w:tcPr>
            <w:tcW w:w="5103" w:type="dxa"/>
          </w:tcPr>
          <w:p>
            <w:pPr>
              <w:pStyle w:val="TableParagraph"/>
              <w:spacing w:before="26"/>
              <w:ind w:left="78"/>
              <w:rPr>
                <w:sz w:val="20"/>
              </w:rPr>
            </w:pPr>
            <w:r>
              <w:rPr>
                <w:spacing w:val="-2"/>
                <w:sz w:val="20"/>
              </w:rPr>
              <w:t>Ground-based</w:t>
            </w:r>
            <w:r>
              <w:rPr>
                <w:spacing w:val="6"/>
                <w:sz w:val="20"/>
              </w:rPr>
              <w:t> </w:t>
            </w:r>
            <w:r>
              <w:rPr>
                <w:spacing w:val="-2"/>
                <w:sz w:val="20"/>
              </w:rPr>
              <w:t>baiting</w:t>
            </w:r>
          </w:p>
        </w:tc>
        <w:tc>
          <w:tcPr>
            <w:tcW w:w="3365" w:type="dxa"/>
          </w:tcPr>
          <w:p>
            <w:pPr>
              <w:pStyle w:val="TableParagraph"/>
              <w:spacing w:before="26"/>
              <w:ind w:right="35"/>
              <w:jc w:val="right"/>
              <w:rPr>
                <w:sz w:val="20"/>
              </w:rPr>
            </w:pPr>
            <w:r>
              <w:rPr>
                <w:spacing w:val="-5"/>
                <w:sz w:val="20"/>
              </w:rPr>
              <w:t>58</w:t>
            </w:r>
          </w:p>
        </w:tc>
      </w:tr>
      <w:tr>
        <w:trPr>
          <w:trHeight w:val="286" w:hRule="atLeast"/>
        </w:trPr>
        <w:tc>
          <w:tcPr>
            <w:tcW w:w="505" w:type="dxa"/>
          </w:tcPr>
          <w:p>
            <w:pPr>
              <w:pStyle w:val="TableParagraph"/>
              <w:rPr>
                <w:rFonts w:ascii="Times New Roman"/>
                <w:sz w:val="18"/>
              </w:rPr>
            </w:pPr>
          </w:p>
        </w:tc>
        <w:tc>
          <w:tcPr>
            <w:tcW w:w="722" w:type="dxa"/>
          </w:tcPr>
          <w:p>
            <w:pPr>
              <w:pStyle w:val="TableParagraph"/>
              <w:spacing w:line="210" w:lineRule="exact" w:before="56"/>
              <w:ind w:left="13"/>
              <w:jc w:val="center"/>
              <w:rPr>
                <w:sz w:val="20"/>
              </w:rPr>
            </w:pPr>
            <w:r>
              <w:rPr>
                <w:spacing w:val="-2"/>
                <w:sz w:val="20"/>
              </w:rPr>
              <w:t>11.1.2</w:t>
            </w:r>
          </w:p>
        </w:tc>
        <w:tc>
          <w:tcPr>
            <w:tcW w:w="5103" w:type="dxa"/>
          </w:tcPr>
          <w:p>
            <w:pPr>
              <w:pStyle w:val="TableParagraph"/>
              <w:spacing w:line="210" w:lineRule="exact" w:before="56"/>
              <w:ind w:left="78"/>
              <w:rPr>
                <w:sz w:val="20"/>
              </w:rPr>
            </w:pPr>
            <w:r>
              <w:rPr>
                <w:sz w:val="20"/>
              </w:rPr>
              <w:t>Aerial</w:t>
            </w:r>
            <w:r>
              <w:rPr>
                <w:spacing w:val="-9"/>
                <w:sz w:val="20"/>
              </w:rPr>
              <w:t> </w:t>
            </w:r>
            <w:r>
              <w:rPr>
                <w:spacing w:val="-2"/>
                <w:sz w:val="20"/>
              </w:rPr>
              <w:t>baiting</w:t>
            </w:r>
          </w:p>
        </w:tc>
        <w:tc>
          <w:tcPr>
            <w:tcW w:w="3365" w:type="dxa"/>
          </w:tcPr>
          <w:p>
            <w:pPr>
              <w:pStyle w:val="TableParagraph"/>
              <w:spacing w:line="210" w:lineRule="exact" w:before="56"/>
              <w:ind w:right="35"/>
              <w:jc w:val="right"/>
              <w:rPr>
                <w:sz w:val="20"/>
              </w:rPr>
            </w:pPr>
            <w:r>
              <w:rPr>
                <w:spacing w:val="-5"/>
                <w:sz w:val="20"/>
              </w:rPr>
              <w:t>58</w:t>
            </w:r>
          </w:p>
        </w:tc>
      </w:tr>
    </w:tbl>
    <w:p>
      <w:pPr>
        <w:pStyle w:val="ListParagraph"/>
        <w:numPr>
          <w:ilvl w:val="1"/>
          <w:numId w:val="6"/>
        </w:numPr>
        <w:tabs>
          <w:tab w:pos="876" w:val="left" w:leader="none"/>
          <w:tab w:pos="9720" w:val="left" w:leader="none"/>
        </w:tabs>
        <w:spacing w:line="240" w:lineRule="auto" w:before="107" w:after="0"/>
        <w:ind w:left="876" w:right="0" w:hanging="564"/>
        <w:jc w:val="left"/>
        <w:rPr>
          <w:sz w:val="20"/>
        </w:rPr>
      </w:pPr>
      <w:r>
        <w:rPr>
          <w:sz w:val="20"/>
        </w:rPr>
        <w:t>PAPP</w:t>
      </w:r>
      <w:r>
        <w:rPr>
          <w:spacing w:val="-6"/>
          <w:sz w:val="20"/>
        </w:rPr>
        <w:t> </w:t>
      </w:r>
      <w:r>
        <w:rPr>
          <w:spacing w:val="-2"/>
          <w:sz w:val="20"/>
        </w:rPr>
        <w:t>(DOGABAIT/CPEs)</w:t>
      </w:r>
      <w:r>
        <w:rPr>
          <w:sz w:val="20"/>
        </w:rPr>
        <w:tab/>
      </w:r>
      <w:r>
        <w:rPr>
          <w:spacing w:val="-5"/>
          <w:sz w:val="20"/>
        </w:rPr>
        <w:t>59</w:t>
      </w:r>
    </w:p>
    <w:p>
      <w:pPr>
        <w:pStyle w:val="ListParagraph"/>
        <w:numPr>
          <w:ilvl w:val="1"/>
          <w:numId w:val="6"/>
        </w:numPr>
        <w:tabs>
          <w:tab w:pos="876" w:val="left" w:leader="none"/>
          <w:tab w:pos="9720" w:val="left" w:leader="none"/>
        </w:tabs>
        <w:spacing w:line="240" w:lineRule="auto" w:before="58" w:after="0"/>
        <w:ind w:left="876" w:right="0" w:hanging="564"/>
        <w:jc w:val="left"/>
        <w:rPr>
          <w:sz w:val="20"/>
        </w:rPr>
      </w:pPr>
      <w:hyperlink w:history="true" w:anchor="_TOC_250031">
        <w:r>
          <w:rPr>
            <w:spacing w:val="-2"/>
            <w:sz w:val="20"/>
          </w:rPr>
          <w:t>Trapping</w:t>
        </w:r>
        <w:r>
          <w:rPr>
            <w:sz w:val="20"/>
          </w:rPr>
          <w:tab/>
        </w:r>
        <w:r>
          <w:rPr>
            <w:spacing w:val="-5"/>
            <w:sz w:val="20"/>
          </w:rPr>
          <w:t>59</w:t>
        </w:r>
      </w:hyperlink>
    </w:p>
    <w:p>
      <w:pPr>
        <w:pStyle w:val="ListParagraph"/>
        <w:numPr>
          <w:ilvl w:val="1"/>
          <w:numId w:val="6"/>
        </w:numPr>
        <w:tabs>
          <w:tab w:pos="876" w:val="left" w:leader="none"/>
          <w:tab w:pos="9720" w:val="left" w:leader="none"/>
        </w:tabs>
        <w:spacing w:line="240" w:lineRule="auto" w:before="60" w:after="0"/>
        <w:ind w:left="876" w:right="0" w:hanging="564"/>
        <w:jc w:val="left"/>
        <w:rPr>
          <w:sz w:val="20"/>
        </w:rPr>
      </w:pPr>
      <w:hyperlink w:history="true" w:anchor="_TOC_250030">
        <w:r>
          <w:rPr>
            <w:spacing w:val="-2"/>
            <w:sz w:val="20"/>
          </w:rPr>
          <w:t>Shooting</w:t>
        </w:r>
        <w:r>
          <w:rPr>
            <w:sz w:val="20"/>
          </w:rPr>
          <w:tab/>
        </w:r>
        <w:r>
          <w:rPr>
            <w:spacing w:val="-5"/>
            <w:sz w:val="20"/>
          </w:rPr>
          <w:t>60</w:t>
        </w:r>
      </w:hyperlink>
    </w:p>
    <w:p>
      <w:pPr>
        <w:pStyle w:val="ListParagraph"/>
        <w:numPr>
          <w:ilvl w:val="1"/>
          <w:numId w:val="6"/>
        </w:numPr>
        <w:tabs>
          <w:tab w:pos="876" w:val="left" w:leader="none"/>
          <w:tab w:pos="9720" w:val="left" w:leader="none"/>
        </w:tabs>
        <w:spacing w:line="240" w:lineRule="auto" w:before="61" w:after="0"/>
        <w:ind w:left="876" w:right="0" w:hanging="564"/>
        <w:jc w:val="left"/>
        <w:rPr>
          <w:sz w:val="20"/>
        </w:rPr>
      </w:pPr>
      <w:hyperlink w:history="true" w:anchor="_TOC_250029">
        <w:r>
          <w:rPr>
            <w:spacing w:val="-2"/>
            <w:sz w:val="20"/>
          </w:rPr>
          <w:t>Cost-effectiveness</w:t>
        </w:r>
        <w:r>
          <w:rPr>
            <w:sz w:val="20"/>
          </w:rPr>
          <w:tab/>
        </w:r>
        <w:r>
          <w:rPr>
            <w:spacing w:val="-5"/>
            <w:sz w:val="20"/>
          </w:rPr>
          <w:t>60</w:t>
        </w:r>
      </w:hyperlink>
    </w:p>
    <w:p>
      <w:pPr>
        <w:pStyle w:val="ListParagraph"/>
        <w:numPr>
          <w:ilvl w:val="0"/>
          <w:numId w:val="1"/>
        </w:numPr>
        <w:tabs>
          <w:tab w:pos="879" w:val="left" w:leader="none"/>
          <w:tab w:pos="9720" w:val="left" w:leader="none"/>
        </w:tabs>
        <w:spacing w:line="240" w:lineRule="auto" w:before="320" w:after="0"/>
        <w:ind w:left="312" w:right="163" w:firstLine="0"/>
        <w:jc w:val="left"/>
        <w:rPr>
          <w:b/>
          <w:sz w:val="20"/>
        </w:rPr>
      </w:pPr>
      <w:r>
        <w:rPr/>
        <mc:AlternateContent>
          <mc:Choice Requires="wps">
            <w:drawing>
              <wp:anchor distT="0" distB="0" distL="0" distR="0" allowOverlap="1" layoutInCell="1" locked="0" behindDoc="0" simplePos="0" relativeHeight="15738880">
                <wp:simplePos x="0" y="0"/>
                <wp:positionH relativeFrom="page">
                  <wp:posOffset>701040</wp:posOffset>
                </wp:positionH>
                <wp:positionV relativeFrom="paragraph">
                  <wp:posOffset>543427</wp:posOffset>
                </wp:positionV>
                <wp:extent cx="6158230" cy="127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880" from="55.200001pt,42.789589pt" to="540.100001pt,42.789589pt" stroked="true" strokeweight="1.44pt" strokecolor="#218591">
                <v:stroke dashstyle="shortdot"/>
                <w10:wrap type="none"/>
              </v:line>
            </w:pict>
          </mc:Fallback>
        </mc:AlternateContent>
      </w:r>
      <w:hyperlink w:history="true" w:anchor="_TOC_250028">
        <w:r>
          <w:rPr>
            <w:b/>
            <w:color w:val="001F5F"/>
            <w:sz w:val="20"/>
          </w:rPr>
          <w:t>Non-lethal methods for managing European Rabbits, Feral Pigs, Red Foxes, and Dingoes and Wild Dogs</w:t>
        </w:r>
        <w:r>
          <w:rPr>
            <w:b/>
            <w:color w:val="001F5F"/>
            <w:sz w:val="20"/>
          </w:rPr>
          <w:tab/>
        </w:r>
        <w:r>
          <w:rPr>
            <w:b/>
            <w:color w:val="001F5F"/>
            <w:spacing w:val="-6"/>
            <w:sz w:val="20"/>
          </w:rPr>
          <w:t>66</w:t>
        </w:r>
      </w:hyperlink>
    </w:p>
    <w:p>
      <w:pPr>
        <w:pStyle w:val="ListParagraph"/>
        <w:numPr>
          <w:ilvl w:val="1"/>
          <w:numId w:val="1"/>
        </w:numPr>
        <w:tabs>
          <w:tab w:pos="876" w:val="left" w:leader="none"/>
          <w:tab w:pos="9720" w:val="left" w:leader="none"/>
        </w:tabs>
        <w:spacing w:line="240" w:lineRule="auto" w:before="210" w:after="0"/>
        <w:ind w:left="876" w:right="0" w:hanging="564"/>
        <w:jc w:val="left"/>
        <w:rPr>
          <w:sz w:val="20"/>
        </w:rPr>
      </w:pPr>
      <w:hyperlink w:history="true" w:anchor="_TOC_250027">
        <w:r>
          <w:rPr>
            <w:sz w:val="20"/>
          </w:rPr>
          <w:t>Livestock</w:t>
        </w:r>
        <w:r>
          <w:rPr>
            <w:spacing w:val="-11"/>
            <w:sz w:val="20"/>
          </w:rPr>
          <w:t> </w:t>
        </w:r>
        <w:r>
          <w:rPr>
            <w:sz w:val="20"/>
          </w:rPr>
          <w:t>guardian</w:t>
        </w:r>
        <w:r>
          <w:rPr>
            <w:spacing w:val="-13"/>
            <w:sz w:val="20"/>
          </w:rPr>
          <w:t> </w:t>
        </w:r>
        <w:r>
          <w:rPr>
            <w:spacing w:val="-2"/>
            <w:sz w:val="20"/>
          </w:rPr>
          <w:t>animals</w:t>
        </w:r>
        <w:r>
          <w:rPr>
            <w:sz w:val="20"/>
          </w:rPr>
          <w:tab/>
        </w:r>
        <w:r>
          <w:rPr>
            <w:spacing w:val="-5"/>
            <w:sz w:val="20"/>
          </w:rPr>
          <w:t>67</w:t>
        </w:r>
      </w:hyperlink>
    </w:p>
    <w:p>
      <w:pPr>
        <w:pStyle w:val="BodyText"/>
        <w:spacing w:before="10"/>
        <w:rPr>
          <w:sz w:val="5"/>
        </w:rPr>
      </w:pPr>
    </w:p>
    <w:tbl>
      <w:tblPr>
        <w:tblW w:w="0" w:type="auto"/>
        <w:jc w:val="left"/>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9"/>
        <w:gridCol w:w="5170"/>
        <w:gridCol w:w="3260"/>
      </w:tblGrid>
      <w:tr>
        <w:trPr>
          <w:trHeight w:val="286" w:hRule="atLeast"/>
        </w:trPr>
        <w:tc>
          <w:tcPr>
            <w:tcW w:w="1299" w:type="dxa"/>
          </w:tcPr>
          <w:p>
            <w:pPr>
              <w:pStyle w:val="TableParagraph"/>
              <w:spacing w:line="223" w:lineRule="exact"/>
              <w:ind w:right="125"/>
              <w:jc w:val="right"/>
              <w:rPr>
                <w:sz w:val="20"/>
              </w:rPr>
            </w:pPr>
            <w:r>
              <w:rPr>
                <w:spacing w:val="-2"/>
                <w:sz w:val="20"/>
              </w:rPr>
              <w:t>12.1.1</w:t>
            </w:r>
          </w:p>
        </w:tc>
        <w:tc>
          <w:tcPr>
            <w:tcW w:w="5170" w:type="dxa"/>
          </w:tcPr>
          <w:p>
            <w:pPr>
              <w:pStyle w:val="TableParagraph"/>
              <w:spacing w:line="223" w:lineRule="exact"/>
              <w:ind w:left="28"/>
              <w:rPr>
                <w:sz w:val="20"/>
              </w:rPr>
            </w:pPr>
            <w:r>
              <w:rPr>
                <w:sz w:val="20"/>
              </w:rPr>
              <w:t>Livestock</w:t>
            </w:r>
            <w:r>
              <w:rPr>
                <w:spacing w:val="-11"/>
                <w:sz w:val="20"/>
              </w:rPr>
              <w:t> </w:t>
            </w:r>
            <w:r>
              <w:rPr>
                <w:sz w:val="20"/>
              </w:rPr>
              <w:t>guardian</w:t>
            </w:r>
            <w:r>
              <w:rPr>
                <w:spacing w:val="-13"/>
                <w:sz w:val="20"/>
              </w:rPr>
              <w:t> </w:t>
            </w:r>
            <w:r>
              <w:rPr>
                <w:spacing w:val="-4"/>
                <w:sz w:val="20"/>
              </w:rPr>
              <w:t>dogs</w:t>
            </w:r>
          </w:p>
        </w:tc>
        <w:tc>
          <w:tcPr>
            <w:tcW w:w="3260" w:type="dxa"/>
          </w:tcPr>
          <w:p>
            <w:pPr>
              <w:pStyle w:val="TableParagraph"/>
              <w:spacing w:line="223" w:lineRule="exact"/>
              <w:ind w:right="48"/>
              <w:jc w:val="right"/>
              <w:rPr>
                <w:sz w:val="20"/>
              </w:rPr>
            </w:pPr>
            <w:r>
              <w:rPr>
                <w:spacing w:val="-5"/>
                <w:sz w:val="20"/>
              </w:rPr>
              <w:t>67</w:t>
            </w:r>
          </w:p>
        </w:tc>
      </w:tr>
      <w:tr>
        <w:trPr>
          <w:trHeight w:val="350" w:hRule="atLeast"/>
        </w:trPr>
        <w:tc>
          <w:tcPr>
            <w:tcW w:w="1299" w:type="dxa"/>
          </w:tcPr>
          <w:p>
            <w:pPr>
              <w:pStyle w:val="TableParagraph"/>
              <w:spacing w:before="56"/>
              <w:ind w:right="125"/>
              <w:jc w:val="right"/>
              <w:rPr>
                <w:sz w:val="20"/>
              </w:rPr>
            </w:pPr>
            <w:r>
              <w:rPr>
                <w:spacing w:val="-2"/>
                <w:sz w:val="20"/>
              </w:rPr>
              <w:t>12.1.2</w:t>
            </w:r>
          </w:p>
        </w:tc>
        <w:tc>
          <w:tcPr>
            <w:tcW w:w="5170" w:type="dxa"/>
          </w:tcPr>
          <w:p>
            <w:pPr>
              <w:pStyle w:val="TableParagraph"/>
              <w:spacing w:before="56"/>
              <w:ind w:left="28"/>
              <w:rPr>
                <w:sz w:val="20"/>
              </w:rPr>
            </w:pPr>
            <w:r>
              <w:rPr>
                <w:sz w:val="20"/>
              </w:rPr>
              <w:t>Llamas</w:t>
            </w:r>
            <w:r>
              <w:rPr>
                <w:spacing w:val="-7"/>
                <w:sz w:val="20"/>
              </w:rPr>
              <w:t> </w:t>
            </w:r>
            <w:r>
              <w:rPr>
                <w:sz w:val="20"/>
              </w:rPr>
              <w:t>and</w:t>
            </w:r>
            <w:r>
              <w:rPr>
                <w:spacing w:val="-7"/>
                <w:sz w:val="20"/>
              </w:rPr>
              <w:t> </w:t>
            </w:r>
            <w:r>
              <w:rPr>
                <w:spacing w:val="-2"/>
                <w:sz w:val="20"/>
              </w:rPr>
              <w:t>Alpacas</w:t>
            </w:r>
          </w:p>
        </w:tc>
        <w:tc>
          <w:tcPr>
            <w:tcW w:w="3260" w:type="dxa"/>
          </w:tcPr>
          <w:p>
            <w:pPr>
              <w:pStyle w:val="TableParagraph"/>
              <w:spacing w:before="56"/>
              <w:ind w:right="48"/>
              <w:jc w:val="right"/>
              <w:rPr>
                <w:sz w:val="20"/>
              </w:rPr>
            </w:pPr>
            <w:r>
              <w:rPr>
                <w:spacing w:val="-5"/>
                <w:sz w:val="20"/>
              </w:rPr>
              <w:t>68</w:t>
            </w:r>
          </w:p>
        </w:tc>
      </w:tr>
      <w:tr>
        <w:trPr>
          <w:trHeight w:val="350" w:hRule="atLeast"/>
        </w:trPr>
        <w:tc>
          <w:tcPr>
            <w:tcW w:w="1299" w:type="dxa"/>
          </w:tcPr>
          <w:p>
            <w:pPr>
              <w:pStyle w:val="TableParagraph"/>
              <w:spacing w:before="56"/>
              <w:ind w:right="125"/>
              <w:jc w:val="right"/>
              <w:rPr>
                <w:sz w:val="20"/>
              </w:rPr>
            </w:pPr>
            <w:r>
              <w:rPr>
                <w:spacing w:val="-2"/>
                <w:sz w:val="20"/>
              </w:rPr>
              <w:t>12.1.3</w:t>
            </w:r>
          </w:p>
        </w:tc>
        <w:tc>
          <w:tcPr>
            <w:tcW w:w="5170" w:type="dxa"/>
          </w:tcPr>
          <w:p>
            <w:pPr>
              <w:pStyle w:val="TableParagraph"/>
              <w:spacing w:before="56"/>
              <w:ind w:left="28"/>
              <w:rPr>
                <w:sz w:val="20"/>
              </w:rPr>
            </w:pPr>
            <w:r>
              <w:rPr>
                <w:spacing w:val="-2"/>
                <w:sz w:val="20"/>
              </w:rPr>
              <w:t>Donkeys</w:t>
            </w:r>
          </w:p>
        </w:tc>
        <w:tc>
          <w:tcPr>
            <w:tcW w:w="3260" w:type="dxa"/>
          </w:tcPr>
          <w:p>
            <w:pPr>
              <w:pStyle w:val="TableParagraph"/>
              <w:spacing w:before="56"/>
              <w:ind w:right="48"/>
              <w:jc w:val="right"/>
              <w:rPr>
                <w:sz w:val="20"/>
              </w:rPr>
            </w:pPr>
            <w:r>
              <w:rPr>
                <w:spacing w:val="-5"/>
                <w:sz w:val="20"/>
              </w:rPr>
              <w:t>68</w:t>
            </w:r>
          </w:p>
        </w:tc>
      </w:tr>
      <w:tr>
        <w:trPr>
          <w:trHeight w:val="320" w:hRule="atLeast"/>
        </w:trPr>
        <w:tc>
          <w:tcPr>
            <w:tcW w:w="1299" w:type="dxa"/>
          </w:tcPr>
          <w:p>
            <w:pPr>
              <w:pStyle w:val="TableParagraph"/>
              <w:spacing w:before="56"/>
              <w:ind w:right="26"/>
              <w:jc w:val="right"/>
              <w:rPr>
                <w:sz w:val="20"/>
              </w:rPr>
            </w:pPr>
            <w:r>
              <w:rPr>
                <w:sz w:val="20"/>
              </w:rPr>
              <w:t>12.2</w:t>
            </w:r>
            <w:r>
              <w:rPr>
                <w:spacing w:val="30"/>
                <w:sz w:val="20"/>
              </w:rPr>
              <w:t>  </w:t>
            </w:r>
            <w:r>
              <w:rPr>
                <w:spacing w:val="-2"/>
                <w:sz w:val="20"/>
              </w:rPr>
              <w:t>Fences</w:t>
            </w:r>
          </w:p>
        </w:tc>
        <w:tc>
          <w:tcPr>
            <w:tcW w:w="5170" w:type="dxa"/>
          </w:tcPr>
          <w:p>
            <w:pPr>
              <w:pStyle w:val="TableParagraph"/>
              <w:rPr>
                <w:rFonts w:ascii="Times New Roman"/>
                <w:sz w:val="18"/>
              </w:rPr>
            </w:pPr>
          </w:p>
        </w:tc>
        <w:tc>
          <w:tcPr>
            <w:tcW w:w="3260" w:type="dxa"/>
          </w:tcPr>
          <w:p>
            <w:pPr>
              <w:pStyle w:val="TableParagraph"/>
              <w:spacing w:before="56"/>
              <w:ind w:right="48"/>
              <w:jc w:val="right"/>
              <w:rPr>
                <w:sz w:val="20"/>
              </w:rPr>
            </w:pPr>
            <w:r>
              <w:rPr>
                <w:spacing w:val="-5"/>
                <w:sz w:val="20"/>
              </w:rPr>
              <w:t>68</w:t>
            </w:r>
          </w:p>
        </w:tc>
      </w:tr>
      <w:tr>
        <w:trPr>
          <w:trHeight w:val="319" w:hRule="atLeast"/>
        </w:trPr>
        <w:tc>
          <w:tcPr>
            <w:tcW w:w="1299" w:type="dxa"/>
          </w:tcPr>
          <w:p>
            <w:pPr>
              <w:pStyle w:val="TableParagraph"/>
              <w:spacing w:before="26"/>
              <w:ind w:right="125"/>
              <w:jc w:val="right"/>
              <w:rPr>
                <w:sz w:val="20"/>
              </w:rPr>
            </w:pPr>
            <w:r>
              <w:rPr>
                <w:spacing w:val="-2"/>
                <w:sz w:val="20"/>
              </w:rPr>
              <w:t>12.2.1</w:t>
            </w:r>
          </w:p>
        </w:tc>
        <w:tc>
          <w:tcPr>
            <w:tcW w:w="5170" w:type="dxa"/>
          </w:tcPr>
          <w:p>
            <w:pPr>
              <w:pStyle w:val="TableParagraph"/>
              <w:spacing w:before="26"/>
              <w:ind w:left="28"/>
              <w:rPr>
                <w:sz w:val="20"/>
              </w:rPr>
            </w:pPr>
            <w:r>
              <w:rPr>
                <w:sz w:val="20"/>
              </w:rPr>
              <w:t>European</w:t>
            </w:r>
            <w:r>
              <w:rPr>
                <w:spacing w:val="-13"/>
                <w:sz w:val="20"/>
              </w:rPr>
              <w:t> </w:t>
            </w:r>
            <w:r>
              <w:rPr>
                <w:spacing w:val="-2"/>
                <w:sz w:val="20"/>
              </w:rPr>
              <w:t>Rabbits</w:t>
            </w:r>
          </w:p>
        </w:tc>
        <w:tc>
          <w:tcPr>
            <w:tcW w:w="3260" w:type="dxa"/>
          </w:tcPr>
          <w:p>
            <w:pPr>
              <w:pStyle w:val="TableParagraph"/>
              <w:spacing w:before="26"/>
              <w:ind w:right="48"/>
              <w:jc w:val="right"/>
              <w:rPr>
                <w:sz w:val="20"/>
              </w:rPr>
            </w:pPr>
            <w:r>
              <w:rPr>
                <w:spacing w:val="-5"/>
                <w:sz w:val="20"/>
              </w:rPr>
              <w:t>69</w:t>
            </w:r>
          </w:p>
        </w:tc>
      </w:tr>
      <w:tr>
        <w:trPr>
          <w:trHeight w:val="285" w:hRule="atLeast"/>
        </w:trPr>
        <w:tc>
          <w:tcPr>
            <w:tcW w:w="1299" w:type="dxa"/>
          </w:tcPr>
          <w:p>
            <w:pPr>
              <w:pStyle w:val="TableParagraph"/>
              <w:spacing w:line="210" w:lineRule="exact" w:before="55"/>
              <w:ind w:right="125"/>
              <w:jc w:val="right"/>
              <w:rPr>
                <w:sz w:val="20"/>
              </w:rPr>
            </w:pPr>
            <w:r>
              <w:rPr>
                <w:spacing w:val="-2"/>
                <w:sz w:val="20"/>
              </w:rPr>
              <w:t>12.2.2</w:t>
            </w:r>
          </w:p>
        </w:tc>
        <w:tc>
          <w:tcPr>
            <w:tcW w:w="5170" w:type="dxa"/>
          </w:tcPr>
          <w:p>
            <w:pPr>
              <w:pStyle w:val="TableParagraph"/>
              <w:spacing w:line="210" w:lineRule="exact" w:before="55"/>
              <w:ind w:left="28"/>
              <w:rPr>
                <w:sz w:val="20"/>
              </w:rPr>
            </w:pPr>
            <w:r>
              <w:rPr>
                <w:sz w:val="20"/>
              </w:rPr>
              <w:t>Feral</w:t>
            </w:r>
            <w:r>
              <w:rPr>
                <w:spacing w:val="-8"/>
                <w:sz w:val="20"/>
              </w:rPr>
              <w:t> </w:t>
            </w:r>
            <w:r>
              <w:rPr>
                <w:spacing w:val="-4"/>
                <w:sz w:val="20"/>
              </w:rPr>
              <w:t>Pigs</w:t>
            </w:r>
          </w:p>
        </w:tc>
        <w:tc>
          <w:tcPr>
            <w:tcW w:w="3260" w:type="dxa"/>
          </w:tcPr>
          <w:p>
            <w:pPr>
              <w:pStyle w:val="TableParagraph"/>
              <w:spacing w:line="210" w:lineRule="exact" w:before="55"/>
              <w:ind w:right="48"/>
              <w:jc w:val="right"/>
              <w:rPr>
                <w:sz w:val="20"/>
              </w:rPr>
            </w:pPr>
            <w:r>
              <w:rPr>
                <w:spacing w:val="-5"/>
                <w:sz w:val="20"/>
              </w:rPr>
              <w:t>69</w:t>
            </w:r>
          </w:p>
        </w:tc>
      </w:tr>
    </w:tbl>
    <w:p>
      <w:pPr>
        <w:spacing w:after="0" w:line="210" w:lineRule="exact"/>
        <w:jc w:val="right"/>
        <w:rPr>
          <w:sz w:val="20"/>
        </w:rPr>
        <w:sectPr>
          <w:type w:val="continuous"/>
          <w:pgSz w:w="11910" w:h="16850"/>
          <w:pgMar w:header="0" w:footer="688" w:top="1060" w:bottom="880" w:left="820" w:right="980"/>
        </w:sectPr>
      </w:pPr>
    </w:p>
    <w:p>
      <w:pPr>
        <w:pStyle w:val="ListParagraph"/>
        <w:numPr>
          <w:ilvl w:val="2"/>
          <w:numId w:val="7"/>
        </w:numPr>
        <w:tabs>
          <w:tab w:pos="1588" w:val="left" w:leader="none"/>
          <w:tab w:pos="9720" w:val="left" w:leader="none"/>
        </w:tabs>
        <w:spacing w:line="240" w:lineRule="auto" w:before="71" w:after="0"/>
        <w:ind w:left="1588" w:right="0" w:hanging="709"/>
        <w:jc w:val="left"/>
        <w:rPr>
          <w:sz w:val="20"/>
        </w:rPr>
      </w:pPr>
      <w:hyperlink w:history="true" w:anchor="_TOC_250026">
        <w:r>
          <w:rPr>
            <w:sz w:val="20"/>
          </w:rPr>
          <w:t>Red</w:t>
        </w:r>
        <w:r>
          <w:rPr>
            <w:spacing w:val="-8"/>
            <w:sz w:val="20"/>
          </w:rPr>
          <w:t> </w:t>
        </w:r>
        <w:r>
          <w:rPr>
            <w:spacing w:val="-4"/>
            <w:sz w:val="20"/>
          </w:rPr>
          <w:t>Foxes</w:t>
        </w:r>
        <w:r>
          <w:rPr>
            <w:sz w:val="20"/>
          </w:rPr>
          <w:tab/>
        </w:r>
        <w:r>
          <w:rPr>
            <w:spacing w:val="-5"/>
            <w:sz w:val="20"/>
          </w:rPr>
          <w:t>69</w:t>
        </w:r>
      </w:hyperlink>
    </w:p>
    <w:p>
      <w:pPr>
        <w:pStyle w:val="ListParagraph"/>
        <w:numPr>
          <w:ilvl w:val="2"/>
          <w:numId w:val="7"/>
        </w:numPr>
        <w:tabs>
          <w:tab w:pos="1588" w:val="left" w:leader="none"/>
          <w:tab w:pos="9720" w:val="left" w:leader="none"/>
        </w:tabs>
        <w:spacing w:line="240" w:lineRule="auto" w:before="121" w:after="0"/>
        <w:ind w:left="1588" w:right="0" w:hanging="709"/>
        <w:jc w:val="left"/>
        <w:rPr>
          <w:sz w:val="20"/>
        </w:rPr>
      </w:pPr>
      <w:hyperlink w:history="true" w:anchor="_TOC_250025">
        <w:r>
          <w:rPr>
            <w:sz w:val="20"/>
          </w:rPr>
          <w:t>Dingoes</w:t>
        </w:r>
        <w:r>
          <w:rPr>
            <w:spacing w:val="-7"/>
            <w:sz w:val="20"/>
          </w:rPr>
          <w:t> </w:t>
        </w:r>
        <w:r>
          <w:rPr>
            <w:sz w:val="20"/>
          </w:rPr>
          <w:t>and</w:t>
        </w:r>
        <w:r>
          <w:rPr>
            <w:spacing w:val="-7"/>
            <w:sz w:val="20"/>
          </w:rPr>
          <w:t> </w:t>
        </w:r>
        <w:r>
          <w:rPr>
            <w:sz w:val="20"/>
          </w:rPr>
          <w:t>Wild</w:t>
        </w:r>
        <w:r>
          <w:rPr>
            <w:spacing w:val="-6"/>
            <w:sz w:val="20"/>
          </w:rPr>
          <w:t> </w:t>
        </w:r>
        <w:r>
          <w:rPr>
            <w:spacing w:val="-4"/>
            <w:sz w:val="20"/>
          </w:rPr>
          <w:t>Dogs</w:t>
        </w:r>
        <w:r>
          <w:rPr>
            <w:sz w:val="20"/>
          </w:rPr>
          <w:tab/>
        </w:r>
        <w:r>
          <w:rPr>
            <w:spacing w:val="-5"/>
            <w:sz w:val="20"/>
          </w:rPr>
          <w:t>70</w:t>
        </w:r>
      </w:hyperlink>
    </w:p>
    <w:p>
      <w:pPr>
        <w:pStyle w:val="ListParagraph"/>
        <w:numPr>
          <w:ilvl w:val="1"/>
          <w:numId w:val="8"/>
        </w:numPr>
        <w:tabs>
          <w:tab w:pos="876" w:val="left" w:leader="none"/>
          <w:tab w:pos="9720" w:val="left" w:leader="none"/>
        </w:tabs>
        <w:spacing w:line="240" w:lineRule="auto" w:before="121" w:after="0"/>
        <w:ind w:left="876" w:right="0" w:hanging="564"/>
        <w:jc w:val="left"/>
        <w:rPr>
          <w:sz w:val="20"/>
        </w:rPr>
      </w:pPr>
      <w:hyperlink w:history="true" w:anchor="_TOC_250024">
        <w:r>
          <w:rPr>
            <w:sz w:val="20"/>
          </w:rPr>
          <w:t>Diversionary</w:t>
        </w:r>
        <w:r>
          <w:rPr>
            <w:spacing w:val="-13"/>
            <w:sz w:val="20"/>
          </w:rPr>
          <w:t> </w:t>
        </w:r>
        <w:r>
          <w:rPr>
            <w:spacing w:val="-2"/>
            <w:sz w:val="20"/>
          </w:rPr>
          <w:t>feeding</w:t>
        </w:r>
        <w:r>
          <w:rPr>
            <w:sz w:val="20"/>
          </w:rPr>
          <w:tab/>
        </w:r>
        <w:r>
          <w:rPr>
            <w:spacing w:val="-5"/>
            <w:sz w:val="20"/>
          </w:rPr>
          <w:t>70</w:t>
        </w:r>
      </w:hyperlink>
    </w:p>
    <w:p>
      <w:pPr>
        <w:pStyle w:val="ListParagraph"/>
        <w:numPr>
          <w:ilvl w:val="1"/>
          <w:numId w:val="8"/>
        </w:numPr>
        <w:tabs>
          <w:tab w:pos="876" w:val="left" w:leader="none"/>
          <w:tab w:pos="9720" w:val="left" w:leader="none"/>
        </w:tabs>
        <w:spacing w:line="240" w:lineRule="auto" w:before="60" w:after="0"/>
        <w:ind w:left="876" w:right="0" w:hanging="564"/>
        <w:jc w:val="left"/>
        <w:rPr>
          <w:sz w:val="20"/>
        </w:rPr>
      </w:pPr>
      <w:hyperlink w:history="true" w:anchor="_TOC_250023">
        <w:r>
          <w:rPr>
            <w:sz w:val="20"/>
          </w:rPr>
          <w:t>Livestock</w:t>
        </w:r>
        <w:r>
          <w:rPr>
            <w:spacing w:val="-11"/>
            <w:sz w:val="20"/>
          </w:rPr>
          <w:t> </w:t>
        </w:r>
        <w:r>
          <w:rPr>
            <w:spacing w:val="-2"/>
            <w:sz w:val="20"/>
          </w:rPr>
          <w:t>collars</w:t>
        </w:r>
        <w:r>
          <w:rPr>
            <w:sz w:val="20"/>
          </w:rPr>
          <w:tab/>
        </w:r>
        <w:r>
          <w:rPr>
            <w:spacing w:val="-5"/>
            <w:sz w:val="20"/>
          </w:rPr>
          <w:t>70</w:t>
        </w:r>
      </w:hyperlink>
    </w:p>
    <w:p>
      <w:pPr>
        <w:pStyle w:val="ListParagraph"/>
        <w:numPr>
          <w:ilvl w:val="1"/>
          <w:numId w:val="8"/>
        </w:numPr>
        <w:tabs>
          <w:tab w:pos="876" w:val="left" w:leader="none"/>
          <w:tab w:pos="9720" w:val="left" w:leader="none"/>
        </w:tabs>
        <w:spacing w:line="240" w:lineRule="auto" w:before="60" w:after="0"/>
        <w:ind w:left="876" w:right="0" w:hanging="564"/>
        <w:jc w:val="left"/>
        <w:rPr>
          <w:sz w:val="20"/>
        </w:rPr>
      </w:pPr>
      <w:hyperlink w:history="true" w:anchor="_TOC_250022">
        <w:r>
          <w:rPr>
            <w:spacing w:val="-2"/>
            <w:sz w:val="20"/>
          </w:rPr>
          <w:t>Repellents</w:t>
        </w:r>
        <w:r>
          <w:rPr>
            <w:sz w:val="20"/>
          </w:rPr>
          <w:tab/>
        </w:r>
        <w:r>
          <w:rPr>
            <w:spacing w:val="-5"/>
            <w:sz w:val="20"/>
          </w:rPr>
          <w:t>71</w:t>
        </w:r>
      </w:hyperlink>
    </w:p>
    <w:p>
      <w:pPr>
        <w:pStyle w:val="ListParagraph"/>
        <w:numPr>
          <w:ilvl w:val="0"/>
          <w:numId w:val="1"/>
        </w:numPr>
        <w:tabs>
          <w:tab w:pos="879" w:val="left" w:leader="none"/>
          <w:tab w:pos="9720" w:val="left" w:leader="none"/>
        </w:tabs>
        <w:spacing w:line="240" w:lineRule="auto" w:before="320" w:after="0"/>
        <w:ind w:left="312" w:right="163" w:firstLine="0"/>
        <w:jc w:val="left"/>
        <w:rPr>
          <w:b/>
          <w:sz w:val="20"/>
        </w:rPr>
      </w:pPr>
      <w:hyperlink w:history="true" w:anchor="_TOC_250021">
        <w:r>
          <w:rPr>
            <w:b/>
            <w:color w:val="001F5F"/>
            <w:sz w:val="20"/>
          </w:rPr>
          <w:t>Non-target impacts of lethal methods for managing European Rabbits, Feral Pigs, Red Foxes, and</w:t>
        </w:r>
        <w:r>
          <w:rPr>
            <w:b/>
            <w:color w:val="001F5F"/>
            <w:spacing w:val="-5"/>
            <w:sz w:val="20"/>
          </w:rPr>
          <w:t> </w:t>
        </w:r>
        <w:r>
          <w:rPr>
            <w:b/>
            <w:color w:val="001F5F"/>
            <w:sz w:val="20"/>
          </w:rPr>
          <w:t>Dingoes</w:t>
        </w:r>
        <w:r>
          <w:rPr>
            <w:b/>
            <w:color w:val="001F5F"/>
            <w:spacing w:val="-5"/>
            <w:sz w:val="20"/>
          </w:rPr>
          <w:t> </w:t>
        </w:r>
        <w:r>
          <w:rPr>
            <w:b/>
            <w:color w:val="001F5F"/>
            <w:sz w:val="20"/>
          </w:rPr>
          <w:t>and</w:t>
        </w:r>
        <w:r>
          <w:rPr>
            <w:b/>
            <w:color w:val="001F5F"/>
            <w:spacing w:val="-4"/>
            <w:sz w:val="20"/>
          </w:rPr>
          <w:t> </w:t>
        </w:r>
        <w:r>
          <w:rPr>
            <w:b/>
            <w:color w:val="001F5F"/>
            <w:sz w:val="20"/>
          </w:rPr>
          <w:t>Wild</w:t>
        </w:r>
        <w:r>
          <w:rPr>
            <w:b/>
            <w:color w:val="001F5F"/>
            <w:spacing w:val="-6"/>
            <w:sz w:val="20"/>
          </w:rPr>
          <w:t> </w:t>
        </w:r>
        <w:r>
          <w:rPr>
            <w:b/>
            <w:color w:val="001F5F"/>
            <w:spacing w:val="-4"/>
            <w:sz w:val="20"/>
          </w:rPr>
          <w:t>Dogs</w:t>
        </w:r>
        <w:r>
          <w:rPr>
            <w:b/>
            <w:color w:val="001F5F"/>
            <w:sz w:val="20"/>
          </w:rPr>
          <w:tab/>
        </w:r>
        <w:r>
          <w:rPr>
            <w:b/>
            <w:color w:val="001F5F"/>
            <w:spacing w:val="-5"/>
            <w:sz w:val="20"/>
          </w:rPr>
          <w:t>75</w:t>
        </w:r>
      </w:hyperlink>
    </w:p>
    <w:p>
      <w:pPr>
        <w:pStyle w:val="BodyText"/>
        <w:spacing w:before="6"/>
        <w:rPr>
          <w:b/>
          <w:sz w:val="6"/>
        </w:rPr>
      </w:pPr>
    </w:p>
    <w:tbl>
      <w:tblPr>
        <w:tblW w:w="0" w:type="auto"/>
        <w:jc w:val="left"/>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5"/>
        <w:gridCol w:w="794"/>
        <w:gridCol w:w="7288"/>
        <w:gridCol w:w="1110"/>
      </w:tblGrid>
      <w:tr>
        <w:trPr>
          <w:trHeight w:val="382" w:hRule="atLeast"/>
        </w:trPr>
        <w:tc>
          <w:tcPr>
            <w:tcW w:w="505" w:type="dxa"/>
            <w:tcBorders>
              <w:top w:val="dotted" w:sz="12" w:space="0" w:color="218591"/>
            </w:tcBorders>
          </w:tcPr>
          <w:p>
            <w:pPr>
              <w:pStyle w:val="TableParagraph"/>
              <w:spacing w:before="119"/>
              <w:ind w:left="28"/>
              <w:rPr>
                <w:sz w:val="20"/>
              </w:rPr>
            </w:pPr>
            <w:r>
              <w:rPr>
                <w:spacing w:val="-4"/>
                <w:sz w:val="20"/>
              </w:rPr>
              <w:t>13.1</w:t>
            </w:r>
          </w:p>
        </w:tc>
        <w:tc>
          <w:tcPr>
            <w:tcW w:w="794" w:type="dxa"/>
            <w:tcBorders>
              <w:top w:val="dotted" w:sz="12" w:space="0" w:color="218591"/>
            </w:tcBorders>
          </w:tcPr>
          <w:p>
            <w:pPr>
              <w:pStyle w:val="TableParagraph"/>
              <w:spacing w:before="119"/>
              <w:ind w:left="90"/>
              <w:rPr>
                <w:sz w:val="20"/>
              </w:rPr>
            </w:pPr>
            <w:r>
              <w:rPr>
                <w:spacing w:val="-2"/>
                <w:sz w:val="20"/>
              </w:rPr>
              <w:t>Impacts</w:t>
            </w:r>
          </w:p>
        </w:tc>
        <w:tc>
          <w:tcPr>
            <w:tcW w:w="7288" w:type="dxa"/>
            <w:tcBorders>
              <w:top w:val="dotted" w:sz="12" w:space="0" w:color="218591"/>
            </w:tcBorders>
          </w:tcPr>
          <w:p>
            <w:pPr>
              <w:pStyle w:val="TableParagraph"/>
              <w:spacing w:before="119"/>
              <w:ind w:left="49"/>
              <w:rPr>
                <w:sz w:val="20"/>
              </w:rPr>
            </w:pPr>
            <w:r>
              <w:rPr>
                <w:sz w:val="20"/>
              </w:rPr>
              <w:t>of</w:t>
            </w:r>
            <w:r>
              <w:rPr>
                <w:spacing w:val="-5"/>
                <w:sz w:val="20"/>
              </w:rPr>
              <w:t> </w:t>
            </w:r>
            <w:r>
              <w:rPr>
                <w:sz w:val="20"/>
              </w:rPr>
              <w:t>toxic</w:t>
            </w:r>
            <w:r>
              <w:rPr>
                <w:spacing w:val="-6"/>
                <w:sz w:val="20"/>
              </w:rPr>
              <w:t> </w:t>
            </w:r>
            <w:r>
              <w:rPr>
                <w:sz w:val="20"/>
              </w:rPr>
              <w:t>bait</w:t>
            </w:r>
            <w:r>
              <w:rPr>
                <w:spacing w:val="-5"/>
                <w:sz w:val="20"/>
              </w:rPr>
              <w:t> </w:t>
            </w:r>
            <w:r>
              <w:rPr>
                <w:sz w:val="20"/>
              </w:rPr>
              <w:t>on</w:t>
            </w:r>
            <w:r>
              <w:rPr>
                <w:spacing w:val="-5"/>
                <w:sz w:val="20"/>
              </w:rPr>
              <w:t> </w:t>
            </w:r>
            <w:r>
              <w:rPr>
                <w:sz w:val="20"/>
              </w:rPr>
              <w:t>non-target</w:t>
            </w:r>
            <w:r>
              <w:rPr>
                <w:spacing w:val="-7"/>
                <w:sz w:val="20"/>
              </w:rPr>
              <w:t> </w:t>
            </w:r>
            <w:r>
              <w:rPr>
                <w:sz w:val="20"/>
              </w:rPr>
              <w:t>species</w:t>
            </w:r>
            <w:r>
              <w:rPr>
                <w:spacing w:val="-6"/>
                <w:sz w:val="20"/>
              </w:rPr>
              <w:t> </w:t>
            </w:r>
            <w:r>
              <w:rPr>
                <w:sz w:val="20"/>
              </w:rPr>
              <w:t>(1080,</w:t>
            </w:r>
            <w:r>
              <w:rPr>
                <w:spacing w:val="-4"/>
                <w:sz w:val="20"/>
              </w:rPr>
              <w:t> </w:t>
            </w:r>
            <w:r>
              <w:rPr>
                <w:sz w:val="20"/>
              </w:rPr>
              <w:t>PAPP,</w:t>
            </w:r>
            <w:r>
              <w:rPr>
                <w:spacing w:val="-7"/>
                <w:sz w:val="20"/>
              </w:rPr>
              <w:t> </w:t>
            </w:r>
            <w:r>
              <w:rPr>
                <w:sz w:val="20"/>
              </w:rPr>
              <w:t>sodium</w:t>
            </w:r>
            <w:r>
              <w:rPr>
                <w:spacing w:val="-7"/>
                <w:sz w:val="20"/>
              </w:rPr>
              <w:t> </w:t>
            </w:r>
            <w:r>
              <w:rPr>
                <w:sz w:val="20"/>
              </w:rPr>
              <w:t>nitrite,</w:t>
            </w:r>
            <w:r>
              <w:rPr>
                <w:spacing w:val="-6"/>
                <w:sz w:val="20"/>
              </w:rPr>
              <w:t> </w:t>
            </w:r>
            <w:r>
              <w:rPr>
                <w:spacing w:val="-2"/>
                <w:sz w:val="20"/>
              </w:rPr>
              <w:t>pindone)</w:t>
            </w:r>
          </w:p>
        </w:tc>
        <w:tc>
          <w:tcPr>
            <w:tcW w:w="1110" w:type="dxa"/>
            <w:tcBorders>
              <w:top w:val="dotted" w:sz="12" w:space="0" w:color="218591"/>
            </w:tcBorders>
          </w:tcPr>
          <w:p>
            <w:pPr>
              <w:pStyle w:val="TableParagraph"/>
              <w:spacing w:before="119"/>
              <w:ind w:right="37"/>
              <w:jc w:val="right"/>
              <w:rPr>
                <w:sz w:val="20"/>
              </w:rPr>
            </w:pPr>
            <w:r>
              <w:rPr>
                <w:spacing w:val="-5"/>
                <w:sz w:val="20"/>
              </w:rPr>
              <w:t>75</w:t>
            </w:r>
          </w:p>
        </w:tc>
      </w:tr>
      <w:tr>
        <w:trPr>
          <w:trHeight w:val="320" w:hRule="atLeast"/>
        </w:trPr>
        <w:tc>
          <w:tcPr>
            <w:tcW w:w="505" w:type="dxa"/>
          </w:tcPr>
          <w:p>
            <w:pPr>
              <w:pStyle w:val="TableParagraph"/>
              <w:rPr>
                <w:rFonts w:ascii="Times New Roman"/>
                <w:sz w:val="18"/>
              </w:rPr>
            </w:pPr>
          </w:p>
        </w:tc>
        <w:tc>
          <w:tcPr>
            <w:tcW w:w="794" w:type="dxa"/>
          </w:tcPr>
          <w:p>
            <w:pPr>
              <w:pStyle w:val="TableParagraph"/>
              <w:spacing w:before="26"/>
              <w:ind w:left="90"/>
              <w:rPr>
                <w:sz w:val="20"/>
              </w:rPr>
            </w:pPr>
            <w:r>
              <w:rPr>
                <w:spacing w:val="-2"/>
                <w:sz w:val="20"/>
              </w:rPr>
              <w:t>13.1.1</w:t>
            </w:r>
          </w:p>
        </w:tc>
        <w:tc>
          <w:tcPr>
            <w:tcW w:w="7288" w:type="dxa"/>
          </w:tcPr>
          <w:p>
            <w:pPr>
              <w:pStyle w:val="TableParagraph"/>
              <w:spacing w:before="26"/>
              <w:ind w:left="6"/>
              <w:rPr>
                <w:sz w:val="20"/>
              </w:rPr>
            </w:pPr>
            <w:r>
              <w:rPr>
                <w:sz w:val="20"/>
              </w:rPr>
              <w:t>European</w:t>
            </w:r>
            <w:r>
              <w:rPr>
                <w:spacing w:val="-13"/>
                <w:sz w:val="20"/>
              </w:rPr>
              <w:t> </w:t>
            </w:r>
            <w:r>
              <w:rPr>
                <w:spacing w:val="-2"/>
                <w:sz w:val="20"/>
              </w:rPr>
              <w:t>Rabbits</w:t>
            </w:r>
          </w:p>
        </w:tc>
        <w:tc>
          <w:tcPr>
            <w:tcW w:w="1110" w:type="dxa"/>
          </w:tcPr>
          <w:p>
            <w:pPr>
              <w:pStyle w:val="TableParagraph"/>
              <w:spacing w:before="26"/>
              <w:ind w:right="37"/>
              <w:jc w:val="right"/>
              <w:rPr>
                <w:sz w:val="20"/>
              </w:rPr>
            </w:pPr>
            <w:r>
              <w:rPr>
                <w:spacing w:val="-5"/>
                <w:sz w:val="20"/>
              </w:rPr>
              <w:t>75</w:t>
            </w:r>
          </w:p>
        </w:tc>
      </w:tr>
      <w:tr>
        <w:trPr>
          <w:trHeight w:val="350" w:hRule="atLeast"/>
        </w:trPr>
        <w:tc>
          <w:tcPr>
            <w:tcW w:w="505" w:type="dxa"/>
          </w:tcPr>
          <w:p>
            <w:pPr>
              <w:pStyle w:val="TableParagraph"/>
              <w:rPr>
                <w:rFonts w:ascii="Times New Roman"/>
                <w:sz w:val="18"/>
              </w:rPr>
            </w:pPr>
          </w:p>
        </w:tc>
        <w:tc>
          <w:tcPr>
            <w:tcW w:w="794" w:type="dxa"/>
          </w:tcPr>
          <w:p>
            <w:pPr>
              <w:pStyle w:val="TableParagraph"/>
              <w:spacing w:before="56"/>
              <w:ind w:left="90"/>
              <w:rPr>
                <w:sz w:val="20"/>
              </w:rPr>
            </w:pPr>
            <w:r>
              <w:rPr>
                <w:spacing w:val="-2"/>
                <w:sz w:val="20"/>
              </w:rPr>
              <w:t>13.1.2</w:t>
            </w:r>
          </w:p>
        </w:tc>
        <w:tc>
          <w:tcPr>
            <w:tcW w:w="7288" w:type="dxa"/>
          </w:tcPr>
          <w:p>
            <w:pPr>
              <w:pStyle w:val="TableParagraph"/>
              <w:spacing w:before="56"/>
              <w:ind w:left="6"/>
              <w:rPr>
                <w:sz w:val="20"/>
              </w:rPr>
            </w:pPr>
            <w:r>
              <w:rPr>
                <w:sz w:val="20"/>
              </w:rPr>
              <w:t>Feral</w:t>
            </w:r>
            <w:r>
              <w:rPr>
                <w:spacing w:val="-8"/>
                <w:sz w:val="20"/>
              </w:rPr>
              <w:t> </w:t>
            </w:r>
            <w:r>
              <w:rPr>
                <w:spacing w:val="-4"/>
                <w:sz w:val="20"/>
              </w:rPr>
              <w:t>Pigs</w:t>
            </w:r>
          </w:p>
        </w:tc>
        <w:tc>
          <w:tcPr>
            <w:tcW w:w="1110" w:type="dxa"/>
          </w:tcPr>
          <w:p>
            <w:pPr>
              <w:pStyle w:val="TableParagraph"/>
              <w:spacing w:before="56"/>
              <w:ind w:right="37"/>
              <w:jc w:val="right"/>
              <w:rPr>
                <w:sz w:val="20"/>
              </w:rPr>
            </w:pPr>
            <w:r>
              <w:rPr>
                <w:spacing w:val="-5"/>
                <w:sz w:val="20"/>
              </w:rPr>
              <w:t>75</w:t>
            </w:r>
          </w:p>
        </w:tc>
      </w:tr>
      <w:tr>
        <w:trPr>
          <w:trHeight w:val="349" w:hRule="atLeast"/>
        </w:trPr>
        <w:tc>
          <w:tcPr>
            <w:tcW w:w="505" w:type="dxa"/>
          </w:tcPr>
          <w:p>
            <w:pPr>
              <w:pStyle w:val="TableParagraph"/>
              <w:rPr>
                <w:rFonts w:ascii="Times New Roman"/>
                <w:sz w:val="18"/>
              </w:rPr>
            </w:pPr>
          </w:p>
        </w:tc>
        <w:tc>
          <w:tcPr>
            <w:tcW w:w="794" w:type="dxa"/>
          </w:tcPr>
          <w:p>
            <w:pPr>
              <w:pStyle w:val="TableParagraph"/>
              <w:spacing w:before="56"/>
              <w:ind w:left="90"/>
              <w:rPr>
                <w:sz w:val="20"/>
              </w:rPr>
            </w:pPr>
            <w:r>
              <w:rPr>
                <w:spacing w:val="-2"/>
                <w:sz w:val="20"/>
              </w:rPr>
              <w:t>13.1.3</w:t>
            </w:r>
          </w:p>
        </w:tc>
        <w:tc>
          <w:tcPr>
            <w:tcW w:w="7288" w:type="dxa"/>
          </w:tcPr>
          <w:p>
            <w:pPr>
              <w:pStyle w:val="TableParagraph"/>
              <w:spacing w:before="56"/>
              <w:ind w:left="6"/>
              <w:rPr>
                <w:sz w:val="20"/>
              </w:rPr>
            </w:pPr>
            <w:r>
              <w:rPr>
                <w:sz w:val="20"/>
              </w:rPr>
              <w:t>Dingoes</w:t>
            </w:r>
            <w:r>
              <w:rPr>
                <w:spacing w:val="-6"/>
                <w:sz w:val="20"/>
              </w:rPr>
              <w:t> </w:t>
            </w:r>
            <w:r>
              <w:rPr>
                <w:sz w:val="20"/>
              </w:rPr>
              <w:t>and</w:t>
            </w:r>
            <w:r>
              <w:rPr>
                <w:spacing w:val="-6"/>
                <w:sz w:val="20"/>
              </w:rPr>
              <w:t> </w:t>
            </w:r>
            <w:r>
              <w:rPr>
                <w:sz w:val="20"/>
              </w:rPr>
              <w:t>Wild</w:t>
            </w:r>
            <w:r>
              <w:rPr>
                <w:spacing w:val="-5"/>
                <w:sz w:val="20"/>
              </w:rPr>
              <w:t> </w:t>
            </w:r>
            <w:r>
              <w:rPr>
                <w:sz w:val="20"/>
              </w:rPr>
              <w:t>Dogs,</w:t>
            </w:r>
            <w:r>
              <w:rPr>
                <w:spacing w:val="-5"/>
                <w:sz w:val="20"/>
              </w:rPr>
              <w:t> </w:t>
            </w:r>
            <w:r>
              <w:rPr>
                <w:sz w:val="20"/>
              </w:rPr>
              <w:t>and</w:t>
            </w:r>
            <w:r>
              <w:rPr>
                <w:spacing w:val="-6"/>
                <w:sz w:val="20"/>
              </w:rPr>
              <w:t> </w:t>
            </w:r>
            <w:r>
              <w:rPr>
                <w:sz w:val="20"/>
              </w:rPr>
              <w:t>Red</w:t>
            </w:r>
            <w:r>
              <w:rPr>
                <w:spacing w:val="-5"/>
                <w:sz w:val="20"/>
              </w:rPr>
              <w:t> </w:t>
            </w:r>
            <w:r>
              <w:rPr>
                <w:spacing w:val="-4"/>
                <w:sz w:val="20"/>
              </w:rPr>
              <w:t>Foxes</w:t>
            </w:r>
          </w:p>
        </w:tc>
        <w:tc>
          <w:tcPr>
            <w:tcW w:w="1110" w:type="dxa"/>
          </w:tcPr>
          <w:p>
            <w:pPr>
              <w:pStyle w:val="TableParagraph"/>
              <w:spacing w:before="56"/>
              <w:ind w:right="37"/>
              <w:jc w:val="right"/>
              <w:rPr>
                <w:sz w:val="20"/>
              </w:rPr>
            </w:pPr>
            <w:r>
              <w:rPr>
                <w:spacing w:val="-5"/>
                <w:sz w:val="20"/>
              </w:rPr>
              <w:t>76</w:t>
            </w:r>
          </w:p>
        </w:tc>
      </w:tr>
      <w:tr>
        <w:trPr>
          <w:trHeight w:val="285" w:hRule="atLeast"/>
        </w:trPr>
        <w:tc>
          <w:tcPr>
            <w:tcW w:w="505" w:type="dxa"/>
          </w:tcPr>
          <w:p>
            <w:pPr>
              <w:pStyle w:val="TableParagraph"/>
              <w:rPr>
                <w:rFonts w:ascii="Times New Roman"/>
                <w:sz w:val="18"/>
              </w:rPr>
            </w:pPr>
          </w:p>
        </w:tc>
        <w:tc>
          <w:tcPr>
            <w:tcW w:w="794" w:type="dxa"/>
          </w:tcPr>
          <w:p>
            <w:pPr>
              <w:pStyle w:val="TableParagraph"/>
              <w:spacing w:line="210" w:lineRule="exact" w:before="55"/>
              <w:ind w:left="90"/>
              <w:rPr>
                <w:sz w:val="20"/>
              </w:rPr>
            </w:pPr>
            <w:r>
              <w:rPr>
                <w:spacing w:val="-2"/>
                <w:sz w:val="20"/>
              </w:rPr>
              <w:t>13.1.4</w:t>
            </w:r>
          </w:p>
        </w:tc>
        <w:tc>
          <w:tcPr>
            <w:tcW w:w="7288" w:type="dxa"/>
          </w:tcPr>
          <w:p>
            <w:pPr>
              <w:pStyle w:val="TableParagraph"/>
              <w:spacing w:line="210" w:lineRule="exact" w:before="55"/>
              <w:ind w:left="6"/>
              <w:rPr>
                <w:sz w:val="20"/>
              </w:rPr>
            </w:pPr>
            <w:r>
              <w:rPr>
                <w:sz w:val="20"/>
              </w:rPr>
              <w:t>Risk</w:t>
            </w:r>
            <w:r>
              <w:rPr>
                <w:spacing w:val="-6"/>
                <w:sz w:val="20"/>
              </w:rPr>
              <w:t> </w:t>
            </w:r>
            <w:r>
              <w:rPr>
                <w:sz w:val="20"/>
              </w:rPr>
              <w:t>of</w:t>
            </w:r>
            <w:r>
              <w:rPr>
                <w:spacing w:val="-7"/>
                <w:sz w:val="20"/>
              </w:rPr>
              <w:t> </w:t>
            </w:r>
            <w:r>
              <w:rPr>
                <w:sz w:val="20"/>
              </w:rPr>
              <w:t>secondary</w:t>
            </w:r>
            <w:r>
              <w:rPr>
                <w:spacing w:val="-6"/>
                <w:sz w:val="20"/>
              </w:rPr>
              <w:t> </w:t>
            </w:r>
            <w:r>
              <w:rPr>
                <w:spacing w:val="-2"/>
                <w:sz w:val="20"/>
              </w:rPr>
              <w:t>poisoning</w:t>
            </w:r>
          </w:p>
        </w:tc>
        <w:tc>
          <w:tcPr>
            <w:tcW w:w="1110" w:type="dxa"/>
          </w:tcPr>
          <w:p>
            <w:pPr>
              <w:pStyle w:val="TableParagraph"/>
              <w:spacing w:line="210" w:lineRule="exact" w:before="55"/>
              <w:ind w:right="37"/>
              <w:jc w:val="right"/>
              <w:rPr>
                <w:sz w:val="20"/>
              </w:rPr>
            </w:pPr>
            <w:r>
              <w:rPr>
                <w:spacing w:val="-5"/>
                <w:sz w:val="20"/>
              </w:rPr>
              <w:t>77</w:t>
            </w:r>
          </w:p>
        </w:tc>
      </w:tr>
    </w:tbl>
    <w:p>
      <w:pPr>
        <w:pStyle w:val="ListParagraph"/>
        <w:numPr>
          <w:ilvl w:val="1"/>
          <w:numId w:val="9"/>
        </w:numPr>
        <w:tabs>
          <w:tab w:pos="876" w:val="left" w:leader="none"/>
          <w:tab w:pos="9720" w:val="left" w:leader="none"/>
        </w:tabs>
        <w:spacing w:line="240" w:lineRule="auto" w:before="109" w:after="0"/>
        <w:ind w:left="876" w:right="0" w:hanging="564"/>
        <w:jc w:val="left"/>
        <w:rPr>
          <w:sz w:val="20"/>
        </w:rPr>
      </w:pPr>
      <w:r>
        <w:rPr>
          <w:sz w:val="20"/>
        </w:rPr>
        <w:t>Livestock</w:t>
      </w:r>
      <w:r>
        <w:rPr>
          <w:spacing w:val="-11"/>
          <w:sz w:val="20"/>
        </w:rPr>
        <w:t> </w:t>
      </w:r>
      <w:r>
        <w:rPr>
          <w:sz w:val="20"/>
        </w:rPr>
        <w:t>guardian</w:t>
      </w:r>
      <w:r>
        <w:rPr>
          <w:spacing w:val="-13"/>
          <w:sz w:val="20"/>
        </w:rPr>
        <w:t> </w:t>
      </w:r>
      <w:r>
        <w:rPr>
          <w:spacing w:val="-2"/>
          <w:sz w:val="20"/>
        </w:rPr>
        <w:t>animals</w:t>
      </w:r>
      <w:r>
        <w:rPr>
          <w:sz w:val="20"/>
        </w:rPr>
        <w:tab/>
      </w:r>
      <w:r>
        <w:rPr>
          <w:spacing w:val="-5"/>
          <w:sz w:val="20"/>
        </w:rPr>
        <w:t>78</w:t>
      </w:r>
    </w:p>
    <w:p>
      <w:pPr>
        <w:pStyle w:val="ListParagraph"/>
        <w:numPr>
          <w:ilvl w:val="1"/>
          <w:numId w:val="9"/>
        </w:numPr>
        <w:tabs>
          <w:tab w:pos="876" w:val="left" w:leader="none"/>
          <w:tab w:pos="9720" w:val="left" w:leader="none"/>
        </w:tabs>
        <w:spacing w:line="240" w:lineRule="auto" w:before="60" w:after="0"/>
        <w:ind w:left="876" w:right="0" w:hanging="564"/>
        <w:jc w:val="left"/>
        <w:rPr>
          <w:sz w:val="20"/>
        </w:rPr>
      </w:pPr>
      <w:hyperlink w:history="true" w:anchor="_TOC_250020">
        <w:r>
          <w:rPr>
            <w:spacing w:val="-2"/>
            <w:sz w:val="20"/>
          </w:rPr>
          <w:t>Shooting</w:t>
        </w:r>
        <w:r>
          <w:rPr>
            <w:sz w:val="20"/>
          </w:rPr>
          <w:tab/>
        </w:r>
        <w:r>
          <w:rPr>
            <w:spacing w:val="-5"/>
            <w:sz w:val="20"/>
          </w:rPr>
          <w:t>78</w:t>
        </w:r>
      </w:hyperlink>
    </w:p>
    <w:p>
      <w:pPr>
        <w:pStyle w:val="ListParagraph"/>
        <w:numPr>
          <w:ilvl w:val="1"/>
          <w:numId w:val="9"/>
        </w:numPr>
        <w:tabs>
          <w:tab w:pos="876" w:val="left" w:leader="none"/>
          <w:tab w:pos="9720" w:val="left" w:leader="none"/>
        </w:tabs>
        <w:spacing w:line="240" w:lineRule="auto" w:before="61" w:after="0"/>
        <w:ind w:left="876" w:right="0" w:hanging="564"/>
        <w:jc w:val="left"/>
        <w:rPr>
          <w:sz w:val="20"/>
        </w:rPr>
      </w:pPr>
      <w:hyperlink w:history="true" w:anchor="_TOC_250019">
        <w:r>
          <w:rPr>
            <w:sz w:val="20"/>
          </w:rPr>
          <w:t>Den</w:t>
        </w:r>
        <w:r>
          <w:rPr>
            <w:spacing w:val="-7"/>
            <w:sz w:val="20"/>
          </w:rPr>
          <w:t> </w:t>
        </w:r>
        <w:r>
          <w:rPr>
            <w:sz w:val="20"/>
          </w:rPr>
          <w:t>and</w:t>
        </w:r>
        <w:r>
          <w:rPr>
            <w:spacing w:val="-6"/>
            <w:sz w:val="20"/>
          </w:rPr>
          <w:t> </w:t>
        </w:r>
        <w:r>
          <w:rPr>
            <w:sz w:val="20"/>
          </w:rPr>
          <w:t>warren</w:t>
        </w:r>
        <w:r>
          <w:rPr>
            <w:spacing w:val="-7"/>
            <w:sz w:val="20"/>
          </w:rPr>
          <w:t> </w:t>
        </w:r>
        <w:r>
          <w:rPr>
            <w:spacing w:val="-2"/>
            <w:sz w:val="20"/>
          </w:rPr>
          <w:t>fumigations</w:t>
        </w:r>
        <w:r>
          <w:rPr>
            <w:sz w:val="20"/>
          </w:rPr>
          <w:tab/>
        </w:r>
        <w:r>
          <w:rPr>
            <w:spacing w:val="-5"/>
            <w:sz w:val="20"/>
          </w:rPr>
          <w:t>79</w:t>
        </w:r>
      </w:hyperlink>
    </w:p>
    <w:p>
      <w:pPr>
        <w:pStyle w:val="ListParagraph"/>
        <w:numPr>
          <w:ilvl w:val="1"/>
          <w:numId w:val="9"/>
        </w:numPr>
        <w:tabs>
          <w:tab w:pos="876" w:val="left" w:leader="none"/>
          <w:tab w:pos="9720" w:val="left" w:leader="none"/>
        </w:tabs>
        <w:spacing w:line="240" w:lineRule="auto" w:before="60" w:after="0"/>
        <w:ind w:left="876" w:right="0" w:hanging="564"/>
        <w:jc w:val="left"/>
        <w:rPr>
          <w:sz w:val="20"/>
        </w:rPr>
      </w:pPr>
      <w:hyperlink w:history="true" w:anchor="_TOC_250018">
        <w:r>
          <w:rPr>
            <w:sz w:val="20"/>
          </w:rPr>
          <w:t>Canid</w:t>
        </w:r>
        <w:r>
          <w:rPr>
            <w:spacing w:val="-9"/>
            <w:sz w:val="20"/>
          </w:rPr>
          <w:t> </w:t>
        </w:r>
        <w:r>
          <w:rPr>
            <w:sz w:val="20"/>
          </w:rPr>
          <w:t>pest</w:t>
        </w:r>
        <w:r>
          <w:rPr>
            <w:spacing w:val="-6"/>
            <w:sz w:val="20"/>
          </w:rPr>
          <w:t> </w:t>
        </w:r>
        <w:r>
          <w:rPr>
            <w:spacing w:val="-2"/>
            <w:sz w:val="20"/>
          </w:rPr>
          <w:t>ejectors</w:t>
        </w:r>
        <w:r>
          <w:rPr>
            <w:sz w:val="20"/>
          </w:rPr>
          <w:tab/>
        </w:r>
        <w:r>
          <w:rPr>
            <w:spacing w:val="-7"/>
            <w:sz w:val="20"/>
          </w:rPr>
          <w:t>79</w:t>
        </w:r>
      </w:hyperlink>
    </w:p>
    <w:p>
      <w:pPr>
        <w:pStyle w:val="ListParagraph"/>
        <w:numPr>
          <w:ilvl w:val="0"/>
          <w:numId w:val="1"/>
        </w:numPr>
        <w:tabs>
          <w:tab w:pos="879" w:val="left" w:leader="none"/>
          <w:tab w:pos="9720" w:val="left" w:leader="none"/>
        </w:tabs>
        <w:spacing w:line="240" w:lineRule="auto" w:before="320" w:after="0"/>
        <w:ind w:left="312" w:right="163" w:firstLine="0"/>
        <w:jc w:val="left"/>
        <w:rPr>
          <w:b/>
          <w:sz w:val="20"/>
        </w:rPr>
      </w:pPr>
      <w:r>
        <w:rPr/>
        <mc:AlternateContent>
          <mc:Choice Requires="wps">
            <w:drawing>
              <wp:anchor distT="0" distB="0" distL="0" distR="0" allowOverlap="1" layoutInCell="1" locked="0" behindDoc="0" simplePos="0" relativeHeight="15739392">
                <wp:simplePos x="0" y="0"/>
                <wp:positionH relativeFrom="page">
                  <wp:posOffset>701040</wp:posOffset>
                </wp:positionH>
                <wp:positionV relativeFrom="paragraph">
                  <wp:posOffset>517411</wp:posOffset>
                </wp:positionV>
                <wp:extent cx="615823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55.200001pt,40.741035pt" to="540.100001pt,40.741035pt" stroked="true" strokeweight="1.44pt" strokecolor="#218591">
                <v:stroke dashstyle="shortdot"/>
                <w10:wrap type="none"/>
              </v:line>
            </w:pict>
          </mc:Fallback>
        </mc:AlternateContent>
      </w:r>
      <w:hyperlink w:history="true" w:anchor="_TOC_250017">
        <w:r>
          <w:rPr>
            <w:b/>
            <w:color w:val="001F5F"/>
            <w:sz w:val="20"/>
          </w:rPr>
          <w:t>Cultural and social considerations of managing European Rabbits, Feral Pigs, Red Foxes and Dingoes</w:t>
        </w:r>
        <w:r>
          <w:rPr>
            <w:b/>
            <w:color w:val="001F5F"/>
            <w:spacing w:val="-8"/>
            <w:sz w:val="20"/>
          </w:rPr>
          <w:t> </w:t>
        </w:r>
        <w:r>
          <w:rPr>
            <w:b/>
            <w:color w:val="001F5F"/>
            <w:sz w:val="20"/>
          </w:rPr>
          <w:t>and</w:t>
        </w:r>
        <w:r>
          <w:rPr>
            <w:b/>
            <w:color w:val="001F5F"/>
            <w:spacing w:val="-4"/>
            <w:sz w:val="20"/>
          </w:rPr>
          <w:t> </w:t>
        </w:r>
        <w:r>
          <w:rPr>
            <w:b/>
            <w:color w:val="001F5F"/>
            <w:sz w:val="20"/>
          </w:rPr>
          <w:t>Wild</w:t>
        </w:r>
        <w:r>
          <w:rPr>
            <w:b/>
            <w:color w:val="001F5F"/>
            <w:spacing w:val="-7"/>
            <w:sz w:val="20"/>
          </w:rPr>
          <w:t> </w:t>
        </w:r>
        <w:r>
          <w:rPr>
            <w:b/>
            <w:color w:val="001F5F"/>
            <w:spacing w:val="-4"/>
            <w:sz w:val="20"/>
          </w:rPr>
          <w:t>Dogs</w:t>
        </w:r>
        <w:r>
          <w:rPr>
            <w:b/>
            <w:color w:val="001F5F"/>
            <w:sz w:val="20"/>
          </w:rPr>
          <w:tab/>
        </w:r>
        <w:r>
          <w:rPr>
            <w:b/>
            <w:color w:val="001F5F"/>
            <w:spacing w:val="-5"/>
            <w:sz w:val="20"/>
          </w:rPr>
          <w:t>81</w:t>
        </w:r>
      </w:hyperlink>
    </w:p>
    <w:p>
      <w:pPr>
        <w:pStyle w:val="ListParagraph"/>
        <w:numPr>
          <w:ilvl w:val="0"/>
          <w:numId w:val="1"/>
        </w:numPr>
        <w:tabs>
          <w:tab w:pos="879" w:val="left" w:leader="none"/>
          <w:tab w:pos="9720" w:val="left" w:leader="none"/>
        </w:tabs>
        <w:spacing w:line="240" w:lineRule="auto" w:before="70" w:after="0"/>
        <w:ind w:left="312" w:right="163" w:firstLine="0"/>
        <w:jc w:val="left"/>
        <w:rPr>
          <w:b/>
          <w:sz w:val="20"/>
        </w:rPr>
      </w:pPr>
      <w:r>
        <w:rPr/>
        <mc:AlternateContent>
          <mc:Choice Requires="wps">
            <w:drawing>
              <wp:anchor distT="0" distB="0" distL="0" distR="0" allowOverlap="1" layoutInCell="1" locked="0" behindDoc="0" simplePos="0" relativeHeight="15739904">
                <wp:simplePos x="0" y="0"/>
                <wp:positionH relativeFrom="page">
                  <wp:posOffset>701040</wp:posOffset>
                </wp:positionH>
                <wp:positionV relativeFrom="paragraph">
                  <wp:posOffset>384847</wp:posOffset>
                </wp:positionV>
                <wp:extent cx="6158230" cy="12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55.200001pt,30.302988pt" to="540.100001pt,30.302988pt" stroked="true" strokeweight="1.44pt" strokecolor="#218591">
                <v:stroke dashstyle="shortdot"/>
                <w10:wrap type="none"/>
              </v:line>
            </w:pict>
          </mc:Fallback>
        </mc:AlternateContent>
      </w:r>
      <w:hyperlink w:history="true" w:anchor="_TOC_250016">
        <w:r>
          <w:rPr>
            <w:b/>
            <w:color w:val="001F5F"/>
            <w:sz w:val="20"/>
          </w:rPr>
          <w:t>Humaneness and animal welfare issues when managing European Rabbits, Feral Pigs, Red Foxes,</w:t>
        </w:r>
        <w:r>
          <w:rPr>
            <w:b/>
            <w:color w:val="001F5F"/>
            <w:spacing w:val="-5"/>
            <w:sz w:val="20"/>
          </w:rPr>
          <w:t> </w:t>
        </w:r>
        <w:r>
          <w:rPr>
            <w:b/>
            <w:color w:val="001F5F"/>
            <w:sz w:val="20"/>
          </w:rPr>
          <w:t>and</w:t>
        </w:r>
        <w:r>
          <w:rPr>
            <w:b/>
            <w:color w:val="001F5F"/>
            <w:spacing w:val="-6"/>
            <w:sz w:val="20"/>
          </w:rPr>
          <w:t> </w:t>
        </w:r>
        <w:r>
          <w:rPr>
            <w:b/>
            <w:color w:val="001F5F"/>
            <w:sz w:val="20"/>
          </w:rPr>
          <w:t>Dingoes</w:t>
        </w:r>
        <w:r>
          <w:rPr>
            <w:b/>
            <w:color w:val="001F5F"/>
            <w:spacing w:val="-6"/>
            <w:sz w:val="20"/>
          </w:rPr>
          <w:t> </w:t>
        </w:r>
        <w:r>
          <w:rPr>
            <w:b/>
            <w:color w:val="001F5F"/>
            <w:sz w:val="20"/>
          </w:rPr>
          <w:t>and</w:t>
        </w:r>
        <w:r>
          <w:rPr>
            <w:b/>
            <w:color w:val="001F5F"/>
            <w:spacing w:val="-3"/>
            <w:sz w:val="20"/>
          </w:rPr>
          <w:t> </w:t>
        </w:r>
        <w:r>
          <w:rPr>
            <w:b/>
            <w:color w:val="001F5F"/>
            <w:sz w:val="20"/>
          </w:rPr>
          <w:t>Wild</w:t>
        </w:r>
        <w:r>
          <w:rPr>
            <w:b/>
            <w:color w:val="001F5F"/>
            <w:spacing w:val="-7"/>
            <w:sz w:val="20"/>
          </w:rPr>
          <w:t> </w:t>
        </w:r>
        <w:r>
          <w:rPr>
            <w:b/>
            <w:color w:val="001F5F"/>
            <w:spacing w:val="-4"/>
            <w:sz w:val="20"/>
          </w:rPr>
          <w:t>Dogs</w:t>
        </w:r>
        <w:r>
          <w:rPr>
            <w:b/>
            <w:color w:val="001F5F"/>
            <w:sz w:val="20"/>
          </w:rPr>
          <w:tab/>
        </w:r>
        <w:r>
          <w:rPr>
            <w:b/>
            <w:color w:val="001F5F"/>
            <w:spacing w:val="-5"/>
            <w:sz w:val="20"/>
          </w:rPr>
          <w:t>82</w:t>
        </w:r>
      </w:hyperlink>
    </w:p>
    <w:p>
      <w:pPr>
        <w:pStyle w:val="ListParagraph"/>
        <w:numPr>
          <w:ilvl w:val="1"/>
          <w:numId w:val="1"/>
        </w:numPr>
        <w:tabs>
          <w:tab w:pos="876" w:val="left" w:leader="none"/>
          <w:tab w:pos="9720" w:val="left" w:leader="none"/>
        </w:tabs>
        <w:spacing w:line="240" w:lineRule="auto" w:before="210" w:after="0"/>
        <w:ind w:left="876" w:right="0" w:hanging="564"/>
        <w:jc w:val="left"/>
        <w:rPr>
          <w:sz w:val="20"/>
        </w:rPr>
      </w:pPr>
      <w:hyperlink w:history="true" w:anchor="_TOC_250015">
        <w:r>
          <w:rPr>
            <w:sz w:val="20"/>
          </w:rPr>
          <w:t>Toxic</w:t>
        </w:r>
        <w:r>
          <w:rPr>
            <w:spacing w:val="-7"/>
            <w:sz w:val="20"/>
          </w:rPr>
          <w:t> </w:t>
        </w:r>
        <w:r>
          <w:rPr>
            <w:spacing w:val="-2"/>
            <w:sz w:val="20"/>
          </w:rPr>
          <w:t>baiting</w:t>
        </w:r>
        <w:r>
          <w:rPr>
            <w:sz w:val="20"/>
          </w:rPr>
          <w:tab/>
        </w:r>
        <w:r>
          <w:rPr>
            <w:spacing w:val="-5"/>
            <w:sz w:val="20"/>
          </w:rPr>
          <w:t>84</w:t>
        </w:r>
      </w:hyperlink>
    </w:p>
    <w:p>
      <w:pPr>
        <w:pStyle w:val="BodyText"/>
        <w:spacing w:before="10"/>
        <w:rPr>
          <w:sz w:val="5"/>
        </w:rPr>
      </w:pPr>
    </w:p>
    <w:tbl>
      <w:tblPr>
        <w:tblW w:w="0" w:type="auto"/>
        <w:jc w:val="left"/>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7"/>
        <w:gridCol w:w="723"/>
        <w:gridCol w:w="6166"/>
        <w:gridCol w:w="2315"/>
      </w:tblGrid>
      <w:tr>
        <w:trPr>
          <w:trHeight w:val="285" w:hRule="atLeast"/>
        </w:trPr>
        <w:tc>
          <w:tcPr>
            <w:tcW w:w="1250" w:type="dxa"/>
            <w:gridSpan w:val="2"/>
          </w:tcPr>
          <w:p>
            <w:pPr>
              <w:pStyle w:val="TableParagraph"/>
              <w:spacing w:line="223" w:lineRule="exact"/>
              <w:ind w:left="616"/>
              <w:rPr>
                <w:sz w:val="20"/>
              </w:rPr>
            </w:pPr>
            <w:r>
              <w:rPr>
                <w:spacing w:val="-2"/>
                <w:sz w:val="20"/>
              </w:rPr>
              <w:t>15.1.1</w:t>
            </w:r>
          </w:p>
        </w:tc>
        <w:tc>
          <w:tcPr>
            <w:tcW w:w="6166" w:type="dxa"/>
          </w:tcPr>
          <w:p>
            <w:pPr>
              <w:pStyle w:val="TableParagraph"/>
              <w:spacing w:line="223" w:lineRule="exact"/>
              <w:ind w:left="77"/>
              <w:rPr>
                <w:sz w:val="20"/>
              </w:rPr>
            </w:pPr>
            <w:r>
              <w:rPr>
                <w:spacing w:val="-4"/>
                <w:sz w:val="20"/>
              </w:rPr>
              <w:t>1080</w:t>
            </w:r>
          </w:p>
        </w:tc>
        <w:tc>
          <w:tcPr>
            <w:tcW w:w="2315" w:type="dxa"/>
          </w:tcPr>
          <w:p>
            <w:pPr>
              <w:pStyle w:val="TableParagraph"/>
              <w:spacing w:line="223" w:lineRule="exact"/>
              <w:ind w:right="50"/>
              <w:jc w:val="right"/>
              <w:rPr>
                <w:sz w:val="20"/>
              </w:rPr>
            </w:pPr>
            <w:r>
              <w:rPr>
                <w:spacing w:val="-5"/>
                <w:sz w:val="20"/>
              </w:rPr>
              <w:t>84</w:t>
            </w:r>
          </w:p>
        </w:tc>
      </w:tr>
      <w:tr>
        <w:trPr>
          <w:trHeight w:val="349" w:hRule="atLeast"/>
        </w:trPr>
        <w:tc>
          <w:tcPr>
            <w:tcW w:w="1250" w:type="dxa"/>
            <w:gridSpan w:val="2"/>
          </w:tcPr>
          <w:p>
            <w:pPr>
              <w:pStyle w:val="TableParagraph"/>
              <w:spacing w:before="55"/>
              <w:ind w:left="616"/>
              <w:rPr>
                <w:sz w:val="20"/>
              </w:rPr>
            </w:pPr>
            <w:r>
              <w:rPr>
                <w:spacing w:val="-2"/>
                <w:sz w:val="20"/>
              </w:rPr>
              <w:t>15.1.2</w:t>
            </w:r>
          </w:p>
        </w:tc>
        <w:tc>
          <w:tcPr>
            <w:tcW w:w="6166" w:type="dxa"/>
          </w:tcPr>
          <w:p>
            <w:pPr>
              <w:pStyle w:val="TableParagraph"/>
              <w:spacing w:before="55"/>
              <w:ind w:left="77"/>
              <w:rPr>
                <w:sz w:val="20"/>
              </w:rPr>
            </w:pPr>
            <w:r>
              <w:rPr>
                <w:spacing w:val="-4"/>
                <w:sz w:val="20"/>
              </w:rPr>
              <w:t>PAPP</w:t>
            </w:r>
          </w:p>
        </w:tc>
        <w:tc>
          <w:tcPr>
            <w:tcW w:w="2315" w:type="dxa"/>
          </w:tcPr>
          <w:p>
            <w:pPr>
              <w:pStyle w:val="TableParagraph"/>
              <w:spacing w:before="55"/>
              <w:ind w:right="50"/>
              <w:jc w:val="right"/>
              <w:rPr>
                <w:sz w:val="20"/>
              </w:rPr>
            </w:pPr>
            <w:r>
              <w:rPr>
                <w:spacing w:val="-5"/>
                <w:sz w:val="20"/>
              </w:rPr>
              <w:t>84</w:t>
            </w:r>
          </w:p>
        </w:tc>
      </w:tr>
      <w:tr>
        <w:trPr>
          <w:trHeight w:val="350" w:hRule="atLeast"/>
        </w:trPr>
        <w:tc>
          <w:tcPr>
            <w:tcW w:w="1250" w:type="dxa"/>
            <w:gridSpan w:val="2"/>
          </w:tcPr>
          <w:p>
            <w:pPr>
              <w:pStyle w:val="TableParagraph"/>
              <w:spacing w:before="57"/>
              <w:ind w:left="616"/>
              <w:rPr>
                <w:sz w:val="20"/>
              </w:rPr>
            </w:pPr>
            <w:r>
              <w:rPr>
                <w:spacing w:val="-2"/>
                <w:sz w:val="20"/>
              </w:rPr>
              <w:t>15.1.3</w:t>
            </w:r>
          </w:p>
        </w:tc>
        <w:tc>
          <w:tcPr>
            <w:tcW w:w="6166" w:type="dxa"/>
          </w:tcPr>
          <w:p>
            <w:pPr>
              <w:pStyle w:val="TableParagraph"/>
              <w:spacing w:before="57"/>
              <w:ind w:left="77"/>
              <w:rPr>
                <w:sz w:val="20"/>
              </w:rPr>
            </w:pPr>
            <w:r>
              <w:rPr>
                <w:sz w:val="20"/>
              </w:rPr>
              <w:t>Sodium</w:t>
            </w:r>
            <w:r>
              <w:rPr>
                <w:spacing w:val="-10"/>
                <w:sz w:val="20"/>
              </w:rPr>
              <w:t> </w:t>
            </w:r>
            <w:r>
              <w:rPr>
                <w:spacing w:val="-2"/>
                <w:sz w:val="20"/>
              </w:rPr>
              <w:t>nitrite</w:t>
            </w:r>
          </w:p>
        </w:tc>
        <w:tc>
          <w:tcPr>
            <w:tcW w:w="2315" w:type="dxa"/>
          </w:tcPr>
          <w:p>
            <w:pPr>
              <w:pStyle w:val="TableParagraph"/>
              <w:spacing w:before="57"/>
              <w:ind w:right="50"/>
              <w:jc w:val="right"/>
              <w:rPr>
                <w:sz w:val="20"/>
              </w:rPr>
            </w:pPr>
            <w:r>
              <w:rPr>
                <w:spacing w:val="-5"/>
                <w:sz w:val="20"/>
              </w:rPr>
              <w:t>85</w:t>
            </w:r>
          </w:p>
        </w:tc>
      </w:tr>
      <w:tr>
        <w:trPr>
          <w:trHeight w:val="286" w:hRule="atLeast"/>
        </w:trPr>
        <w:tc>
          <w:tcPr>
            <w:tcW w:w="1250" w:type="dxa"/>
            <w:gridSpan w:val="2"/>
          </w:tcPr>
          <w:p>
            <w:pPr>
              <w:pStyle w:val="TableParagraph"/>
              <w:spacing w:line="210" w:lineRule="exact" w:before="56"/>
              <w:ind w:left="616"/>
              <w:rPr>
                <w:sz w:val="20"/>
              </w:rPr>
            </w:pPr>
            <w:r>
              <w:rPr>
                <w:spacing w:val="-2"/>
                <w:sz w:val="20"/>
              </w:rPr>
              <w:t>15.1.4</w:t>
            </w:r>
          </w:p>
        </w:tc>
        <w:tc>
          <w:tcPr>
            <w:tcW w:w="6166" w:type="dxa"/>
          </w:tcPr>
          <w:p>
            <w:pPr>
              <w:pStyle w:val="TableParagraph"/>
              <w:spacing w:line="210" w:lineRule="exact" w:before="56"/>
              <w:ind w:left="77"/>
              <w:rPr>
                <w:sz w:val="20"/>
              </w:rPr>
            </w:pPr>
            <w:r>
              <w:rPr>
                <w:spacing w:val="-2"/>
                <w:sz w:val="20"/>
              </w:rPr>
              <w:t>Pindone</w:t>
            </w:r>
          </w:p>
        </w:tc>
        <w:tc>
          <w:tcPr>
            <w:tcW w:w="2315" w:type="dxa"/>
          </w:tcPr>
          <w:p>
            <w:pPr>
              <w:pStyle w:val="TableParagraph"/>
              <w:spacing w:line="210" w:lineRule="exact" w:before="56"/>
              <w:ind w:right="50"/>
              <w:jc w:val="right"/>
              <w:rPr>
                <w:sz w:val="20"/>
              </w:rPr>
            </w:pPr>
            <w:r>
              <w:rPr>
                <w:spacing w:val="-5"/>
                <w:sz w:val="20"/>
              </w:rPr>
              <w:t>85</w:t>
            </w:r>
          </w:p>
        </w:tc>
      </w:tr>
      <w:tr>
        <w:trPr>
          <w:trHeight w:val="384" w:hRule="atLeast"/>
        </w:trPr>
        <w:tc>
          <w:tcPr>
            <w:tcW w:w="527" w:type="dxa"/>
          </w:tcPr>
          <w:p>
            <w:pPr>
              <w:pStyle w:val="TableParagraph"/>
              <w:spacing w:before="120"/>
              <w:ind w:right="38"/>
              <w:jc w:val="center"/>
              <w:rPr>
                <w:sz w:val="20"/>
              </w:rPr>
            </w:pPr>
            <w:r>
              <w:rPr>
                <w:spacing w:val="-4"/>
                <w:sz w:val="20"/>
              </w:rPr>
              <w:t>15.2</w:t>
            </w:r>
          </w:p>
        </w:tc>
        <w:tc>
          <w:tcPr>
            <w:tcW w:w="6889" w:type="dxa"/>
            <w:gridSpan w:val="2"/>
          </w:tcPr>
          <w:p>
            <w:pPr>
              <w:pStyle w:val="TableParagraph"/>
              <w:spacing w:before="120"/>
              <w:ind w:left="89"/>
              <w:rPr>
                <w:sz w:val="20"/>
              </w:rPr>
            </w:pPr>
            <w:r>
              <w:rPr>
                <w:sz w:val="20"/>
              </w:rPr>
              <w:t>Den</w:t>
            </w:r>
            <w:r>
              <w:rPr>
                <w:spacing w:val="-7"/>
                <w:sz w:val="20"/>
              </w:rPr>
              <w:t> </w:t>
            </w:r>
            <w:r>
              <w:rPr>
                <w:sz w:val="20"/>
              </w:rPr>
              <w:t>and</w:t>
            </w:r>
            <w:r>
              <w:rPr>
                <w:spacing w:val="-6"/>
                <w:sz w:val="20"/>
              </w:rPr>
              <w:t> </w:t>
            </w:r>
            <w:r>
              <w:rPr>
                <w:sz w:val="20"/>
              </w:rPr>
              <w:t>warren</w:t>
            </w:r>
            <w:r>
              <w:rPr>
                <w:spacing w:val="-7"/>
                <w:sz w:val="20"/>
              </w:rPr>
              <w:t> </w:t>
            </w:r>
            <w:r>
              <w:rPr>
                <w:spacing w:val="-2"/>
                <w:sz w:val="20"/>
              </w:rPr>
              <w:t>fumigation</w:t>
            </w:r>
          </w:p>
        </w:tc>
        <w:tc>
          <w:tcPr>
            <w:tcW w:w="2315" w:type="dxa"/>
          </w:tcPr>
          <w:p>
            <w:pPr>
              <w:pStyle w:val="TableParagraph"/>
              <w:spacing w:before="120"/>
              <w:ind w:right="50"/>
              <w:jc w:val="right"/>
              <w:rPr>
                <w:sz w:val="20"/>
              </w:rPr>
            </w:pPr>
            <w:r>
              <w:rPr>
                <w:spacing w:val="-5"/>
                <w:sz w:val="20"/>
              </w:rPr>
              <w:t>85</w:t>
            </w:r>
          </w:p>
        </w:tc>
      </w:tr>
      <w:tr>
        <w:trPr>
          <w:trHeight w:val="320" w:hRule="atLeast"/>
        </w:trPr>
        <w:tc>
          <w:tcPr>
            <w:tcW w:w="527" w:type="dxa"/>
          </w:tcPr>
          <w:p>
            <w:pPr>
              <w:pStyle w:val="TableParagraph"/>
              <w:rPr>
                <w:rFonts w:ascii="Times New Roman"/>
                <w:sz w:val="18"/>
              </w:rPr>
            </w:pPr>
          </w:p>
        </w:tc>
        <w:tc>
          <w:tcPr>
            <w:tcW w:w="6889" w:type="dxa"/>
            <w:gridSpan w:val="2"/>
          </w:tcPr>
          <w:p>
            <w:pPr>
              <w:pStyle w:val="TableParagraph"/>
              <w:spacing w:before="26"/>
              <w:ind w:left="89"/>
              <w:rPr>
                <w:sz w:val="20"/>
              </w:rPr>
            </w:pPr>
            <w:r>
              <w:rPr>
                <w:sz w:val="20"/>
              </w:rPr>
              <w:t>15.2.1</w:t>
            </w:r>
            <w:r>
              <w:rPr>
                <w:spacing w:val="56"/>
                <w:w w:val="150"/>
                <w:sz w:val="20"/>
              </w:rPr>
              <w:t> </w:t>
            </w:r>
            <w:r>
              <w:rPr>
                <w:sz w:val="20"/>
              </w:rPr>
              <w:t>Phosphine</w:t>
            </w:r>
            <w:r>
              <w:rPr>
                <w:spacing w:val="-7"/>
                <w:sz w:val="20"/>
              </w:rPr>
              <w:t> </w:t>
            </w:r>
            <w:r>
              <w:rPr>
                <w:sz w:val="20"/>
              </w:rPr>
              <w:t>(rabbit</w:t>
            </w:r>
            <w:r>
              <w:rPr>
                <w:spacing w:val="-5"/>
                <w:sz w:val="20"/>
              </w:rPr>
              <w:t> </w:t>
            </w:r>
            <w:r>
              <w:rPr>
                <w:spacing w:val="-2"/>
                <w:sz w:val="20"/>
              </w:rPr>
              <w:t>warrens)</w:t>
            </w:r>
          </w:p>
        </w:tc>
        <w:tc>
          <w:tcPr>
            <w:tcW w:w="2315" w:type="dxa"/>
          </w:tcPr>
          <w:p>
            <w:pPr>
              <w:pStyle w:val="TableParagraph"/>
              <w:spacing w:before="26"/>
              <w:ind w:right="50"/>
              <w:jc w:val="right"/>
              <w:rPr>
                <w:sz w:val="20"/>
              </w:rPr>
            </w:pPr>
            <w:r>
              <w:rPr>
                <w:spacing w:val="-5"/>
                <w:sz w:val="20"/>
              </w:rPr>
              <w:t>86</w:t>
            </w:r>
          </w:p>
        </w:tc>
      </w:tr>
      <w:tr>
        <w:trPr>
          <w:trHeight w:val="349" w:hRule="atLeast"/>
        </w:trPr>
        <w:tc>
          <w:tcPr>
            <w:tcW w:w="527" w:type="dxa"/>
          </w:tcPr>
          <w:p>
            <w:pPr>
              <w:pStyle w:val="TableParagraph"/>
              <w:rPr>
                <w:rFonts w:ascii="Times New Roman"/>
                <w:sz w:val="18"/>
              </w:rPr>
            </w:pPr>
          </w:p>
        </w:tc>
        <w:tc>
          <w:tcPr>
            <w:tcW w:w="6889" w:type="dxa"/>
            <w:gridSpan w:val="2"/>
          </w:tcPr>
          <w:p>
            <w:pPr>
              <w:pStyle w:val="TableParagraph"/>
              <w:spacing w:before="56"/>
              <w:ind w:left="89"/>
              <w:rPr>
                <w:sz w:val="20"/>
              </w:rPr>
            </w:pPr>
            <w:r>
              <w:rPr>
                <w:sz w:val="20"/>
              </w:rPr>
              <w:t>15.2.2</w:t>
            </w:r>
            <w:r>
              <w:rPr>
                <w:spacing w:val="55"/>
                <w:w w:val="150"/>
                <w:sz w:val="20"/>
              </w:rPr>
              <w:t> </w:t>
            </w:r>
            <w:r>
              <w:rPr>
                <w:sz w:val="20"/>
              </w:rPr>
              <w:t>Chloropicrin</w:t>
            </w:r>
            <w:r>
              <w:rPr>
                <w:spacing w:val="-6"/>
                <w:sz w:val="20"/>
              </w:rPr>
              <w:t> </w:t>
            </w:r>
            <w:r>
              <w:rPr>
                <w:sz w:val="20"/>
              </w:rPr>
              <w:t>(rabbit</w:t>
            </w:r>
            <w:r>
              <w:rPr>
                <w:spacing w:val="-7"/>
                <w:sz w:val="20"/>
              </w:rPr>
              <w:t> </w:t>
            </w:r>
            <w:r>
              <w:rPr>
                <w:spacing w:val="-2"/>
                <w:sz w:val="20"/>
              </w:rPr>
              <w:t>warrens)</w:t>
            </w:r>
          </w:p>
        </w:tc>
        <w:tc>
          <w:tcPr>
            <w:tcW w:w="2315" w:type="dxa"/>
          </w:tcPr>
          <w:p>
            <w:pPr>
              <w:pStyle w:val="TableParagraph"/>
              <w:spacing w:before="56"/>
              <w:ind w:right="50"/>
              <w:jc w:val="right"/>
              <w:rPr>
                <w:sz w:val="20"/>
              </w:rPr>
            </w:pPr>
            <w:r>
              <w:rPr>
                <w:spacing w:val="-5"/>
                <w:sz w:val="20"/>
              </w:rPr>
              <w:t>86</w:t>
            </w:r>
          </w:p>
        </w:tc>
      </w:tr>
      <w:tr>
        <w:trPr>
          <w:trHeight w:val="349" w:hRule="atLeast"/>
        </w:trPr>
        <w:tc>
          <w:tcPr>
            <w:tcW w:w="527" w:type="dxa"/>
          </w:tcPr>
          <w:p>
            <w:pPr>
              <w:pStyle w:val="TableParagraph"/>
              <w:rPr>
                <w:rFonts w:ascii="Times New Roman"/>
                <w:sz w:val="18"/>
              </w:rPr>
            </w:pPr>
          </w:p>
        </w:tc>
        <w:tc>
          <w:tcPr>
            <w:tcW w:w="6889" w:type="dxa"/>
            <w:gridSpan w:val="2"/>
          </w:tcPr>
          <w:p>
            <w:pPr>
              <w:pStyle w:val="TableParagraph"/>
              <w:spacing w:before="55"/>
              <w:ind w:left="89"/>
              <w:rPr>
                <w:sz w:val="20"/>
              </w:rPr>
            </w:pPr>
            <w:r>
              <w:rPr>
                <w:sz w:val="20"/>
              </w:rPr>
              <w:t>15.2.3</w:t>
            </w:r>
            <w:r>
              <w:rPr>
                <w:spacing w:val="58"/>
                <w:w w:val="150"/>
                <w:sz w:val="20"/>
              </w:rPr>
              <w:t> </w:t>
            </w:r>
            <w:r>
              <w:rPr>
                <w:sz w:val="20"/>
              </w:rPr>
              <w:t>Carbon</w:t>
            </w:r>
            <w:r>
              <w:rPr>
                <w:spacing w:val="-4"/>
                <w:sz w:val="20"/>
              </w:rPr>
              <w:t> </w:t>
            </w:r>
            <w:r>
              <w:rPr>
                <w:sz w:val="20"/>
              </w:rPr>
              <w:t>monoxide</w:t>
            </w:r>
            <w:r>
              <w:rPr>
                <w:spacing w:val="-6"/>
                <w:sz w:val="20"/>
              </w:rPr>
              <w:t> </w:t>
            </w:r>
            <w:r>
              <w:rPr>
                <w:sz w:val="20"/>
              </w:rPr>
              <w:t>(fox</w:t>
            </w:r>
            <w:r>
              <w:rPr>
                <w:spacing w:val="-4"/>
                <w:sz w:val="20"/>
              </w:rPr>
              <w:t> dens)</w:t>
            </w:r>
          </w:p>
        </w:tc>
        <w:tc>
          <w:tcPr>
            <w:tcW w:w="2315" w:type="dxa"/>
          </w:tcPr>
          <w:p>
            <w:pPr>
              <w:pStyle w:val="TableParagraph"/>
              <w:spacing w:before="55"/>
              <w:ind w:right="50"/>
              <w:jc w:val="right"/>
              <w:rPr>
                <w:sz w:val="20"/>
              </w:rPr>
            </w:pPr>
            <w:r>
              <w:rPr>
                <w:spacing w:val="-5"/>
                <w:sz w:val="20"/>
              </w:rPr>
              <w:t>86</w:t>
            </w:r>
          </w:p>
        </w:tc>
      </w:tr>
      <w:tr>
        <w:trPr>
          <w:trHeight w:val="320" w:hRule="atLeast"/>
        </w:trPr>
        <w:tc>
          <w:tcPr>
            <w:tcW w:w="527" w:type="dxa"/>
          </w:tcPr>
          <w:p>
            <w:pPr>
              <w:pStyle w:val="TableParagraph"/>
              <w:spacing w:before="56"/>
              <w:ind w:right="38"/>
              <w:jc w:val="center"/>
              <w:rPr>
                <w:sz w:val="20"/>
              </w:rPr>
            </w:pPr>
            <w:r>
              <w:rPr>
                <w:spacing w:val="-4"/>
                <w:sz w:val="20"/>
              </w:rPr>
              <w:t>15.3</w:t>
            </w:r>
          </w:p>
        </w:tc>
        <w:tc>
          <w:tcPr>
            <w:tcW w:w="6889" w:type="dxa"/>
            <w:gridSpan w:val="2"/>
          </w:tcPr>
          <w:p>
            <w:pPr>
              <w:pStyle w:val="TableParagraph"/>
              <w:spacing w:before="56"/>
              <w:ind w:left="89"/>
              <w:rPr>
                <w:sz w:val="20"/>
              </w:rPr>
            </w:pPr>
            <w:r>
              <w:rPr>
                <w:sz w:val="20"/>
              </w:rPr>
              <w:t>Rabbit</w:t>
            </w:r>
            <w:r>
              <w:rPr>
                <w:spacing w:val="-9"/>
                <w:sz w:val="20"/>
              </w:rPr>
              <w:t> </w:t>
            </w:r>
            <w:r>
              <w:rPr>
                <w:sz w:val="20"/>
              </w:rPr>
              <w:t>warren</w:t>
            </w:r>
            <w:r>
              <w:rPr>
                <w:spacing w:val="-9"/>
                <w:sz w:val="20"/>
              </w:rPr>
              <w:t> </w:t>
            </w:r>
            <w:r>
              <w:rPr>
                <w:spacing w:val="-2"/>
                <w:sz w:val="20"/>
              </w:rPr>
              <w:t>ripping</w:t>
            </w:r>
          </w:p>
        </w:tc>
        <w:tc>
          <w:tcPr>
            <w:tcW w:w="2315" w:type="dxa"/>
          </w:tcPr>
          <w:p>
            <w:pPr>
              <w:pStyle w:val="TableParagraph"/>
              <w:spacing w:before="56"/>
              <w:ind w:right="50"/>
              <w:jc w:val="right"/>
              <w:rPr>
                <w:sz w:val="20"/>
              </w:rPr>
            </w:pPr>
            <w:r>
              <w:rPr>
                <w:spacing w:val="-5"/>
                <w:sz w:val="20"/>
              </w:rPr>
              <w:t>87</w:t>
            </w:r>
          </w:p>
        </w:tc>
      </w:tr>
      <w:tr>
        <w:trPr>
          <w:trHeight w:val="290" w:hRule="atLeast"/>
        </w:trPr>
        <w:tc>
          <w:tcPr>
            <w:tcW w:w="527" w:type="dxa"/>
          </w:tcPr>
          <w:p>
            <w:pPr>
              <w:pStyle w:val="TableParagraph"/>
              <w:spacing w:before="26"/>
              <w:ind w:right="38"/>
              <w:jc w:val="center"/>
              <w:rPr>
                <w:sz w:val="20"/>
              </w:rPr>
            </w:pPr>
            <w:r>
              <w:rPr>
                <w:spacing w:val="-4"/>
                <w:sz w:val="20"/>
              </w:rPr>
              <w:t>15.4</w:t>
            </w:r>
          </w:p>
        </w:tc>
        <w:tc>
          <w:tcPr>
            <w:tcW w:w="6889" w:type="dxa"/>
            <w:gridSpan w:val="2"/>
          </w:tcPr>
          <w:p>
            <w:pPr>
              <w:pStyle w:val="TableParagraph"/>
              <w:spacing w:before="26"/>
              <w:ind w:left="89"/>
              <w:rPr>
                <w:sz w:val="20"/>
              </w:rPr>
            </w:pPr>
            <w:r>
              <w:rPr>
                <w:sz w:val="20"/>
              </w:rPr>
              <w:t>Biological</w:t>
            </w:r>
            <w:r>
              <w:rPr>
                <w:spacing w:val="-10"/>
                <w:sz w:val="20"/>
              </w:rPr>
              <w:t> </w:t>
            </w:r>
            <w:r>
              <w:rPr>
                <w:sz w:val="20"/>
              </w:rPr>
              <w:t>control</w:t>
            </w:r>
            <w:r>
              <w:rPr>
                <w:spacing w:val="-9"/>
                <w:sz w:val="20"/>
              </w:rPr>
              <w:t> </w:t>
            </w:r>
            <w:r>
              <w:rPr>
                <w:sz w:val="20"/>
              </w:rPr>
              <w:t>(for</w:t>
            </w:r>
            <w:r>
              <w:rPr>
                <w:spacing w:val="-9"/>
                <w:sz w:val="20"/>
              </w:rPr>
              <w:t> </w:t>
            </w:r>
            <w:r>
              <w:rPr>
                <w:spacing w:val="-2"/>
                <w:sz w:val="20"/>
              </w:rPr>
              <w:t>rabbits)</w:t>
            </w:r>
          </w:p>
        </w:tc>
        <w:tc>
          <w:tcPr>
            <w:tcW w:w="2315" w:type="dxa"/>
          </w:tcPr>
          <w:p>
            <w:pPr>
              <w:pStyle w:val="TableParagraph"/>
              <w:spacing w:before="26"/>
              <w:ind w:right="50"/>
              <w:jc w:val="right"/>
              <w:rPr>
                <w:sz w:val="20"/>
              </w:rPr>
            </w:pPr>
            <w:r>
              <w:rPr>
                <w:spacing w:val="-5"/>
                <w:sz w:val="20"/>
              </w:rPr>
              <w:t>87</w:t>
            </w:r>
          </w:p>
        </w:tc>
      </w:tr>
      <w:tr>
        <w:trPr>
          <w:trHeight w:val="290" w:hRule="atLeast"/>
        </w:trPr>
        <w:tc>
          <w:tcPr>
            <w:tcW w:w="527" w:type="dxa"/>
          </w:tcPr>
          <w:p>
            <w:pPr>
              <w:pStyle w:val="TableParagraph"/>
              <w:spacing w:before="26"/>
              <w:ind w:right="38"/>
              <w:jc w:val="center"/>
              <w:rPr>
                <w:sz w:val="20"/>
              </w:rPr>
            </w:pPr>
            <w:r>
              <w:rPr>
                <w:spacing w:val="-4"/>
                <w:sz w:val="20"/>
              </w:rPr>
              <w:t>15.5</w:t>
            </w:r>
          </w:p>
        </w:tc>
        <w:tc>
          <w:tcPr>
            <w:tcW w:w="6889" w:type="dxa"/>
            <w:gridSpan w:val="2"/>
          </w:tcPr>
          <w:p>
            <w:pPr>
              <w:pStyle w:val="TableParagraph"/>
              <w:spacing w:before="26"/>
              <w:ind w:left="89"/>
              <w:rPr>
                <w:sz w:val="20"/>
              </w:rPr>
            </w:pPr>
            <w:r>
              <w:rPr>
                <w:sz w:val="20"/>
              </w:rPr>
              <w:t>Livestock</w:t>
            </w:r>
            <w:r>
              <w:rPr>
                <w:spacing w:val="-11"/>
                <w:sz w:val="20"/>
              </w:rPr>
              <w:t> </w:t>
            </w:r>
            <w:r>
              <w:rPr>
                <w:sz w:val="20"/>
              </w:rPr>
              <w:t>guardian</w:t>
            </w:r>
            <w:r>
              <w:rPr>
                <w:spacing w:val="-13"/>
                <w:sz w:val="20"/>
              </w:rPr>
              <w:t> </w:t>
            </w:r>
            <w:r>
              <w:rPr>
                <w:spacing w:val="-2"/>
                <w:sz w:val="20"/>
              </w:rPr>
              <w:t>animals</w:t>
            </w:r>
          </w:p>
        </w:tc>
        <w:tc>
          <w:tcPr>
            <w:tcW w:w="2315" w:type="dxa"/>
          </w:tcPr>
          <w:p>
            <w:pPr>
              <w:pStyle w:val="TableParagraph"/>
              <w:spacing w:before="26"/>
              <w:ind w:right="50"/>
              <w:jc w:val="right"/>
              <w:rPr>
                <w:sz w:val="20"/>
              </w:rPr>
            </w:pPr>
            <w:r>
              <w:rPr>
                <w:spacing w:val="-5"/>
                <w:sz w:val="20"/>
              </w:rPr>
              <w:t>87</w:t>
            </w:r>
          </w:p>
        </w:tc>
      </w:tr>
      <w:tr>
        <w:trPr>
          <w:trHeight w:val="290" w:hRule="atLeast"/>
        </w:trPr>
        <w:tc>
          <w:tcPr>
            <w:tcW w:w="527" w:type="dxa"/>
          </w:tcPr>
          <w:p>
            <w:pPr>
              <w:pStyle w:val="TableParagraph"/>
              <w:spacing w:before="26"/>
              <w:ind w:right="38"/>
              <w:jc w:val="center"/>
              <w:rPr>
                <w:sz w:val="20"/>
              </w:rPr>
            </w:pPr>
            <w:r>
              <w:rPr>
                <w:spacing w:val="-4"/>
                <w:sz w:val="20"/>
              </w:rPr>
              <w:t>15.6</w:t>
            </w:r>
          </w:p>
        </w:tc>
        <w:tc>
          <w:tcPr>
            <w:tcW w:w="6889" w:type="dxa"/>
            <w:gridSpan w:val="2"/>
          </w:tcPr>
          <w:p>
            <w:pPr>
              <w:pStyle w:val="TableParagraph"/>
              <w:spacing w:before="26"/>
              <w:ind w:left="89"/>
              <w:rPr>
                <w:sz w:val="20"/>
              </w:rPr>
            </w:pPr>
            <w:r>
              <w:rPr>
                <w:spacing w:val="-2"/>
                <w:sz w:val="20"/>
              </w:rPr>
              <w:t>Fencing</w:t>
            </w:r>
          </w:p>
        </w:tc>
        <w:tc>
          <w:tcPr>
            <w:tcW w:w="2315" w:type="dxa"/>
          </w:tcPr>
          <w:p>
            <w:pPr>
              <w:pStyle w:val="TableParagraph"/>
              <w:spacing w:before="26"/>
              <w:ind w:right="50"/>
              <w:jc w:val="right"/>
              <w:rPr>
                <w:sz w:val="20"/>
              </w:rPr>
            </w:pPr>
            <w:r>
              <w:rPr>
                <w:spacing w:val="-5"/>
                <w:sz w:val="20"/>
              </w:rPr>
              <w:t>87</w:t>
            </w:r>
          </w:p>
        </w:tc>
      </w:tr>
      <w:tr>
        <w:trPr>
          <w:trHeight w:val="289" w:hRule="atLeast"/>
        </w:trPr>
        <w:tc>
          <w:tcPr>
            <w:tcW w:w="527" w:type="dxa"/>
          </w:tcPr>
          <w:p>
            <w:pPr>
              <w:pStyle w:val="TableParagraph"/>
              <w:spacing w:before="26"/>
              <w:ind w:right="38"/>
              <w:jc w:val="center"/>
              <w:rPr>
                <w:sz w:val="20"/>
              </w:rPr>
            </w:pPr>
            <w:r>
              <w:rPr>
                <w:spacing w:val="-4"/>
                <w:sz w:val="20"/>
              </w:rPr>
              <w:t>15.7</w:t>
            </w:r>
          </w:p>
        </w:tc>
        <w:tc>
          <w:tcPr>
            <w:tcW w:w="6889" w:type="dxa"/>
            <w:gridSpan w:val="2"/>
          </w:tcPr>
          <w:p>
            <w:pPr>
              <w:pStyle w:val="TableParagraph"/>
              <w:spacing w:before="26"/>
              <w:ind w:left="89"/>
              <w:rPr>
                <w:sz w:val="20"/>
              </w:rPr>
            </w:pPr>
            <w:r>
              <w:rPr>
                <w:sz w:val="20"/>
              </w:rPr>
              <w:t>Shooting</w:t>
            </w:r>
            <w:r>
              <w:rPr>
                <w:spacing w:val="-8"/>
                <w:sz w:val="20"/>
              </w:rPr>
              <w:t> </w:t>
            </w:r>
            <w:r>
              <w:rPr>
                <w:sz w:val="20"/>
              </w:rPr>
              <w:t>(for</w:t>
            </w:r>
            <w:r>
              <w:rPr>
                <w:spacing w:val="-5"/>
                <w:sz w:val="20"/>
              </w:rPr>
              <w:t> </w:t>
            </w:r>
            <w:r>
              <w:rPr>
                <w:sz w:val="20"/>
              </w:rPr>
              <w:t>all</w:t>
            </w:r>
            <w:r>
              <w:rPr>
                <w:spacing w:val="-7"/>
                <w:sz w:val="20"/>
              </w:rPr>
              <w:t> </w:t>
            </w:r>
            <w:r>
              <w:rPr>
                <w:spacing w:val="-2"/>
                <w:sz w:val="20"/>
              </w:rPr>
              <w:t>species)</w:t>
            </w:r>
          </w:p>
        </w:tc>
        <w:tc>
          <w:tcPr>
            <w:tcW w:w="2315" w:type="dxa"/>
          </w:tcPr>
          <w:p>
            <w:pPr>
              <w:pStyle w:val="TableParagraph"/>
              <w:spacing w:before="26"/>
              <w:ind w:right="50"/>
              <w:jc w:val="right"/>
              <w:rPr>
                <w:sz w:val="20"/>
              </w:rPr>
            </w:pPr>
            <w:r>
              <w:rPr>
                <w:spacing w:val="-5"/>
                <w:sz w:val="20"/>
              </w:rPr>
              <w:t>88</w:t>
            </w:r>
          </w:p>
        </w:tc>
      </w:tr>
      <w:tr>
        <w:trPr>
          <w:trHeight w:val="289" w:hRule="atLeast"/>
        </w:trPr>
        <w:tc>
          <w:tcPr>
            <w:tcW w:w="527" w:type="dxa"/>
          </w:tcPr>
          <w:p>
            <w:pPr>
              <w:pStyle w:val="TableParagraph"/>
              <w:spacing w:before="25"/>
              <w:ind w:right="38"/>
              <w:jc w:val="center"/>
              <w:rPr>
                <w:sz w:val="20"/>
              </w:rPr>
            </w:pPr>
            <w:r>
              <w:rPr>
                <w:spacing w:val="-4"/>
                <w:sz w:val="20"/>
              </w:rPr>
              <w:t>15.8</w:t>
            </w:r>
          </w:p>
        </w:tc>
        <w:tc>
          <w:tcPr>
            <w:tcW w:w="6889" w:type="dxa"/>
            <w:gridSpan w:val="2"/>
          </w:tcPr>
          <w:p>
            <w:pPr>
              <w:pStyle w:val="TableParagraph"/>
              <w:spacing w:before="25"/>
              <w:ind w:left="89"/>
              <w:rPr>
                <w:sz w:val="20"/>
              </w:rPr>
            </w:pPr>
            <w:r>
              <w:rPr>
                <w:spacing w:val="-2"/>
                <w:sz w:val="20"/>
              </w:rPr>
              <w:t>Trapping</w:t>
            </w:r>
          </w:p>
        </w:tc>
        <w:tc>
          <w:tcPr>
            <w:tcW w:w="2315" w:type="dxa"/>
          </w:tcPr>
          <w:p>
            <w:pPr>
              <w:pStyle w:val="TableParagraph"/>
              <w:spacing w:before="25"/>
              <w:ind w:right="50"/>
              <w:jc w:val="right"/>
              <w:rPr>
                <w:sz w:val="20"/>
              </w:rPr>
            </w:pPr>
            <w:r>
              <w:rPr>
                <w:spacing w:val="-5"/>
                <w:sz w:val="20"/>
              </w:rPr>
              <w:t>88</w:t>
            </w:r>
          </w:p>
        </w:tc>
      </w:tr>
      <w:tr>
        <w:trPr>
          <w:trHeight w:val="320" w:hRule="atLeast"/>
        </w:trPr>
        <w:tc>
          <w:tcPr>
            <w:tcW w:w="527" w:type="dxa"/>
          </w:tcPr>
          <w:p>
            <w:pPr>
              <w:pStyle w:val="TableParagraph"/>
              <w:rPr>
                <w:rFonts w:ascii="Times New Roman"/>
                <w:sz w:val="18"/>
              </w:rPr>
            </w:pPr>
          </w:p>
        </w:tc>
        <w:tc>
          <w:tcPr>
            <w:tcW w:w="6889" w:type="dxa"/>
            <w:gridSpan w:val="2"/>
          </w:tcPr>
          <w:p>
            <w:pPr>
              <w:pStyle w:val="TableParagraph"/>
              <w:spacing w:before="26"/>
              <w:ind w:left="89"/>
              <w:rPr>
                <w:sz w:val="20"/>
              </w:rPr>
            </w:pPr>
            <w:r>
              <w:rPr>
                <w:sz w:val="20"/>
              </w:rPr>
              <w:t>15.8.1</w:t>
            </w:r>
            <w:r>
              <w:rPr>
                <w:spacing w:val="58"/>
                <w:w w:val="150"/>
                <w:sz w:val="20"/>
              </w:rPr>
              <w:t> </w:t>
            </w:r>
            <w:r>
              <w:rPr>
                <w:sz w:val="20"/>
              </w:rPr>
              <w:t>Confinement</w:t>
            </w:r>
            <w:r>
              <w:rPr>
                <w:spacing w:val="-6"/>
                <w:sz w:val="20"/>
              </w:rPr>
              <w:t> </w:t>
            </w:r>
            <w:r>
              <w:rPr>
                <w:spacing w:val="-2"/>
                <w:sz w:val="20"/>
              </w:rPr>
              <w:t>traps</w:t>
            </w:r>
          </w:p>
        </w:tc>
        <w:tc>
          <w:tcPr>
            <w:tcW w:w="2315" w:type="dxa"/>
          </w:tcPr>
          <w:p>
            <w:pPr>
              <w:pStyle w:val="TableParagraph"/>
              <w:spacing w:before="26"/>
              <w:ind w:right="50"/>
              <w:jc w:val="right"/>
              <w:rPr>
                <w:sz w:val="20"/>
              </w:rPr>
            </w:pPr>
            <w:r>
              <w:rPr>
                <w:spacing w:val="-5"/>
                <w:sz w:val="20"/>
              </w:rPr>
              <w:t>89</w:t>
            </w:r>
          </w:p>
        </w:tc>
      </w:tr>
      <w:tr>
        <w:trPr>
          <w:trHeight w:val="350" w:hRule="atLeast"/>
        </w:trPr>
        <w:tc>
          <w:tcPr>
            <w:tcW w:w="527" w:type="dxa"/>
          </w:tcPr>
          <w:p>
            <w:pPr>
              <w:pStyle w:val="TableParagraph"/>
              <w:rPr>
                <w:rFonts w:ascii="Times New Roman"/>
                <w:sz w:val="18"/>
              </w:rPr>
            </w:pPr>
          </w:p>
        </w:tc>
        <w:tc>
          <w:tcPr>
            <w:tcW w:w="6889" w:type="dxa"/>
            <w:gridSpan w:val="2"/>
          </w:tcPr>
          <w:p>
            <w:pPr>
              <w:pStyle w:val="TableParagraph"/>
              <w:spacing w:before="56"/>
              <w:ind w:left="89"/>
              <w:rPr>
                <w:sz w:val="20"/>
              </w:rPr>
            </w:pPr>
            <w:r>
              <w:rPr>
                <w:sz w:val="20"/>
              </w:rPr>
              <w:t>15.8.2</w:t>
            </w:r>
            <w:r>
              <w:rPr>
                <w:spacing w:val="60"/>
                <w:w w:val="150"/>
                <w:sz w:val="20"/>
              </w:rPr>
              <w:t> </w:t>
            </w:r>
            <w:r>
              <w:rPr>
                <w:sz w:val="20"/>
              </w:rPr>
              <w:t>Leghold</w:t>
            </w:r>
            <w:r>
              <w:rPr>
                <w:spacing w:val="-5"/>
                <w:sz w:val="20"/>
              </w:rPr>
              <w:t> </w:t>
            </w:r>
            <w:r>
              <w:rPr>
                <w:spacing w:val="-4"/>
                <w:sz w:val="20"/>
              </w:rPr>
              <w:t>traps</w:t>
            </w:r>
          </w:p>
        </w:tc>
        <w:tc>
          <w:tcPr>
            <w:tcW w:w="2315" w:type="dxa"/>
          </w:tcPr>
          <w:p>
            <w:pPr>
              <w:pStyle w:val="TableParagraph"/>
              <w:spacing w:before="56"/>
              <w:ind w:right="50"/>
              <w:jc w:val="right"/>
              <w:rPr>
                <w:sz w:val="20"/>
              </w:rPr>
            </w:pPr>
            <w:r>
              <w:rPr>
                <w:spacing w:val="-5"/>
                <w:sz w:val="20"/>
              </w:rPr>
              <w:t>89</w:t>
            </w:r>
          </w:p>
        </w:tc>
      </w:tr>
      <w:tr>
        <w:trPr>
          <w:trHeight w:val="350" w:hRule="atLeast"/>
        </w:trPr>
        <w:tc>
          <w:tcPr>
            <w:tcW w:w="527" w:type="dxa"/>
          </w:tcPr>
          <w:p>
            <w:pPr>
              <w:pStyle w:val="TableParagraph"/>
              <w:rPr>
                <w:rFonts w:ascii="Times New Roman"/>
                <w:sz w:val="18"/>
              </w:rPr>
            </w:pPr>
          </w:p>
        </w:tc>
        <w:tc>
          <w:tcPr>
            <w:tcW w:w="6889" w:type="dxa"/>
            <w:gridSpan w:val="2"/>
          </w:tcPr>
          <w:p>
            <w:pPr>
              <w:pStyle w:val="TableParagraph"/>
              <w:spacing w:before="56"/>
              <w:ind w:left="89"/>
              <w:rPr>
                <w:sz w:val="20"/>
              </w:rPr>
            </w:pPr>
            <w:r>
              <w:rPr>
                <w:sz w:val="20"/>
              </w:rPr>
              <w:t>15.8.3</w:t>
            </w:r>
            <w:r>
              <w:rPr>
                <w:spacing w:val="63"/>
                <w:w w:val="150"/>
                <w:sz w:val="20"/>
              </w:rPr>
              <w:t> </w:t>
            </w:r>
            <w:r>
              <w:rPr>
                <w:sz w:val="20"/>
              </w:rPr>
              <w:t>Trap</w:t>
            </w:r>
            <w:r>
              <w:rPr>
                <w:spacing w:val="-6"/>
                <w:sz w:val="20"/>
              </w:rPr>
              <w:t> </w:t>
            </w:r>
            <w:r>
              <w:rPr>
                <w:sz w:val="20"/>
              </w:rPr>
              <w:t>alert</w:t>
            </w:r>
            <w:r>
              <w:rPr>
                <w:spacing w:val="-4"/>
                <w:sz w:val="20"/>
              </w:rPr>
              <w:t> </w:t>
            </w:r>
            <w:r>
              <w:rPr>
                <w:spacing w:val="-2"/>
                <w:sz w:val="20"/>
              </w:rPr>
              <w:t>systems</w:t>
            </w:r>
          </w:p>
        </w:tc>
        <w:tc>
          <w:tcPr>
            <w:tcW w:w="2315" w:type="dxa"/>
          </w:tcPr>
          <w:p>
            <w:pPr>
              <w:pStyle w:val="TableParagraph"/>
              <w:spacing w:before="56"/>
              <w:ind w:right="50"/>
              <w:jc w:val="right"/>
              <w:rPr>
                <w:sz w:val="20"/>
              </w:rPr>
            </w:pPr>
            <w:r>
              <w:rPr>
                <w:spacing w:val="-5"/>
                <w:sz w:val="20"/>
              </w:rPr>
              <w:t>89</w:t>
            </w:r>
          </w:p>
        </w:tc>
      </w:tr>
      <w:tr>
        <w:trPr>
          <w:trHeight w:val="286" w:hRule="atLeast"/>
        </w:trPr>
        <w:tc>
          <w:tcPr>
            <w:tcW w:w="527" w:type="dxa"/>
          </w:tcPr>
          <w:p>
            <w:pPr>
              <w:pStyle w:val="TableParagraph"/>
              <w:rPr>
                <w:rFonts w:ascii="Times New Roman"/>
                <w:sz w:val="18"/>
              </w:rPr>
            </w:pPr>
          </w:p>
        </w:tc>
        <w:tc>
          <w:tcPr>
            <w:tcW w:w="6889" w:type="dxa"/>
            <w:gridSpan w:val="2"/>
          </w:tcPr>
          <w:p>
            <w:pPr>
              <w:pStyle w:val="TableParagraph"/>
              <w:spacing w:line="210" w:lineRule="exact" w:before="56"/>
              <w:ind w:left="89"/>
              <w:rPr>
                <w:sz w:val="20"/>
              </w:rPr>
            </w:pPr>
            <w:r>
              <w:rPr>
                <w:sz w:val="20"/>
              </w:rPr>
              <w:t>15.8.4</w:t>
            </w:r>
            <w:r>
              <w:rPr>
                <w:spacing w:val="59"/>
                <w:w w:val="150"/>
                <w:sz w:val="20"/>
              </w:rPr>
              <w:t> </w:t>
            </w:r>
            <w:r>
              <w:rPr>
                <w:sz w:val="20"/>
              </w:rPr>
              <w:t>Lethal</w:t>
            </w:r>
            <w:r>
              <w:rPr>
                <w:spacing w:val="-6"/>
                <w:sz w:val="20"/>
              </w:rPr>
              <w:t> </w:t>
            </w:r>
            <w:r>
              <w:rPr>
                <w:sz w:val="20"/>
              </w:rPr>
              <w:t>trap</w:t>
            </w:r>
            <w:r>
              <w:rPr>
                <w:spacing w:val="-6"/>
                <w:sz w:val="20"/>
              </w:rPr>
              <w:t> </w:t>
            </w:r>
            <w:r>
              <w:rPr>
                <w:sz w:val="20"/>
              </w:rPr>
              <w:t>devices</w:t>
            </w:r>
            <w:r>
              <w:rPr>
                <w:spacing w:val="-4"/>
                <w:sz w:val="20"/>
              </w:rPr>
              <w:t> </w:t>
            </w:r>
            <w:r>
              <w:rPr>
                <w:sz w:val="20"/>
              </w:rPr>
              <w:t>for</w:t>
            </w:r>
            <w:r>
              <w:rPr>
                <w:spacing w:val="-5"/>
                <w:sz w:val="20"/>
              </w:rPr>
              <w:t> </w:t>
            </w:r>
            <w:r>
              <w:rPr>
                <w:sz w:val="20"/>
              </w:rPr>
              <w:t>canid</w:t>
            </w:r>
            <w:r>
              <w:rPr>
                <w:spacing w:val="-5"/>
                <w:sz w:val="20"/>
              </w:rPr>
              <w:t> </w:t>
            </w:r>
            <w:r>
              <w:rPr>
                <w:sz w:val="20"/>
              </w:rPr>
              <w:t>leg-hold</w:t>
            </w:r>
            <w:r>
              <w:rPr>
                <w:spacing w:val="-6"/>
                <w:sz w:val="20"/>
              </w:rPr>
              <w:t> </w:t>
            </w:r>
            <w:r>
              <w:rPr>
                <w:spacing w:val="-2"/>
                <w:sz w:val="20"/>
              </w:rPr>
              <w:t>trapping</w:t>
            </w:r>
          </w:p>
        </w:tc>
        <w:tc>
          <w:tcPr>
            <w:tcW w:w="2315" w:type="dxa"/>
          </w:tcPr>
          <w:p>
            <w:pPr>
              <w:pStyle w:val="TableParagraph"/>
              <w:spacing w:line="210" w:lineRule="exact" w:before="56"/>
              <w:ind w:right="50"/>
              <w:jc w:val="right"/>
              <w:rPr>
                <w:sz w:val="20"/>
              </w:rPr>
            </w:pPr>
            <w:r>
              <w:rPr>
                <w:spacing w:val="-5"/>
                <w:sz w:val="20"/>
              </w:rPr>
              <w:t>89</w:t>
            </w:r>
          </w:p>
        </w:tc>
      </w:tr>
    </w:tbl>
    <w:p>
      <w:pPr>
        <w:pStyle w:val="BodyText"/>
        <w:spacing w:before="97"/>
      </w:pPr>
    </w:p>
    <w:p>
      <w:pPr>
        <w:pStyle w:val="ListParagraph"/>
        <w:numPr>
          <w:ilvl w:val="0"/>
          <w:numId w:val="1"/>
        </w:numPr>
        <w:tabs>
          <w:tab w:pos="879" w:val="left" w:leader="none"/>
          <w:tab w:pos="9720" w:val="left" w:leader="none"/>
        </w:tabs>
        <w:spacing w:line="240" w:lineRule="auto" w:before="0" w:after="0"/>
        <w:ind w:left="312" w:right="163" w:firstLine="0"/>
        <w:jc w:val="left"/>
        <w:rPr>
          <w:b/>
          <w:sz w:val="20"/>
        </w:rPr>
      </w:pPr>
      <w:r>
        <w:rPr/>
        <mc:AlternateContent>
          <mc:Choice Requires="wps">
            <w:drawing>
              <wp:anchor distT="0" distB="0" distL="0" distR="0" allowOverlap="1" layoutInCell="1" locked="0" behindDoc="0" simplePos="0" relativeHeight="15740416">
                <wp:simplePos x="0" y="0"/>
                <wp:positionH relativeFrom="page">
                  <wp:posOffset>701040</wp:posOffset>
                </wp:positionH>
                <wp:positionV relativeFrom="paragraph">
                  <wp:posOffset>340209</wp:posOffset>
                </wp:positionV>
                <wp:extent cx="6158230" cy="12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416" from="55.200001pt,26.788139pt" to="540.100001pt,26.788139pt" stroked="true" strokeweight="1.44pt" strokecolor="#218591">
                <v:stroke dashstyle="shortdot"/>
                <w10:wrap type="none"/>
              </v:line>
            </w:pict>
          </mc:Fallback>
        </mc:AlternateContent>
      </w:r>
      <w:r>
        <w:rPr>
          <w:b/>
          <w:color w:val="001F5F"/>
          <w:sz w:val="20"/>
        </w:rPr>
        <w:t>Environmental</w:t>
      </w:r>
      <w:r>
        <w:rPr>
          <w:b/>
          <w:color w:val="001F5F"/>
          <w:spacing w:val="-5"/>
          <w:sz w:val="20"/>
        </w:rPr>
        <w:t> </w:t>
      </w:r>
      <w:r>
        <w:rPr>
          <w:b/>
          <w:color w:val="001F5F"/>
          <w:sz w:val="20"/>
        </w:rPr>
        <w:t>impacts</w:t>
      </w:r>
      <w:r>
        <w:rPr>
          <w:b/>
          <w:color w:val="001F5F"/>
          <w:spacing w:val="-5"/>
          <w:sz w:val="20"/>
        </w:rPr>
        <w:t> </w:t>
      </w:r>
      <w:r>
        <w:rPr>
          <w:b/>
          <w:color w:val="001F5F"/>
          <w:sz w:val="20"/>
        </w:rPr>
        <w:t>of</w:t>
      </w:r>
      <w:r>
        <w:rPr>
          <w:b/>
          <w:color w:val="001F5F"/>
          <w:spacing w:val="-1"/>
          <w:sz w:val="20"/>
        </w:rPr>
        <w:t> </w:t>
      </w:r>
      <w:r>
        <w:rPr>
          <w:b/>
          <w:color w:val="001F5F"/>
          <w:sz w:val="20"/>
        </w:rPr>
        <w:t>managing</w:t>
      </w:r>
      <w:r>
        <w:rPr>
          <w:b/>
          <w:color w:val="001F5F"/>
          <w:spacing w:val="-4"/>
          <w:sz w:val="20"/>
        </w:rPr>
        <w:t> </w:t>
      </w:r>
      <w:r>
        <w:rPr>
          <w:b/>
          <w:color w:val="001F5F"/>
          <w:sz w:val="20"/>
        </w:rPr>
        <w:t>European</w:t>
      </w:r>
      <w:r>
        <w:rPr>
          <w:b/>
          <w:color w:val="001F5F"/>
          <w:spacing w:val="-2"/>
          <w:sz w:val="20"/>
        </w:rPr>
        <w:t> </w:t>
      </w:r>
      <w:r>
        <w:rPr>
          <w:b/>
          <w:color w:val="001F5F"/>
          <w:sz w:val="20"/>
        </w:rPr>
        <w:t>Rabbits,</w:t>
      </w:r>
      <w:r>
        <w:rPr>
          <w:b/>
          <w:color w:val="001F5F"/>
          <w:spacing w:val="-5"/>
          <w:sz w:val="20"/>
        </w:rPr>
        <w:t> </w:t>
      </w:r>
      <w:r>
        <w:rPr>
          <w:b/>
          <w:color w:val="001F5F"/>
          <w:sz w:val="20"/>
        </w:rPr>
        <w:t>Feral</w:t>
      </w:r>
      <w:r>
        <w:rPr>
          <w:b/>
          <w:color w:val="001F5F"/>
          <w:spacing w:val="-5"/>
          <w:sz w:val="20"/>
        </w:rPr>
        <w:t> </w:t>
      </w:r>
      <w:r>
        <w:rPr>
          <w:b/>
          <w:color w:val="001F5F"/>
          <w:sz w:val="20"/>
        </w:rPr>
        <w:t>Pigs,</w:t>
      </w:r>
      <w:r>
        <w:rPr>
          <w:b/>
          <w:color w:val="001F5F"/>
          <w:spacing w:val="-5"/>
          <w:sz w:val="20"/>
        </w:rPr>
        <w:t> </w:t>
      </w:r>
      <w:r>
        <w:rPr>
          <w:b/>
          <w:color w:val="001F5F"/>
          <w:sz w:val="20"/>
        </w:rPr>
        <w:t>Red</w:t>
      </w:r>
      <w:r>
        <w:rPr>
          <w:b/>
          <w:color w:val="001F5F"/>
          <w:spacing w:val="-5"/>
          <w:sz w:val="20"/>
        </w:rPr>
        <w:t> </w:t>
      </w:r>
      <w:r>
        <w:rPr>
          <w:b/>
          <w:color w:val="001F5F"/>
          <w:sz w:val="20"/>
        </w:rPr>
        <w:t>Foxes</w:t>
      </w:r>
      <w:r>
        <w:rPr>
          <w:b/>
          <w:color w:val="001F5F"/>
          <w:spacing w:val="-5"/>
          <w:sz w:val="20"/>
        </w:rPr>
        <w:t> </w:t>
      </w:r>
      <w:r>
        <w:rPr>
          <w:b/>
          <w:color w:val="001F5F"/>
          <w:sz w:val="20"/>
        </w:rPr>
        <w:t>and</w:t>
      </w:r>
      <w:r>
        <w:rPr>
          <w:b/>
          <w:color w:val="001F5F"/>
          <w:spacing w:val="-4"/>
          <w:sz w:val="20"/>
        </w:rPr>
        <w:t> </w:t>
      </w:r>
      <w:r>
        <w:rPr>
          <w:b/>
          <w:color w:val="001F5F"/>
          <w:sz w:val="20"/>
        </w:rPr>
        <w:t>Dingoes</w:t>
      </w:r>
      <w:r>
        <w:rPr>
          <w:b/>
          <w:color w:val="001F5F"/>
          <w:spacing w:val="-5"/>
          <w:sz w:val="20"/>
        </w:rPr>
        <w:t> </w:t>
      </w:r>
      <w:r>
        <w:rPr>
          <w:b/>
          <w:color w:val="001F5F"/>
          <w:sz w:val="20"/>
        </w:rPr>
        <w:t>and Wild</w:t>
      </w:r>
      <w:r>
        <w:rPr>
          <w:b/>
          <w:color w:val="001F5F"/>
          <w:spacing w:val="-7"/>
          <w:sz w:val="20"/>
        </w:rPr>
        <w:t> </w:t>
      </w:r>
      <w:r>
        <w:rPr>
          <w:b/>
          <w:color w:val="001F5F"/>
          <w:spacing w:val="-4"/>
          <w:sz w:val="20"/>
        </w:rPr>
        <w:t>Dogs</w:t>
      </w:r>
      <w:r>
        <w:rPr>
          <w:b/>
          <w:color w:val="001F5F"/>
          <w:sz w:val="20"/>
        </w:rPr>
        <w:tab/>
      </w:r>
      <w:r>
        <w:rPr>
          <w:b/>
          <w:color w:val="001F5F"/>
          <w:spacing w:val="-5"/>
          <w:sz w:val="20"/>
        </w:rPr>
        <w:t>90</w:t>
      </w:r>
    </w:p>
    <w:p>
      <w:pPr>
        <w:pStyle w:val="ListParagraph"/>
        <w:numPr>
          <w:ilvl w:val="1"/>
          <w:numId w:val="1"/>
        </w:numPr>
        <w:tabs>
          <w:tab w:pos="876" w:val="left" w:leader="none"/>
          <w:tab w:pos="9720" w:val="left" w:leader="none"/>
        </w:tabs>
        <w:spacing w:line="240" w:lineRule="auto" w:before="210" w:after="0"/>
        <w:ind w:left="876" w:right="0" w:hanging="564"/>
        <w:jc w:val="left"/>
        <w:rPr>
          <w:sz w:val="20"/>
        </w:rPr>
      </w:pPr>
      <w:r>
        <w:rPr>
          <w:sz w:val="20"/>
        </w:rPr>
        <w:t>Toxic</w:t>
      </w:r>
      <w:r>
        <w:rPr>
          <w:spacing w:val="-7"/>
          <w:sz w:val="20"/>
        </w:rPr>
        <w:t> </w:t>
      </w:r>
      <w:r>
        <w:rPr>
          <w:spacing w:val="-2"/>
          <w:sz w:val="20"/>
        </w:rPr>
        <w:t>baiting</w:t>
      </w:r>
      <w:r>
        <w:rPr>
          <w:sz w:val="20"/>
        </w:rPr>
        <w:tab/>
      </w:r>
      <w:r>
        <w:rPr>
          <w:spacing w:val="-5"/>
          <w:sz w:val="20"/>
        </w:rPr>
        <w:t>90</w:t>
      </w:r>
    </w:p>
    <w:p>
      <w:pPr>
        <w:pStyle w:val="BodyText"/>
        <w:tabs>
          <w:tab w:pos="9720" w:val="left" w:leader="none"/>
        </w:tabs>
        <w:spacing w:before="60"/>
        <w:ind w:left="879"/>
      </w:pPr>
      <w:r>
        <w:rPr/>
        <w:t>16.1.1</w:t>
      </w:r>
      <w:r>
        <w:rPr>
          <w:spacing w:val="66"/>
          <w:w w:val="150"/>
        </w:rPr>
        <w:t> </w:t>
      </w:r>
      <w:r>
        <w:rPr>
          <w:spacing w:val="-4"/>
        </w:rPr>
        <w:t>1080</w:t>
      </w:r>
      <w:r>
        <w:rPr/>
        <w:tab/>
      </w:r>
      <w:r>
        <w:rPr>
          <w:spacing w:val="-5"/>
        </w:rPr>
        <w:t>90</w:t>
      </w:r>
    </w:p>
    <w:p>
      <w:pPr>
        <w:spacing w:after="0"/>
        <w:sectPr>
          <w:pgSz w:w="11910" w:h="16850"/>
          <w:pgMar w:header="0" w:footer="688" w:top="1060" w:bottom="880" w:left="820" w:right="980"/>
        </w:sectPr>
      </w:pPr>
    </w:p>
    <w:tbl>
      <w:tblPr>
        <w:tblW w:w="0" w:type="auto"/>
        <w:jc w:val="left"/>
        <w:tblInd w:w="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2"/>
        <w:gridCol w:w="4753"/>
        <w:gridCol w:w="3725"/>
      </w:tblGrid>
      <w:tr>
        <w:trPr>
          <w:trHeight w:val="286" w:hRule="atLeast"/>
        </w:trPr>
        <w:tc>
          <w:tcPr>
            <w:tcW w:w="682" w:type="dxa"/>
          </w:tcPr>
          <w:p>
            <w:pPr>
              <w:pStyle w:val="TableParagraph"/>
              <w:spacing w:line="223" w:lineRule="exact"/>
              <w:ind w:right="25"/>
              <w:jc w:val="center"/>
              <w:rPr>
                <w:sz w:val="20"/>
              </w:rPr>
            </w:pPr>
            <w:r>
              <w:rPr>
                <w:spacing w:val="-2"/>
                <w:sz w:val="20"/>
              </w:rPr>
              <w:t>16.1.2</w:t>
            </w:r>
          </w:p>
        </w:tc>
        <w:tc>
          <w:tcPr>
            <w:tcW w:w="4753" w:type="dxa"/>
          </w:tcPr>
          <w:p>
            <w:pPr>
              <w:pStyle w:val="TableParagraph"/>
              <w:spacing w:line="223" w:lineRule="exact"/>
              <w:ind w:left="78"/>
              <w:rPr>
                <w:sz w:val="20"/>
              </w:rPr>
            </w:pPr>
            <w:r>
              <w:rPr>
                <w:spacing w:val="-4"/>
                <w:sz w:val="20"/>
              </w:rPr>
              <w:t>PAPP</w:t>
            </w:r>
          </w:p>
        </w:tc>
        <w:tc>
          <w:tcPr>
            <w:tcW w:w="3725" w:type="dxa"/>
          </w:tcPr>
          <w:p>
            <w:pPr>
              <w:pStyle w:val="TableParagraph"/>
              <w:spacing w:line="223" w:lineRule="exact"/>
              <w:ind w:right="46"/>
              <w:jc w:val="right"/>
              <w:rPr>
                <w:sz w:val="20"/>
              </w:rPr>
            </w:pPr>
            <w:r>
              <w:rPr>
                <w:spacing w:val="-5"/>
                <w:sz w:val="20"/>
              </w:rPr>
              <w:t>90</w:t>
            </w:r>
          </w:p>
        </w:tc>
      </w:tr>
      <w:tr>
        <w:trPr>
          <w:trHeight w:val="350" w:hRule="atLeast"/>
        </w:trPr>
        <w:tc>
          <w:tcPr>
            <w:tcW w:w="682" w:type="dxa"/>
          </w:tcPr>
          <w:p>
            <w:pPr>
              <w:pStyle w:val="TableParagraph"/>
              <w:spacing w:before="57"/>
              <w:ind w:right="25"/>
              <w:jc w:val="center"/>
              <w:rPr>
                <w:sz w:val="20"/>
              </w:rPr>
            </w:pPr>
            <w:r>
              <w:rPr>
                <w:spacing w:val="-2"/>
                <w:sz w:val="20"/>
              </w:rPr>
              <w:t>16.1.3</w:t>
            </w:r>
          </w:p>
        </w:tc>
        <w:tc>
          <w:tcPr>
            <w:tcW w:w="4753" w:type="dxa"/>
          </w:tcPr>
          <w:p>
            <w:pPr>
              <w:pStyle w:val="TableParagraph"/>
              <w:spacing w:before="57"/>
              <w:ind w:left="78"/>
              <w:rPr>
                <w:sz w:val="20"/>
              </w:rPr>
            </w:pPr>
            <w:r>
              <w:rPr>
                <w:spacing w:val="-2"/>
                <w:sz w:val="20"/>
              </w:rPr>
              <w:t>Pindone</w:t>
            </w:r>
          </w:p>
        </w:tc>
        <w:tc>
          <w:tcPr>
            <w:tcW w:w="3725" w:type="dxa"/>
          </w:tcPr>
          <w:p>
            <w:pPr>
              <w:pStyle w:val="TableParagraph"/>
              <w:spacing w:before="57"/>
              <w:ind w:right="46"/>
              <w:jc w:val="right"/>
              <w:rPr>
                <w:sz w:val="20"/>
              </w:rPr>
            </w:pPr>
            <w:r>
              <w:rPr>
                <w:spacing w:val="-5"/>
                <w:sz w:val="20"/>
              </w:rPr>
              <w:t>91</w:t>
            </w:r>
          </w:p>
        </w:tc>
      </w:tr>
      <w:tr>
        <w:trPr>
          <w:trHeight w:val="286" w:hRule="atLeast"/>
        </w:trPr>
        <w:tc>
          <w:tcPr>
            <w:tcW w:w="682" w:type="dxa"/>
          </w:tcPr>
          <w:p>
            <w:pPr>
              <w:pStyle w:val="TableParagraph"/>
              <w:spacing w:line="210" w:lineRule="exact" w:before="56"/>
              <w:ind w:right="25"/>
              <w:jc w:val="center"/>
              <w:rPr>
                <w:sz w:val="20"/>
              </w:rPr>
            </w:pPr>
            <w:r>
              <w:rPr>
                <w:spacing w:val="-2"/>
                <w:sz w:val="20"/>
              </w:rPr>
              <w:t>16.1.4</w:t>
            </w:r>
          </w:p>
        </w:tc>
        <w:tc>
          <w:tcPr>
            <w:tcW w:w="4753" w:type="dxa"/>
          </w:tcPr>
          <w:p>
            <w:pPr>
              <w:pStyle w:val="TableParagraph"/>
              <w:spacing w:line="210" w:lineRule="exact" w:before="56"/>
              <w:ind w:left="78"/>
              <w:rPr>
                <w:sz w:val="20"/>
              </w:rPr>
            </w:pPr>
            <w:r>
              <w:rPr>
                <w:sz w:val="20"/>
              </w:rPr>
              <w:t>Sodium</w:t>
            </w:r>
            <w:r>
              <w:rPr>
                <w:spacing w:val="-10"/>
                <w:sz w:val="20"/>
              </w:rPr>
              <w:t> </w:t>
            </w:r>
            <w:r>
              <w:rPr>
                <w:spacing w:val="-2"/>
                <w:sz w:val="20"/>
              </w:rPr>
              <w:t>nitrite</w:t>
            </w:r>
          </w:p>
        </w:tc>
        <w:tc>
          <w:tcPr>
            <w:tcW w:w="3725" w:type="dxa"/>
          </w:tcPr>
          <w:p>
            <w:pPr>
              <w:pStyle w:val="TableParagraph"/>
              <w:spacing w:line="210" w:lineRule="exact" w:before="56"/>
              <w:ind w:right="46"/>
              <w:jc w:val="right"/>
              <w:rPr>
                <w:sz w:val="20"/>
              </w:rPr>
            </w:pPr>
            <w:r>
              <w:rPr>
                <w:spacing w:val="-5"/>
                <w:sz w:val="20"/>
              </w:rPr>
              <w:t>91</w:t>
            </w:r>
          </w:p>
        </w:tc>
      </w:tr>
    </w:tbl>
    <w:p>
      <w:pPr>
        <w:pStyle w:val="ListParagraph"/>
        <w:numPr>
          <w:ilvl w:val="1"/>
          <w:numId w:val="10"/>
        </w:numPr>
        <w:tabs>
          <w:tab w:pos="876" w:val="left" w:leader="none"/>
          <w:tab w:pos="9720" w:val="left" w:leader="none"/>
        </w:tabs>
        <w:spacing w:line="240" w:lineRule="auto" w:before="141" w:after="0"/>
        <w:ind w:left="876" w:right="0" w:hanging="564"/>
        <w:jc w:val="left"/>
        <w:rPr>
          <w:sz w:val="20"/>
        </w:rPr>
      </w:pPr>
      <w:r>
        <w:rPr>
          <w:sz w:val="20"/>
        </w:rPr>
        <w:t>Den</w:t>
      </w:r>
      <w:r>
        <w:rPr>
          <w:spacing w:val="-7"/>
          <w:sz w:val="20"/>
        </w:rPr>
        <w:t> </w:t>
      </w:r>
      <w:r>
        <w:rPr>
          <w:sz w:val="20"/>
        </w:rPr>
        <w:t>and</w:t>
      </w:r>
      <w:r>
        <w:rPr>
          <w:spacing w:val="-6"/>
          <w:sz w:val="20"/>
        </w:rPr>
        <w:t> </w:t>
      </w:r>
      <w:r>
        <w:rPr>
          <w:sz w:val="20"/>
        </w:rPr>
        <w:t>warren</w:t>
      </w:r>
      <w:r>
        <w:rPr>
          <w:spacing w:val="-7"/>
          <w:sz w:val="20"/>
        </w:rPr>
        <w:t> </w:t>
      </w:r>
      <w:r>
        <w:rPr>
          <w:spacing w:val="-2"/>
          <w:sz w:val="20"/>
        </w:rPr>
        <w:t>fumigation</w:t>
      </w:r>
      <w:r>
        <w:rPr>
          <w:sz w:val="20"/>
        </w:rPr>
        <w:tab/>
      </w:r>
      <w:r>
        <w:rPr>
          <w:spacing w:val="-7"/>
          <w:sz w:val="20"/>
        </w:rPr>
        <w:t>92</w:t>
      </w:r>
    </w:p>
    <w:p>
      <w:pPr>
        <w:pStyle w:val="ListParagraph"/>
        <w:numPr>
          <w:ilvl w:val="2"/>
          <w:numId w:val="10"/>
        </w:numPr>
        <w:tabs>
          <w:tab w:pos="1588" w:val="left" w:leader="none"/>
          <w:tab w:pos="9720" w:val="left" w:leader="none"/>
        </w:tabs>
        <w:spacing w:line="240" w:lineRule="auto" w:before="60" w:after="0"/>
        <w:ind w:left="1588" w:right="0" w:hanging="709"/>
        <w:jc w:val="left"/>
        <w:rPr>
          <w:sz w:val="20"/>
        </w:rPr>
      </w:pPr>
      <w:hyperlink w:history="true" w:anchor="_TOC_250014">
        <w:r>
          <w:rPr>
            <w:sz w:val="20"/>
          </w:rPr>
          <w:t>Phosphine</w:t>
        </w:r>
        <w:r>
          <w:rPr>
            <w:spacing w:val="-10"/>
            <w:sz w:val="20"/>
          </w:rPr>
          <w:t> </w:t>
        </w:r>
        <w:r>
          <w:rPr>
            <w:sz w:val="20"/>
          </w:rPr>
          <w:t>(for</w:t>
        </w:r>
        <w:r>
          <w:rPr>
            <w:spacing w:val="-8"/>
            <w:sz w:val="20"/>
          </w:rPr>
          <w:t> </w:t>
        </w:r>
        <w:r>
          <w:rPr>
            <w:sz w:val="20"/>
          </w:rPr>
          <w:t>rabbit</w:t>
        </w:r>
        <w:r>
          <w:rPr>
            <w:spacing w:val="-8"/>
            <w:sz w:val="20"/>
          </w:rPr>
          <w:t> </w:t>
        </w:r>
        <w:r>
          <w:rPr>
            <w:spacing w:val="-2"/>
            <w:sz w:val="20"/>
          </w:rPr>
          <w:t>warrens)</w:t>
        </w:r>
        <w:r>
          <w:rPr>
            <w:sz w:val="20"/>
          </w:rPr>
          <w:tab/>
        </w:r>
        <w:r>
          <w:rPr>
            <w:spacing w:val="-5"/>
            <w:sz w:val="20"/>
          </w:rPr>
          <w:t>92</w:t>
        </w:r>
      </w:hyperlink>
    </w:p>
    <w:p>
      <w:pPr>
        <w:pStyle w:val="ListParagraph"/>
        <w:numPr>
          <w:ilvl w:val="2"/>
          <w:numId w:val="10"/>
        </w:numPr>
        <w:tabs>
          <w:tab w:pos="1588" w:val="left" w:leader="none"/>
          <w:tab w:pos="9720" w:val="left" w:leader="none"/>
        </w:tabs>
        <w:spacing w:line="240" w:lineRule="auto" w:before="121" w:after="0"/>
        <w:ind w:left="1588" w:right="0" w:hanging="709"/>
        <w:jc w:val="left"/>
        <w:rPr>
          <w:sz w:val="20"/>
        </w:rPr>
      </w:pPr>
      <w:hyperlink w:history="true" w:anchor="_TOC_250013">
        <w:r>
          <w:rPr>
            <w:sz w:val="20"/>
          </w:rPr>
          <w:t>Chloropicrin</w:t>
        </w:r>
        <w:r>
          <w:rPr>
            <w:spacing w:val="-10"/>
            <w:sz w:val="20"/>
          </w:rPr>
          <w:t> </w:t>
        </w:r>
        <w:r>
          <w:rPr>
            <w:sz w:val="20"/>
          </w:rPr>
          <w:t>(for</w:t>
        </w:r>
        <w:r>
          <w:rPr>
            <w:spacing w:val="-8"/>
            <w:sz w:val="20"/>
          </w:rPr>
          <w:t> </w:t>
        </w:r>
        <w:r>
          <w:rPr>
            <w:sz w:val="20"/>
          </w:rPr>
          <w:t>rabbit</w:t>
        </w:r>
        <w:r>
          <w:rPr>
            <w:spacing w:val="-8"/>
            <w:sz w:val="20"/>
          </w:rPr>
          <w:t> </w:t>
        </w:r>
        <w:r>
          <w:rPr>
            <w:spacing w:val="-2"/>
            <w:sz w:val="20"/>
          </w:rPr>
          <w:t>warrens)</w:t>
        </w:r>
        <w:r>
          <w:rPr>
            <w:sz w:val="20"/>
          </w:rPr>
          <w:tab/>
        </w:r>
        <w:r>
          <w:rPr>
            <w:spacing w:val="-5"/>
            <w:sz w:val="20"/>
          </w:rPr>
          <w:t>92</w:t>
        </w:r>
      </w:hyperlink>
    </w:p>
    <w:p>
      <w:pPr>
        <w:pStyle w:val="ListParagraph"/>
        <w:numPr>
          <w:ilvl w:val="2"/>
          <w:numId w:val="10"/>
        </w:numPr>
        <w:tabs>
          <w:tab w:pos="1588" w:val="left" w:leader="none"/>
          <w:tab w:pos="9720" w:val="left" w:leader="none"/>
        </w:tabs>
        <w:spacing w:line="240" w:lineRule="auto" w:before="118" w:after="0"/>
        <w:ind w:left="1588" w:right="0" w:hanging="709"/>
        <w:jc w:val="left"/>
        <w:rPr>
          <w:sz w:val="20"/>
        </w:rPr>
      </w:pPr>
      <w:hyperlink w:history="true" w:anchor="_TOC_250012">
        <w:r>
          <w:rPr>
            <w:sz w:val="20"/>
          </w:rPr>
          <w:t>Carbon</w:t>
        </w:r>
        <w:r>
          <w:rPr>
            <w:spacing w:val="-6"/>
            <w:sz w:val="20"/>
          </w:rPr>
          <w:t> </w:t>
        </w:r>
        <w:r>
          <w:rPr>
            <w:sz w:val="20"/>
          </w:rPr>
          <w:t>monoxide</w:t>
        </w:r>
        <w:r>
          <w:rPr>
            <w:spacing w:val="-6"/>
            <w:sz w:val="20"/>
          </w:rPr>
          <w:t> </w:t>
        </w:r>
        <w:r>
          <w:rPr>
            <w:sz w:val="20"/>
          </w:rPr>
          <w:t>(for</w:t>
        </w:r>
        <w:r>
          <w:rPr>
            <w:spacing w:val="-6"/>
            <w:sz w:val="20"/>
          </w:rPr>
          <w:t> </w:t>
        </w:r>
        <w:r>
          <w:rPr>
            <w:sz w:val="20"/>
          </w:rPr>
          <w:t>fox</w:t>
        </w:r>
        <w:r>
          <w:rPr>
            <w:spacing w:val="-6"/>
            <w:sz w:val="20"/>
          </w:rPr>
          <w:t> </w:t>
        </w:r>
        <w:r>
          <w:rPr>
            <w:spacing w:val="-4"/>
            <w:sz w:val="20"/>
          </w:rPr>
          <w:t>dens)</w:t>
        </w:r>
        <w:r>
          <w:rPr>
            <w:sz w:val="20"/>
          </w:rPr>
          <w:tab/>
        </w:r>
        <w:r>
          <w:rPr>
            <w:spacing w:val="-5"/>
            <w:sz w:val="20"/>
          </w:rPr>
          <w:t>92</w:t>
        </w:r>
      </w:hyperlink>
    </w:p>
    <w:p>
      <w:pPr>
        <w:pStyle w:val="ListParagraph"/>
        <w:numPr>
          <w:ilvl w:val="1"/>
          <w:numId w:val="10"/>
        </w:numPr>
        <w:tabs>
          <w:tab w:pos="876" w:val="left" w:leader="none"/>
          <w:tab w:pos="9720" w:val="left" w:leader="none"/>
        </w:tabs>
        <w:spacing w:line="240" w:lineRule="auto" w:before="120" w:after="0"/>
        <w:ind w:left="876" w:right="0" w:hanging="564"/>
        <w:jc w:val="left"/>
        <w:rPr>
          <w:sz w:val="20"/>
        </w:rPr>
      </w:pPr>
      <w:hyperlink w:history="true" w:anchor="_TOC_250011">
        <w:r>
          <w:rPr>
            <w:sz w:val="20"/>
          </w:rPr>
          <w:t>Rabbit</w:t>
        </w:r>
        <w:r>
          <w:rPr>
            <w:spacing w:val="-9"/>
            <w:sz w:val="20"/>
          </w:rPr>
          <w:t> </w:t>
        </w:r>
        <w:r>
          <w:rPr>
            <w:sz w:val="20"/>
          </w:rPr>
          <w:t>warren</w:t>
        </w:r>
        <w:r>
          <w:rPr>
            <w:spacing w:val="-9"/>
            <w:sz w:val="20"/>
          </w:rPr>
          <w:t> </w:t>
        </w:r>
        <w:r>
          <w:rPr>
            <w:spacing w:val="-2"/>
            <w:sz w:val="20"/>
          </w:rPr>
          <w:t>ripping</w:t>
        </w:r>
        <w:r>
          <w:rPr>
            <w:sz w:val="20"/>
          </w:rPr>
          <w:tab/>
        </w:r>
        <w:r>
          <w:rPr>
            <w:spacing w:val="-5"/>
            <w:sz w:val="20"/>
          </w:rPr>
          <w:t>93</w:t>
        </w:r>
      </w:hyperlink>
    </w:p>
    <w:p>
      <w:pPr>
        <w:pStyle w:val="ListParagraph"/>
        <w:numPr>
          <w:ilvl w:val="1"/>
          <w:numId w:val="10"/>
        </w:numPr>
        <w:tabs>
          <w:tab w:pos="876" w:val="left" w:leader="none"/>
          <w:tab w:pos="9720" w:val="left" w:leader="none"/>
        </w:tabs>
        <w:spacing w:line="240" w:lineRule="auto" w:before="61" w:after="0"/>
        <w:ind w:left="876" w:right="0" w:hanging="564"/>
        <w:jc w:val="left"/>
        <w:rPr>
          <w:sz w:val="20"/>
        </w:rPr>
      </w:pPr>
      <w:hyperlink w:history="true" w:anchor="_TOC_250010">
        <w:r>
          <w:rPr>
            <w:sz w:val="20"/>
          </w:rPr>
          <w:t>Biological</w:t>
        </w:r>
        <w:r>
          <w:rPr>
            <w:spacing w:val="-10"/>
            <w:sz w:val="20"/>
          </w:rPr>
          <w:t> </w:t>
        </w:r>
        <w:r>
          <w:rPr>
            <w:sz w:val="20"/>
          </w:rPr>
          <w:t>control</w:t>
        </w:r>
        <w:r>
          <w:rPr>
            <w:spacing w:val="-9"/>
            <w:sz w:val="20"/>
          </w:rPr>
          <w:t> </w:t>
        </w:r>
        <w:r>
          <w:rPr>
            <w:sz w:val="20"/>
          </w:rPr>
          <w:t>(for</w:t>
        </w:r>
        <w:r>
          <w:rPr>
            <w:spacing w:val="-9"/>
            <w:sz w:val="20"/>
          </w:rPr>
          <w:t> </w:t>
        </w:r>
        <w:r>
          <w:rPr>
            <w:spacing w:val="-2"/>
            <w:sz w:val="20"/>
          </w:rPr>
          <w:t>rabbits)</w:t>
        </w:r>
        <w:r>
          <w:rPr>
            <w:sz w:val="20"/>
          </w:rPr>
          <w:tab/>
        </w:r>
        <w:r>
          <w:rPr>
            <w:spacing w:val="-5"/>
            <w:sz w:val="20"/>
          </w:rPr>
          <w:t>93</w:t>
        </w:r>
      </w:hyperlink>
    </w:p>
    <w:p>
      <w:pPr>
        <w:pStyle w:val="ListParagraph"/>
        <w:numPr>
          <w:ilvl w:val="1"/>
          <w:numId w:val="10"/>
        </w:numPr>
        <w:tabs>
          <w:tab w:pos="876" w:val="left" w:leader="none"/>
          <w:tab w:pos="9720" w:val="left" w:leader="none"/>
        </w:tabs>
        <w:spacing w:line="240" w:lineRule="auto" w:before="60" w:after="0"/>
        <w:ind w:left="876" w:right="0" w:hanging="564"/>
        <w:jc w:val="left"/>
        <w:rPr>
          <w:sz w:val="20"/>
        </w:rPr>
      </w:pPr>
      <w:hyperlink w:history="true" w:anchor="_TOC_250009">
        <w:r>
          <w:rPr>
            <w:sz w:val="20"/>
          </w:rPr>
          <w:t>Livestock</w:t>
        </w:r>
        <w:r>
          <w:rPr>
            <w:spacing w:val="-11"/>
            <w:sz w:val="20"/>
          </w:rPr>
          <w:t> </w:t>
        </w:r>
        <w:r>
          <w:rPr>
            <w:sz w:val="20"/>
          </w:rPr>
          <w:t>guardian</w:t>
        </w:r>
        <w:r>
          <w:rPr>
            <w:spacing w:val="-13"/>
            <w:sz w:val="20"/>
          </w:rPr>
          <w:t> </w:t>
        </w:r>
        <w:r>
          <w:rPr>
            <w:spacing w:val="-2"/>
            <w:sz w:val="20"/>
          </w:rPr>
          <w:t>animals</w:t>
        </w:r>
        <w:r>
          <w:rPr>
            <w:sz w:val="20"/>
          </w:rPr>
          <w:tab/>
        </w:r>
        <w:r>
          <w:rPr>
            <w:spacing w:val="-5"/>
            <w:sz w:val="20"/>
          </w:rPr>
          <w:t>93</w:t>
        </w:r>
      </w:hyperlink>
    </w:p>
    <w:p>
      <w:pPr>
        <w:pStyle w:val="ListParagraph"/>
        <w:numPr>
          <w:ilvl w:val="1"/>
          <w:numId w:val="10"/>
        </w:numPr>
        <w:tabs>
          <w:tab w:pos="876" w:val="left" w:leader="none"/>
          <w:tab w:pos="9720" w:val="left" w:leader="none"/>
        </w:tabs>
        <w:spacing w:line="240" w:lineRule="auto" w:before="60" w:after="0"/>
        <w:ind w:left="876" w:right="0" w:hanging="564"/>
        <w:jc w:val="left"/>
        <w:rPr>
          <w:sz w:val="20"/>
        </w:rPr>
      </w:pPr>
      <w:hyperlink w:history="true" w:anchor="_TOC_250008">
        <w:r>
          <w:rPr>
            <w:spacing w:val="-2"/>
            <w:sz w:val="20"/>
          </w:rPr>
          <w:t>Fencing</w:t>
        </w:r>
        <w:r>
          <w:rPr>
            <w:sz w:val="20"/>
          </w:rPr>
          <w:tab/>
        </w:r>
        <w:r>
          <w:rPr>
            <w:spacing w:val="-5"/>
            <w:sz w:val="20"/>
          </w:rPr>
          <w:t>93</w:t>
        </w:r>
      </w:hyperlink>
    </w:p>
    <w:p>
      <w:pPr>
        <w:pStyle w:val="ListParagraph"/>
        <w:numPr>
          <w:ilvl w:val="1"/>
          <w:numId w:val="10"/>
        </w:numPr>
        <w:tabs>
          <w:tab w:pos="876" w:val="left" w:leader="none"/>
          <w:tab w:pos="9720" w:val="left" w:leader="none"/>
        </w:tabs>
        <w:spacing w:line="240" w:lineRule="auto" w:before="61" w:after="0"/>
        <w:ind w:left="876" w:right="0" w:hanging="564"/>
        <w:jc w:val="left"/>
        <w:rPr>
          <w:sz w:val="20"/>
        </w:rPr>
      </w:pPr>
      <w:hyperlink w:history="true" w:anchor="_TOC_250007">
        <w:r>
          <w:rPr>
            <w:sz w:val="20"/>
          </w:rPr>
          <w:t>Shooting</w:t>
        </w:r>
        <w:r>
          <w:rPr>
            <w:spacing w:val="-8"/>
            <w:sz w:val="20"/>
          </w:rPr>
          <w:t> </w:t>
        </w:r>
        <w:r>
          <w:rPr>
            <w:sz w:val="20"/>
          </w:rPr>
          <w:t>(for</w:t>
        </w:r>
        <w:r>
          <w:rPr>
            <w:spacing w:val="-5"/>
            <w:sz w:val="20"/>
          </w:rPr>
          <w:t> </w:t>
        </w:r>
        <w:r>
          <w:rPr>
            <w:sz w:val="20"/>
          </w:rPr>
          <w:t>all</w:t>
        </w:r>
        <w:r>
          <w:rPr>
            <w:spacing w:val="-7"/>
            <w:sz w:val="20"/>
          </w:rPr>
          <w:t> </w:t>
        </w:r>
        <w:r>
          <w:rPr>
            <w:spacing w:val="-2"/>
            <w:sz w:val="20"/>
          </w:rPr>
          <w:t>species)</w:t>
        </w:r>
        <w:r>
          <w:rPr>
            <w:sz w:val="20"/>
          </w:rPr>
          <w:tab/>
        </w:r>
        <w:r>
          <w:rPr>
            <w:spacing w:val="-5"/>
            <w:sz w:val="20"/>
          </w:rPr>
          <w:t>94</w:t>
        </w:r>
      </w:hyperlink>
    </w:p>
    <w:p>
      <w:pPr>
        <w:pStyle w:val="ListParagraph"/>
        <w:numPr>
          <w:ilvl w:val="1"/>
          <w:numId w:val="10"/>
        </w:numPr>
        <w:tabs>
          <w:tab w:pos="876" w:val="left" w:leader="none"/>
          <w:tab w:pos="9720" w:val="left" w:leader="none"/>
        </w:tabs>
        <w:spacing w:line="240" w:lineRule="auto" w:before="58" w:after="0"/>
        <w:ind w:left="876" w:right="0" w:hanging="564"/>
        <w:jc w:val="left"/>
        <w:rPr>
          <w:sz w:val="20"/>
        </w:rPr>
      </w:pPr>
      <w:hyperlink w:history="true" w:anchor="_TOC_250006">
        <w:r>
          <w:rPr>
            <w:spacing w:val="-2"/>
            <w:sz w:val="20"/>
          </w:rPr>
          <w:t>Trapping</w:t>
        </w:r>
        <w:r>
          <w:rPr>
            <w:sz w:val="20"/>
          </w:rPr>
          <w:tab/>
        </w:r>
        <w:r>
          <w:rPr>
            <w:spacing w:val="-5"/>
            <w:sz w:val="20"/>
          </w:rPr>
          <w:t>94</w:t>
        </w:r>
      </w:hyperlink>
    </w:p>
    <w:p>
      <w:pPr>
        <w:pStyle w:val="ListParagraph"/>
        <w:numPr>
          <w:ilvl w:val="0"/>
          <w:numId w:val="1"/>
        </w:numPr>
        <w:tabs>
          <w:tab w:pos="879" w:val="left" w:leader="none"/>
          <w:tab w:pos="9720" w:val="left" w:leader="none"/>
        </w:tabs>
        <w:spacing w:line="240" w:lineRule="auto" w:before="320" w:after="0"/>
        <w:ind w:left="312" w:right="163" w:firstLine="0"/>
        <w:jc w:val="left"/>
        <w:rPr>
          <w:b/>
          <w:sz w:val="20"/>
        </w:rPr>
      </w:pPr>
      <w:r>
        <w:rPr/>
        <mc:AlternateContent>
          <mc:Choice Requires="wps">
            <w:drawing>
              <wp:anchor distT="0" distB="0" distL="0" distR="0" allowOverlap="1" layoutInCell="1" locked="0" behindDoc="0" simplePos="0" relativeHeight="15740928">
                <wp:simplePos x="0" y="0"/>
                <wp:positionH relativeFrom="page">
                  <wp:posOffset>701040</wp:posOffset>
                </wp:positionH>
                <wp:positionV relativeFrom="paragraph">
                  <wp:posOffset>519173</wp:posOffset>
                </wp:positionV>
                <wp:extent cx="6158230" cy="127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55.200001pt,40.879765pt" to="540.100001pt,40.879765pt" stroked="true" strokeweight="1.44pt" strokecolor="#218591">
                <v:stroke dashstyle="shortdot"/>
                <w10:wrap type="none"/>
              </v:line>
            </w:pict>
          </mc:Fallback>
        </mc:AlternateContent>
      </w:r>
      <w:hyperlink w:history="true" w:anchor="_TOC_250005">
        <w:r>
          <w:rPr>
            <w:b/>
            <w:color w:val="001F5F"/>
            <w:sz w:val="20"/>
          </w:rPr>
          <w:t>Operator health and safety when managing European Rabbits, Feral Pigs, Red Foxes and Dingoes</w:t>
        </w:r>
        <w:r>
          <w:rPr>
            <w:b/>
            <w:color w:val="001F5F"/>
            <w:spacing w:val="-8"/>
            <w:sz w:val="20"/>
          </w:rPr>
          <w:t> </w:t>
        </w:r>
        <w:r>
          <w:rPr>
            <w:b/>
            <w:color w:val="001F5F"/>
            <w:sz w:val="20"/>
          </w:rPr>
          <w:t>and</w:t>
        </w:r>
        <w:r>
          <w:rPr>
            <w:b/>
            <w:color w:val="001F5F"/>
            <w:spacing w:val="-4"/>
            <w:sz w:val="20"/>
          </w:rPr>
          <w:t> </w:t>
        </w:r>
        <w:r>
          <w:rPr>
            <w:b/>
            <w:color w:val="001F5F"/>
            <w:sz w:val="20"/>
          </w:rPr>
          <w:t>Wild</w:t>
        </w:r>
        <w:r>
          <w:rPr>
            <w:b/>
            <w:color w:val="001F5F"/>
            <w:spacing w:val="-7"/>
            <w:sz w:val="20"/>
          </w:rPr>
          <w:t> </w:t>
        </w:r>
        <w:r>
          <w:rPr>
            <w:b/>
            <w:color w:val="001F5F"/>
            <w:spacing w:val="-4"/>
            <w:sz w:val="20"/>
          </w:rPr>
          <w:t>Dogs</w:t>
        </w:r>
        <w:r>
          <w:rPr>
            <w:b/>
            <w:color w:val="001F5F"/>
            <w:sz w:val="20"/>
          </w:rPr>
          <w:tab/>
        </w:r>
        <w:r>
          <w:rPr>
            <w:b/>
            <w:color w:val="001F5F"/>
            <w:spacing w:val="-5"/>
            <w:sz w:val="20"/>
          </w:rPr>
          <w:t>95</w:t>
        </w:r>
      </w:hyperlink>
    </w:p>
    <w:p>
      <w:pPr>
        <w:pStyle w:val="ListParagraph"/>
        <w:numPr>
          <w:ilvl w:val="0"/>
          <w:numId w:val="1"/>
        </w:numPr>
        <w:tabs>
          <w:tab w:pos="879" w:val="left" w:leader="none"/>
          <w:tab w:pos="9720" w:val="left" w:leader="none"/>
        </w:tabs>
        <w:spacing w:line="240" w:lineRule="auto" w:before="73" w:after="0"/>
        <w:ind w:left="879" w:right="0" w:hanging="567"/>
        <w:jc w:val="left"/>
        <w:rPr>
          <w:b/>
          <w:sz w:val="20"/>
        </w:rPr>
      </w:pPr>
      <w:r>
        <w:rPr/>
        <mc:AlternateContent>
          <mc:Choice Requires="wps">
            <w:drawing>
              <wp:anchor distT="0" distB="0" distL="0" distR="0" allowOverlap="1" layoutInCell="1" locked="0" behindDoc="0" simplePos="0" relativeHeight="15741440">
                <wp:simplePos x="0" y="0"/>
                <wp:positionH relativeFrom="page">
                  <wp:posOffset>701040</wp:posOffset>
                </wp:positionH>
                <wp:positionV relativeFrom="paragraph">
                  <wp:posOffset>214397</wp:posOffset>
                </wp:positionV>
                <wp:extent cx="6158230" cy="12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55.200001pt,16.881720pt" to="540.100001pt,16.881720pt" stroked="true" strokeweight="1.44pt" strokecolor="#218591">
                <v:stroke dashstyle="shortdot"/>
                <w10:wrap type="none"/>
              </v:line>
            </w:pict>
          </mc:Fallback>
        </mc:AlternateContent>
      </w:r>
      <w:hyperlink w:history="true" w:anchor="_TOC_250004">
        <w:r>
          <w:rPr>
            <w:b/>
            <w:color w:val="001F5F"/>
            <w:spacing w:val="-2"/>
            <w:sz w:val="20"/>
          </w:rPr>
          <w:t>Summary</w:t>
        </w:r>
        <w:r>
          <w:rPr>
            <w:b/>
            <w:color w:val="001F5F"/>
            <w:sz w:val="20"/>
          </w:rPr>
          <w:tab/>
        </w:r>
        <w:r>
          <w:rPr>
            <w:b/>
            <w:color w:val="001F5F"/>
            <w:spacing w:val="-5"/>
            <w:sz w:val="20"/>
          </w:rPr>
          <w:t>98</w:t>
        </w:r>
      </w:hyperlink>
    </w:p>
    <w:p>
      <w:pPr>
        <w:pStyle w:val="ListParagraph"/>
        <w:numPr>
          <w:ilvl w:val="0"/>
          <w:numId w:val="1"/>
        </w:numPr>
        <w:tabs>
          <w:tab w:pos="879" w:val="left" w:leader="none"/>
          <w:tab w:pos="9609" w:val="left" w:leader="none"/>
        </w:tabs>
        <w:spacing w:line="240" w:lineRule="auto" w:before="70" w:after="0"/>
        <w:ind w:left="879" w:right="0" w:hanging="567"/>
        <w:jc w:val="left"/>
        <w:rPr>
          <w:b/>
          <w:sz w:val="20"/>
        </w:rPr>
      </w:pPr>
      <w:r>
        <w:rPr/>
        <mc:AlternateContent>
          <mc:Choice Requires="wps">
            <w:drawing>
              <wp:anchor distT="0" distB="0" distL="0" distR="0" allowOverlap="1" layoutInCell="1" locked="0" behindDoc="0" simplePos="0" relativeHeight="15741952">
                <wp:simplePos x="0" y="0"/>
                <wp:positionH relativeFrom="page">
                  <wp:posOffset>701040</wp:posOffset>
                </wp:positionH>
                <wp:positionV relativeFrom="paragraph">
                  <wp:posOffset>212505</wp:posOffset>
                </wp:positionV>
                <wp:extent cx="6158230" cy="127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55.200001pt,16.732695pt" to="540.100001pt,16.732695pt" stroked="true" strokeweight="1.44pt" strokecolor="#218591">
                <v:stroke dashstyle="shortdot"/>
                <w10:wrap type="none"/>
              </v:line>
            </w:pict>
          </mc:Fallback>
        </mc:AlternateContent>
      </w:r>
      <w:hyperlink w:history="true" w:anchor="_TOC_250003">
        <w:r>
          <w:rPr>
            <w:b/>
            <w:color w:val="001F5F"/>
            <w:sz w:val="20"/>
          </w:rPr>
          <w:t>Knowledge</w:t>
        </w:r>
        <w:r>
          <w:rPr>
            <w:b/>
            <w:color w:val="001F5F"/>
            <w:spacing w:val="-12"/>
            <w:sz w:val="20"/>
          </w:rPr>
          <w:t> </w:t>
        </w:r>
        <w:r>
          <w:rPr>
            <w:b/>
            <w:color w:val="001F5F"/>
            <w:spacing w:val="-4"/>
            <w:sz w:val="20"/>
          </w:rPr>
          <w:t>gaps</w:t>
        </w:r>
        <w:r>
          <w:rPr>
            <w:b/>
            <w:color w:val="001F5F"/>
            <w:sz w:val="20"/>
          </w:rPr>
          <w:tab/>
        </w:r>
        <w:r>
          <w:rPr>
            <w:b/>
            <w:color w:val="001F5F"/>
            <w:spacing w:val="-5"/>
            <w:sz w:val="20"/>
          </w:rPr>
          <w:t>100</w:t>
        </w:r>
      </w:hyperlink>
    </w:p>
    <w:p>
      <w:pPr>
        <w:tabs>
          <w:tab w:pos="9609" w:val="left" w:leader="none"/>
        </w:tabs>
        <w:spacing w:before="70"/>
        <w:ind w:left="312" w:right="0" w:firstLine="0"/>
        <w:jc w:val="left"/>
        <w:rPr>
          <w:b/>
          <w:sz w:val="20"/>
        </w:rPr>
      </w:pPr>
      <w:r>
        <w:rPr/>
        <mc:AlternateContent>
          <mc:Choice Requires="wps">
            <w:drawing>
              <wp:anchor distT="0" distB="0" distL="0" distR="0" allowOverlap="1" layoutInCell="1" locked="0" behindDoc="0" simplePos="0" relativeHeight="15742464">
                <wp:simplePos x="0" y="0"/>
                <wp:positionH relativeFrom="page">
                  <wp:posOffset>701040</wp:posOffset>
                </wp:positionH>
                <wp:positionV relativeFrom="paragraph">
                  <wp:posOffset>212517</wp:posOffset>
                </wp:positionV>
                <wp:extent cx="6158230" cy="127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55.200001pt,16.733671pt" to="540.100001pt,16.733671pt" stroked="true" strokeweight="1.44pt" strokecolor="#218591">
                <v:stroke dashstyle="shortdot"/>
                <w10:wrap type="none"/>
              </v:line>
            </w:pict>
          </mc:Fallback>
        </mc:AlternateContent>
      </w:r>
      <w:hyperlink w:history="true" w:anchor="_TOC_250002">
        <w:r>
          <w:rPr>
            <w:b/>
            <w:color w:val="001F5F"/>
            <w:spacing w:val="-2"/>
            <w:sz w:val="20"/>
          </w:rPr>
          <w:t>References</w:t>
        </w:r>
        <w:r>
          <w:rPr>
            <w:b/>
            <w:color w:val="001F5F"/>
            <w:sz w:val="20"/>
          </w:rPr>
          <w:tab/>
        </w:r>
        <w:r>
          <w:rPr>
            <w:b/>
            <w:color w:val="001F5F"/>
            <w:spacing w:val="-5"/>
            <w:sz w:val="20"/>
          </w:rPr>
          <w:t>102</w:t>
        </w:r>
      </w:hyperlink>
    </w:p>
    <w:p>
      <w:pPr>
        <w:tabs>
          <w:tab w:pos="9609" w:val="left" w:leader="none"/>
        </w:tabs>
        <w:spacing w:before="70"/>
        <w:ind w:left="312" w:right="0" w:firstLine="0"/>
        <w:jc w:val="left"/>
        <w:rPr>
          <w:b/>
          <w:sz w:val="20"/>
        </w:rPr>
      </w:pPr>
      <w:r>
        <w:rPr/>
        <mc:AlternateContent>
          <mc:Choice Requires="wps">
            <w:drawing>
              <wp:anchor distT="0" distB="0" distL="0" distR="0" allowOverlap="1" layoutInCell="1" locked="0" behindDoc="0" simplePos="0" relativeHeight="15742976">
                <wp:simplePos x="0" y="0"/>
                <wp:positionH relativeFrom="page">
                  <wp:posOffset>701040</wp:posOffset>
                </wp:positionH>
                <wp:positionV relativeFrom="paragraph">
                  <wp:posOffset>238438</wp:posOffset>
                </wp:positionV>
                <wp:extent cx="6158230"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6158230" cy="1270"/>
                        </a:xfrm>
                        <a:custGeom>
                          <a:avLst/>
                          <a:gdLst/>
                          <a:ahLst/>
                          <a:cxnLst/>
                          <a:rect l="l" t="t" r="r" b="b"/>
                          <a:pathLst>
                            <a:path w="6158230" h="0">
                              <a:moveTo>
                                <a:pt x="0" y="0"/>
                              </a:moveTo>
                              <a:lnTo>
                                <a:pt x="6158230" y="0"/>
                              </a:lnTo>
                            </a:path>
                          </a:pathLst>
                        </a:custGeom>
                        <a:ln w="18288">
                          <a:solidFill>
                            <a:srgbClr val="218591"/>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55.200001pt,18.774649pt" to="540.100001pt,18.774649pt" stroked="true" strokeweight="1.44pt" strokecolor="#218591">
                <v:stroke dashstyle="shortdot"/>
                <w10:wrap type="none"/>
              </v:line>
            </w:pict>
          </mc:Fallback>
        </mc:AlternateContent>
      </w:r>
      <w:hyperlink w:history="true" w:anchor="_TOC_250001">
        <w:r>
          <w:rPr>
            <w:b/>
            <w:color w:val="001F5F"/>
            <w:spacing w:val="-2"/>
            <w:sz w:val="20"/>
          </w:rPr>
          <w:t>Appendices</w:t>
        </w:r>
        <w:r>
          <w:rPr>
            <w:b/>
            <w:color w:val="001F5F"/>
            <w:sz w:val="20"/>
          </w:rPr>
          <w:tab/>
        </w:r>
        <w:r>
          <w:rPr>
            <w:b/>
            <w:color w:val="001F5F"/>
            <w:spacing w:val="-5"/>
            <w:sz w:val="20"/>
          </w:rPr>
          <w:t>131</w:t>
        </w:r>
      </w:hyperlink>
    </w:p>
    <w:p>
      <w:pPr>
        <w:pStyle w:val="BodyText"/>
        <w:tabs>
          <w:tab w:pos="9609" w:val="left" w:leader="none"/>
        </w:tabs>
        <w:spacing w:before="209"/>
        <w:ind w:left="879"/>
      </w:pPr>
      <w:hyperlink w:history="true" w:anchor="_TOC_250000">
        <w:r>
          <w:rPr/>
          <w:t>Appendix</w:t>
        </w:r>
        <w:r>
          <w:rPr>
            <w:spacing w:val="-8"/>
          </w:rPr>
          <w:t> </w:t>
        </w:r>
        <w:r>
          <w:rPr/>
          <w:t>1.</w:t>
        </w:r>
        <w:r>
          <w:rPr>
            <w:spacing w:val="-9"/>
          </w:rPr>
          <w:t> </w:t>
        </w:r>
        <w:r>
          <w:rPr/>
          <w:t>Information</w:t>
        </w:r>
        <w:r>
          <w:rPr>
            <w:spacing w:val="-10"/>
          </w:rPr>
          <w:t> </w:t>
        </w:r>
        <w:r>
          <w:rPr/>
          <w:t>required</w:t>
        </w:r>
        <w:r>
          <w:rPr>
            <w:spacing w:val="-8"/>
          </w:rPr>
          <w:t> </w:t>
        </w:r>
        <w:r>
          <w:rPr/>
          <w:t>to</w:t>
        </w:r>
        <w:r>
          <w:rPr>
            <w:spacing w:val="-7"/>
          </w:rPr>
          <w:t> </w:t>
        </w:r>
        <w:r>
          <w:rPr/>
          <w:t>parameterise</w:t>
        </w:r>
        <w:r>
          <w:rPr>
            <w:spacing w:val="-9"/>
          </w:rPr>
          <w:t> </w:t>
        </w:r>
        <w:r>
          <w:rPr/>
          <w:t>cost-effectiveness</w:t>
        </w:r>
        <w:r>
          <w:rPr>
            <w:spacing w:val="-8"/>
          </w:rPr>
          <w:t> </w:t>
        </w:r>
        <w:r>
          <w:rPr/>
          <w:t>models</w:t>
        </w:r>
        <w:r>
          <w:rPr>
            <w:spacing w:val="-8"/>
          </w:rPr>
          <w:t> </w:t>
        </w:r>
        <w:r>
          <w:rPr/>
          <w:t>of</w:t>
        </w:r>
        <w:r>
          <w:rPr>
            <w:spacing w:val="-8"/>
          </w:rPr>
          <w:t> </w:t>
        </w:r>
        <w:r>
          <w:rPr/>
          <w:t>pest</w:t>
        </w:r>
        <w:r>
          <w:rPr>
            <w:spacing w:val="-9"/>
          </w:rPr>
          <w:t> </w:t>
        </w:r>
        <w:r>
          <w:rPr>
            <w:spacing w:val="-2"/>
          </w:rPr>
          <w:t>control</w:t>
        </w:r>
        <w:r>
          <w:rPr/>
          <w:tab/>
        </w:r>
        <w:r>
          <w:rPr>
            <w:spacing w:val="-5"/>
          </w:rPr>
          <w:t>131</w:t>
        </w:r>
      </w:hyperlink>
    </w:p>
    <w:p>
      <w:pPr>
        <w:spacing w:after="0"/>
        <w:sectPr>
          <w:pgSz w:w="11910" w:h="16850"/>
          <w:pgMar w:header="0" w:footer="688" w:top="1120" w:bottom="880" w:left="820" w:right="980"/>
        </w:sectPr>
      </w:pPr>
    </w:p>
    <w:p>
      <w:pPr>
        <w:pStyle w:val="Heading2"/>
        <w:spacing w:before="65"/>
        <w:ind w:left="312" w:firstLine="0"/>
      </w:pPr>
      <w:r>
        <w:rPr>
          <w:color w:val="001F5F"/>
          <w:spacing w:val="-2"/>
        </w:rPr>
        <w:t>Tables</w:t>
      </w:r>
    </w:p>
    <w:p>
      <w:pPr>
        <w:pStyle w:val="BodyText"/>
        <w:spacing w:before="231"/>
        <w:rPr>
          <w:b/>
          <w:sz w:val="32"/>
        </w:rPr>
      </w:pPr>
    </w:p>
    <w:p>
      <w:pPr>
        <w:pStyle w:val="BodyText"/>
        <w:tabs>
          <w:tab w:pos="9720" w:val="left" w:leader="dot"/>
        </w:tabs>
        <w:spacing w:before="1"/>
        <w:ind w:left="1033" w:right="163" w:hanging="721"/>
      </w:pPr>
      <w:hyperlink w:history="true" w:anchor="_bookmark0">
        <w:r>
          <w:rPr/>
          <w:t>Table 1. The minimum number of publications reviewed for each pest species. Additional publications had</w:t>
        </w:r>
      </w:hyperlink>
      <w:r>
        <w:rPr/>
        <w:t> </w:t>
      </w:r>
      <w:hyperlink w:history="true" w:anchor="_bookmark0">
        <w:r>
          <w:rPr/>
          <w:t>references to multiple species and were not counted to avoid double counting</w:t>
        </w:r>
        <w:r>
          <w:rPr/>
          <w:tab/>
        </w:r>
        <w:r>
          <w:rPr>
            <w:spacing w:val="-6"/>
          </w:rPr>
          <w:t>19</w:t>
        </w:r>
      </w:hyperlink>
    </w:p>
    <w:p>
      <w:pPr>
        <w:pStyle w:val="BodyText"/>
        <w:tabs>
          <w:tab w:pos="9720" w:val="left" w:leader="dot"/>
        </w:tabs>
        <w:spacing w:before="120"/>
        <w:ind w:left="1033" w:right="163" w:hanging="721"/>
      </w:pPr>
      <w:hyperlink w:history="true" w:anchor="_bookmark2">
        <w:r>
          <w:rPr/>
          <w:t>Table 2. Comparisons of reported changes in European Rabbit abundance using different lethal control</w:t>
        </w:r>
      </w:hyperlink>
      <w:r>
        <w:rPr/>
        <w:t> </w:t>
      </w:r>
      <w:hyperlink w:history="true" w:anchor="_bookmark2">
        <w:r>
          <w:rPr/>
          <w:t>methods in Australia.</w:t>
        </w:r>
        <w:r>
          <w:rPr/>
          <w:tab/>
        </w:r>
        <w:r>
          <w:rPr>
            <w:spacing w:val="-6"/>
          </w:rPr>
          <w:t>31</w:t>
        </w:r>
      </w:hyperlink>
    </w:p>
    <w:p>
      <w:pPr>
        <w:pStyle w:val="BodyText"/>
        <w:tabs>
          <w:tab w:pos="9720" w:val="left" w:leader="dot"/>
        </w:tabs>
        <w:spacing w:before="119"/>
        <w:ind w:left="1033" w:right="163" w:hanging="721"/>
      </w:pPr>
      <w:hyperlink w:history="true" w:anchor="_bookmark3">
        <w:r>
          <w:rPr/>
          <w:t>Table 3. Summary of cost-effectiveness, target specificity advantages and disadvantages of lethal European</w:t>
        </w:r>
      </w:hyperlink>
      <w:r>
        <w:rPr/>
        <w:t> </w:t>
      </w:r>
      <w:hyperlink w:history="true" w:anchor="_bookmark3">
        <w:r>
          <w:rPr/>
          <w:t>Rabbit control methods used in Victoria. Adapted from the State and National Codes of Practices</w:t>
        </w:r>
      </w:hyperlink>
      <w:r>
        <w:rPr>
          <w:spacing w:val="40"/>
        </w:rPr>
        <w:t> </w:t>
      </w:r>
      <w:hyperlink w:history="true" w:anchor="_bookmark3">
        <w:r>
          <w:rPr/>
          <w:t>and updated using outcomes from this literature review.</w:t>
        </w:r>
        <w:r>
          <w:rPr/>
          <w:tab/>
        </w:r>
        <w:r>
          <w:rPr>
            <w:spacing w:val="-6"/>
          </w:rPr>
          <w:t>33</w:t>
        </w:r>
      </w:hyperlink>
    </w:p>
    <w:p>
      <w:pPr>
        <w:pStyle w:val="BodyText"/>
        <w:tabs>
          <w:tab w:pos="9720" w:val="left" w:leader="dot"/>
        </w:tabs>
        <w:spacing w:before="121"/>
        <w:ind w:left="1033" w:right="163" w:hanging="721"/>
      </w:pPr>
      <w:hyperlink w:history="true" w:anchor="_bookmark8">
        <w:r>
          <w:rPr/>
          <w:t>Table 4. Comparisons of reported changes in Feral Pig abundance using different lethal control methods in</w:t>
        </w:r>
      </w:hyperlink>
      <w:r>
        <w:rPr/>
        <w:t> </w:t>
      </w:r>
      <w:hyperlink w:history="true" w:anchor="_bookmark8">
        <w:r>
          <w:rPr>
            <w:spacing w:val="-2"/>
          </w:rPr>
          <w:t>Australia.</w:t>
        </w:r>
        <w:r>
          <w:rPr/>
          <w:tab/>
        </w:r>
        <w:r>
          <w:rPr>
            <w:spacing w:val="-6"/>
          </w:rPr>
          <w:t>43</w:t>
        </w:r>
      </w:hyperlink>
    </w:p>
    <w:p>
      <w:pPr>
        <w:pStyle w:val="BodyText"/>
        <w:tabs>
          <w:tab w:pos="9720" w:val="left" w:leader="dot"/>
        </w:tabs>
        <w:spacing w:before="119"/>
        <w:ind w:left="1033" w:right="163" w:hanging="721"/>
      </w:pPr>
      <w:hyperlink w:history="true" w:anchor="_bookmark9">
        <w:r>
          <w:rPr/>
          <w:t>Table 5. Summary of efficacy, cost-effectiveness, target specificity, and advantages and disadvantages of</w:t>
        </w:r>
      </w:hyperlink>
      <w:r>
        <w:rPr/>
        <w:t> </w:t>
      </w:r>
      <w:hyperlink w:history="true" w:anchor="_bookmark9">
        <w:r>
          <w:rPr/>
          <w:t>lethal Feral Pig control methods used in Victoria. Adapted from the State and National Codes of</w:t>
        </w:r>
      </w:hyperlink>
      <w:r>
        <w:rPr/>
        <w:t> </w:t>
      </w:r>
      <w:hyperlink w:history="true" w:anchor="_bookmark9">
        <w:r>
          <w:rPr/>
          <w:t>Practices and updated using outcomes from the literature review</w:t>
        </w:r>
        <w:r>
          <w:rPr/>
          <w:tab/>
        </w:r>
        <w:r>
          <w:rPr>
            <w:spacing w:val="-6"/>
          </w:rPr>
          <w:t>45</w:t>
        </w:r>
      </w:hyperlink>
    </w:p>
    <w:p>
      <w:pPr>
        <w:pStyle w:val="BodyText"/>
        <w:tabs>
          <w:tab w:pos="9720" w:val="left" w:leader="dot"/>
        </w:tabs>
        <w:spacing w:before="121"/>
        <w:ind w:left="1033" w:right="163" w:hanging="721"/>
      </w:pPr>
      <w:hyperlink w:history="true" w:anchor="_bookmark10">
        <w:r>
          <w:rPr/>
          <w:t>Table 6. Comparisons of reported changes in fox abundance using different lethal control methods in</w:t>
        </w:r>
      </w:hyperlink>
      <w:r>
        <w:rPr/>
        <w:t> </w:t>
      </w:r>
      <w:hyperlink w:history="true" w:anchor="_bookmark10">
        <w:r>
          <w:rPr>
            <w:spacing w:val="-2"/>
          </w:rPr>
          <w:t>Australia.</w:t>
        </w:r>
        <w:r>
          <w:rPr/>
          <w:tab/>
        </w:r>
        <w:r>
          <w:rPr>
            <w:spacing w:val="-6"/>
          </w:rPr>
          <w:t>48</w:t>
        </w:r>
      </w:hyperlink>
    </w:p>
    <w:p>
      <w:pPr>
        <w:pStyle w:val="BodyText"/>
        <w:tabs>
          <w:tab w:pos="9720" w:val="left" w:leader="dot"/>
        </w:tabs>
        <w:spacing w:before="121"/>
        <w:ind w:left="1033" w:right="163" w:hanging="721"/>
      </w:pPr>
      <w:hyperlink w:history="true" w:anchor="_bookmark13">
        <w:r>
          <w:rPr/>
          <w:t>Table 7. Relative costs of implementing a fox control operation using FOXOFF, FOXECUTE and CPEs</w:t>
        </w:r>
      </w:hyperlink>
      <w:r>
        <w:rPr/>
        <w:t> </w:t>
      </w:r>
      <w:hyperlink w:history="true" w:anchor="_bookmark13">
        <w:r>
          <w:rPr/>
          <w:t>across three locations in southwest Victoria</w:t>
        </w:r>
        <w:r>
          <w:rPr/>
          <w:tab/>
        </w:r>
        <w:r>
          <w:rPr>
            <w:spacing w:val="-6"/>
          </w:rPr>
          <w:t>54</w:t>
        </w:r>
      </w:hyperlink>
    </w:p>
    <w:p>
      <w:pPr>
        <w:pStyle w:val="BodyText"/>
        <w:tabs>
          <w:tab w:pos="9720" w:val="left" w:leader="dot"/>
        </w:tabs>
        <w:spacing w:before="119"/>
        <w:ind w:left="1033" w:right="163" w:hanging="721"/>
      </w:pPr>
      <w:hyperlink w:history="true" w:anchor="_bookmark14">
        <w:r>
          <w:rPr/>
          <w:t>Table 8. Summary of cost-effectiveness, target specificity, and advantages and disadvantages of lethal fox</w:t>
        </w:r>
      </w:hyperlink>
      <w:r>
        <w:rPr/>
        <w:t> </w:t>
      </w:r>
      <w:hyperlink w:history="true" w:anchor="_bookmark14">
        <w:r>
          <w:rPr/>
          <w:t>control methods used in Victoria. Adapted from the State and National Codes of Practices and</w:t>
        </w:r>
      </w:hyperlink>
      <w:r>
        <w:rPr/>
        <w:t> </w:t>
      </w:r>
      <w:hyperlink w:history="true" w:anchor="_bookmark14">
        <w:r>
          <w:rPr/>
          <w:t>updated using outcomes from the literature review.</w:t>
        </w:r>
        <w:r>
          <w:rPr/>
          <w:tab/>
        </w:r>
        <w:r>
          <w:rPr>
            <w:spacing w:val="-6"/>
          </w:rPr>
          <w:t>56</w:t>
        </w:r>
      </w:hyperlink>
    </w:p>
    <w:p>
      <w:pPr>
        <w:pStyle w:val="BodyText"/>
        <w:tabs>
          <w:tab w:pos="9720" w:val="left" w:leader="dot"/>
        </w:tabs>
        <w:spacing w:before="121"/>
        <w:ind w:left="1033" w:right="163" w:hanging="721"/>
      </w:pPr>
      <w:hyperlink w:history="true" w:anchor="_bookmark15">
        <w:r>
          <w:rPr/>
          <w:t>Table 9. Comparisons of reported changes in Dingo and Wild Dog abundance using different lethal control</w:t>
        </w:r>
      </w:hyperlink>
      <w:r>
        <w:rPr/>
        <w:t> </w:t>
      </w:r>
      <w:hyperlink w:history="true" w:anchor="_bookmark15">
        <w:r>
          <w:rPr/>
          <w:t>methods in Australia.</w:t>
        </w:r>
        <w:r>
          <w:rPr/>
          <w:tab/>
        </w:r>
        <w:r>
          <w:rPr>
            <w:spacing w:val="-6"/>
          </w:rPr>
          <w:t>62</w:t>
        </w:r>
      </w:hyperlink>
    </w:p>
    <w:p>
      <w:pPr>
        <w:pStyle w:val="BodyText"/>
        <w:tabs>
          <w:tab w:pos="9720" w:val="left" w:leader="dot"/>
        </w:tabs>
        <w:spacing w:before="118"/>
        <w:ind w:left="1033" w:right="163" w:hanging="721"/>
      </w:pPr>
      <w:hyperlink w:history="true" w:anchor="_bookmark16">
        <w:r>
          <w:rPr/>
          <w:t>Table 10. Summary of efficacy, cost-effectiveness, target specificity, and advantages and disadvantages of</w:t>
        </w:r>
      </w:hyperlink>
      <w:r>
        <w:rPr/>
        <w:t> </w:t>
      </w:r>
      <w:hyperlink w:history="true" w:anchor="_bookmark16">
        <w:r>
          <w:rPr/>
          <w:t>lethal control methods for Dingoes and Wild Dogs used in Victoria. Adapted from the State and</w:t>
        </w:r>
      </w:hyperlink>
      <w:r>
        <w:rPr/>
        <w:t> </w:t>
      </w:r>
      <w:hyperlink w:history="true" w:anchor="_bookmark16">
        <w:r>
          <w:rPr/>
          <w:t>National</w:t>
        </w:r>
        <w:r>
          <w:rPr>
            <w:spacing w:val="-9"/>
          </w:rPr>
          <w:t> </w:t>
        </w:r>
        <w:r>
          <w:rPr/>
          <w:t>Codes</w:t>
        </w:r>
        <w:r>
          <w:rPr>
            <w:spacing w:val="-7"/>
          </w:rPr>
          <w:t> </w:t>
        </w:r>
        <w:r>
          <w:rPr/>
          <w:t>of</w:t>
        </w:r>
        <w:r>
          <w:rPr>
            <w:spacing w:val="-6"/>
          </w:rPr>
          <w:t> </w:t>
        </w:r>
        <w:r>
          <w:rPr/>
          <w:t>Practices</w:t>
        </w:r>
        <w:r>
          <w:rPr>
            <w:spacing w:val="-6"/>
          </w:rPr>
          <w:t> </w:t>
        </w:r>
        <w:r>
          <w:rPr/>
          <w:t>and</w:t>
        </w:r>
        <w:r>
          <w:rPr>
            <w:spacing w:val="-8"/>
          </w:rPr>
          <w:t> </w:t>
        </w:r>
        <w:r>
          <w:rPr/>
          <w:t>updated</w:t>
        </w:r>
        <w:r>
          <w:rPr>
            <w:spacing w:val="-7"/>
          </w:rPr>
          <w:t> </w:t>
        </w:r>
        <w:r>
          <w:rPr/>
          <w:t>using</w:t>
        </w:r>
        <w:r>
          <w:rPr>
            <w:spacing w:val="-7"/>
          </w:rPr>
          <w:t> </w:t>
        </w:r>
        <w:r>
          <w:rPr/>
          <w:t>outcomes</w:t>
        </w:r>
        <w:r>
          <w:rPr>
            <w:spacing w:val="-2"/>
          </w:rPr>
          <w:t> </w:t>
        </w:r>
        <w:r>
          <w:rPr/>
          <w:t>from</w:t>
        </w:r>
        <w:r>
          <w:rPr>
            <w:spacing w:val="-6"/>
          </w:rPr>
          <w:t> </w:t>
        </w:r>
        <w:r>
          <w:rPr/>
          <w:t>the</w:t>
        </w:r>
        <w:r>
          <w:rPr>
            <w:spacing w:val="-6"/>
          </w:rPr>
          <w:t> </w:t>
        </w:r>
        <w:r>
          <w:rPr/>
          <w:t>literature</w:t>
        </w:r>
        <w:r>
          <w:rPr>
            <w:spacing w:val="-8"/>
          </w:rPr>
          <w:t> </w:t>
        </w:r>
        <w:r>
          <w:rPr>
            <w:spacing w:val="-2"/>
          </w:rPr>
          <w:t>review.</w:t>
        </w:r>
        <w:r>
          <w:rPr/>
          <w:tab/>
        </w:r>
        <w:r>
          <w:rPr>
            <w:spacing w:val="-5"/>
          </w:rPr>
          <w:t>64</w:t>
        </w:r>
      </w:hyperlink>
    </w:p>
    <w:p>
      <w:pPr>
        <w:pStyle w:val="BodyText"/>
        <w:tabs>
          <w:tab w:pos="9720" w:val="left" w:leader="dot"/>
        </w:tabs>
        <w:spacing w:before="122"/>
        <w:ind w:left="1033" w:right="163" w:hanging="721"/>
        <w:jc w:val="both"/>
      </w:pPr>
      <w:hyperlink w:history="true" w:anchor="_bookmark18">
        <w:r>
          <w:rPr/>
          <w:t>Table 11. Summary of cost-effectiveness, target specificity advantages and disadvantages of 1080 and non-</w:t>
        </w:r>
      </w:hyperlink>
      <w:r>
        <w:rPr/>
        <w:t> </w:t>
      </w:r>
      <w:hyperlink w:history="true" w:anchor="_bookmark18">
        <w:r>
          <w:rPr/>
          <w:t>lethal control methods used in Victoria for each of the four pest species. Adapted from the State and</w:t>
        </w:r>
      </w:hyperlink>
      <w:r>
        <w:rPr/>
        <w:t> </w:t>
      </w:r>
      <w:hyperlink w:history="true" w:anchor="_bookmark18">
        <w:r>
          <w:rPr/>
          <w:t>National</w:t>
        </w:r>
        <w:r>
          <w:rPr>
            <w:spacing w:val="-9"/>
          </w:rPr>
          <w:t> </w:t>
        </w:r>
        <w:r>
          <w:rPr/>
          <w:t>Codes</w:t>
        </w:r>
        <w:r>
          <w:rPr>
            <w:spacing w:val="-6"/>
          </w:rPr>
          <w:t> </w:t>
        </w:r>
        <w:r>
          <w:rPr/>
          <w:t>of</w:t>
        </w:r>
        <w:r>
          <w:rPr>
            <w:spacing w:val="-6"/>
          </w:rPr>
          <w:t> </w:t>
        </w:r>
        <w:r>
          <w:rPr/>
          <w:t>Practices</w:t>
        </w:r>
        <w:r>
          <w:rPr>
            <w:spacing w:val="-7"/>
          </w:rPr>
          <w:t> </w:t>
        </w:r>
        <w:r>
          <w:rPr/>
          <w:t>and</w:t>
        </w:r>
        <w:r>
          <w:rPr>
            <w:spacing w:val="-7"/>
          </w:rPr>
          <w:t> </w:t>
        </w:r>
        <w:r>
          <w:rPr/>
          <w:t>updated</w:t>
        </w:r>
        <w:r>
          <w:rPr>
            <w:spacing w:val="-7"/>
          </w:rPr>
          <w:t> </w:t>
        </w:r>
        <w:r>
          <w:rPr/>
          <w:t>using</w:t>
        </w:r>
        <w:r>
          <w:rPr>
            <w:spacing w:val="-7"/>
          </w:rPr>
          <w:t> </w:t>
        </w:r>
        <w:r>
          <w:rPr/>
          <w:t>outcomes</w:t>
        </w:r>
        <w:r>
          <w:rPr>
            <w:spacing w:val="-7"/>
          </w:rPr>
          <w:t> </w:t>
        </w:r>
        <w:r>
          <w:rPr/>
          <w:t>from</w:t>
        </w:r>
        <w:r>
          <w:rPr>
            <w:spacing w:val="-5"/>
          </w:rPr>
          <w:t> </w:t>
        </w:r>
        <w:r>
          <w:rPr/>
          <w:t>this</w:t>
        </w:r>
        <w:r>
          <w:rPr>
            <w:spacing w:val="-5"/>
          </w:rPr>
          <w:t> </w:t>
        </w:r>
        <w:r>
          <w:rPr/>
          <w:t>literature</w:t>
        </w:r>
        <w:r>
          <w:rPr>
            <w:spacing w:val="-7"/>
          </w:rPr>
          <w:t> </w:t>
        </w:r>
        <w:r>
          <w:rPr>
            <w:spacing w:val="-2"/>
          </w:rPr>
          <w:t>review.</w:t>
        </w:r>
        <w:r>
          <w:rPr/>
          <w:tab/>
        </w:r>
        <w:r>
          <w:rPr>
            <w:spacing w:val="-5"/>
          </w:rPr>
          <w:t>72</w:t>
        </w:r>
      </w:hyperlink>
    </w:p>
    <w:p>
      <w:pPr>
        <w:pStyle w:val="BodyText"/>
        <w:spacing w:before="119"/>
        <w:ind w:left="1033" w:right="254" w:hanging="721"/>
        <w:jc w:val="both"/>
      </w:pPr>
      <w:hyperlink w:history="true" w:anchor="_bookmark23">
        <w:r>
          <w:rPr/>
          <w:t>Table 12. Relative humaneness scores derived using the Sharp and Saunders (2011) model process to</w:t>
        </w:r>
      </w:hyperlink>
      <w:r>
        <w:rPr/>
        <w:t> </w:t>
      </w:r>
      <w:hyperlink w:history="true" w:anchor="_bookmark23">
        <w:r>
          <w:rPr/>
          <w:t>assess</w:t>
        </w:r>
        <w:r>
          <w:rPr>
            <w:spacing w:val="-3"/>
          </w:rPr>
          <w:t> </w:t>
        </w:r>
        <w:r>
          <w:rPr/>
          <w:t>lethal</w:t>
        </w:r>
        <w:r>
          <w:rPr>
            <w:spacing w:val="-5"/>
          </w:rPr>
          <w:t> </w:t>
        </w:r>
        <w:r>
          <w:rPr/>
          <w:t>control</w:t>
        </w:r>
        <w:r>
          <w:rPr>
            <w:spacing w:val="-3"/>
          </w:rPr>
          <w:t> </w:t>
        </w:r>
        <w:r>
          <w:rPr/>
          <w:t>methods</w:t>
        </w:r>
        <w:r>
          <w:rPr>
            <w:spacing w:val="-3"/>
          </w:rPr>
          <w:t> </w:t>
        </w:r>
        <w:r>
          <w:rPr/>
          <w:t>for</w:t>
        </w:r>
        <w:r>
          <w:rPr>
            <w:spacing w:val="-3"/>
          </w:rPr>
          <w:t> </w:t>
        </w:r>
        <w:r>
          <w:rPr/>
          <w:t>European</w:t>
        </w:r>
        <w:r>
          <w:rPr>
            <w:spacing w:val="-5"/>
          </w:rPr>
          <w:t> </w:t>
        </w:r>
        <w:r>
          <w:rPr/>
          <w:t>Rabbits,</w:t>
        </w:r>
        <w:r>
          <w:rPr>
            <w:spacing w:val="-4"/>
          </w:rPr>
          <w:t> </w:t>
        </w:r>
        <w:r>
          <w:rPr/>
          <w:t>foxes,</w:t>
        </w:r>
        <w:r>
          <w:rPr>
            <w:spacing w:val="-4"/>
          </w:rPr>
          <w:t> </w:t>
        </w:r>
        <w:r>
          <w:rPr/>
          <w:t>Feral</w:t>
        </w:r>
        <w:r>
          <w:rPr>
            <w:spacing w:val="-3"/>
          </w:rPr>
          <w:t> </w:t>
        </w:r>
        <w:r>
          <w:rPr/>
          <w:t>Pigs,</w:t>
        </w:r>
        <w:r>
          <w:rPr>
            <w:spacing w:val="-2"/>
          </w:rPr>
          <w:t> </w:t>
        </w:r>
        <w:r>
          <w:rPr/>
          <w:t>and</w:t>
        </w:r>
        <w:r>
          <w:rPr>
            <w:spacing w:val="-4"/>
          </w:rPr>
          <w:t> </w:t>
        </w:r>
        <w:r>
          <w:rPr/>
          <w:t>Dingoes</w:t>
        </w:r>
        <w:r>
          <w:rPr>
            <w:spacing w:val="-3"/>
          </w:rPr>
          <w:t> </w:t>
        </w:r>
        <w:r>
          <w:rPr/>
          <w:t>and</w:t>
        </w:r>
        <w:r>
          <w:rPr>
            <w:spacing w:val="-2"/>
          </w:rPr>
          <w:t> </w:t>
        </w:r>
        <w:r>
          <w:rPr/>
          <w:t>Wild</w:t>
        </w:r>
        <w:r>
          <w:rPr>
            <w:spacing w:val="-2"/>
          </w:rPr>
          <w:t> </w:t>
        </w:r>
        <w:r>
          <w:rPr/>
          <w:t>Dogs.</w:t>
        </w:r>
      </w:hyperlink>
    </w:p>
    <w:p>
      <w:pPr>
        <w:pStyle w:val="BodyText"/>
        <w:tabs>
          <w:tab w:pos="9720" w:val="left" w:leader="dot"/>
        </w:tabs>
        <w:spacing w:before="1"/>
        <w:ind w:left="1057"/>
      </w:pPr>
      <w:hyperlink w:history="true" w:anchor="_bookmark23">
        <w:r>
          <w:rPr>
            <w:spacing w:val="-10"/>
          </w:rPr>
          <w:t>.</w:t>
        </w:r>
        <w:r>
          <w:rPr/>
          <w:tab/>
        </w:r>
        <w:r>
          <w:rPr>
            <w:spacing w:val="-5"/>
          </w:rPr>
          <w:t>83</w:t>
        </w:r>
      </w:hyperlink>
    </w:p>
    <w:p>
      <w:pPr>
        <w:pStyle w:val="BodyText"/>
        <w:tabs>
          <w:tab w:pos="9720" w:val="left" w:leader="dot"/>
        </w:tabs>
        <w:spacing w:before="120"/>
        <w:ind w:left="1033" w:right="163" w:hanging="721"/>
        <w:jc w:val="both"/>
      </w:pPr>
      <w:hyperlink w:history="true" w:anchor="_bookmark24">
        <w:r>
          <w:rPr/>
          <w:t>Table 13. Occupational, health and safety considerations when using poisonous substances or other lethal</w:t>
        </w:r>
      </w:hyperlink>
      <w:r>
        <w:rPr/>
        <w:t> </w:t>
      </w:r>
      <w:hyperlink w:history="true" w:anchor="_bookmark24">
        <w:r>
          <w:rPr/>
          <w:t>control</w:t>
        </w:r>
        <w:r>
          <w:rPr>
            <w:spacing w:val="-8"/>
          </w:rPr>
          <w:t> </w:t>
        </w:r>
        <w:r>
          <w:rPr/>
          <w:t>tools</w:t>
        </w:r>
        <w:r>
          <w:rPr>
            <w:spacing w:val="-6"/>
          </w:rPr>
          <w:t> </w:t>
        </w:r>
        <w:r>
          <w:rPr/>
          <w:t>for</w:t>
        </w:r>
        <w:r>
          <w:rPr>
            <w:spacing w:val="-5"/>
          </w:rPr>
          <w:t> </w:t>
        </w:r>
        <w:r>
          <w:rPr/>
          <w:t>the</w:t>
        </w:r>
        <w:r>
          <w:rPr>
            <w:spacing w:val="-7"/>
          </w:rPr>
          <w:t> </w:t>
        </w:r>
        <w:r>
          <w:rPr/>
          <w:t>management</w:t>
        </w:r>
        <w:r>
          <w:rPr>
            <w:spacing w:val="-6"/>
          </w:rPr>
          <w:t> </w:t>
        </w:r>
        <w:r>
          <w:rPr/>
          <w:t>of</w:t>
        </w:r>
        <w:r>
          <w:rPr>
            <w:spacing w:val="-5"/>
          </w:rPr>
          <w:t> </w:t>
        </w:r>
        <w:r>
          <w:rPr/>
          <w:t>the</w:t>
        </w:r>
        <w:r>
          <w:rPr>
            <w:spacing w:val="-6"/>
          </w:rPr>
          <w:t> </w:t>
        </w:r>
        <w:r>
          <w:rPr/>
          <w:t>four</w:t>
        </w:r>
        <w:r>
          <w:rPr>
            <w:spacing w:val="-4"/>
          </w:rPr>
          <w:t> </w:t>
        </w:r>
        <w:r>
          <w:rPr/>
          <w:t>pest</w:t>
        </w:r>
        <w:r>
          <w:rPr>
            <w:spacing w:val="-6"/>
          </w:rPr>
          <w:t> </w:t>
        </w:r>
        <w:r>
          <w:rPr>
            <w:spacing w:val="-2"/>
          </w:rPr>
          <w:t>species</w:t>
        </w:r>
        <w:r>
          <w:rPr/>
          <w:tab/>
        </w:r>
        <w:r>
          <w:rPr>
            <w:spacing w:val="-5"/>
          </w:rPr>
          <w:t>95</w:t>
        </w:r>
      </w:hyperlink>
    </w:p>
    <w:p>
      <w:pPr>
        <w:pStyle w:val="BodyText"/>
      </w:pPr>
    </w:p>
    <w:p>
      <w:pPr>
        <w:pStyle w:val="BodyText"/>
        <w:spacing w:before="103"/>
      </w:pPr>
    </w:p>
    <w:p>
      <w:pPr>
        <w:pStyle w:val="Heading2"/>
        <w:spacing w:before="0"/>
        <w:ind w:left="312" w:firstLine="0"/>
      </w:pPr>
      <w:r>
        <w:rPr>
          <w:color w:val="001F5F"/>
          <w:spacing w:val="-2"/>
        </w:rPr>
        <w:t>Figures</w:t>
      </w:r>
    </w:p>
    <w:p>
      <w:pPr>
        <w:pStyle w:val="BodyText"/>
        <w:spacing w:before="231"/>
        <w:rPr>
          <w:b/>
          <w:sz w:val="32"/>
        </w:rPr>
      </w:pPr>
    </w:p>
    <w:p>
      <w:pPr>
        <w:pStyle w:val="BodyText"/>
        <w:tabs>
          <w:tab w:pos="9720" w:val="left" w:leader="dot"/>
        </w:tabs>
        <w:ind w:left="1033" w:right="163" w:hanging="721"/>
        <w:jc w:val="both"/>
      </w:pPr>
      <w:hyperlink w:history="true" w:anchor="_bookmark4">
        <w:r>
          <w:rPr/>
          <w:t>Figure 1. HogHopper dispenser used to allow Feral Pigs access and reduce non-target bait take. (Photo</w:t>
        </w:r>
      </w:hyperlink>
      <w:r>
        <w:rPr/>
        <w:t> </w:t>
      </w:r>
      <w:hyperlink w:history="true" w:anchor="_bookmark4">
        <w:r>
          <w:rPr/>
          <w:t>Jason</w:t>
        </w:r>
        <w:r>
          <w:rPr>
            <w:spacing w:val="-8"/>
          </w:rPr>
          <w:t> </w:t>
        </w:r>
        <w:r>
          <w:rPr>
            <w:spacing w:val="-2"/>
          </w:rPr>
          <w:t>Wishart)</w:t>
        </w:r>
        <w:r>
          <w:rPr/>
          <w:tab/>
        </w:r>
        <w:r>
          <w:rPr>
            <w:spacing w:val="-5"/>
          </w:rPr>
          <w:t>36</w:t>
        </w:r>
      </w:hyperlink>
    </w:p>
    <w:p>
      <w:pPr>
        <w:pStyle w:val="BodyText"/>
        <w:tabs>
          <w:tab w:pos="9720" w:val="left" w:leader="dot"/>
        </w:tabs>
        <w:spacing w:before="121"/>
        <w:ind w:left="1033" w:right="163" w:hanging="721"/>
        <w:jc w:val="both"/>
      </w:pPr>
      <w:hyperlink w:history="true" w:anchor="_bookmark6">
        <w:r>
          <w:rPr/>
          <w:t>Figure 2. HOGGONE Paste Bait Hopper used to present HOGONE to Feral Pigs and to reduce non-target</w:t>
        </w:r>
      </w:hyperlink>
      <w:r>
        <w:rPr/>
        <w:t> </w:t>
      </w:r>
      <w:hyperlink w:history="true" w:anchor="_bookmark6">
        <w:r>
          <w:rPr/>
          <w:t>species</w:t>
        </w:r>
        <w:r>
          <w:rPr>
            <w:spacing w:val="-8"/>
          </w:rPr>
          <w:t> </w:t>
        </w:r>
        <w:r>
          <w:rPr/>
          <w:t>access</w:t>
        </w:r>
        <w:r>
          <w:rPr>
            <w:spacing w:val="-8"/>
          </w:rPr>
          <w:t> </w:t>
        </w:r>
        <w:r>
          <w:rPr/>
          <w:t>(image</w:t>
        </w:r>
        <w:r>
          <w:rPr>
            <w:spacing w:val="-6"/>
          </w:rPr>
          <w:t> </w:t>
        </w:r>
        <w:r>
          <w:rPr/>
          <w:t>–</w:t>
        </w:r>
        <w:r>
          <w:rPr>
            <w:spacing w:val="-8"/>
          </w:rPr>
          <w:t> </w:t>
        </w:r>
        <w:r>
          <w:rPr/>
          <w:t>Leschenault</w:t>
        </w:r>
        <w:r>
          <w:rPr>
            <w:spacing w:val="-8"/>
          </w:rPr>
          <w:t> </w:t>
        </w:r>
        <w:r>
          <w:rPr/>
          <w:t>Landscape</w:t>
        </w:r>
        <w:r>
          <w:rPr>
            <w:spacing w:val="-8"/>
          </w:rPr>
          <w:t> </w:t>
        </w:r>
        <w:r>
          <w:rPr/>
          <w:t>Group,</w:t>
        </w:r>
        <w:r>
          <w:rPr>
            <w:spacing w:val="-7"/>
          </w:rPr>
          <w:t> </w:t>
        </w:r>
        <w:r>
          <w:rPr>
            <w:spacing w:val="-5"/>
          </w:rPr>
          <w:t>WA)</w:t>
        </w:r>
        <w:r>
          <w:rPr/>
          <w:tab/>
        </w:r>
        <w:r>
          <w:rPr>
            <w:spacing w:val="-5"/>
          </w:rPr>
          <w:t>37</w:t>
        </w:r>
      </w:hyperlink>
    </w:p>
    <w:p>
      <w:pPr>
        <w:pStyle w:val="BodyText"/>
        <w:spacing w:before="119"/>
        <w:ind w:left="312"/>
      </w:pPr>
      <w:hyperlink w:history="true" w:anchor="_bookmark7">
        <w:r>
          <w:rPr/>
          <w:t>Figure</w:t>
        </w:r>
        <w:r>
          <w:rPr>
            <w:spacing w:val="-4"/>
          </w:rPr>
          <w:t> </w:t>
        </w:r>
        <w:r>
          <w:rPr/>
          <w:t>3.</w:t>
        </w:r>
        <w:r>
          <w:rPr>
            <w:spacing w:val="-6"/>
          </w:rPr>
          <w:t> </w:t>
        </w:r>
        <w:r>
          <w:rPr/>
          <w:t>The</w:t>
        </w:r>
        <w:r>
          <w:rPr>
            <w:spacing w:val="-6"/>
          </w:rPr>
          <w:t> </w:t>
        </w:r>
        <w:r>
          <w:rPr/>
          <w:t>range</w:t>
        </w:r>
        <w:r>
          <w:rPr>
            <w:spacing w:val="-7"/>
          </w:rPr>
          <w:t> </w:t>
        </w:r>
        <w:r>
          <w:rPr/>
          <w:t>of</w:t>
        </w:r>
        <w:r>
          <w:rPr>
            <w:spacing w:val="-5"/>
          </w:rPr>
          <w:t> </w:t>
        </w:r>
        <w:r>
          <w:rPr/>
          <w:t>traps</w:t>
        </w:r>
        <w:r>
          <w:rPr>
            <w:spacing w:val="-5"/>
          </w:rPr>
          <w:t> </w:t>
        </w:r>
        <w:r>
          <w:rPr/>
          <w:t>available</w:t>
        </w:r>
        <w:r>
          <w:rPr>
            <w:spacing w:val="-6"/>
          </w:rPr>
          <w:t> </w:t>
        </w:r>
        <w:r>
          <w:rPr/>
          <w:t>to</w:t>
        </w:r>
        <w:r>
          <w:rPr>
            <w:spacing w:val="-4"/>
          </w:rPr>
          <w:t> </w:t>
        </w:r>
        <w:r>
          <w:rPr/>
          <w:t>capture</w:t>
        </w:r>
        <w:r>
          <w:rPr>
            <w:spacing w:val="-6"/>
          </w:rPr>
          <w:t> </w:t>
        </w:r>
        <w:r>
          <w:rPr/>
          <w:t>Feral</w:t>
        </w:r>
        <w:r>
          <w:rPr>
            <w:spacing w:val="-4"/>
          </w:rPr>
          <w:t> </w:t>
        </w:r>
        <w:r>
          <w:rPr/>
          <w:t>Pigs</w:t>
        </w:r>
        <w:r>
          <w:rPr>
            <w:spacing w:val="-5"/>
          </w:rPr>
          <w:t> </w:t>
        </w:r>
        <w:r>
          <w:rPr/>
          <w:t>in</w:t>
        </w:r>
        <w:r>
          <w:rPr>
            <w:spacing w:val="-4"/>
          </w:rPr>
          <w:t> </w:t>
        </w:r>
        <w:r>
          <w:rPr/>
          <w:t>Victoria:</w:t>
        </w:r>
        <w:r>
          <w:rPr>
            <w:spacing w:val="-4"/>
          </w:rPr>
          <w:t> </w:t>
        </w:r>
        <w:r>
          <w:rPr/>
          <w:t>a)</w:t>
        </w:r>
        <w:r>
          <w:rPr>
            <w:spacing w:val="-6"/>
          </w:rPr>
          <w:t> </w:t>
        </w:r>
        <w:r>
          <w:rPr/>
          <w:t>box</w:t>
        </w:r>
        <w:r>
          <w:rPr>
            <w:spacing w:val="-5"/>
          </w:rPr>
          <w:t> </w:t>
        </w:r>
        <w:r>
          <w:rPr/>
          <w:t>or</w:t>
        </w:r>
        <w:r>
          <w:rPr>
            <w:spacing w:val="-5"/>
          </w:rPr>
          <w:t> </w:t>
        </w:r>
        <w:r>
          <w:rPr/>
          <w:t>corral</w:t>
        </w:r>
        <w:r>
          <w:rPr>
            <w:spacing w:val="-7"/>
          </w:rPr>
          <w:t> </w:t>
        </w:r>
        <w:r>
          <w:rPr/>
          <w:t>style</w:t>
        </w:r>
        <w:r>
          <w:rPr>
            <w:spacing w:val="-4"/>
          </w:rPr>
          <w:t> </w:t>
        </w:r>
        <w:r>
          <w:rPr>
            <w:spacing w:val="-2"/>
          </w:rPr>
          <w:t>trap;</w:t>
        </w:r>
      </w:hyperlink>
    </w:p>
    <w:p>
      <w:pPr>
        <w:pStyle w:val="BodyText"/>
        <w:tabs>
          <w:tab w:pos="9720" w:val="left" w:leader="dot"/>
        </w:tabs>
        <w:ind w:left="1033"/>
      </w:pPr>
      <w:hyperlink w:history="true" w:anchor="_bookmark7">
        <w:r>
          <w:rPr/>
          <w:t>b)</w:t>
        </w:r>
        <w:r>
          <w:rPr>
            <w:spacing w:val="-5"/>
          </w:rPr>
          <w:t> </w:t>
        </w:r>
        <w:r>
          <w:rPr/>
          <w:t>suspended</w:t>
        </w:r>
        <w:r>
          <w:rPr>
            <w:spacing w:val="-6"/>
          </w:rPr>
          <w:t> </w:t>
        </w:r>
        <w:r>
          <w:rPr/>
          <w:t>style</w:t>
        </w:r>
        <w:r>
          <w:rPr>
            <w:spacing w:val="-6"/>
          </w:rPr>
          <w:t> </w:t>
        </w:r>
        <w:r>
          <w:rPr/>
          <w:t>trap;</w:t>
        </w:r>
        <w:r>
          <w:rPr>
            <w:spacing w:val="-4"/>
          </w:rPr>
          <w:t> </w:t>
        </w:r>
        <w:r>
          <w:rPr/>
          <w:t>and</w:t>
        </w:r>
        <w:r>
          <w:rPr>
            <w:spacing w:val="-5"/>
          </w:rPr>
          <w:t> </w:t>
        </w:r>
        <w:r>
          <w:rPr/>
          <w:t>c)</w:t>
        </w:r>
        <w:r>
          <w:rPr>
            <w:spacing w:val="-5"/>
          </w:rPr>
          <w:t> </w:t>
        </w:r>
        <w:r>
          <w:rPr/>
          <w:t>a</w:t>
        </w:r>
        <w:r>
          <w:rPr>
            <w:spacing w:val="-6"/>
          </w:rPr>
          <w:t> </w:t>
        </w:r>
        <w:r>
          <w:rPr/>
          <w:t>Pig</w:t>
        </w:r>
        <w:r>
          <w:rPr>
            <w:spacing w:val="-4"/>
          </w:rPr>
          <w:t> </w:t>
        </w:r>
        <w:r>
          <w:rPr/>
          <w:t>Brig</w:t>
        </w:r>
        <w:r>
          <w:rPr>
            <w:spacing w:val="-3"/>
          </w:rPr>
          <w:t> </w:t>
        </w:r>
        <w:r>
          <w:rPr/>
          <w:t>Trap</w:t>
        </w:r>
        <w:r>
          <w:rPr>
            <w:spacing w:val="-5"/>
          </w:rPr>
          <w:t> </w:t>
        </w:r>
        <w:r>
          <w:rPr>
            <w:spacing w:val="-2"/>
          </w:rPr>
          <w:t>System</w:t>
        </w:r>
        <w:r>
          <w:rPr/>
          <w:tab/>
        </w:r>
        <w:r>
          <w:rPr>
            <w:spacing w:val="-5"/>
          </w:rPr>
          <w:t>38</w:t>
        </w:r>
      </w:hyperlink>
    </w:p>
    <w:p>
      <w:pPr>
        <w:pStyle w:val="BodyText"/>
        <w:tabs>
          <w:tab w:pos="9720" w:val="left" w:leader="dot"/>
        </w:tabs>
        <w:spacing w:before="121"/>
        <w:ind w:left="1033" w:right="163" w:hanging="721"/>
      </w:pPr>
      <w:hyperlink w:history="true" w:anchor="_bookmark11">
        <w:r>
          <w:rPr/>
          <w:t>Figure 4. Canid Pest Ejector, a) from an ACTA brochure without a collar to restrict access by non-target</w:t>
        </w:r>
      </w:hyperlink>
      <w:r>
        <w:rPr/>
        <w:t> </w:t>
      </w:r>
      <w:hyperlink w:history="true" w:anchor="_bookmark11">
        <w:r>
          <w:rPr>
            <w:spacing w:val="-2"/>
          </w:rPr>
          <w:t>species;https://static1.squarespace.com/static/5a5ebfbed74cff30017f4e32/t/5b04e0998a922da81bbf</w:t>
        </w:r>
      </w:hyperlink>
      <w:r>
        <w:rPr>
          <w:spacing w:val="-2"/>
        </w:rPr>
        <w:t> </w:t>
      </w:r>
      <w:hyperlink w:history="true" w:anchor="_bookmark11">
        <w:r>
          <w:rPr/>
          <w:t>fc6b/1527046315060/CPE+DL+Booklet-Email.compressed.pdf, and b) with a collar modification</w:t>
        </w:r>
      </w:hyperlink>
      <w:r>
        <w:rPr/>
        <w:t> </w:t>
      </w:r>
      <w:hyperlink w:history="true" w:anchor="_bookmark11">
        <w:r>
          <w:rPr/>
          <w:t>(image</w:t>
        </w:r>
        <w:r>
          <w:rPr>
            <w:spacing w:val="-8"/>
          </w:rPr>
          <w:t> </w:t>
        </w:r>
        <w:r>
          <w:rPr/>
          <w:t>supplied</w:t>
        </w:r>
        <w:r>
          <w:rPr>
            <w:spacing w:val="-7"/>
          </w:rPr>
          <w:t> </w:t>
        </w:r>
        <w:r>
          <w:rPr/>
          <w:t>by</w:t>
        </w:r>
        <w:r>
          <w:rPr>
            <w:spacing w:val="-7"/>
          </w:rPr>
          <w:t> </w:t>
        </w:r>
        <w:r>
          <w:rPr/>
          <w:t>G.</w:t>
        </w:r>
        <w:r>
          <w:rPr>
            <w:spacing w:val="-8"/>
          </w:rPr>
          <w:t> </w:t>
        </w:r>
        <w:r>
          <w:rPr/>
          <w:t>Malgaard</w:t>
        </w:r>
        <w:r>
          <w:rPr>
            <w:spacing w:val="-8"/>
          </w:rPr>
          <w:t> </w:t>
        </w:r>
        <w:r>
          <w:rPr/>
          <w:t>(DEECA),</w:t>
        </w:r>
        <w:r>
          <w:rPr>
            <w:spacing w:val="-7"/>
          </w:rPr>
          <w:t> </w:t>
        </w:r>
        <w:r>
          <w:rPr/>
          <w:t>design</w:t>
        </w:r>
        <w:r>
          <w:rPr>
            <w:spacing w:val="-6"/>
          </w:rPr>
          <w:t> </w:t>
        </w:r>
        <w:r>
          <w:rPr/>
          <w:t>following</w:t>
        </w:r>
        <w:r>
          <w:rPr>
            <w:spacing w:val="-6"/>
          </w:rPr>
          <w:t> </w:t>
        </w:r>
        <w:r>
          <w:rPr/>
          <w:t>(Young</w:t>
        </w:r>
        <w:r>
          <w:rPr>
            <w:spacing w:val="-6"/>
          </w:rPr>
          <w:t> </w:t>
        </w:r>
        <w:r>
          <w:rPr/>
          <w:t>et</w:t>
        </w:r>
        <w:r>
          <w:rPr>
            <w:spacing w:val="-8"/>
          </w:rPr>
          <w:t> </w:t>
        </w:r>
        <w:r>
          <w:rPr/>
          <w:t>al.</w:t>
        </w:r>
        <w:r>
          <w:rPr>
            <w:spacing w:val="-6"/>
          </w:rPr>
          <w:t> </w:t>
        </w:r>
        <w:r>
          <w:rPr>
            <w:spacing w:val="-2"/>
          </w:rPr>
          <w:t>2024).</w:t>
        </w:r>
        <w:r>
          <w:rPr/>
          <w:tab/>
        </w:r>
        <w:r>
          <w:rPr>
            <w:spacing w:val="-5"/>
          </w:rPr>
          <w:t>50</w:t>
        </w:r>
      </w:hyperlink>
    </w:p>
    <w:p>
      <w:pPr>
        <w:pStyle w:val="BodyText"/>
        <w:tabs>
          <w:tab w:pos="9720" w:val="left" w:leader="dot"/>
        </w:tabs>
        <w:spacing w:before="119"/>
        <w:ind w:left="312"/>
      </w:pPr>
      <w:hyperlink w:history="true" w:anchor="_bookmark12">
        <w:r>
          <w:rPr/>
          <w:t>Figure</w:t>
        </w:r>
        <w:r>
          <w:rPr>
            <w:spacing w:val="-5"/>
          </w:rPr>
          <w:t> </w:t>
        </w:r>
        <w:r>
          <w:rPr/>
          <w:t>5.</w:t>
        </w:r>
        <w:r>
          <w:rPr>
            <w:spacing w:val="-5"/>
          </w:rPr>
          <w:t> </w:t>
        </w:r>
        <w:r>
          <w:rPr/>
          <w:t>Padded</w:t>
        </w:r>
        <w:r>
          <w:rPr>
            <w:spacing w:val="-5"/>
          </w:rPr>
          <w:t> </w:t>
        </w:r>
        <w:r>
          <w:rPr/>
          <w:t>leghold</w:t>
        </w:r>
        <w:r>
          <w:rPr>
            <w:spacing w:val="-7"/>
          </w:rPr>
          <w:t> </w:t>
        </w:r>
        <w:r>
          <w:rPr/>
          <w:t>(Victor</w:t>
        </w:r>
        <w:r>
          <w:rPr>
            <w:spacing w:val="-3"/>
          </w:rPr>
          <w:t> </w:t>
        </w:r>
        <w:r>
          <w:rPr/>
          <w:t>Soft</w:t>
        </w:r>
        <w:r>
          <w:rPr>
            <w:spacing w:val="-5"/>
          </w:rPr>
          <w:t> </w:t>
        </w:r>
        <w:r>
          <w:rPr/>
          <w:t>Catch</w:t>
        </w:r>
        <w:r>
          <w:rPr>
            <w:spacing w:val="-7"/>
          </w:rPr>
          <w:t> </w:t>
        </w:r>
        <w:r>
          <w:rPr/>
          <w:t>Trap®</w:t>
        </w:r>
        <w:r>
          <w:rPr>
            <w:spacing w:val="-5"/>
          </w:rPr>
          <w:t> </w:t>
        </w:r>
        <w:r>
          <w:rPr/>
          <w:t>1.5)</w:t>
        </w:r>
        <w:r>
          <w:rPr>
            <w:spacing w:val="-5"/>
          </w:rPr>
          <w:t> </w:t>
        </w:r>
        <w:r>
          <w:rPr/>
          <w:t>and</w:t>
        </w:r>
        <w:r>
          <w:rPr>
            <w:spacing w:val="-7"/>
          </w:rPr>
          <w:t> </w:t>
        </w:r>
        <w:r>
          <w:rPr/>
          <w:t>cage-style</w:t>
        </w:r>
        <w:r>
          <w:rPr>
            <w:spacing w:val="-7"/>
          </w:rPr>
          <w:t> </w:t>
        </w:r>
        <w:r>
          <w:rPr/>
          <w:t>traps</w:t>
        </w:r>
        <w:r>
          <w:rPr>
            <w:spacing w:val="-5"/>
          </w:rPr>
          <w:t> </w:t>
        </w:r>
        <w:r>
          <w:rPr/>
          <w:t>used</w:t>
        </w:r>
        <w:r>
          <w:rPr>
            <w:spacing w:val="-5"/>
          </w:rPr>
          <w:t> </w:t>
        </w:r>
        <w:r>
          <w:rPr/>
          <w:t>to</w:t>
        </w:r>
        <w:r>
          <w:rPr>
            <w:spacing w:val="-8"/>
          </w:rPr>
          <w:t> </w:t>
        </w:r>
        <w:r>
          <w:rPr/>
          <w:t>capture</w:t>
        </w:r>
        <w:r>
          <w:rPr>
            <w:spacing w:val="-6"/>
          </w:rPr>
          <w:t> </w:t>
        </w:r>
        <w:r>
          <w:rPr>
            <w:spacing w:val="-2"/>
          </w:rPr>
          <w:t>foxes</w:t>
        </w:r>
        <w:r>
          <w:rPr/>
          <w:tab/>
        </w:r>
        <w:r>
          <w:rPr>
            <w:spacing w:val="-5"/>
          </w:rPr>
          <w:t>52</w:t>
        </w:r>
      </w:hyperlink>
    </w:p>
    <w:p>
      <w:pPr>
        <w:spacing w:after="0"/>
        <w:sectPr>
          <w:pgSz w:w="11910" w:h="16850"/>
          <w:pgMar w:header="0" w:footer="688" w:top="1160" w:bottom="880" w:left="820" w:right="980"/>
        </w:sectPr>
      </w:pPr>
    </w:p>
    <w:p>
      <w:pPr>
        <w:pStyle w:val="Heading2"/>
        <w:spacing w:before="65"/>
        <w:ind w:left="312" w:firstLine="0"/>
      </w:pPr>
      <w:bookmarkStart w:name="_TOC_250093" w:id="2"/>
      <w:r>
        <w:rPr>
          <w:color w:val="001F5F"/>
        </w:rPr>
        <w:t>Executive</w:t>
      </w:r>
      <w:r>
        <w:rPr>
          <w:color w:val="001F5F"/>
          <w:spacing w:val="-20"/>
        </w:rPr>
        <w:t> </w:t>
      </w:r>
      <w:bookmarkEnd w:id="2"/>
      <w:r>
        <w:rPr>
          <w:color w:val="001F5F"/>
          <w:spacing w:val="-2"/>
        </w:rPr>
        <w:t>Summary</w:t>
      </w:r>
    </w:p>
    <w:p>
      <w:pPr>
        <w:pStyle w:val="BodyText"/>
        <w:spacing w:before="231"/>
        <w:rPr>
          <w:b/>
          <w:sz w:val="32"/>
        </w:rPr>
      </w:pPr>
    </w:p>
    <w:p>
      <w:pPr>
        <w:pStyle w:val="BodyText"/>
        <w:spacing w:before="1"/>
        <w:ind w:left="312" w:right="179"/>
      </w:pPr>
      <w:r>
        <w:rPr/>
        <w:t>Introduced vertebrate pest species cause significant environmental and socio-economic impacts in Victoria and public and private land managers apply a variety of lethal and non-lethal control strategies to minimise their impacts. One of the most used poisons is sodium fluoroacetate, also known as 1080, which serves as the active (toxic) component in several pest bait products. 1080 is widely used and relied upon by land managers in Victoria for controlling populations of European Rabbits, Feral Pigs, Red Foxes, and Dingoes and</w:t>
      </w:r>
      <w:r>
        <w:rPr>
          <w:spacing w:val="-2"/>
        </w:rPr>
        <w:t> </w:t>
      </w:r>
      <w:r>
        <w:rPr/>
        <w:t>Wild</w:t>
      </w:r>
      <w:r>
        <w:rPr>
          <w:spacing w:val="-2"/>
        </w:rPr>
        <w:t> </w:t>
      </w:r>
      <w:r>
        <w:rPr/>
        <w:t>Dogs.</w:t>
      </w:r>
      <w:r>
        <w:rPr>
          <w:spacing w:val="-4"/>
        </w:rPr>
        <w:t> </w:t>
      </w:r>
      <w:r>
        <w:rPr/>
        <w:t>However,</w:t>
      </w:r>
      <w:r>
        <w:rPr>
          <w:spacing w:val="-1"/>
        </w:rPr>
        <w:t> </w:t>
      </w:r>
      <w:r>
        <w:rPr/>
        <w:t>there</w:t>
      </w:r>
      <w:r>
        <w:rPr>
          <w:spacing w:val="-4"/>
        </w:rPr>
        <w:t> </w:t>
      </w:r>
      <w:r>
        <w:rPr/>
        <w:t>is</w:t>
      </w:r>
      <w:r>
        <w:rPr>
          <w:spacing w:val="-1"/>
        </w:rPr>
        <w:t> </w:t>
      </w:r>
      <w:r>
        <w:rPr/>
        <w:t>ongoing</w:t>
      </w:r>
      <w:r>
        <w:rPr>
          <w:spacing w:val="-5"/>
        </w:rPr>
        <w:t> </w:t>
      </w:r>
      <w:r>
        <w:rPr/>
        <w:t>community</w:t>
      </w:r>
      <w:r>
        <w:rPr>
          <w:spacing w:val="-1"/>
        </w:rPr>
        <w:t> </w:t>
      </w:r>
      <w:r>
        <w:rPr/>
        <w:t>discourse</w:t>
      </w:r>
      <w:r>
        <w:rPr>
          <w:spacing w:val="-4"/>
        </w:rPr>
        <w:t> </w:t>
      </w:r>
      <w:r>
        <w:rPr/>
        <w:t>on</w:t>
      </w:r>
      <w:r>
        <w:rPr>
          <w:spacing w:val="-4"/>
        </w:rPr>
        <w:t> </w:t>
      </w:r>
      <w:r>
        <w:rPr/>
        <w:t>the</w:t>
      </w:r>
      <w:r>
        <w:rPr>
          <w:spacing w:val="-4"/>
        </w:rPr>
        <w:t> </w:t>
      </w:r>
      <w:r>
        <w:rPr/>
        <w:t>non-target</w:t>
      </w:r>
      <w:r>
        <w:rPr>
          <w:spacing w:val="-2"/>
        </w:rPr>
        <w:t> </w:t>
      </w:r>
      <w:r>
        <w:rPr/>
        <w:t>impacts</w:t>
      </w:r>
      <w:r>
        <w:rPr>
          <w:spacing w:val="-3"/>
        </w:rPr>
        <w:t> </w:t>
      </w:r>
      <w:r>
        <w:rPr/>
        <w:t>and</w:t>
      </w:r>
      <w:r>
        <w:rPr>
          <w:spacing w:val="-2"/>
        </w:rPr>
        <w:t> </w:t>
      </w:r>
      <w:r>
        <w:rPr/>
        <w:t>humaneness of 1080, and therefore a need to consider the use of other methods and their relative efficacy for controlling vertebrate pests.</w:t>
      </w:r>
      <w:r>
        <w:rPr>
          <w:spacing w:val="-2"/>
        </w:rPr>
        <w:t> </w:t>
      </w:r>
      <w:r>
        <w:rPr/>
        <w:t>This</w:t>
      </w:r>
      <w:r>
        <w:rPr>
          <w:spacing w:val="-1"/>
        </w:rPr>
        <w:t> </w:t>
      </w:r>
      <w:r>
        <w:rPr/>
        <w:t>report</w:t>
      </w:r>
      <w:r>
        <w:rPr>
          <w:spacing w:val="-2"/>
        </w:rPr>
        <w:t> </w:t>
      </w:r>
      <w:r>
        <w:rPr/>
        <w:t>reviews</w:t>
      </w:r>
      <w:r>
        <w:rPr>
          <w:spacing w:val="-1"/>
        </w:rPr>
        <w:t> </w:t>
      </w:r>
      <w:r>
        <w:rPr/>
        <w:t>alternative (lethal</w:t>
      </w:r>
      <w:r>
        <w:rPr>
          <w:spacing w:val="-1"/>
        </w:rPr>
        <w:t> </w:t>
      </w:r>
      <w:r>
        <w:rPr/>
        <w:t>and non-lethal)</w:t>
      </w:r>
      <w:r>
        <w:rPr>
          <w:spacing w:val="-1"/>
        </w:rPr>
        <w:t> </w:t>
      </w:r>
      <w:r>
        <w:rPr/>
        <w:t>control</w:t>
      </w:r>
      <w:r>
        <w:rPr>
          <w:spacing w:val="-1"/>
        </w:rPr>
        <w:t> </w:t>
      </w:r>
      <w:r>
        <w:rPr/>
        <w:t>methods</w:t>
      </w:r>
      <w:r>
        <w:rPr>
          <w:spacing w:val="-1"/>
        </w:rPr>
        <w:t> </w:t>
      </w:r>
      <w:r>
        <w:rPr/>
        <w:t>currently</w:t>
      </w:r>
      <w:r>
        <w:rPr>
          <w:spacing w:val="-1"/>
        </w:rPr>
        <w:t> </w:t>
      </w:r>
      <w:r>
        <w:rPr/>
        <w:t>available</w:t>
      </w:r>
      <w:r>
        <w:rPr>
          <w:spacing w:val="-2"/>
        </w:rPr>
        <w:t> </w:t>
      </w:r>
      <w:r>
        <w:rPr/>
        <w:t>in Victoria for the management of European Rabbits, Feral</w:t>
      </w:r>
      <w:r>
        <w:rPr>
          <w:spacing w:val="-1"/>
        </w:rPr>
        <w:t> </w:t>
      </w:r>
      <w:r>
        <w:rPr/>
        <w:t>Pigs, Red</w:t>
      </w:r>
      <w:r>
        <w:rPr>
          <w:spacing w:val="-1"/>
        </w:rPr>
        <w:t> </w:t>
      </w:r>
      <w:r>
        <w:rPr/>
        <w:t>Foxes, and Dingoes and Wild Dogs. The report summarises the advantages and disadvantages of each alternative control method and then synthesises the information for policy and land managers. The key findings are summarised for the four </w:t>
      </w:r>
      <w:r>
        <w:rPr>
          <w:spacing w:val="-2"/>
        </w:rPr>
        <w:t>species.</w:t>
      </w:r>
    </w:p>
    <w:p>
      <w:pPr>
        <w:pStyle w:val="BodyText"/>
        <w:spacing w:before="120"/>
        <w:ind w:left="312" w:right="179"/>
      </w:pPr>
      <w:r>
        <w:rPr/>
        <w:t>For foxes, 1080 is currently the most cost-effective tool for managing their populations and mitigating their impacts on biodiversity. There is scope to reduce the reliance on 1080 for some of the other species, however this requires integration of multiple tools and increased costs. The optimal choice of lethal or non- lethal</w:t>
      </w:r>
      <w:r>
        <w:rPr>
          <w:spacing w:val="-4"/>
        </w:rPr>
        <w:t> </w:t>
      </w:r>
      <w:r>
        <w:rPr/>
        <w:t>control</w:t>
      </w:r>
      <w:r>
        <w:rPr>
          <w:spacing w:val="-4"/>
        </w:rPr>
        <w:t> </w:t>
      </w:r>
      <w:r>
        <w:rPr/>
        <w:t>method</w:t>
      </w:r>
      <w:r>
        <w:rPr>
          <w:spacing w:val="-2"/>
        </w:rPr>
        <w:t> </w:t>
      </w:r>
      <w:r>
        <w:rPr/>
        <w:t>or</w:t>
      </w:r>
      <w:r>
        <w:rPr>
          <w:spacing w:val="-3"/>
        </w:rPr>
        <w:t> </w:t>
      </w:r>
      <w:r>
        <w:rPr/>
        <w:t>combinations</w:t>
      </w:r>
      <w:r>
        <w:rPr>
          <w:spacing w:val="-1"/>
        </w:rPr>
        <w:t> </w:t>
      </w:r>
      <w:r>
        <w:rPr/>
        <w:t>of</w:t>
      </w:r>
      <w:r>
        <w:rPr>
          <w:spacing w:val="-3"/>
        </w:rPr>
        <w:t> </w:t>
      </w:r>
      <w:r>
        <w:rPr/>
        <w:t>both</w:t>
      </w:r>
      <w:r>
        <w:rPr>
          <w:spacing w:val="-2"/>
        </w:rPr>
        <w:t> </w:t>
      </w:r>
      <w:r>
        <w:rPr/>
        <w:t>remains</w:t>
      </w:r>
      <w:r>
        <w:rPr>
          <w:spacing w:val="-1"/>
        </w:rPr>
        <w:t> </w:t>
      </w:r>
      <w:r>
        <w:rPr/>
        <w:t>highly</w:t>
      </w:r>
      <w:r>
        <w:rPr>
          <w:spacing w:val="-2"/>
        </w:rPr>
        <w:t> </w:t>
      </w:r>
      <w:r>
        <w:rPr/>
        <w:t>species-</w:t>
      </w:r>
      <w:r>
        <w:rPr>
          <w:spacing w:val="-2"/>
        </w:rPr>
        <w:t> </w:t>
      </w:r>
      <w:r>
        <w:rPr/>
        <w:t>and</w:t>
      </w:r>
      <w:r>
        <w:rPr>
          <w:spacing w:val="-3"/>
        </w:rPr>
        <w:t> </w:t>
      </w:r>
      <w:r>
        <w:rPr/>
        <w:t>context-specific,</w:t>
      </w:r>
      <w:r>
        <w:rPr>
          <w:spacing w:val="-3"/>
        </w:rPr>
        <w:t> </w:t>
      </w:r>
      <w:r>
        <w:rPr/>
        <w:t>since</w:t>
      </w:r>
      <w:r>
        <w:rPr>
          <w:spacing w:val="-3"/>
        </w:rPr>
        <w:t> </w:t>
      </w:r>
      <w:r>
        <w:rPr/>
        <w:t>none</w:t>
      </w:r>
      <w:r>
        <w:rPr>
          <w:spacing w:val="-1"/>
        </w:rPr>
        <w:t> </w:t>
      </w:r>
      <w:r>
        <w:rPr/>
        <w:t>of</w:t>
      </w:r>
      <w:r>
        <w:rPr>
          <w:spacing w:val="-3"/>
        </w:rPr>
        <w:t> </w:t>
      </w:r>
      <w:r>
        <w:rPr/>
        <w:t>the individual options are without issues relating to humaneness, animal welfare, environmental or social and cultural impacts, and/or cost-effectiveness. There are still major knowledge gaps in this area that, if addressed, could greatly enhance our understanding and the effectiveness of pest management in Victoria.</w:t>
      </w:r>
    </w:p>
    <w:p>
      <w:pPr>
        <w:pStyle w:val="BodyText"/>
        <w:spacing w:before="130"/>
      </w:pPr>
    </w:p>
    <w:p>
      <w:pPr>
        <w:spacing w:before="0"/>
        <w:ind w:left="312" w:right="0" w:firstLine="0"/>
        <w:jc w:val="left"/>
        <w:rPr>
          <w:b/>
          <w:sz w:val="28"/>
        </w:rPr>
      </w:pPr>
      <w:bookmarkStart w:name="_TOC_250092" w:id="3"/>
      <w:r>
        <w:rPr>
          <w:b/>
          <w:color w:val="2D1E66"/>
          <w:sz w:val="28"/>
        </w:rPr>
        <w:t>Key</w:t>
      </w:r>
      <w:bookmarkEnd w:id="3"/>
      <w:r>
        <w:rPr>
          <w:b/>
          <w:color w:val="2D1E66"/>
          <w:spacing w:val="-2"/>
          <w:sz w:val="28"/>
        </w:rPr>
        <w:t> findings</w:t>
      </w:r>
    </w:p>
    <w:p>
      <w:pPr>
        <w:pStyle w:val="Heading3"/>
        <w:spacing w:before="141"/>
        <w:ind w:left="312" w:firstLine="0"/>
      </w:pPr>
      <w:bookmarkStart w:name="_TOC_250091" w:id="4"/>
      <w:r>
        <w:rPr/>
        <w:t>Efficacy</w:t>
      </w:r>
      <w:r>
        <w:rPr>
          <w:spacing w:val="-5"/>
        </w:rPr>
        <w:t> </w:t>
      </w:r>
      <w:r>
        <w:rPr/>
        <w:t>and</w:t>
      </w:r>
      <w:r>
        <w:rPr>
          <w:spacing w:val="-3"/>
        </w:rPr>
        <w:t> </w:t>
      </w:r>
      <w:r>
        <w:rPr/>
        <w:t>cost-effectiveness</w:t>
      </w:r>
      <w:r>
        <w:rPr>
          <w:spacing w:val="-5"/>
        </w:rPr>
        <w:t> </w:t>
      </w:r>
      <w:r>
        <w:rPr/>
        <w:t>of</w:t>
      </w:r>
      <w:r>
        <w:rPr>
          <w:spacing w:val="-1"/>
        </w:rPr>
        <w:t> </w:t>
      </w:r>
      <w:r>
        <w:rPr/>
        <w:t>1080</w:t>
      </w:r>
      <w:r>
        <w:rPr>
          <w:spacing w:val="-4"/>
        </w:rPr>
        <w:t> </w:t>
      </w:r>
      <w:r>
        <w:rPr/>
        <w:t>and</w:t>
      </w:r>
      <w:r>
        <w:rPr>
          <w:spacing w:val="-3"/>
        </w:rPr>
        <w:t> </w:t>
      </w:r>
      <w:r>
        <w:rPr/>
        <w:t>other</w:t>
      </w:r>
      <w:r>
        <w:rPr>
          <w:spacing w:val="-2"/>
        </w:rPr>
        <w:t> </w:t>
      </w:r>
      <w:r>
        <w:rPr/>
        <w:t>lethal</w:t>
      </w:r>
      <w:bookmarkEnd w:id="4"/>
      <w:r>
        <w:rPr>
          <w:spacing w:val="-2"/>
        </w:rPr>
        <w:t> methods</w:t>
      </w:r>
    </w:p>
    <w:p>
      <w:pPr>
        <w:spacing w:before="56"/>
        <w:ind w:left="312" w:right="0" w:firstLine="0"/>
        <w:jc w:val="left"/>
        <w:rPr>
          <w:b/>
          <w:i/>
          <w:sz w:val="20"/>
        </w:rPr>
      </w:pPr>
      <w:r>
        <w:rPr>
          <w:b/>
          <w:i/>
          <w:sz w:val="20"/>
        </w:rPr>
        <w:t>European</w:t>
      </w:r>
      <w:r>
        <w:rPr>
          <w:b/>
          <w:i/>
          <w:spacing w:val="-11"/>
          <w:sz w:val="20"/>
        </w:rPr>
        <w:t> </w:t>
      </w:r>
      <w:r>
        <w:rPr>
          <w:b/>
          <w:i/>
          <w:spacing w:val="-2"/>
          <w:sz w:val="20"/>
        </w:rPr>
        <w:t>Rabbits</w:t>
      </w:r>
    </w:p>
    <w:p>
      <w:pPr>
        <w:pStyle w:val="BodyText"/>
        <w:spacing w:before="1"/>
        <w:ind w:left="312" w:right="179"/>
      </w:pPr>
      <w:r>
        <w:rPr/>
        <w:t>European rabbit control methods vary in efficacy, cost, and environmental suitability. Carrot baits with 1080 can achieve up to 99% population reduction in dry conditions, though populations often recover within 8–15 months. Pindone performs comparably to 1080 and is safer for dogs, but it has poorer welfare outcomes, requires multiple feeds, and is less cost-effective, limiting its widespread use. Warren destruction via ripping achieves approximately 90% reduction and can be maintained effectively through re-ripping every 5–10 years, though outcomes depend on environmental factors and operator skill. Fumigation with phosphine or chloropicrin achieves 64–83% reduction and is ideal where ripping or baiting is impractical; however, phosphine's slow action underscores the need for improved fumigants. Combining methods — such as poisoning, ripping, and fumigation — significantly enhances control outcomes, particularly with ongoing maintenance efforts. Integrating Rabbit Haemorrhagic Disease Virus (i.e. biocontrol) with traditional techniques</w:t>
      </w:r>
      <w:r>
        <w:rPr>
          <w:spacing w:val="-1"/>
        </w:rPr>
        <w:t> </w:t>
      </w:r>
      <w:r>
        <w:rPr/>
        <w:t>post-outbreak</w:t>
      </w:r>
      <w:r>
        <w:rPr>
          <w:spacing w:val="-3"/>
        </w:rPr>
        <w:t> </w:t>
      </w:r>
      <w:r>
        <w:rPr/>
        <w:t>can</w:t>
      </w:r>
      <w:r>
        <w:rPr>
          <w:spacing w:val="-5"/>
        </w:rPr>
        <w:t> </w:t>
      </w:r>
      <w:r>
        <w:rPr/>
        <w:t>improve</w:t>
      </w:r>
      <w:r>
        <w:rPr>
          <w:spacing w:val="-4"/>
        </w:rPr>
        <w:t> </w:t>
      </w:r>
      <w:r>
        <w:rPr/>
        <w:t>cost-efficiency</w:t>
      </w:r>
      <w:r>
        <w:rPr>
          <w:spacing w:val="-1"/>
        </w:rPr>
        <w:t> </w:t>
      </w:r>
      <w:r>
        <w:rPr/>
        <w:t>and</w:t>
      </w:r>
      <w:r>
        <w:rPr>
          <w:spacing w:val="-4"/>
        </w:rPr>
        <w:t> </w:t>
      </w:r>
      <w:r>
        <w:rPr/>
        <w:t>reduce</w:t>
      </w:r>
      <w:r>
        <w:rPr>
          <w:spacing w:val="-4"/>
        </w:rPr>
        <w:t> </w:t>
      </w:r>
      <w:r>
        <w:rPr/>
        <w:t>reliance</w:t>
      </w:r>
      <w:r>
        <w:rPr>
          <w:spacing w:val="-2"/>
        </w:rPr>
        <w:t> </w:t>
      </w:r>
      <w:r>
        <w:rPr/>
        <w:t>on</w:t>
      </w:r>
      <w:r>
        <w:rPr>
          <w:spacing w:val="-5"/>
        </w:rPr>
        <w:t> </w:t>
      </w:r>
      <w:r>
        <w:rPr/>
        <w:t>poisons</w:t>
      </w:r>
      <w:r>
        <w:rPr>
          <w:spacing w:val="-3"/>
        </w:rPr>
        <w:t> </w:t>
      </w:r>
      <w:r>
        <w:rPr/>
        <w:t>like</w:t>
      </w:r>
      <w:r>
        <w:rPr>
          <w:spacing w:val="-2"/>
        </w:rPr>
        <w:t> </w:t>
      </w:r>
      <w:r>
        <w:rPr/>
        <w:t>1080</w:t>
      </w:r>
      <w:r>
        <w:rPr>
          <w:spacing w:val="-4"/>
        </w:rPr>
        <w:t> </w:t>
      </w:r>
      <w:r>
        <w:rPr/>
        <w:t>and</w:t>
      </w:r>
      <w:r>
        <w:rPr>
          <w:spacing w:val="-3"/>
        </w:rPr>
        <w:t> </w:t>
      </w:r>
      <w:r>
        <w:rPr/>
        <w:t>pindone.</w:t>
      </w:r>
    </w:p>
    <w:p>
      <w:pPr>
        <w:spacing w:before="120"/>
        <w:ind w:left="312" w:right="0" w:firstLine="0"/>
        <w:jc w:val="left"/>
        <w:rPr>
          <w:b/>
          <w:i/>
          <w:sz w:val="20"/>
        </w:rPr>
      </w:pPr>
      <w:r>
        <w:rPr>
          <w:b/>
          <w:i/>
          <w:sz w:val="20"/>
        </w:rPr>
        <w:t>Feral</w:t>
      </w:r>
      <w:r>
        <w:rPr>
          <w:b/>
          <w:i/>
          <w:spacing w:val="-6"/>
          <w:sz w:val="20"/>
        </w:rPr>
        <w:t> </w:t>
      </w:r>
      <w:r>
        <w:rPr>
          <w:b/>
          <w:i/>
          <w:spacing w:val="-4"/>
          <w:sz w:val="20"/>
        </w:rPr>
        <w:t>Pigs</w:t>
      </w:r>
    </w:p>
    <w:p>
      <w:pPr>
        <w:pStyle w:val="BodyText"/>
        <w:spacing w:line="259" w:lineRule="auto" w:before="17"/>
        <w:ind w:left="312" w:right="167"/>
      </w:pPr>
      <w:r>
        <w:rPr/>
        <w:t>Feral pig control methods vary in effectiveness, cost, and practicality. PIGOUT (1080) baits demonstrate variable</w:t>
      </w:r>
      <w:r>
        <w:rPr>
          <w:spacing w:val="-1"/>
        </w:rPr>
        <w:t> </w:t>
      </w:r>
      <w:r>
        <w:rPr/>
        <w:t>success,</w:t>
      </w:r>
      <w:r>
        <w:rPr>
          <w:spacing w:val="-1"/>
        </w:rPr>
        <w:t> </w:t>
      </w:r>
      <w:r>
        <w:rPr/>
        <w:t>with</w:t>
      </w:r>
      <w:r>
        <w:rPr>
          <w:spacing w:val="-1"/>
        </w:rPr>
        <w:t> </w:t>
      </w:r>
      <w:r>
        <w:rPr/>
        <w:t>the PIGOUT Econobait formulation achieving up to an 86%</w:t>
      </w:r>
      <w:r>
        <w:rPr>
          <w:spacing w:val="-1"/>
        </w:rPr>
        <w:t> </w:t>
      </w:r>
      <w:r>
        <w:rPr/>
        <w:t>population</w:t>
      </w:r>
      <w:r>
        <w:rPr>
          <w:spacing w:val="-2"/>
        </w:rPr>
        <w:t> </w:t>
      </w:r>
      <w:r>
        <w:rPr/>
        <w:t>reduction. Pre- feeding to train pigs to visit bait stations and baiting during food scarcity improve outcomes. HOGGONE® (sodium nitrite) bait paste offers a more humane alternative, achieving 63–99% population reduction when presented in bait boxes, which also mitigates non-target risks. Trapping methods, such as corral traps, drop nets, and Pig Brig traps, achieve 16–80% effectiveness depending on conditions and effort; while labour- intensive</w:t>
      </w:r>
      <w:r>
        <w:rPr>
          <w:spacing w:val="-4"/>
        </w:rPr>
        <w:t> </w:t>
      </w:r>
      <w:r>
        <w:rPr/>
        <w:t>and</w:t>
      </w:r>
      <w:r>
        <w:rPr>
          <w:spacing w:val="-5"/>
        </w:rPr>
        <w:t> </w:t>
      </w:r>
      <w:r>
        <w:rPr/>
        <w:t>costly,</w:t>
      </w:r>
      <w:r>
        <w:rPr>
          <w:spacing w:val="-4"/>
        </w:rPr>
        <w:t> </w:t>
      </w:r>
      <w:r>
        <w:rPr/>
        <w:t>they</w:t>
      </w:r>
      <w:r>
        <w:rPr>
          <w:spacing w:val="-1"/>
        </w:rPr>
        <w:t> </w:t>
      </w:r>
      <w:r>
        <w:rPr/>
        <w:t>are</w:t>
      </w:r>
      <w:r>
        <w:rPr>
          <w:spacing w:val="-4"/>
        </w:rPr>
        <w:t> </w:t>
      </w:r>
      <w:r>
        <w:rPr/>
        <w:t>more</w:t>
      </w:r>
      <w:r>
        <w:rPr>
          <w:spacing w:val="-2"/>
        </w:rPr>
        <w:t> </w:t>
      </w:r>
      <w:r>
        <w:rPr/>
        <w:t>humane</w:t>
      </w:r>
      <w:r>
        <w:rPr>
          <w:spacing w:val="-2"/>
        </w:rPr>
        <w:t> </w:t>
      </w:r>
      <w:r>
        <w:rPr/>
        <w:t>than toxic</w:t>
      </w:r>
      <w:r>
        <w:rPr>
          <w:spacing w:val="-2"/>
        </w:rPr>
        <w:t> </w:t>
      </w:r>
      <w:r>
        <w:rPr/>
        <w:t>baits.</w:t>
      </w:r>
      <w:r>
        <w:rPr>
          <w:spacing w:val="-4"/>
        </w:rPr>
        <w:t> </w:t>
      </w:r>
      <w:r>
        <w:rPr/>
        <w:t>Ground</w:t>
      </w:r>
      <w:r>
        <w:rPr>
          <w:spacing w:val="-4"/>
        </w:rPr>
        <w:t> </w:t>
      </w:r>
      <w:r>
        <w:rPr/>
        <w:t>shooting,</w:t>
      </w:r>
      <w:r>
        <w:rPr>
          <w:spacing w:val="-4"/>
        </w:rPr>
        <w:t> </w:t>
      </w:r>
      <w:r>
        <w:rPr/>
        <w:t>often</w:t>
      </w:r>
      <w:r>
        <w:rPr>
          <w:spacing w:val="-5"/>
        </w:rPr>
        <w:t> </w:t>
      </w:r>
      <w:r>
        <w:rPr/>
        <w:t>involving</w:t>
      </w:r>
      <w:r>
        <w:rPr>
          <w:spacing w:val="-3"/>
        </w:rPr>
        <w:t> </w:t>
      </w:r>
      <w:r>
        <w:rPr/>
        <w:t>dogs,</w:t>
      </w:r>
      <w:r>
        <w:rPr>
          <w:spacing w:val="-2"/>
        </w:rPr>
        <w:t> </w:t>
      </w:r>
      <w:r>
        <w:rPr/>
        <w:t>achieves 21–30% reduction in confined areas, while aerial shooting achieves up to 80% reduction but is less effective in</w:t>
      </w:r>
      <w:r>
        <w:rPr>
          <w:spacing w:val="-1"/>
        </w:rPr>
        <w:t> </w:t>
      </w:r>
      <w:r>
        <w:rPr/>
        <w:t>rugged</w:t>
      </w:r>
      <w:r>
        <w:rPr>
          <w:spacing w:val="-1"/>
        </w:rPr>
        <w:t> </w:t>
      </w:r>
      <w:r>
        <w:rPr/>
        <w:t>terrain</w:t>
      </w:r>
      <w:r>
        <w:rPr>
          <w:spacing w:val="-1"/>
        </w:rPr>
        <w:t> </w:t>
      </w:r>
      <w:r>
        <w:rPr/>
        <w:t>or at</w:t>
      </w:r>
      <w:r>
        <w:rPr>
          <w:spacing w:val="-1"/>
        </w:rPr>
        <w:t> </w:t>
      </w:r>
      <w:r>
        <w:rPr/>
        <w:t>low densities.</w:t>
      </w:r>
      <w:r>
        <w:rPr>
          <w:spacing w:val="-1"/>
        </w:rPr>
        <w:t> </w:t>
      </w:r>
      <w:r>
        <w:rPr/>
        <w:t>Both</w:t>
      </w:r>
      <w:r>
        <w:rPr>
          <w:spacing w:val="-2"/>
        </w:rPr>
        <w:t> </w:t>
      </w:r>
      <w:r>
        <w:rPr/>
        <w:t>shooting</w:t>
      </w:r>
      <w:r>
        <w:rPr>
          <w:spacing w:val="-1"/>
        </w:rPr>
        <w:t> </w:t>
      </w:r>
      <w:r>
        <w:rPr/>
        <w:t>methods are labour-intensive</w:t>
      </w:r>
      <w:r>
        <w:rPr>
          <w:spacing w:val="-1"/>
        </w:rPr>
        <w:t> </w:t>
      </w:r>
      <w:r>
        <w:rPr/>
        <w:t>and</w:t>
      </w:r>
      <w:r>
        <w:rPr>
          <w:spacing w:val="-2"/>
        </w:rPr>
        <w:t> </w:t>
      </w:r>
      <w:r>
        <w:rPr/>
        <w:t>generally unsuitable</w:t>
      </w:r>
      <w:r>
        <w:rPr>
          <w:spacing w:val="-1"/>
        </w:rPr>
        <w:t> </w:t>
      </w:r>
      <w:r>
        <w:rPr/>
        <w:t>for large-scale control in areas of dense vegetation in Victoria. Sustained population suppression typically requires integrated and targeted strategies.</w:t>
      </w:r>
    </w:p>
    <w:p>
      <w:pPr>
        <w:spacing w:before="120"/>
        <w:ind w:left="312" w:right="0" w:firstLine="0"/>
        <w:jc w:val="left"/>
        <w:rPr>
          <w:b/>
          <w:i/>
          <w:sz w:val="20"/>
        </w:rPr>
      </w:pPr>
      <w:r>
        <w:rPr>
          <w:b/>
          <w:i/>
          <w:sz w:val="20"/>
        </w:rPr>
        <w:t>Red</w:t>
      </w:r>
      <w:r>
        <w:rPr>
          <w:b/>
          <w:i/>
          <w:spacing w:val="-4"/>
          <w:sz w:val="20"/>
        </w:rPr>
        <w:t> </w:t>
      </w:r>
      <w:r>
        <w:rPr>
          <w:b/>
          <w:i/>
          <w:spacing w:val="-2"/>
          <w:sz w:val="20"/>
        </w:rPr>
        <w:t>Foxes</w:t>
      </w:r>
    </w:p>
    <w:p>
      <w:pPr>
        <w:pStyle w:val="BodyText"/>
        <w:ind w:left="312" w:right="247"/>
      </w:pPr>
      <w:r>
        <w:rPr/>
        <w:t>Red fox control in Victoria relies heavily on 1080 baiting, which is the most cost-effective method for broadscale population reduction. PAPP FOXECUTE®, a more humane alternative, has shown 65–80% reductions in fox activity, though research has focused on toxicity and environmental impact rather than operational efficiency. Canid pest ejectors (CPEs) using 1080 improve target specificity but have higher costs and lack comprehensive cost-effectiveness comparisons with traditional baiting. Ground shooting is highly selective but ineffective for sustained control due to uncoordinated efforts and rapid recolonisation, though</w:t>
      </w:r>
      <w:r>
        <w:rPr>
          <w:spacing w:val="-2"/>
        </w:rPr>
        <w:t> </w:t>
      </w:r>
      <w:r>
        <w:rPr/>
        <w:t>it</w:t>
      </w:r>
      <w:r>
        <w:rPr>
          <w:spacing w:val="-3"/>
        </w:rPr>
        <w:t> </w:t>
      </w:r>
      <w:r>
        <w:rPr/>
        <w:t>can</w:t>
      </w:r>
      <w:r>
        <w:rPr>
          <w:spacing w:val="-4"/>
        </w:rPr>
        <w:t> </w:t>
      </w:r>
      <w:r>
        <w:rPr/>
        <w:t>complement</w:t>
      </w:r>
      <w:r>
        <w:rPr>
          <w:spacing w:val="-1"/>
        </w:rPr>
        <w:t> </w:t>
      </w:r>
      <w:r>
        <w:rPr/>
        <w:t>other methods</w:t>
      </w:r>
      <w:r>
        <w:rPr>
          <w:spacing w:val="-2"/>
        </w:rPr>
        <w:t> </w:t>
      </w:r>
      <w:r>
        <w:rPr/>
        <w:t>in</w:t>
      </w:r>
      <w:r>
        <w:rPr>
          <w:spacing w:val="-3"/>
        </w:rPr>
        <w:t> </w:t>
      </w:r>
      <w:r>
        <w:rPr/>
        <w:t>targeted</w:t>
      </w:r>
      <w:r>
        <w:rPr>
          <w:spacing w:val="-3"/>
        </w:rPr>
        <w:t> </w:t>
      </w:r>
      <w:r>
        <w:rPr/>
        <w:t>scenarios.</w:t>
      </w:r>
      <w:r>
        <w:rPr>
          <w:spacing w:val="-1"/>
        </w:rPr>
        <w:t> </w:t>
      </w:r>
      <w:r>
        <w:rPr/>
        <w:t>Padded</w:t>
      </w:r>
      <w:r>
        <w:rPr>
          <w:spacing w:val="-3"/>
        </w:rPr>
        <w:t> </w:t>
      </w:r>
      <w:r>
        <w:rPr/>
        <w:t>leghold</w:t>
      </w:r>
      <w:r>
        <w:rPr>
          <w:spacing w:val="-3"/>
        </w:rPr>
        <w:t> </w:t>
      </w:r>
      <w:r>
        <w:rPr/>
        <w:t>and</w:t>
      </w:r>
      <w:r>
        <w:rPr>
          <w:spacing w:val="-4"/>
        </w:rPr>
        <w:t> </w:t>
      </w:r>
      <w:r>
        <w:rPr/>
        <w:t>cage</w:t>
      </w:r>
      <w:r>
        <w:rPr>
          <w:spacing w:val="-3"/>
        </w:rPr>
        <w:t> </w:t>
      </w:r>
      <w:r>
        <w:rPr/>
        <w:t>traps are</w:t>
      </w:r>
      <w:r>
        <w:rPr>
          <w:spacing w:val="-3"/>
        </w:rPr>
        <w:t> </w:t>
      </w:r>
      <w:r>
        <w:rPr/>
        <w:t>labour-</w:t>
      </w:r>
    </w:p>
    <w:p>
      <w:pPr>
        <w:spacing w:after="0"/>
        <w:sectPr>
          <w:pgSz w:w="11910" w:h="16850"/>
          <w:pgMar w:header="0" w:footer="688" w:top="1160" w:bottom="880" w:left="820" w:right="980"/>
        </w:sectPr>
      </w:pPr>
    </w:p>
    <w:p>
      <w:pPr>
        <w:pStyle w:val="BodyText"/>
        <w:spacing w:before="71"/>
        <w:ind w:left="312" w:right="185"/>
      </w:pPr>
      <w:r>
        <w:rPr/>
        <w:t>intensive, ineffective at scale, and perform poorly at low fox densities, with cage trapping efficacy remaining under-researched. Carbon monoxide fumigation of dens reduces fox cub activity by 80% but faces seasonal limitations,</w:t>
      </w:r>
      <w:r>
        <w:rPr>
          <w:spacing w:val="-4"/>
        </w:rPr>
        <w:t> </w:t>
      </w:r>
      <w:r>
        <w:rPr/>
        <w:t>den</w:t>
      </w:r>
      <w:r>
        <w:rPr>
          <w:spacing w:val="-5"/>
        </w:rPr>
        <w:t> </w:t>
      </w:r>
      <w:r>
        <w:rPr/>
        <w:t>detection</w:t>
      </w:r>
      <w:r>
        <w:rPr>
          <w:spacing w:val="-5"/>
        </w:rPr>
        <w:t> </w:t>
      </w:r>
      <w:r>
        <w:rPr/>
        <w:t>challenges,</w:t>
      </w:r>
      <w:r>
        <w:rPr>
          <w:spacing w:val="-4"/>
        </w:rPr>
        <w:t> </w:t>
      </w:r>
      <w:r>
        <w:rPr/>
        <w:t>and poorer welfare</w:t>
      </w:r>
      <w:r>
        <w:rPr>
          <w:spacing w:val="-4"/>
        </w:rPr>
        <w:t> </w:t>
      </w:r>
      <w:r>
        <w:rPr/>
        <w:t>outcomes</w:t>
      </w:r>
      <w:r>
        <w:rPr>
          <w:spacing w:val="-1"/>
        </w:rPr>
        <w:t> </w:t>
      </w:r>
      <w:r>
        <w:rPr/>
        <w:t>relative</w:t>
      </w:r>
      <w:r>
        <w:rPr>
          <w:spacing w:val="-4"/>
        </w:rPr>
        <w:t> </w:t>
      </w:r>
      <w:r>
        <w:rPr/>
        <w:t>to</w:t>
      </w:r>
      <w:r>
        <w:rPr>
          <w:spacing w:val="-1"/>
        </w:rPr>
        <w:t> </w:t>
      </w:r>
      <w:r>
        <w:rPr/>
        <w:t>1080.</w:t>
      </w:r>
      <w:r>
        <w:rPr>
          <w:spacing w:val="-2"/>
        </w:rPr>
        <w:t> </w:t>
      </w:r>
      <w:r>
        <w:rPr/>
        <w:t>Without</w:t>
      </w:r>
      <w:r>
        <w:rPr>
          <w:spacing w:val="-4"/>
        </w:rPr>
        <w:t> </w:t>
      </w:r>
      <w:r>
        <w:rPr/>
        <w:t>den</w:t>
      </w:r>
      <w:r>
        <w:rPr>
          <w:spacing w:val="-4"/>
        </w:rPr>
        <w:t> </w:t>
      </w:r>
      <w:r>
        <w:rPr/>
        <w:t>destruction, recolonisation occurs, highlighting the need for integrated control strategies.</w:t>
      </w:r>
    </w:p>
    <w:p>
      <w:pPr>
        <w:spacing w:line="229" w:lineRule="exact" w:before="122"/>
        <w:ind w:left="312" w:right="0" w:firstLine="0"/>
        <w:jc w:val="left"/>
        <w:rPr>
          <w:b/>
          <w:i/>
          <w:sz w:val="20"/>
        </w:rPr>
      </w:pPr>
      <w:r>
        <w:rPr>
          <w:b/>
          <w:i/>
          <w:sz w:val="20"/>
        </w:rPr>
        <w:t>Dingoes</w:t>
      </w:r>
      <w:r>
        <w:rPr>
          <w:b/>
          <w:i/>
          <w:spacing w:val="-7"/>
          <w:sz w:val="20"/>
        </w:rPr>
        <w:t> </w:t>
      </w:r>
      <w:r>
        <w:rPr>
          <w:b/>
          <w:i/>
          <w:sz w:val="20"/>
        </w:rPr>
        <w:t>and</w:t>
      </w:r>
      <w:r>
        <w:rPr>
          <w:b/>
          <w:i/>
          <w:spacing w:val="-4"/>
          <w:sz w:val="20"/>
        </w:rPr>
        <w:t> </w:t>
      </w:r>
      <w:r>
        <w:rPr>
          <w:b/>
          <w:i/>
          <w:sz w:val="20"/>
        </w:rPr>
        <w:t>Wild</w:t>
      </w:r>
      <w:r>
        <w:rPr>
          <w:b/>
          <w:i/>
          <w:spacing w:val="-5"/>
          <w:sz w:val="20"/>
        </w:rPr>
        <w:t> </w:t>
      </w:r>
      <w:r>
        <w:rPr>
          <w:b/>
          <w:i/>
          <w:spacing w:val="-4"/>
          <w:sz w:val="20"/>
        </w:rPr>
        <w:t>Dogs</w:t>
      </w:r>
    </w:p>
    <w:p>
      <w:pPr>
        <w:pStyle w:val="BodyText"/>
        <w:ind w:left="312" w:right="179"/>
      </w:pPr>
      <w:r>
        <w:rPr/>
        <w:t>We</w:t>
      </w:r>
      <w:r>
        <w:rPr>
          <w:spacing w:val="-2"/>
        </w:rPr>
        <w:t> </w:t>
      </w:r>
      <w:r>
        <w:rPr/>
        <w:t>use</w:t>
      </w:r>
      <w:r>
        <w:rPr>
          <w:spacing w:val="-4"/>
        </w:rPr>
        <w:t> </w:t>
      </w:r>
      <w:r>
        <w:rPr/>
        <w:t>the</w:t>
      </w:r>
      <w:r>
        <w:rPr>
          <w:spacing w:val="-4"/>
        </w:rPr>
        <w:t> </w:t>
      </w:r>
      <w:r>
        <w:rPr/>
        <w:t>term</w:t>
      </w:r>
      <w:r>
        <w:rPr>
          <w:spacing w:val="-1"/>
        </w:rPr>
        <w:t> </w:t>
      </w:r>
      <w:r>
        <w:rPr/>
        <w:t>Dingo</w:t>
      </w:r>
      <w:r>
        <w:rPr>
          <w:spacing w:val="-2"/>
        </w:rPr>
        <w:t> </w:t>
      </w:r>
      <w:r>
        <w:rPr/>
        <w:t>and</w:t>
      </w:r>
      <w:r>
        <w:rPr>
          <w:spacing w:val="-2"/>
        </w:rPr>
        <w:t> </w:t>
      </w:r>
      <w:r>
        <w:rPr/>
        <w:t>Wild</w:t>
      </w:r>
      <w:r>
        <w:rPr>
          <w:spacing w:val="-2"/>
        </w:rPr>
        <w:t> </w:t>
      </w:r>
      <w:r>
        <w:rPr/>
        <w:t>Dog</w:t>
      </w:r>
      <w:r>
        <w:rPr>
          <w:spacing w:val="-2"/>
        </w:rPr>
        <w:t> </w:t>
      </w:r>
      <w:r>
        <w:rPr/>
        <w:t>interchangeably</w:t>
      </w:r>
      <w:r>
        <w:rPr>
          <w:spacing w:val="-3"/>
        </w:rPr>
        <w:t> </w:t>
      </w:r>
      <w:r>
        <w:rPr/>
        <w:t>throughout</w:t>
      </w:r>
      <w:r>
        <w:rPr>
          <w:spacing w:val="-2"/>
        </w:rPr>
        <w:t> </w:t>
      </w:r>
      <w:r>
        <w:rPr/>
        <w:t>this</w:t>
      </w:r>
      <w:r>
        <w:rPr>
          <w:spacing w:val="-3"/>
        </w:rPr>
        <w:t> </w:t>
      </w:r>
      <w:r>
        <w:rPr/>
        <w:t>report.</w:t>
      </w:r>
      <w:r>
        <w:rPr>
          <w:spacing w:val="-4"/>
        </w:rPr>
        <w:t> </w:t>
      </w:r>
      <w:r>
        <w:rPr/>
        <w:t>Ground</w:t>
      </w:r>
      <w:r>
        <w:rPr>
          <w:spacing w:val="-5"/>
        </w:rPr>
        <w:t> </w:t>
      </w:r>
      <w:r>
        <w:rPr/>
        <w:t>baiting</w:t>
      </w:r>
      <w:r>
        <w:rPr>
          <w:spacing w:val="-2"/>
        </w:rPr>
        <w:t> </w:t>
      </w:r>
      <w:r>
        <w:rPr/>
        <w:t>for</w:t>
      </w:r>
      <w:r>
        <w:rPr>
          <w:spacing w:val="-3"/>
        </w:rPr>
        <w:t> </w:t>
      </w:r>
      <w:r>
        <w:rPr/>
        <w:t>Dingoes</w:t>
      </w:r>
      <w:r>
        <w:rPr>
          <w:spacing w:val="-3"/>
        </w:rPr>
        <w:t> </w:t>
      </w:r>
      <w:r>
        <w:rPr/>
        <w:t>and Wild Dogs in Victoria achieves variable success (10–76% reduction), with factors such as bait degradation and non-target removal affecting outcomes, though it remains a cost-effective method. Aerial baiting is more consistent, often exceeding 80% reduction. PAPP, delivered via DOGABAIT® or Canid Pest Ejectors</w:t>
      </w:r>
      <w:r>
        <w:rPr/>
        <w:t> (CPEs), offers improved humaneness and reduced non-target risks. While effective in CPEs, PAPP has a higher cost and to date, limited adoption in Victoria. Trapping, a key management tool in Victoria, is commonly employed where baiting is impractical or in response to stock losses; however, its effectiveness depends on trap type, operator experience, and environmental conditions. Foot-hold trapping is generally less humane than 1080 poisoning. Ground shooting, performed by farmers or government agents, lacks evidence of population-level impact or measurable influence on stock attack reduction. Research on the</w:t>
      </w:r>
    </w:p>
    <w:p>
      <w:pPr>
        <w:pStyle w:val="BodyText"/>
        <w:spacing w:before="1"/>
        <w:ind w:left="312" w:right="247"/>
      </w:pPr>
      <w:r>
        <w:rPr/>
        <w:t>cost-effectiveness</w:t>
      </w:r>
      <w:r>
        <w:rPr>
          <w:spacing w:val="-3"/>
        </w:rPr>
        <w:t> </w:t>
      </w:r>
      <w:r>
        <w:rPr/>
        <w:t>of</w:t>
      </w:r>
      <w:r>
        <w:rPr>
          <w:spacing w:val="-4"/>
        </w:rPr>
        <w:t> </w:t>
      </w:r>
      <w:r>
        <w:rPr/>
        <w:t>Dingo</w:t>
      </w:r>
      <w:r>
        <w:rPr>
          <w:spacing w:val="-2"/>
        </w:rPr>
        <w:t> </w:t>
      </w:r>
      <w:r>
        <w:rPr/>
        <w:t>and</w:t>
      </w:r>
      <w:r>
        <w:rPr>
          <w:spacing w:val="-2"/>
        </w:rPr>
        <w:t> </w:t>
      </w:r>
      <w:r>
        <w:rPr/>
        <w:t>Wild</w:t>
      </w:r>
      <w:r>
        <w:rPr>
          <w:spacing w:val="-2"/>
        </w:rPr>
        <w:t> </w:t>
      </w:r>
      <w:r>
        <w:rPr/>
        <w:t>Dog</w:t>
      </w:r>
      <w:r>
        <w:rPr>
          <w:spacing w:val="-3"/>
        </w:rPr>
        <w:t> </w:t>
      </w:r>
      <w:r>
        <w:rPr/>
        <w:t>control</w:t>
      </w:r>
      <w:r>
        <w:rPr>
          <w:spacing w:val="-5"/>
        </w:rPr>
        <w:t> </w:t>
      </w:r>
      <w:r>
        <w:rPr/>
        <w:t>in</w:t>
      </w:r>
      <w:r>
        <w:rPr>
          <w:spacing w:val="-4"/>
        </w:rPr>
        <w:t> </w:t>
      </w:r>
      <w:r>
        <w:rPr/>
        <w:t>Victoria</w:t>
      </w:r>
      <w:r>
        <w:rPr>
          <w:spacing w:val="-4"/>
        </w:rPr>
        <w:t> </w:t>
      </w:r>
      <w:r>
        <w:rPr/>
        <w:t>remains</w:t>
      </w:r>
      <w:r>
        <w:rPr>
          <w:spacing w:val="-3"/>
        </w:rPr>
        <w:t> </w:t>
      </w:r>
      <w:r>
        <w:rPr/>
        <w:t>limited,</w:t>
      </w:r>
      <w:r>
        <w:rPr>
          <w:spacing w:val="-2"/>
        </w:rPr>
        <w:t> </w:t>
      </w:r>
      <w:r>
        <w:rPr/>
        <w:t>with</w:t>
      </w:r>
      <w:r>
        <w:rPr>
          <w:spacing w:val="-2"/>
        </w:rPr>
        <w:t> </w:t>
      </w:r>
      <w:r>
        <w:rPr/>
        <w:t>few</w:t>
      </w:r>
      <w:r>
        <w:rPr>
          <w:spacing w:val="-4"/>
        </w:rPr>
        <w:t> </w:t>
      </w:r>
      <w:r>
        <w:rPr/>
        <w:t>studies</w:t>
      </w:r>
      <w:r>
        <w:rPr>
          <w:spacing w:val="-3"/>
        </w:rPr>
        <w:t> </w:t>
      </w:r>
      <w:r>
        <w:rPr/>
        <w:t>addressing costs and none offering comparative analyses of various lethal and non-lethal methods.</w:t>
      </w:r>
    </w:p>
    <w:p>
      <w:pPr>
        <w:pStyle w:val="Heading3"/>
        <w:spacing w:before="142"/>
        <w:ind w:left="312" w:firstLine="0"/>
      </w:pPr>
      <w:bookmarkStart w:name="_TOC_250090" w:id="5"/>
      <w:r>
        <w:rPr/>
        <w:t>Efficacy</w:t>
      </w:r>
      <w:r>
        <w:rPr>
          <w:spacing w:val="-8"/>
        </w:rPr>
        <w:t> </w:t>
      </w:r>
      <w:r>
        <w:rPr/>
        <w:t>and</w:t>
      </w:r>
      <w:r>
        <w:rPr>
          <w:spacing w:val="-3"/>
        </w:rPr>
        <w:t> </w:t>
      </w:r>
      <w:r>
        <w:rPr/>
        <w:t>cost-effectiveness</w:t>
      </w:r>
      <w:r>
        <w:rPr>
          <w:spacing w:val="-5"/>
        </w:rPr>
        <w:t> </w:t>
      </w:r>
      <w:r>
        <w:rPr/>
        <w:t>non-lethal</w:t>
      </w:r>
      <w:r>
        <w:rPr>
          <w:spacing w:val="-4"/>
        </w:rPr>
        <w:t> </w:t>
      </w:r>
      <w:bookmarkEnd w:id="5"/>
      <w:r>
        <w:rPr>
          <w:spacing w:val="-2"/>
        </w:rPr>
        <w:t>methods</w:t>
      </w:r>
    </w:p>
    <w:p>
      <w:pPr>
        <w:pStyle w:val="BodyText"/>
        <w:spacing w:before="54"/>
        <w:ind w:left="312" w:right="247"/>
      </w:pPr>
      <w:r>
        <w:rPr/>
        <w:t>Livestock</w:t>
      </w:r>
      <w:r>
        <w:rPr>
          <w:spacing w:val="-1"/>
        </w:rPr>
        <w:t> </w:t>
      </w:r>
      <w:r>
        <w:rPr/>
        <w:t>guardian</w:t>
      </w:r>
      <w:r>
        <w:rPr>
          <w:spacing w:val="-3"/>
        </w:rPr>
        <w:t> </w:t>
      </w:r>
      <w:r>
        <w:rPr/>
        <w:t>animals</w:t>
      </w:r>
      <w:r>
        <w:rPr>
          <w:spacing w:val="-1"/>
        </w:rPr>
        <w:t> </w:t>
      </w:r>
      <w:r>
        <w:rPr/>
        <w:t>(LGAs)</w:t>
      </w:r>
      <w:r>
        <w:rPr>
          <w:spacing w:val="-1"/>
        </w:rPr>
        <w:t> </w:t>
      </w:r>
      <w:r>
        <w:rPr/>
        <w:t>are</w:t>
      </w:r>
      <w:r>
        <w:rPr>
          <w:spacing w:val="-2"/>
        </w:rPr>
        <w:t> </w:t>
      </w:r>
      <w:r>
        <w:rPr/>
        <w:t>widely</w:t>
      </w:r>
      <w:r>
        <w:rPr>
          <w:spacing w:val="-1"/>
        </w:rPr>
        <w:t> </w:t>
      </w:r>
      <w:r>
        <w:rPr/>
        <w:t>used</w:t>
      </w:r>
      <w:r>
        <w:rPr>
          <w:spacing w:val="-1"/>
        </w:rPr>
        <w:t> </w:t>
      </w:r>
      <w:r>
        <w:rPr/>
        <w:t>in predator</w:t>
      </w:r>
      <w:r>
        <w:rPr>
          <w:spacing w:val="-2"/>
        </w:rPr>
        <w:t> </w:t>
      </w:r>
      <w:r>
        <w:rPr/>
        <w:t>control,</w:t>
      </w:r>
      <w:r>
        <w:rPr>
          <w:spacing w:val="-2"/>
        </w:rPr>
        <w:t> </w:t>
      </w:r>
      <w:r>
        <w:rPr/>
        <w:t>with livestock</w:t>
      </w:r>
      <w:r>
        <w:rPr>
          <w:spacing w:val="-1"/>
        </w:rPr>
        <w:t> </w:t>
      </w:r>
      <w:r>
        <w:rPr/>
        <w:t>guardian</w:t>
      </w:r>
      <w:r>
        <w:rPr>
          <w:spacing w:val="-1"/>
        </w:rPr>
        <w:t> </w:t>
      </w:r>
      <w:r>
        <w:rPr/>
        <w:t>dogs</w:t>
      </w:r>
      <w:r>
        <w:rPr>
          <w:spacing w:val="-1"/>
        </w:rPr>
        <w:t> </w:t>
      </w:r>
      <w:r>
        <w:rPr/>
        <w:t>(LGDs) being the most common. Their success depends on appropriate training, bonding, and livestock-to-dog ratios,</w:t>
      </w:r>
      <w:r>
        <w:rPr>
          <w:spacing w:val="-3"/>
        </w:rPr>
        <w:t> </w:t>
      </w:r>
      <w:r>
        <w:rPr/>
        <w:t>as</w:t>
      </w:r>
      <w:r>
        <w:rPr>
          <w:spacing w:val="-2"/>
        </w:rPr>
        <w:t> </w:t>
      </w:r>
      <w:r>
        <w:rPr/>
        <w:t>well</w:t>
      </w:r>
      <w:r>
        <w:rPr>
          <w:spacing w:val="-4"/>
        </w:rPr>
        <w:t> </w:t>
      </w:r>
      <w:r>
        <w:rPr/>
        <w:t>as</w:t>
      </w:r>
      <w:r>
        <w:rPr>
          <w:spacing w:val="-2"/>
        </w:rPr>
        <w:t> </w:t>
      </w:r>
      <w:r>
        <w:rPr/>
        <w:t>fencing</w:t>
      </w:r>
      <w:r>
        <w:rPr>
          <w:spacing w:val="-4"/>
        </w:rPr>
        <w:t> </w:t>
      </w:r>
      <w:r>
        <w:rPr/>
        <w:t>to</w:t>
      </w:r>
      <w:r>
        <w:rPr>
          <w:spacing w:val="-1"/>
        </w:rPr>
        <w:t> </w:t>
      </w:r>
      <w:r>
        <w:rPr/>
        <w:t>manage</w:t>
      </w:r>
      <w:r>
        <w:rPr>
          <w:spacing w:val="-1"/>
        </w:rPr>
        <w:t> </w:t>
      </w:r>
      <w:r>
        <w:rPr/>
        <w:t>their</w:t>
      </w:r>
      <w:r>
        <w:rPr>
          <w:spacing w:val="-2"/>
        </w:rPr>
        <w:t> </w:t>
      </w:r>
      <w:r>
        <w:rPr/>
        <w:t>tendency</w:t>
      </w:r>
      <w:r>
        <w:rPr>
          <w:spacing w:val="-2"/>
        </w:rPr>
        <w:t> </w:t>
      </w:r>
      <w:r>
        <w:rPr/>
        <w:t>to</w:t>
      </w:r>
      <w:r>
        <w:rPr>
          <w:spacing w:val="-2"/>
        </w:rPr>
        <w:t> </w:t>
      </w:r>
      <w:r>
        <w:rPr/>
        <w:t>wander.</w:t>
      </w:r>
      <w:r>
        <w:rPr>
          <w:spacing w:val="-3"/>
        </w:rPr>
        <w:t> </w:t>
      </w:r>
      <w:r>
        <w:rPr/>
        <w:t>LGDs</w:t>
      </w:r>
      <w:r>
        <w:rPr>
          <w:spacing w:val="-1"/>
        </w:rPr>
        <w:t> </w:t>
      </w:r>
      <w:r>
        <w:rPr/>
        <w:t>are</w:t>
      </w:r>
      <w:r>
        <w:rPr>
          <w:spacing w:val="-3"/>
        </w:rPr>
        <w:t> </w:t>
      </w:r>
      <w:r>
        <w:rPr/>
        <w:t>rarely</w:t>
      </w:r>
      <w:r>
        <w:rPr>
          <w:spacing w:val="-2"/>
        </w:rPr>
        <w:t> </w:t>
      </w:r>
      <w:r>
        <w:rPr/>
        <w:t>used</w:t>
      </w:r>
      <w:r>
        <w:rPr>
          <w:spacing w:val="-1"/>
        </w:rPr>
        <w:t> </w:t>
      </w:r>
      <w:r>
        <w:rPr/>
        <w:t>in</w:t>
      </w:r>
      <w:r>
        <w:rPr>
          <w:spacing w:val="-3"/>
        </w:rPr>
        <w:t> </w:t>
      </w:r>
      <w:r>
        <w:rPr/>
        <w:t>the</w:t>
      </w:r>
      <w:r>
        <w:rPr>
          <w:spacing w:val="-3"/>
        </w:rPr>
        <w:t> </w:t>
      </w:r>
      <w:r>
        <w:rPr/>
        <w:t>absence</w:t>
      </w:r>
      <w:r>
        <w:rPr>
          <w:spacing w:val="-3"/>
        </w:rPr>
        <w:t> </w:t>
      </w:r>
      <w:r>
        <w:rPr/>
        <w:t>of</w:t>
      </w:r>
      <w:r>
        <w:rPr>
          <w:spacing w:val="-1"/>
        </w:rPr>
        <w:t> </w:t>
      </w:r>
      <w:r>
        <w:rPr/>
        <w:t>lethal control methods, complicating assessments of their standalone efficacy. Challenges include conflicts with neighbours, dog-specific issues, and potential harm to native wildlife. Alpacas and llamas are primarily employed to protect smaller livestock, with llamas showing some success internationally; however, alpacas are</w:t>
      </w:r>
      <w:r>
        <w:rPr>
          <w:spacing w:val="-4"/>
        </w:rPr>
        <w:t> </w:t>
      </w:r>
      <w:r>
        <w:rPr/>
        <w:t>less</w:t>
      </w:r>
      <w:r>
        <w:rPr>
          <w:spacing w:val="-3"/>
        </w:rPr>
        <w:t> </w:t>
      </w:r>
      <w:r>
        <w:rPr/>
        <w:t>effective</w:t>
      </w:r>
      <w:r>
        <w:rPr>
          <w:spacing w:val="-2"/>
        </w:rPr>
        <w:t> </w:t>
      </w:r>
      <w:r>
        <w:rPr/>
        <w:t>against</w:t>
      </w:r>
      <w:r>
        <w:rPr>
          <w:spacing w:val="-2"/>
        </w:rPr>
        <w:t> </w:t>
      </w:r>
      <w:r>
        <w:rPr/>
        <w:t>larger</w:t>
      </w:r>
      <w:r>
        <w:rPr>
          <w:spacing w:val="-3"/>
        </w:rPr>
        <w:t> </w:t>
      </w:r>
      <w:r>
        <w:rPr/>
        <w:t>predators as</w:t>
      </w:r>
      <w:r>
        <w:rPr>
          <w:spacing w:val="-3"/>
        </w:rPr>
        <w:t> </w:t>
      </w:r>
      <w:r>
        <w:rPr/>
        <w:t>they</w:t>
      </w:r>
      <w:r>
        <w:rPr>
          <w:spacing w:val="-2"/>
        </w:rPr>
        <w:t> </w:t>
      </w:r>
      <w:r>
        <w:rPr/>
        <w:t>are</w:t>
      </w:r>
      <w:r>
        <w:rPr>
          <w:spacing w:val="-1"/>
        </w:rPr>
        <w:t> </w:t>
      </w:r>
      <w:r>
        <w:rPr/>
        <w:t>vulnerable</w:t>
      </w:r>
      <w:r>
        <w:rPr>
          <w:spacing w:val="-4"/>
        </w:rPr>
        <w:t> </w:t>
      </w:r>
      <w:r>
        <w:rPr/>
        <w:t>to predation.</w:t>
      </w:r>
      <w:r>
        <w:rPr>
          <w:spacing w:val="-4"/>
        </w:rPr>
        <w:t> </w:t>
      </w:r>
      <w:r>
        <w:rPr/>
        <w:t>Donkeys</w:t>
      </w:r>
      <w:r>
        <w:rPr>
          <w:spacing w:val="-3"/>
        </w:rPr>
        <w:t> </w:t>
      </w:r>
      <w:r>
        <w:rPr/>
        <w:t>offer</w:t>
      </w:r>
      <w:r>
        <w:rPr>
          <w:spacing w:val="-4"/>
        </w:rPr>
        <w:t> </w:t>
      </w:r>
      <w:r>
        <w:rPr/>
        <w:t>a</w:t>
      </w:r>
      <w:r>
        <w:rPr>
          <w:spacing w:val="-4"/>
        </w:rPr>
        <w:t> </w:t>
      </w:r>
      <w:r>
        <w:rPr/>
        <w:t>cost-effective alternative in dry environments but may be subject to health concerns in wetter conditions, with limited research on their effectiveness in different parts of Australia. While LGAs show promise in integrated management strategies, their efficacy across Australian environments remains under-researched, necessitating region-specific studies.</w:t>
      </w:r>
    </w:p>
    <w:p>
      <w:pPr>
        <w:pStyle w:val="BodyText"/>
        <w:spacing w:before="122"/>
        <w:ind w:left="312" w:right="247"/>
      </w:pPr>
      <w:r>
        <w:rPr/>
        <w:t>Exclusion</w:t>
      </w:r>
      <w:r>
        <w:rPr>
          <w:spacing w:val="-2"/>
        </w:rPr>
        <w:t> </w:t>
      </w:r>
      <w:r>
        <w:rPr/>
        <w:t>fencing</w:t>
      </w:r>
      <w:r>
        <w:rPr>
          <w:spacing w:val="-2"/>
        </w:rPr>
        <w:t> </w:t>
      </w:r>
      <w:r>
        <w:rPr/>
        <w:t>effectiveness</w:t>
      </w:r>
      <w:r>
        <w:rPr>
          <w:spacing w:val="-1"/>
        </w:rPr>
        <w:t> </w:t>
      </w:r>
      <w:r>
        <w:rPr/>
        <w:t>varies</w:t>
      </w:r>
      <w:r>
        <w:rPr>
          <w:spacing w:val="-1"/>
        </w:rPr>
        <w:t> </w:t>
      </w:r>
      <w:r>
        <w:rPr/>
        <w:t>by</w:t>
      </w:r>
      <w:r>
        <w:rPr>
          <w:spacing w:val="-1"/>
        </w:rPr>
        <w:t> </w:t>
      </w:r>
      <w:r>
        <w:rPr/>
        <w:t>species</w:t>
      </w:r>
      <w:r>
        <w:rPr>
          <w:spacing w:val="-1"/>
        </w:rPr>
        <w:t> </w:t>
      </w:r>
      <w:r>
        <w:rPr/>
        <w:t>and context.</w:t>
      </w:r>
      <w:r>
        <w:rPr>
          <w:spacing w:val="-2"/>
        </w:rPr>
        <w:t> </w:t>
      </w:r>
      <w:r>
        <w:rPr/>
        <w:t>Its use</w:t>
      </w:r>
      <w:r>
        <w:rPr>
          <w:spacing w:val="-2"/>
        </w:rPr>
        <w:t> </w:t>
      </w:r>
      <w:r>
        <w:rPr/>
        <w:t>for</w:t>
      </w:r>
      <w:r>
        <w:rPr>
          <w:spacing w:val="-2"/>
        </w:rPr>
        <w:t> </w:t>
      </w:r>
      <w:r>
        <w:rPr/>
        <w:t>rabbits has</w:t>
      </w:r>
      <w:r>
        <w:rPr>
          <w:spacing w:val="-1"/>
        </w:rPr>
        <w:t> </w:t>
      </w:r>
      <w:r>
        <w:rPr/>
        <w:t>declined</w:t>
      </w:r>
      <w:r>
        <w:rPr>
          <w:spacing w:val="-3"/>
        </w:rPr>
        <w:t> </w:t>
      </w:r>
      <w:r>
        <w:rPr/>
        <w:t>due</w:t>
      </w:r>
      <w:r>
        <w:rPr>
          <w:spacing w:val="-3"/>
        </w:rPr>
        <w:t> </w:t>
      </w:r>
      <w:r>
        <w:rPr/>
        <w:t>to</w:t>
      </w:r>
      <w:r>
        <w:rPr>
          <w:spacing w:val="-2"/>
        </w:rPr>
        <w:t> </w:t>
      </w:r>
      <w:r>
        <w:rPr/>
        <w:t>costs and improved pest management approaches. Modern feral pig fencing is similarly limited to high-value areas. Fencing has proven effective for fox control in intensive agricultural zones, zoos, and conservation sanctuaries, contributing to ‘mainland islands’ that protect native species. However, costs and long-term maintenance</w:t>
      </w:r>
      <w:r>
        <w:rPr>
          <w:spacing w:val="-1"/>
        </w:rPr>
        <w:t> </w:t>
      </w:r>
      <w:r>
        <w:rPr/>
        <w:t>present</w:t>
      </w:r>
      <w:r>
        <w:rPr>
          <w:spacing w:val="-3"/>
        </w:rPr>
        <w:t> </w:t>
      </w:r>
      <w:r>
        <w:rPr/>
        <w:t>challenges.</w:t>
      </w:r>
      <w:r>
        <w:rPr>
          <w:spacing w:val="-3"/>
        </w:rPr>
        <w:t> </w:t>
      </w:r>
      <w:r>
        <w:rPr/>
        <w:t>Linear</w:t>
      </w:r>
      <w:r>
        <w:rPr>
          <w:spacing w:val="-2"/>
        </w:rPr>
        <w:t> </w:t>
      </w:r>
      <w:r>
        <w:rPr/>
        <w:t>and</w:t>
      </w:r>
      <w:r>
        <w:rPr>
          <w:spacing w:val="-4"/>
        </w:rPr>
        <w:t> </w:t>
      </w:r>
      <w:r>
        <w:rPr/>
        <w:t>cell</w:t>
      </w:r>
      <w:r>
        <w:rPr>
          <w:spacing w:val="-4"/>
        </w:rPr>
        <w:t> </w:t>
      </w:r>
      <w:r>
        <w:rPr/>
        <w:t>fencing</w:t>
      </w:r>
      <w:r>
        <w:rPr>
          <w:spacing w:val="-3"/>
        </w:rPr>
        <w:t> </w:t>
      </w:r>
      <w:r>
        <w:rPr/>
        <w:t>are</w:t>
      </w:r>
      <w:r>
        <w:rPr>
          <w:spacing w:val="-3"/>
        </w:rPr>
        <w:t> </w:t>
      </w:r>
      <w:r>
        <w:rPr/>
        <w:t>commonly</w:t>
      </w:r>
      <w:r>
        <w:rPr>
          <w:spacing w:val="-2"/>
        </w:rPr>
        <w:t> </w:t>
      </w:r>
      <w:r>
        <w:rPr/>
        <w:t>used</w:t>
      </w:r>
      <w:r>
        <w:rPr>
          <w:spacing w:val="-3"/>
        </w:rPr>
        <w:t> </w:t>
      </w:r>
      <w:r>
        <w:rPr/>
        <w:t>for</w:t>
      </w:r>
      <w:r>
        <w:rPr>
          <w:spacing w:val="-3"/>
        </w:rPr>
        <w:t> </w:t>
      </w:r>
      <w:r>
        <w:rPr/>
        <w:t>Dingoes and</w:t>
      </w:r>
      <w:r>
        <w:rPr>
          <w:spacing w:val="-1"/>
        </w:rPr>
        <w:t> </w:t>
      </w:r>
      <w:r>
        <w:rPr/>
        <w:t>Wild</w:t>
      </w:r>
      <w:r>
        <w:rPr>
          <w:spacing w:val="-1"/>
        </w:rPr>
        <w:t> </w:t>
      </w:r>
      <w:r>
        <w:rPr/>
        <w:t>Dogs</w:t>
      </w:r>
      <w:r>
        <w:rPr>
          <w:spacing w:val="-2"/>
        </w:rPr>
        <w:t> </w:t>
      </w:r>
      <w:r>
        <w:rPr/>
        <w:t>in Victoria,</w:t>
      </w:r>
      <w:r>
        <w:rPr>
          <w:spacing w:val="-4"/>
        </w:rPr>
        <w:t> </w:t>
      </w:r>
      <w:r>
        <w:rPr/>
        <w:t>typically</w:t>
      </w:r>
      <w:r>
        <w:rPr>
          <w:spacing w:val="-3"/>
        </w:rPr>
        <w:t> </w:t>
      </w:r>
      <w:r>
        <w:rPr/>
        <w:t>alongside</w:t>
      </w:r>
      <w:r>
        <w:rPr>
          <w:spacing w:val="-2"/>
        </w:rPr>
        <w:t> </w:t>
      </w:r>
      <w:r>
        <w:rPr/>
        <w:t>lethal</w:t>
      </w:r>
      <w:r>
        <w:rPr>
          <w:spacing w:val="-3"/>
        </w:rPr>
        <w:t> </w:t>
      </w:r>
      <w:r>
        <w:rPr/>
        <w:t>control</w:t>
      </w:r>
      <w:r>
        <w:rPr>
          <w:spacing w:val="-5"/>
        </w:rPr>
        <w:t> </w:t>
      </w:r>
      <w:r>
        <w:rPr/>
        <w:t>methods</w:t>
      </w:r>
      <w:r>
        <w:rPr>
          <w:spacing w:val="-3"/>
        </w:rPr>
        <w:t> </w:t>
      </w:r>
      <w:r>
        <w:rPr/>
        <w:t>rather</w:t>
      </w:r>
      <w:r>
        <w:rPr>
          <w:spacing w:val="-4"/>
        </w:rPr>
        <w:t> </w:t>
      </w:r>
      <w:r>
        <w:rPr/>
        <w:t>than</w:t>
      </w:r>
      <w:r>
        <w:rPr>
          <w:spacing w:val="-3"/>
        </w:rPr>
        <w:t> </w:t>
      </w:r>
      <w:r>
        <w:rPr/>
        <w:t>as</w:t>
      </w:r>
      <w:r>
        <w:rPr>
          <w:spacing w:val="-3"/>
        </w:rPr>
        <w:t> </w:t>
      </w:r>
      <w:r>
        <w:rPr/>
        <w:t>standalone</w:t>
      </w:r>
      <w:r>
        <w:rPr>
          <w:spacing w:val="-4"/>
        </w:rPr>
        <w:t> </w:t>
      </w:r>
      <w:r>
        <w:rPr/>
        <w:t>solutions.</w:t>
      </w:r>
      <w:r>
        <w:rPr>
          <w:spacing w:val="-4"/>
        </w:rPr>
        <w:t> </w:t>
      </w:r>
      <w:r>
        <w:rPr/>
        <w:t>Despite</w:t>
      </w:r>
      <w:r>
        <w:rPr>
          <w:spacing w:val="-2"/>
        </w:rPr>
        <w:t> </w:t>
      </w:r>
      <w:r>
        <w:rPr/>
        <w:t>its</w:t>
      </w:r>
      <w:r>
        <w:rPr>
          <w:spacing w:val="-3"/>
        </w:rPr>
        <w:t> </w:t>
      </w:r>
      <w:r>
        <w:rPr/>
        <w:t>benefits, exclusion fencing is generally a</w:t>
      </w:r>
      <w:r>
        <w:rPr>
          <w:spacing w:val="-1"/>
        </w:rPr>
        <w:t> </w:t>
      </w:r>
      <w:r>
        <w:rPr/>
        <w:t>secondary control method due to its expense, maintenance demands, and reliance on supplementary measures.</w:t>
      </w:r>
    </w:p>
    <w:p>
      <w:pPr>
        <w:pStyle w:val="BodyText"/>
        <w:spacing w:before="119"/>
        <w:ind w:left="312" w:right="156"/>
      </w:pPr>
      <w:r>
        <w:rPr/>
        <w:t>Behavioural modification strategies for pest animals shows mixed results. Deterrents like fladry tape offer</w:t>
      </w:r>
      <w:r>
        <w:rPr/>
        <w:t> brief success, while others, such as air horns and shotgun sounds, are less effective. Emerging approaches, including</w:t>
      </w:r>
      <w:r>
        <w:rPr>
          <w:spacing w:val="-4"/>
        </w:rPr>
        <w:t> </w:t>
      </w:r>
      <w:r>
        <w:rPr/>
        <w:t>conditioned</w:t>
      </w:r>
      <w:r>
        <w:rPr>
          <w:spacing w:val="-2"/>
        </w:rPr>
        <w:t> </w:t>
      </w:r>
      <w:r>
        <w:rPr/>
        <w:t>taste</w:t>
      </w:r>
      <w:r>
        <w:rPr>
          <w:spacing w:val="-2"/>
        </w:rPr>
        <w:t> </w:t>
      </w:r>
      <w:r>
        <w:rPr/>
        <w:t>aversion</w:t>
      </w:r>
      <w:r>
        <w:rPr>
          <w:spacing w:val="-2"/>
        </w:rPr>
        <w:t> </w:t>
      </w:r>
      <w:r>
        <w:rPr/>
        <w:t>and chemical</w:t>
      </w:r>
      <w:r>
        <w:rPr>
          <w:spacing w:val="-2"/>
        </w:rPr>
        <w:t> </w:t>
      </w:r>
      <w:r>
        <w:rPr/>
        <w:t>deterrents</w:t>
      </w:r>
      <w:r>
        <w:rPr>
          <w:spacing w:val="-2"/>
        </w:rPr>
        <w:t> </w:t>
      </w:r>
      <w:r>
        <w:rPr/>
        <w:t>like</w:t>
      </w:r>
      <w:r>
        <w:rPr>
          <w:spacing w:val="-3"/>
        </w:rPr>
        <w:t> </w:t>
      </w:r>
      <w:r>
        <w:rPr/>
        <w:t>synthetic</w:t>
      </w:r>
      <w:r>
        <w:rPr>
          <w:spacing w:val="-2"/>
        </w:rPr>
        <w:t> </w:t>
      </w:r>
      <w:r>
        <w:rPr/>
        <w:t>Dingo</w:t>
      </w:r>
      <w:r>
        <w:rPr>
          <w:spacing w:val="-2"/>
        </w:rPr>
        <w:t> </w:t>
      </w:r>
      <w:r>
        <w:rPr/>
        <w:t>urine,</w:t>
      </w:r>
      <w:r>
        <w:rPr>
          <w:spacing w:val="-2"/>
        </w:rPr>
        <w:t> </w:t>
      </w:r>
      <w:r>
        <w:rPr/>
        <w:t>demonstrate</w:t>
      </w:r>
      <w:r>
        <w:rPr>
          <w:spacing w:val="-4"/>
        </w:rPr>
        <w:t> </w:t>
      </w:r>
      <w:r>
        <w:rPr/>
        <w:t>context- specific</w:t>
      </w:r>
      <w:r>
        <w:rPr>
          <w:spacing w:val="-2"/>
        </w:rPr>
        <w:t> </w:t>
      </w:r>
      <w:r>
        <w:rPr/>
        <w:t>promise.</w:t>
      </w:r>
      <w:r>
        <w:rPr>
          <w:spacing w:val="-3"/>
        </w:rPr>
        <w:t> </w:t>
      </w:r>
      <w:r>
        <w:rPr/>
        <w:t>Given</w:t>
      </w:r>
      <w:r>
        <w:rPr>
          <w:spacing w:val="-1"/>
        </w:rPr>
        <w:t> </w:t>
      </w:r>
      <w:r>
        <w:rPr/>
        <w:t>their</w:t>
      </w:r>
      <w:r>
        <w:rPr>
          <w:spacing w:val="-2"/>
        </w:rPr>
        <w:t> </w:t>
      </w:r>
      <w:r>
        <w:rPr/>
        <w:t>transient</w:t>
      </w:r>
      <w:r>
        <w:rPr>
          <w:spacing w:val="-3"/>
        </w:rPr>
        <w:t> </w:t>
      </w:r>
      <w:r>
        <w:rPr/>
        <w:t>effectiveness,</w:t>
      </w:r>
      <w:r>
        <w:rPr>
          <w:spacing w:val="-3"/>
        </w:rPr>
        <w:t> </w:t>
      </w:r>
      <w:r>
        <w:rPr/>
        <w:t>repellents</w:t>
      </w:r>
      <w:r>
        <w:rPr>
          <w:spacing w:val="-2"/>
        </w:rPr>
        <w:t> </w:t>
      </w:r>
      <w:r>
        <w:rPr/>
        <w:t>are</w:t>
      </w:r>
      <w:r>
        <w:rPr>
          <w:spacing w:val="-3"/>
        </w:rPr>
        <w:t> </w:t>
      </w:r>
      <w:r>
        <w:rPr/>
        <w:t>best</w:t>
      </w:r>
      <w:r>
        <w:rPr>
          <w:spacing w:val="-3"/>
        </w:rPr>
        <w:t> </w:t>
      </w:r>
      <w:r>
        <w:rPr/>
        <w:t>suited</w:t>
      </w:r>
      <w:r>
        <w:rPr>
          <w:spacing w:val="-4"/>
        </w:rPr>
        <w:t> </w:t>
      </w:r>
      <w:r>
        <w:rPr/>
        <w:t>for critical</w:t>
      </w:r>
      <w:r>
        <w:rPr>
          <w:spacing w:val="-4"/>
        </w:rPr>
        <w:t> </w:t>
      </w:r>
      <w:r>
        <w:rPr/>
        <w:t>risk</w:t>
      </w:r>
      <w:r>
        <w:rPr>
          <w:spacing w:val="-2"/>
        </w:rPr>
        <w:t> </w:t>
      </w:r>
      <w:r>
        <w:rPr/>
        <w:t>periods</w:t>
      </w:r>
      <w:r>
        <w:rPr>
          <w:spacing w:val="-2"/>
        </w:rPr>
        <w:t> </w:t>
      </w:r>
      <w:r>
        <w:rPr/>
        <w:t>such</w:t>
      </w:r>
      <w:r>
        <w:rPr>
          <w:spacing w:val="-3"/>
        </w:rPr>
        <w:t> </w:t>
      </w:r>
      <w:r>
        <w:rPr/>
        <w:t>as calving</w:t>
      </w:r>
      <w:r>
        <w:rPr>
          <w:spacing w:val="-2"/>
        </w:rPr>
        <w:t> </w:t>
      </w:r>
      <w:r>
        <w:rPr/>
        <w:t>or</w:t>
      </w:r>
      <w:r>
        <w:rPr>
          <w:spacing w:val="-4"/>
        </w:rPr>
        <w:t> </w:t>
      </w:r>
      <w:r>
        <w:rPr/>
        <w:t>lambing</w:t>
      </w:r>
      <w:r>
        <w:rPr>
          <w:spacing w:val="-3"/>
        </w:rPr>
        <w:t> </w:t>
      </w:r>
      <w:r>
        <w:rPr/>
        <w:t>otherwise</w:t>
      </w:r>
      <w:r>
        <w:rPr>
          <w:spacing w:val="-4"/>
        </w:rPr>
        <w:t> </w:t>
      </w:r>
      <w:r>
        <w:rPr/>
        <w:t>would</w:t>
      </w:r>
      <w:r>
        <w:rPr>
          <w:spacing w:val="-4"/>
        </w:rPr>
        <w:t> </w:t>
      </w:r>
      <w:r>
        <w:rPr/>
        <w:t>require</w:t>
      </w:r>
      <w:r>
        <w:rPr>
          <w:spacing w:val="-4"/>
        </w:rPr>
        <w:t> </w:t>
      </w:r>
      <w:r>
        <w:rPr/>
        <w:t>repeated</w:t>
      </w:r>
      <w:r>
        <w:rPr>
          <w:spacing w:val="-5"/>
        </w:rPr>
        <w:t> </w:t>
      </w:r>
      <w:r>
        <w:rPr/>
        <w:t>applications</w:t>
      </w:r>
      <w:r>
        <w:rPr>
          <w:spacing w:val="-3"/>
        </w:rPr>
        <w:t> </w:t>
      </w:r>
      <w:r>
        <w:rPr/>
        <w:t>to</w:t>
      </w:r>
      <w:r>
        <w:rPr>
          <w:spacing w:val="-2"/>
        </w:rPr>
        <w:t> </w:t>
      </w:r>
      <w:r>
        <w:rPr/>
        <w:t>retain</w:t>
      </w:r>
      <w:r>
        <w:rPr>
          <w:spacing w:val="-2"/>
        </w:rPr>
        <w:t> </w:t>
      </w:r>
      <w:r>
        <w:rPr/>
        <w:t>efficacy</w:t>
      </w:r>
      <w:r>
        <w:rPr>
          <w:spacing w:val="-3"/>
        </w:rPr>
        <w:t> </w:t>
      </w:r>
      <w:r>
        <w:rPr/>
        <w:t>longer-term.</w:t>
      </w:r>
      <w:r>
        <w:rPr>
          <w:spacing w:val="-4"/>
        </w:rPr>
        <w:t> </w:t>
      </w:r>
      <w:r>
        <w:rPr/>
        <w:t>For</w:t>
      </w:r>
      <w:r>
        <w:rPr>
          <w:spacing w:val="-1"/>
        </w:rPr>
        <w:t> </w:t>
      </w:r>
      <w:r>
        <w:rPr/>
        <w:t>predators with large or seasonal ranges, targeted application in high-risk zones may prove more practical than comprehensive exclusion.</w:t>
      </w:r>
    </w:p>
    <w:p>
      <w:pPr>
        <w:pStyle w:val="Heading3"/>
        <w:spacing w:before="141"/>
        <w:ind w:left="312" w:firstLine="0"/>
      </w:pPr>
      <w:bookmarkStart w:name="_TOC_250089" w:id="6"/>
      <w:r>
        <w:rPr/>
        <w:t>Impact</w:t>
      </w:r>
      <w:r>
        <w:rPr>
          <w:spacing w:val="-3"/>
        </w:rPr>
        <w:t> </w:t>
      </w:r>
      <w:r>
        <w:rPr/>
        <w:t>on</w:t>
      </w:r>
      <w:r>
        <w:rPr>
          <w:spacing w:val="-2"/>
        </w:rPr>
        <w:t> </w:t>
      </w:r>
      <w:r>
        <w:rPr/>
        <w:t>non-target</w:t>
      </w:r>
      <w:r>
        <w:rPr>
          <w:spacing w:val="-6"/>
        </w:rPr>
        <w:t> </w:t>
      </w:r>
      <w:r>
        <w:rPr/>
        <w:t>species</w:t>
      </w:r>
      <w:r>
        <w:rPr>
          <w:spacing w:val="-2"/>
        </w:rPr>
        <w:t> </w:t>
      </w:r>
      <w:r>
        <w:rPr/>
        <w:t>of</w:t>
      </w:r>
      <w:r>
        <w:rPr>
          <w:spacing w:val="-3"/>
        </w:rPr>
        <w:t> </w:t>
      </w:r>
      <w:r>
        <w:rPr/>
        <w:t>lethal</w:t>
      </w:r>
      <w:r>
        <w:rPr>
          <w:spacing w:val="-2"/>
        </w:rPr>
        <w:t> </w:t>
      </w:r>
      <w:r>
        <w:rPr/>
        <w:t>control</w:t>
      </w:r>
      <w:bookmarkEnd w:id="6"/>
      <w:r>
        <w:rPr>
          <w:spacing w:val="-2"/>
        </w:rPr>
        <w:t> methods</w:t>
      </w:r>
    </w:p>
    <w:p>
      <w:pPr>
        <w:pStyle w:val="BodyText"/>
        <w:spacing w:before="57"/>
        <w:ind w:left="312" w:right="206"/>
      </w:pPr>
      <w:r>
        <w:rPr/>
        <w:t>Research on the direct impacts of 1080, PAPP, sodium nitrite, and pindone on non-target species is limited, this is particularly true for rabbit control operations using pindone. While trials suggest that non-target species frequently consume rabbit baits, population-level effects on common birds and mammals appear minimal, though risks to specific non-target species remain a concern. Advances in bait design for feral pig control, such as PIGOUT (1080) and HOGGONE (sodium nitrite) formulations, alongside HogHopper™ bait dispensers,</w:t>
      </w:r>
      <w:r>
        <w:rPr>
          <w:spacing w:val="-4"/>
        </w:rPr>
        <w:t> </w:t>
      </w:r>
      <w:r>
        <w:rPr/>
        <w:t>have</w:t>
      </w:r>
      <w:r>
        <w:rPr>
          <w:spacing w:val="-4"/>
        </w:rPr>
        <w:t> </w:t>
      </w:r>
      <w:r>
        <w:rPr/>
        <w:t>reduced non-target</w:t>
      </w:r>
      <w:r>
        <w:rPr>
          <w:spacing w:val="-4"/>
        </w:rPr>
        <w:t> </w:t>
      </w:r>
      <w:r>
        <w:rPr/>
        <w:t>consumption,</w:t>
      </w:r>
      <w:r>
        <w:rPr>
          <w:spacing w:val="-4"/>
        </w:rPr>
        <w:t> </w:t>
      </w:r>
      <w:r>
        <w:rPr/>
        <w:t>though</w:t>
      </w:r>
      <w:r>
        <w:rPr>
          <w:spacing w:val="-2"/>
        </w:rPr>
        <w:t> </w:t>
      </w:r>
      <w:r>
        <w:rPr/>
        <w:t>minor</w:t>
      </w:r>
      <w:r>
        <w:rPr>
          <w:spacing w:val="-1"/>
        </w:rPr>
        <w:t> </w:t>
      </w:r>
      <w:r>
        <w:rPr/>
        <w:t>mortalities</w:t>
      </w:r>
      <w:r>
        <w:rPr>
          <w:spacing w:val="-3"/>
        </w:rPr>
        <w:t> </w:t>
      </w:r>
      <w:r>
        <w:rPr/>
        <w:t>still</w:t>
      </w:r>
      <w:r>
        <w:rPr>
          <w:spacing w:val="-1"/>
        </w:rPr>
        <w:t> </w:t>
      </w:r>
      <w:r>
        <w:rPr/>
        <w:t>occur.</w:t>
      </w:r>
      <w:r>
        <w:rPr>
          <w:spacing w:val="-4"/>
        </w:rPr>
        <w:t> </w:t>
      </w:r>
      <w:r>
        <w:rPr/>
        <w:t>For the</w:t>
      </w:r>
      <w:r>
        <w:rPr>
          <w:spacing w:val="-4"/>
        </w:rPr>
        <w:t> </w:t>
      </w:r>
      <w:r>
        <w:rPr/>
        <w:t>Red</w:t>
      </w:r>
      <w:r>
        <w:rPr>
          <w:spacing w:val="-5"/>
        </w:rPr>
        <w:t> </w:t>
      </w:r>
      <w:r>
        <w:rPr/>
        <w:t>Fox,</w:t>
      </w:r>
      <w:r>
        <w:rPr>
          <w:spacing w:val="-3"/>
        </w:rPr>
        <w:t> </w:t>
      </w:r>
      <w:r>
        <w:rPr/>
        <w:t>and the control of Dingoes and Wild Dogs, 1080 and PAPP present different levels of risk to native reptiles, marsupial carnivores, and some bird species, though burying baits has proven effective in reducing exposure. In some instances, PAPP presents a higher non-target risk than 1080, for example for the Spotted-tail</w:t>
      </w:r>
      <w:r>
        <w:rPr>
          <w:spacing w:val="-5"/>
        </w:rPr>
        <w:t> </w:t>
      </w:r>
      <w:r>
        <w:rPr/>
        <w:t>Quoll.</w:t>
      </w:r>
      <w:r>
        <w:rPr>
          <w:spacing w:val="-1"/>
        </w:rPr>
        <w:t> </w:t>
      </w:r>
      <w:r>
        <w:rPr/>
        <w:t>Notably,</w:t>
      </w:r>
      <w:r>
        <w:rPr>
          <w:spacing w:val="-4"/>
        </w:rPr>
        <w:t> </w:t>
      </w:r>
      <w:r>
        <w:rPr/>
        <w:t>1080-based</w:t>
      </w:r>
      <w:r>
        <w:rPr>
          <w:spacing w:val="-3"/>
        </w:rPr>
        <w:t> </w:t>
      </w:r>
      <w:r>
        <w:rPr/>
        <w:t>predator</w:t>
      </w:r>
      <w:r>
        <w:rPr>
          <w:spacing w:val="-3"/>
        </w:rPr>
        <w:t> </w:t>
      </w:r>
      <w:r>
        <w:rPr/>
        <w:t>control</w:t>
      </w:r>
      <w:r>
        <w:rPr>
          <w:spacing w:val="-5"/>
        </w:rPr>
        <w:t> </w:t>
      </w:r>
      <w:r>
        <w:rPr/>
        <w:t>has</w:t>
      </w:r>
      <w:r>
        <w:rPr>
          <w:spacing w:val="-3"/>
        </w:rPr>
        <w:t> </w:t>
      </w:r>
      <w:r>
        <w:rPr/>
        <w:t>improved</w:t>
      </w:r>
      <w:r>
        <w:rPr>
          <w:spacing w:val="-3"/>
        </w:rPr>
        <w:t> </w:t>
      </w:r>
      <w:r>
        <w:rPr/>
        <w:t>prey</w:t>
      </w:r>
      <w:r>
        <w:rPr>
          <w:spacing w:val="-2"/>
        </w:rPr>
        <w:t> </w:t>
      </w:r>
      <w:r>
        <w:rPr/>
        <w:t>species</w:t>
      </w:r>
      <w:r>
        <w:rPr>
          <w:spacing w:val="-3"/>
        </w:rPr>
        <w:t> </w:t>
      </w:r>
      <w:r>
        <w:rPr/>
        <w:t>populations,</w:t>
      </w:r>
      <w:r>
        <w:rPr>
          <w:spacing w:val="-4"/>
        </w:rPr>
        <w:t> </w:t>
      </w:r>
      <w:r>
        <w:rPr/>
        <w:t>highlighting its role in biodiversity conservation. The large-scale ecological impacts of PAPP remain underexplored due</w:t>
      </w:r>
      <w:r>
        <w:rPr/>
        <w:t> to its limited deployment.</w:t>
      </w:r>
    </w:p>
    <w:p>
      <w:pPr>
        <w:pStyle w:val="BodyText"/>
        <w:spacing w:before="120"/>
        <w:ind w:left="312" w:right="163"/>
      </w:pPr>
      <w:r>
        <w:rPr/>
        <w:t>Secondary poisoning risks vary by toxin and environmental factors. While 1080 presents risks to sensitive carnivores,</w:t>
      </w:r>
      <w:r>
        <w:rPr>
          <w:spacing w:val="-4"/>
        </w:rPr>
        <w:t> </w:t>
      </w:r>
      <w:r>
        <w:rPr/>
        <w:t>sodium</w:t>
      </w:r>
      <w:r>
        <w:rPr>
          <w:spacing w:val="-2"/>
        </w:rPr>
        <w:t> </w:t>
      </w:r>
      <w:r>
        <w:rPr/>
        <w:t>nitrite</w:t>
      </w:r>
      <w:r>
        <w:rPr>
          <w:spacing w:val="-2"/>
        </w:rPr>
        <w:t> </w:t>
      </w:r>
      <w:r>
        <w:rPr/>
        <w:t>poses</w:t>
      </w:r>
      <w:r>
        <w:rPr>
          <w:spacing w:val="-3"/>
        </w:rPr>
        <w:t> </w:t>
      </w:r>
      <w:r>
        <w:rPr/>
        <w:t>minimal</w:t>
      </w:r>
      <w:r>
        <w:rPr>
          <w:spacing w:val="-5"/>
        </w:rPr>
        <w:t> </w:t>
      </w:r>
      <w:r>
        <w:rPr/>
        <w:t>secondary</w:t>
      </w:r>
      <w:r>
        <w:rPr>
          <w:spacing w:val="-2"/>
        </w:rPr>
        <w:t> </w:t>
      </w:r>
      <w:r>
        <w:rPr/>
        <w:t>poisoning</w:t>
      </w:r>
      <w:r>
        <w:rPr>
          <w:spacing w:val="-5"/>
        </w:rPr>
        <w:t> </w:t>
      </w:r>
      <w:r>
        <w:rPr/>
        <w:t>risk</w:t>
      </w:r>
      <w:r>
        <w:rPr>
          <w:spacing w:val="-3"/>
        </w:rPr>
        <w:t> </w:t>
      </w:r>
      <w:r>
        <w:rPr/>
        <w:t>due</w:t>
      </w:r>
      <w:r>
        <w:rPr>
          <w:spacing w:val="-4"/>
        </w:rPr>
        <w:t> </w:t>
      </w:r>
      <w:r>
        <w:rPr/>
        <w:t>to</w:t>
      </w:r>
      <w:r>
        <w:rPr>
          <w:spacing w:val="-4"/>
        </w:rPr>
        <w:t> </w:t>
      </w:r>
      <w:r>
        <w:rPr/>
        <w:t>its</w:t>
      </w:r>
      <w:r>
        <w:rPr>
          <w:spacing w:val="-3"/>
        </w:rPr>
        <w:t> </w:t>
      </w:r>
      <w:r>
        <w:rPr/>
        <w:t>rapid</w:t>
      </w:r>
      <w:r>
        <w:rPr>
          <w:spacing w:val="-2"/>
        </w:rPr>
        <w:t> </w:t>
      </w:r>
      <w:r>
        <w:rPr/>
        <w:t>degradation</w:t>
      </w:r>
      <w:r>
        <w:rPr>
          <w:spacing w:val="-3"/>
        </w:rPr>
        <w:t> </w:t>
      </w:r>
      <w:r>
        <w:rPr/>
        <w:t>and</w:t>
      </w:r>
      <w:r>
        <w:rPr>
          <w:spacing w:val="-2"/>
        </w:rPr>
        <w:t> </w:t>
      </w:r>
      <w:r>
        <w:rPr/>
        <w:t>reduced</w:t>
      </w:r>
    </w:p>
    <w:p>
      <w:pPr>
        <w:spacing w:after="0"/>
        <w:sectPr>
          <w:pgSz w:w="11910" w:h="16850"/>
          <w:pgMar w:header="0" w:footer="688" w:top="1060" w:bottom="880" w:left="820" w:right="980"/>
        </w:sectPr>
      </w:pPr>
    </w:p>
    <w:p>
      <w:pPr>
        <w:pStyle w:val="BodyText"/>
        <w:spacing w:before="71"/>
        <w:ind w:left="312" w:right="247"/>
      </w:pPr>
      <w:r>
        <w:rPr/>
        <w:t>vomiting</w:t>
      </w:r>
      <w:r>
        <w:rPr>
          <w:spacing w:val="-3"/>
        </w:rPr>
        <w:t> </w:t>
      </w:r>
      <w:r>
        <w:rPr/>
        <w:t>in</w:t>
      </w:r>
      <w:r>
        <w:rPr>
          <w:spacing w:val="-2"/>
        </w:rPr>
        <w:t> </w:t>
      </w:r>
      <w:r>
        <w:rPr/>
        <w:t>poisoned</w:t>
      </w:r>
      <w:r>
        <w:rPr>
          <w:spacing w:val="-4"/>
        </w:rPr>
        <w:t> </w:t>
      </w:r>
      <w:r>
        <w:rPr/>
        <w:t>pigs.</w:t>
      </w:r>
      <w:r>
        <w:rPr>
          <w:spacing w:val="-2"/>
        </w:rPr>
        <w:t> </w:t>
      </w:r>
      <w:r>
        <w:rPr/>
        <w:t>Limited</w:t>
      </w:r>
      <w:r>
        <w:rPr>
          <w:spacing w:val="-4"/>
        </w:rPr>
        <w:t> </w:t>
      </w:r>
      <w:r>
        <w:rPr/>
        <w:t>data</w:t>
      </w:r>
      <w:r>
        <w:rPr>
          <w:spacing w:val="-3"/>
        </w:rPr>
        <w:t> </w:t>
      </w:r>
      <w:r>
        <w:rPr/>
        <w:t>on</w:t>
      </w:r>
      <w:r>
        <w:rPr>
          <w:spacing w:val="-5"/>
        </w:rPr>
        <w:t> </w:t>
      </w:r>
      <w:r>
        <w:rPr/>
        <w:t>pindone’s</w:t>
      </w:r>
      <w:r>
        <w:rPr>
          <w:spacing w:val="-3"/>
        </w:rPr>
        <w:t> </w:t>
      </w:r>
      <w:r>
        <w:rPr/>
        <w:t>non-target</w:t>
      </w:r>
      <w:r>
        <w:rPr>
          <w:spacing w:val="-4"/>
        </w:rPr>
        <w:t> </w:t>
      </w:r>
      <w:r>
        <w:rPr/>
        <w:t>impacts</w:t>
      </w:r>
      <w:r>
        <w:rPr>
          <w:spacing w:val="-1"/>
        </w:rPr>
        <w:t> </w:t>
      </w:r>
      <w:r>
        <w:rPr/>
        <w:t>indicate</w:t>
      </w:r>
      <w:r>
        <w:rPr>
          <w:spacing w:val="-3"/>
        </w:rPr>
        <w:t> </w:t>
      </w:r>
      <w:r>
        <w:rPr/>
        <w:t>a</w:t>
      </w:r>
      <w:r>
        <w:rPr>
          <w:spacing w:val="-4"/>
        </w:rPr>
        <w:t> </w:t>
      </w:r>
      <w:r>
        <w:rPr/>
        <w:t>need</w:t>
      </w:r>
      <w:r>
        <w:rPr>
          <w:spacing w:val="-5"/>
        </w:rPr>
        <w:t> </w:t>
      </w:r>
      <w:r>
        <w:rPr/>
        <w:t>for</w:t>
      </w:r>
      <w:r>
        <w:rPr>
          <w:spacing w:val="-4"/>
        </w:rPr>
        <w:t> </w:t>
      </w:r>
      <w:r>
        <w:rPr/>
        <w:t>further </w:t>
      </w:r>
      <w:r>
        <w:rPr>
          <w:spacing w:val="-2"/>
        </w:rPr>
        <w:t>investigation.</w:t>
      </w:r>
    </w:p>
    <w:p>
      <w:pPr>
        <w:pStyle w:val="BodyText"/>
        <w:spacing w:before="122"/>
        <w:ind w:left="312" w:right="224"/>
      </w:pPr>
      <w:r>
        <w:rPr/>
        <w:t>Livestock guardian animals (LGAs), particularly LGDs, occasionally harm predators, non-target wildlife, and even livestock, raising welfare concerns. Llamas and donkeys have also been observed to injure or kill predators.</w:t>
      </w:r>
      <w:r>
        <w:rPr>
          <w:spacing w:val="-5"/>
        </w:rPr>
        <w:t> </w:t>
      </w:r>
      <w:r>
        <w:rPr/>
        <w:t>LGDs</w:t>
      </w:r>
      <w:r>
        <w:rPr>
          <w:spacing w:val="-3"/>
        </w:rPr>
        <w:t> </w:t>
      </w:r>
      <w:r>
        <w:rPr/>
        <w:t>can</w:t>
      </w:r>
      <w:r>
        <w:rPr>
          <w:spacing w:val="-4"/>
        </w:rPr>
        <w:t> </w:t>
      </w:r>
      <w:r>
        <w:rPr/>
        <w:t>influence</w:t>
      </w:r>
      <w:r>
        <w:rPr>
          <w:spacing w:val="-5"/>
        </w:rPr>
        <w:t> </w:t>
      </w:r>
      <w:r>
        <w:rPr/>
        <w:t>wildlife</w:t>
      </w:r>
      <w:r>
        <w:rPr>
          <w:spacing w:val="-5"/>
        </w:rPr>
        <w:t> </w:t>
      </w:r>
      <w:r>
        <w:rPr/>
        <w:t>behaviour,</w:t>
      </w:r>
      <w:r>
        <w:rPr>
          <w:spacing w:val="-5"/>
        </w:rPr>
        <w:t> </w:t>
      </w:r>
      <w:r>
        <w:rPr/>
        <w:t>with</w:t>
      </w:r>
      <w:r>
        <w:rPr>
          <w:spacing w:val="-3"/>
        </w:rPr>
        <w:t> </w:t>
      </w:r>
      <w:r>
        <w:rPr/>
        <w:t>herbivores</w:t>
      </w:r>
      <w:r>
        <w:rPr>
          <w:spacing w:val="-1"/>
        </w:rPr>
        <w:t> </w:t>
      </w:r>
      <w:r>
        <w:rPr/>
        <w:t>like</w:t>
      </w:r>
      <w:r>
        <w:rPr>
          <w:spacing w:val="-3"/>
        </w:rPr>
        <w:t> </w:t>
      </w:r>
      <w:r>
        <w:rPr/>
        <w:t>grey</w:t>
      </w:r>
      <w:r>
        <w:rPr>
          <w:spacing w:val="-3"/>
        </w:rPr>
        <w:t> </w:t>
      </w:r>
      <w:r>
        <w:rPr/>
        <w:t>kangaroos</w:t>
      </w:r>
      <w:r>
        <w:rPr>
          <w:spacing w:val="-4"/>
        </w:rPr>
        <w:t> </w:t>
      </w:r>
      <w:r>
        <w:rPr/>
        <w:t>and</w:t>
      </w:r>
      <w:r>
        <w:rPr>
          <w:spacing w:val="-5"/>
        </w:rPr>
        <w:t> </w:t>
      </w:r>
      <w:r>
        <w:rPr/>
        <w:t>Swamp</w:t>
      </w:r>
      <w:r>
        <w:rPr>
          <w:spacing w:val="-5"/>
        </w:rPr>
        <w:t> </w:t>
      </w:r>
      <w:r>
        <w:rPr/>
        <w:t>Wallabies avoiding LGD-occupied areas. However, LGDs themselves face risks from predator encounters, complicating their deployment and necessitating careful evaluation of ecological and ethical trade-offs.</w:t>
      </w:r>
    </w:p>
    <w:p>
      <w:pPr>
        <w:pStyle w:val="BodyText"/>
        <w:spacing w:before="119"/>
        <w:ind w:left="312" w:right="163"/>
      </w:pPr>
      <w:r>
        <w:rPr/>
        <w:t>Shooting is generally target-specific but carries risks to non-target species, including livestock, and raises welfare</w:t>
      </w:r>
      <w:r>
        <w:rPr>
          <w:spacing w:val="-4"/>
        </w:rPr>
        <w:t> </w:t>
      </w:r>
      <w:r>
        <w:rPr/>
        <w:t>concerns if</w:t>
      </w:r>
      <w:r>
        <w:rPr>
          <w:spacing w:val="-4"/>
        </w:rPr>
        <w:t> </w:t>
      </w:r>
      <w:r>
        <w:rPr/>
        <w:t>dependent</w:t>
      </w:r>
      <w:r>
        <w:rPr>
          <w:spacing w:val="-4"/>
        </w:rPr>
        <w:t> </w:t>
      </w:r>
      <w:r>
        <w:rPr/>
        <w:t>young</w:t>
      </w:r>
      <w:r>
        <w:rPr>
          <w:spacing w:val="-3"/>
        </w:rPr>
        <w:t> </w:t>
      </w:r>
      <w:r>
        <w:rPr/>
        <w:t>are</w:t>
      </w:r>
      <w:r>
        <w:rPr>
          <w:spacing w:val="-4"/>
        </w:rPr>
        <w:t> </w:t>
      </w:r>
      <w:r>
        <w:rPr/>
        <w:t>present.</w:t>
      </w:r>
      <w:r>
        <w:rPr>
          <w:spacing w:val="-4"/>
        </w:rPr>
        <w:t> </w:t>
      </w:r>
      <w:r>
        <w:rPr/>
        <w:t>Lead-based</w:t>
      </w:r>
      <w:r>
        <w:rPr>
          <w:spacing w:val="-3"/>
        </w:rPr>
        <w:t> </w:t>
      </w:r>
      <w:r>
        <w:rPr/>
        <w:t>ammunition</w:t>
      </w:r>
      <w:r>
        <w:rPr>
          <w:spacing w:val="-3"/>
        </w:rPr>
        <w:t> </w:t>
      </w:r>
      <w:r>
        <w:rPr/>
        <w:t>poses</w:t>
      </w:r>
      <w:r>
        <w:rPr>
          <w:spacing w:val="-1"/>
        </w:rPr>
        <w:t> </w:t>
      </w:r>
      <w:r>
        <w:rPr/>
        <w:t>an</w:t>
      </w:r>
      <w:r>
        <w:rPr>
          <w:spacing w:val="-5"/>
        </w:rPr>
        <w:t> </w:t>
      </w:r>
      <w:r>
        <w:rPr/>
        <w:t>additional</w:t>
      </w:r>
      <w:r>
        <w:rPr>
          <w:spacing w:val="-5"/>
        </w:rPr>
        <w:t> </w:t>
      </w:r>
      <w:r>
        <w:rPr/>
        <w:t>risk</w:t>
      </w:r>
      <w:r>
        <w:rPr>
          <w:spacing w:val="-3"/>
        </w:rPr>
        <w:t> </w:t>
      </w:r>
      <w:r>
        <w:rPr/>
        <w:t>through fragment ingestion in carcasses.</w:t>
      </w:r>
    </w:p>
    <w:p>
      <w:pPr>
        <w:pStyle w:val="BodyText"/>
        <w:spacing w:before="121"/>
        <w:ind w:left="312" w:right="232"/>
      </w:pPr>
      <w:r>
        <w:rPr/>
        <w:t>The</w:t>
      </w:r>
      <w:r>
        <w:rPr>
          <w:spacing w:val="-5"/>
        </w:rPr>
        <w:t> </w:t>
      </w:r>
      <w:r>
        <w:rPr/>
        <w:t>impact</w:t>
      </w:r>
      <w:r>
        <w:rPr>
          <w:spacing w:val="-2"/>
        </w:rPr>
        <w:t> </w:t>
      </w:r>
      <w:r>
        <w:rPr/>
        <w:t>of</w:t>
      </w:r>
      <w:r>
        <w:rPr>
          <w:spacing w:val="-4"/>
        </w:rPr>
        <w:t> </w:t>
      </w:r>
      <w:r>
        <w:rPr/>
        <w:t>den</w:t>
      </w:r>
      <w:r>
        <w:rPr>
          <w:spacing w:val="-3"/>
        </w:rPr>
        <w:t> </w:t>
      </w:r>
      <w:r>
        <w:rPr/>
        <w:t>and</w:t>
      </w:r>
      <w:r>
        <w:rPr>
          <w:spacing w:val="-2"/>
        </w:rPr>
        <w:t> </w:t>
      </w:r>
      <w:r>
        <w:rPr/>
        <w:t>warren</w:t>
      </w:r>
      <w:r>
        <w:rPr>
          <w:spacing w:val="-5"/>
        </w:rPr>
        <w:t> </w:t>
      </w:r>
      <w:r>
        <w:rPr/>
        <w:t>fumigation</w:t>
      </w:r>
      <w:r>
        <w:rPr>
          <w:spacing w:val="-2"/>
        </w:rPr>
        <w:t> </w:t>
      </w:r>
      <w:r>
        <w:rPr/>
        <w:t>on</w:t>
      </w:r>
      <w:r>
        <w:rPr>
          <w:spacing w:val="-3"/>
        </w:rPr>
        <w:t> </w:t>
      </w:r>
      <w:r>
        <w:rPr/>
        <w:t>non-target</w:t>
      </w:r>
      <w:r>
        <w:rPr>
          <w:spacing w:val="-2"/>
        </w:rPr>
        <w:t> </w:t>
      </w:r>
      <w:r>
        <w:rPr/>
        <w:t>species</w:t>
      </w:r>
      <w:r>
        <w:rPr>
          <w:spacing w:val="-3"/>
        </w:rPr>
        <w:t> </w:t>
      </w:r>
      <w:r>
        <w:rPr/>
        <w:t>is</w:t>
      </w:r>
      <w:r>
        <w:rPr>
          <w:spacing w:val="-1"/>
        </w:rPr>
        <w:t> </w:t>
      </w:r>
      <w:r>
        <w:rPr/>
        <w:t>poorly</w:t>
      </w:r>
      <w:r>
        <w:rPr>
          <w:spacing w:val="-3"/>
        </w:rPr>
        <w:t> </w:t>
      </w:r>
      <w:r>
        <w:rPr/>
        <w:t>studied</w:t>
      </w:r>
      <w:r>
        <w:rPr>
          <w:spacing w:val="-3"/>
        </w:rPr>
        <w:t> </w:t>
      </w:r>
      <w:r>
        <w:rPr/>
        <w:t>in</w:t>
      </w:r>
      <w:r>
        <w:rPr>
          <w:spacing w:val="-2"/>
        </w:rPr>
        <w:t> </w:t>
      </w:r>
      <w:r>
        <w:rPr/>
        <w:t>Australia.</w:t>
      </w:r>
      <w:r>
        <w:rPr>
          <w:spacing w:val="-4"/>
        </w:rPr>
        <w:t> </w:t>
      </w:r>
      <w:r>
        <w:rPr/>
        <w:t>When</w:t>
      </w:r>
      <w:r>
        <w:rPr>
          <w:spacing w:val="-2"/>
        </w:rPr>
        <w:t> </w:t>
      </w:r>
      <w:r>
        <w:rPr/>
        <w:t>applied correctly,</w:t>
      </w:r>
      <w:r>
        <w:rPr>
          <w:spacing w:val="-3"/>
        </w:rPr>
        <w:t> </w:t>
      </w:r>
      <w:r>
        <w:rPr/>
        <w:t>den</w:t>
      </w:r>
      <w:r>
        <w:rPr>
          <w:spacing w:val="-2"/>
        </w:rPr>
        <w:t> </w:t>
      </w:r>
      <w:r>
        <w:rPr/>
        <w:t>fumigation</w:t>
      </w:r>
      <w:r>
        <w:rPr>
          <w:spacing w:val="-4"/>
        </w:rPr>
        <w:t> </w:t>
      </w:r>
      <w:r>
        <w:rPr/>
        <w:t>appears</w:t>
      </w:r>
      <w:r>
        <w:rPr>
          <w:spacing w:val="-2"/>
        </w:rPr>
        <w:t> </w:t>
      </w:r>
      <w:r>
        <w:rPr/>
        <w:t>target-specific,</w:t>
      </w:r>
      <w:r>
        <w:rPr>
          <w:spacing w:val="-3"/>
        </w:rPr>
        <w:t> </w:t>
      </w:r>
      <w:r>
        <w:rPr/>
        <w:t>with</w:t>
      </w:r>
      <w:r>
        <w:rPr>
          <w:spacing w:val="-1"/>
        </w:rPr>
        <w:t> </w:t>
      </w:r>
      <w:r>
        <w:rPr/>
        <w:t>minimal</w:t>
      </w:r>
      <w:r>
        <w:rPr>
          <w:spacing w:val="-4"/>
        </w:rPr>
        <w:t> </w:t>
      </w:r>
      <w:r>
        <w:rPr/>
        <w:t>secondary</w:t>
      </w:r>
      <w:r>
        <w:rPr>
          <w:spacing w:val="-1"/>
        </w:rPr>
        <w:t> </w:t>
      </w:r>
      <w:r>
        <w:rPr/>
        <w:t>poisoning</w:t>
      </w:r>
      <w:r>
        <w:rPr>
          <w:spacing w:val="-4"/>
        </w:rPr>
        <w:t> </w:t>
      </w:r>
      <w:r>
        <w:rPr/>
        <w:t>risks.</w:t>
      </w:r>
      <w:r>
        <w:rPr>
          <w:spacing w:val="-3"/>
        </w:rPr>
        <w:t> </w:t>
      </w:r>
      <w:r>
        <w:rPr/>
        <w:t>However,</w:t>
      </w:r>
      <w:r>
        <w:rPr>
          <w:spacing w:val="-3"/>
        </w:rPr>
        <w:t> </w:t>
      </w:r>
      <w:r>
        <w:rPr/>
        <w:t>caution is advised where non-target species such as wombats, Dingoes, lizards, or snakes may occupy dens or </w:t>
      </w:r>
      <w:r>
        <w:rPr>
          <w:spacing w:val="-2"/>
        </w:rPr>
        <w:t>warrens.</w:t>
      </w:r>
    </w:p>
    <w:p>
      <w:pPr>
        <w:pStyle w:val="BodyText"/>
        <w:spacing w:before="120"/>
        <w:ind w:left="312" w:right="247"/>
      </w:pPr>
      <w:r>
        <w:rPr/>
        <w:t>As</w:t>
      </w:r>
      <w:r>
        <w:rPr>
          <w:spacing w:val="-3"/>
        </w:rPr>
        <w:t> </w:t>
      </w:r>
      <w:r>
        <w:rPr/>
        <w:t>a</w:t>
      </w:r>
      <w:r>
        <w:rPr>
          <w:spacing w:val="-5"/>
        </w:rPr>
        <w:t> </w:t>
      </w:r>
      <w:r>
        <w:rPr/>
        <w:t>relatively</w:t>
      </w:r>
      <w:r>
        <w:rPr>
          <w:spacing w:val="-3"/>
        </w:rPr>
        <w:t> </w:t>
      </w:r>
      <w:r>
        <w:rPr/>
        <w:t>new</w:t>
      </w:r>
      <w:r>
        <w:rPr>
          <w:spacing w:val="-4"/>
        </w:rPr>
        <w:t> </w:t>
      </w:r>
      <w:r>
        <w:rPr/>
        <w:t>control</w:t>
      </w:r>
      <w:r>
        <w:rPr>
          <w:spacing w:val="-3"/>
        </w:rPr>
        <w:t> </w:t>
      </w:r>
      <w:r>
        <w:rPr/>
        <w:t>method,</w:t>
      </w:r>
      <w:r>
        <w:rPr>
          <w:spacing w:val="-4"/>
        </w:rPr>
        <w:t> </w:t>
      </w:r>
      <w:r>
        <w:rPr/>
        <w:t>research</w:t>
      </w:r>
      <w:r>
        <w:rPr>
          <w:spacing w:val="-4"/>
        </w:rPr>
        <w:t> </w:t>
      </w:r>
      <w:r>
        <w:rPr/>
        <w:t>on</w:t>
      </w:r>
      <w:r>
        <w:rPr>
          <w:spacing w:val="-2"/>
        </w:rPr>
        <w:t> </w:t>
      </w:r>
      <w:r>
        <w:rPr/>
        <w:t>Canid</w:t>
      </w:r>
      <w:r>
        <w:rPr>
          <w:spacing w:val="-2"/>
        </w:rPr>
        <w:t> </w:t>
      </w:r>
      <w:r>
        <w:rPr/>
        <w:t>Pest</w:t>
      </w:r>
      <w:r>
        <w:rPr>
          <w:spacing w:val="-2"/>
        </w:rPr>
        <w:t> </w:t>
      </w:r>
      <w:r>
        <w:rPr/>
        <w:t>Ejectors</w:t>
      </w:r>
      <w:r>
        <w:rPr>
          <w:spacing w:val="-2"/>
        </w:rPr>
        <w:t> </w:t>
      </w:r>
      <w:r>
        <w:rPr/>
        <w:t>(CPEs)</w:t>
      </w:r>
      <w:r>
        <w:rPr>
          <w:spacing w:val="-3"/>
        </w:rPr>
        <w:t> </w:t>
      </w:r>
      <w:r>
        <w:rPr/>
        <w:t>and</w:t>
      </w:r>
      <w:r>
        <w:rPr>
          <w:spacing w:val="-5"/>
        </w:rPr>
        <w:t> </w:t>
      </w:r>
      <w:r>
        <w:rPr/>
        <w:t>their</w:t>
      </w:r>
      <w:r>
        <w:rPr>
          <w:spacing w:val="-3"/>
        </w:rPr>
        <w:t> </w:t>
      </w:r>
      <w:r>
        <w:rPr/>
        <w:t>non-target</w:t>
      </w:r>
      <w:r>
        <w:rPr>
          <w:spacing w:val="-2"/>
        </w:rPr>
        <w:t> </w:t>
      </w:r>
      <w:r>
        <w:rPr/>
        <w:t>impacts</w:t>
      </w:r>
      <w:r>
        <w:rPr>
          <w:spacing w:val="-1"/>
        </w:rPr>
        <w:t> </w:t>
      </w:r>
      <w:r>
        <w:rPr/>
        <w:t>in field settings is limited. Efforts to improve CPE specificity, such as collar designs that exclude Dingoes and Wild Dogs while allowing fox access, show promise in reducing non-target risks.</w:t>
      </w:r>
    </w:p>
    <w:p>
      <w:pPr>
        <w:pStyle w:val="Heading3"/>
        <w:spacing w:before="142"/>
        <w:ind w:left="312" w:firstLine="0"/>
      </w:pPr>
      <w:bookmarkStart w:name="_TOC_250088" w:id="7"/>
      <w:r>
        <w:rPr/>
        <w:t>Social</w:t>
      </w:r>
      <w:r>
        <w:rPr>
          <w:spacing w:val="-4"/>
        </w:rPr>
        <w:t> </w:t>
      </w:r>
      <w:r>
        <w:rPr/>
        <w:t>and</w:t>
      </w:r>
      <w:r>
        <w:rPr>
          <w:spacing w:val="-2"/>
        </w:rPr>
        <w:t> </w:t>
      </w:r>
      <w:r>
        <w:rPr/>
        <w:t>cultural</w:t>
      </w:r>
      <w:r>
        <w:rPr>
          <w:spacing w:val="-1"/>
        </w:rPr>
        <w:t> </w:t>
      </w:r>
      <w:bookmarkEnd w:id="7"/>
      <w:r>
        <w:rPr>
          <w:spacing w:val="-2"/>
        </w:rPr>
        <w:t>considerations</w:t>
      </w:r>
    </w:p>
    <w:p>
      <w:pPr>
        <w:pStyle w:val="BodyText"/>
        <w:spacing w:before="54"/>
        <w:ind w:left="312" w:right="247"/>
      </w:pPr>
      <w:r>
        <w:rPr/>
        <w:t>The social and cultural aspects of pest control are distinct yet interconnected with concerns about humaneness,</w:t>
      </w:r>
      <w:r>
        <w:rPr>
          <w:spacing w:val="-4"/>
        </w:rPr>
        <w:t> </w:t>
      </w:r>
      <w:r>
        <w:rPr/>
        <w:t>animal</w:t>
      </w:r>
      <w:r>
        <w:rPr>
          <w:spacing w:val="-5"/>
        </w:rPr>
        <w:t> </w:t>
      </w:r>
      <w:r>
        <w:rPr/>
        <w:t>welfare,</w:t>
      </w:r>
      <w:r>
        <w:rPr>
          <w:spacing w:val="-4"/>
        </w:rPr>
        <w:t> </w:t>
      </w:r>
      <w:r>
        <w:rPr/>
        <w:t>non-target</w:t>
      </w:r>
      <w:r>
        <w:rPr>
          <w:spacing w:val="-4"/>
        </w:rPr>
        <w:t> </w:t>
      </w:r>
      <w:r>
        <w:rPr/>
        <w:t>effects</w:t>
      </w:r>
      <w:r>
        <w:rPr>
          <w:spacing w:val="-3"/>
        </w:rPr>
        <w:t> </w:t>
      </w:r>
      <w:r>
        <w:rPr/>
        <w:t>and</w:t>
      </w:r>
      <w:r>
        <w:rPr>
          <w:spacing w:val="-2"/>
        </w:rPr>
        <w:t> </w:t>
      </w:r>
      <w:r>
        <w:rPr/>
        <w:t>environmental</w:t>
      </w:r>
      <w:r>
        <w:rPr>
          <w:spacing w:val="-5"/>
        </w:rPr>
        <w:t> </w:t>
      </w:r>
      <w:r>
        <w:rPr/>
        <w:t>impacts.</w:t>
      </w:r>
      <w:r>
        <w:rPr>
          <w:spacing w:val="-4"/>
        </w:rPr>
        <w:t> </w:t>
      </w:r>
      <w:r>
        <w:rPr/>
        <w:t>Research</w:t>
      </w:r>
      <w:r>
        <w:rPr>
          <w:spacing w:val="-4"/>
        </w:rPr>
        <w:t> </w:t>
      </w:r>
      <w:r>
        <w:rPr/>
        <w:t>on</w:t>
      </w:r>
      <w:r>
        <w:rPr>
          <w:spacing w:val="-4"/>
        </w:rPr>
        <w:t> </w:t>
      </w:r>
      <w:r>
        <w:rPr/>
        <w:t>the</w:t>
      </w:r>
      <w:r>
        <w:rPr>
          <w:spacing w:val="-5"/>
        </w:rPr>
        <w:t> </w:t>
      </w:r>
      <w:r>
        <w:rPr/>
        <w:t>social</w:t>
      </w:r>
      <w:r>
        <w:rPr>
          <w:spacing w:val="-3"/>
        </w:rPr>
        <w:t> </w:t>
      </w:r>
      <w:r>
        <w:rPr/>
        <w:t>impacts of</w:t>
      </w:r>
      <w:r>
        <w:rPr>
          <w:spacing w:val="-1"/>
        </w:rPr>
        <w:t> </w:t>
      </w:r>
      <w:r>
        <w:rPr/>
        <w:t>pest</w:t>
      </w:r>
      <w:r>
        <w:rPr>
          <w:spacing w:val="-1"/>
        </w:rPr>
        <w:t> </w:t>
      </w:r>
      <w:r>
        <w:rPr/>
        <w:t>control tools in</w:t>
      </w:r>
      <w:r>
        <w:rPr>
          <w:spacing w:val="-1"/>
        </w:rPr>
        <w:t> </w:t>
      </w:r>
      <w:r>
        <w:rPr/>
        <w:t>Australia is limited;</w:t>
      </w:r>
      <w:r>
        <w:rPr>
          <w:spacing w:val="-1"/>
        </w:rPr>
        <w:t> </w:t>
      </w:r>
      <w:r>
        <w:rPr/>
        <w:t>however, existing</w:t>
      </w:r>
      <w:r>
        <w:rPr>
          <w:spacing w:val="-2"/>
        </w:rPr>
        <w:t> </w:t>
      </w:r>
      <w:r>
        <w:rPr/>
        <w:t>studies suggest that pest</w:t>
      </w:r>
      <w:r>
        <w:rPr>
          <w:spacing w:val="-1"/>
        </w:rPr>
        <w:t> </w:t>
      </w:r>
      <w:r>
        <w:rPr/>
        <w:t>control measures can create intracommunity conflicts, shaped by diverse rural land uses and differing stakeholder viewpoints.</w:t>
      </w:r>
    </w:p>
    <w:p>
      <w:pPr>
        <w:pStyle w:val="BodyText"/>
        <w:spacing w:before="2"/>
        <w:ind w:left="312" w:right="163"/>
      </w:pPr>
      <w:r>
        <w:rPr/>
        <w:t>Dingoes</w:t>
      </w:r>
      <w:r>
        <w:rPr>
          <w:spacing w:val="-1"/>
        </w:rPr>
        <w:t> </w:t>
      </w:r>
      <w:r>
        <w:rPr/>
        <w:t>are culturally</w:t>
      </w:r>
      <w:r>
        <w:rPr>
          <w:spacing w:val="-1"/>
        </w:rPr>
        <w:t> </w:t>
      </w:r>
      <w:r>
        <w:rPr/>
        <w:t>significant</w:t>
      </w:r>
      <w:r>
        <w:rPr>
          <w:spacing w:val="-2"/>
        </w:rPr>
        <w:t> </w:t>
      </w:r>
      <w:r>
        <w:rPr/>
        <w:t>to</w:t>
      </w:r>
      <w:r>
        <w:rPr>
          <w:spacing w:val="-2"/>
        </w:rPr>
        <w:t> </w:t>
      </w:r>
      <w:r>
        <w:rPr/>
        <w:t>indigenous Australians</w:t>
      </w:r>
      <w:r>
        <w:rPr>
          <w:spacing w:val="-1"/>
        </w:rPr>
        <w:t> </w:t>
      </w:r>
      <w:r>
        <w:rPr/>
        <w:t>and</w:t>
      </w:r>
      <w:r>
        <w:rPr>
          <w:spacing w:val="-2"/>
        </w:rPr>
        <w:t> </w:t>
      </w:r>
      <w:r>
        <w:rPr/>
        <w:t>their</w:t>
      </w:r>
      <w:r>
        <w:rPr>
          <w:spacing w:val="-1"/>
        </w:rPr>
        <w:t> </w:t>
      </w:r>
      <w:r>
        <w:rPr/>
        <w:t>perspectives on</w:t>
      </w:r>
      <w:r>
        <w:rPr>
          <w:spacing w:val="-3"/>
        </w:rPr>
        <w:t> </w:t>
      </w:r>
      <w:r>
        <w:rPr/>
        <w:t>Dingoes</w:t>
      </w:r>
      <w:r>
        <w:rPr>
          <w:spacing w:val="-1"/>
        </w:rPr>
        <w:t> </w:t>
      </w:r>
      <w:r>
        <w:rPr/>
        <w:t>are</w:t>
      </w:r>
      <w:r>
        <w:rPr>
          <w:spacing w:val="-2"/>
        </w:rPr>
        <w:t> </w:t>
      </w:r>
      <w:r>
        <w:rPr/>
        <w:t>complex, though</w:t>
      </w:r>
      <w:r>
        <w:rPr>
          <w:spacing w:val="-5"/>
        </w:rPr>
        <w:t> </w:t>
      </w:r>
      <w:r>
        <w:rPr/>
        <w:t>this</w:t>
      </w:r>
      <w:r>
        <w:rPr>
          <w:spacing w:val="-3"/>
        </w:rPr>
        <w:t> </w:t>
      </w:r>
      <w:r>
        <w:rPr/>
        <w:t>review</w:t>
      </w:r>
      <w:r>
        <w:rPr>
          <w:spacing w:val="-4"/>
        </w:rPr>
        <w:t> </w:t>
      </w:r>
      <w:r>
        <w:rPr/>
        <w:t>does</w:t>
      </w:r>
      <w:r>
        <w:rPr>
          <w:spacing w:val="-3"/>
        </w:rPr>
        <w:t> </w:t>
      </w:r>
      <w:r>
        <w:rPr/>
        <w:t>not</w:t>
      </w:r>
      <w:r>
        <w:rPr>
          <w:spacing w:val="-2"/>
        </w:rPr>
        <w:t> </w:t>
      </w:r>
      <w:r>
        <w:rPr/>
        <w:t>explore</w:t>
      </w:r>
      <w:r>
        <w:rPr>
          <w:spacing w:val="-1"/>
        </w:rPr>
        <w:t> </w:t>
      </w:r>
      <w:r>
        <w:rPr/>
        <w:t>them</w:t>
      </w:r>
      <w:r>
        <w:rPr>
          <w:spacing w:val="-2"/>
        </w:rPr>
        <w:t> </w:t>
      </w:r>
      <w:r>
        <w:rPr/>
        <w:t>in</w:t>
      </w:r>
      <w:r>
        <w:rPr>
          <w:spacing w:val="-4"/>
        </w:rPr>
        <w:t> </w:t>
      </w:r>
      <w:r>
        <w:rPr/>
        <w:t>detail.</w:t>
      </w:r>
      <w:r>
        <w:rPr>
          <w:spacing w:val="-2"/>
        </w:rPr>
        <w:t> </w:t>
      </w:r>
      <w:r>
        <w:rPr/>
        <w:t>The</w:t>
      </w:r>
      <w:r>
        <w:rPr>
          <w:spacing w:val="-2"/>
        </w:rPr>
        <w:t> </w:t>
      </w:r>
      <w:r>
        <w:rPr/>
        <w:t>social</w:t>
      </w:r>
      <w:r>
        <w:rPr>
          <w:spacing w:val="-3"/>
        </w:rPr>
        <w:t> </w:t>
      </w:r>
      <w:r>
        <w:rPr/>
        <w:t>implications</w:t>
      </w:r>
      <w:r>
        <w:rPr>
          <w:spacing w:val="-3"/>
        </w:rPr>
        <w:t> </w:t>
      </w:r>
      <w:r>
        <w:rPr/>
        <w:t>of</w:t>
      </w:r>
      <w:r>
        <w:rPr>
          <w:spacing w:val="-2"/>
        </w:rPr>
        <w:t> </w:t>
      </w:r>
      <w:r>
        <w:rPr/>
        <w:t>lethal</w:t>
      </w:r>
      <w:r>
        <w:rPr>
          <w:spacing w:val="-3"/>
        </w:rPr>
        <w:t> </w:t>
      </w:r>
      <w:r>
        <w:rPr/>
        <w:t>control</w:t>
      </w:r>
      <w:r>
        <w:rPr>
          <w:spacing w:val="-3"/>
        </w:rPr>
        <w:t> </w:t>
      </w:r>
      <w:r>
        <w:rPr/>
        <w:t>methods</w:t>
      </w:r>
      <w:r>
        <w:rPr>
          <w:spacing w:val="-1"/>
        </w:rPr>
        <w:t> </w:t>
      </w:r>
      <w:r>
        <w:rPr/>
        <w:t>and</w:t>
      </w:r>
      <w:r>
        <w:rPr>
          <w:spacing w:val="-2"/>
        </w:rPr>
        <w:t> </w:t>
      </w:r>
      <w:r>
        <w:rPr/>
        <w:t>the potential benefits of transitioning to non-lethal alternatives require further investigation to balance cultural values and community well-being.</w:t>
      </w:r>
    </w:p>
    <w:p>
      <w:pPr>
        <w:pStyle w:val="Heading3"/>
        <w:spacing w:before="139"/>
        <w:ind w:left="312" w:firstLine="0"/>
      </w:pPr>
      <w:bookmarkStart w:name="_TOC_250087" w:id="8"/>
      <w:r>
        <w:rPr/>
        <w:t>Humaneness</w:t>
      </w:r>
      <w:r>
        <w:rPr>
          <w:spacing w:val="-6"/>
        </w:rPr>
        <w:t> </w:t>
      </w:r>
      <w:r>
        <w:rPr/>
        <w:t>and</w:t>
      </w:r>
      <w:r>
        <w:rPr>
          <w:spacing w:val="-7"/>
        </w:rPr>
        <w:t> </w:t>
      </w:r>
      <w:r>
        <w:rPr/>
        <w:t>animal</w:t>
      </w:r>
      <w:r>
        <w:rPr>
          <w:spacing w:val="-4"/>
        </w:rPr>
        <w:t> </w:t>
      </w:r>
      <w:r>
        <w:rPr/>
        <w:t>welfare</w:t>
      </w:r>
      <w:bookmarkEnd w:id="8"/>
      <w:r>
        <w:rPr>
          <w:spacing w:val="-2"/>
        </w:rPr>
        <w:t> issues</w:t>
      </w:r>
    </w:p>
    <w:p>
      <w:pPr>
        <w:pStyle w:val="BodyText"/>
        <w:spacing w:before="57"/>
        <w:ind w:left="312" w:right="163"/>
      </w:pPr>
      <w:r>
        <w:rPr/>
        <w:t>1080 causes cardiac failure in herbivores and neurotoxic effects in carnivores, and is perceived to cause distress and pain as poisoning progresses. While alternatives such as PAPP and sodium nitrite have been developed</w:t>
      </w:r>
      <w:r>
        <w:rPr>
          <w:spacing w:val="-2"/>
        </w:rPr>
        <w:t> </w:t>
      </w:r>
      <w:r>
        <w:rPr/>
        <w:t>as</w:t>
      </w:r>
      <w:r>
        <w:rPr>
          <w:spacing w:val="-2"/>
        </w:rPr>
        <w:t> </w:t>
      </w:r>
      <w:r>
        <w:rPr/>
        <w:t>more</w:t>
      </w:r>
      <w:r>
        <w:rPr>
          <w:spacing w:val="-3"/>
        </w:rPr>
        <w:t> </w:t>
      </w:r>
      <w:r>
        <w:rPr/>
        <w:t>humane</w:t>
      </w:r>
      <w:r>
        <w:rPr>
          <w:spacing w:val="-3"/>
        </w:rPr>
        <w:t> </w:t>
      </w:r>
      <w:r>
        <w:rPr/>
        <w:t>alternatives</w:t>
      </w:r>
      <w:r>
        <w:rPr>
          <w:spacing w:val="-2"/>
        </w:rPr>
        <w:t> </w:t>
      </w:r>
      <w:r>
        <w:rPr/>
        <w:t>to</w:t>
      </w:r>
      <w:r>
        <w:rPr>
          <w:spacing w:val="-2"/>
        </w:rPr>
        <w:t> </w:t>
      </w:r>
      <w:r>
        <w:rPr/>
        <w:t>1080,</w:t>
      </w:r>
      <w:r>
        <w:rPr>
          <w:spacing w:val="-3"/>
        </w:rPr>
        <w:t> </w:t>
      </w:r>
      <w:r>
        <w:rPr/>
        <w:t>they also</w:t>
      </w:r>
      <w:r>
        <w:rPr>
          <w:spacing w:val="-1"/>
        </w:rPr>
        <w:t> </w:t>
      </w:r>
      <w:r>
        <w:rPr/>
        <w:t>have</w:t>
      </w:r>
      <w:r>
        <w:rPr>
          <w:spacing w:val="-3"/>
        </w:rPr>
        <w:t> </w:t>
      </w:r>
      <w:r>
        <w:rPr/>
        <w:t>welfare</w:t>
      </w:r>
      <w:r>
        <w:rPr>
          <w:spacing w:val="-3"/>
        </w:rPr>
        <w:t> </w:t>
      </w:r>
      <w:r>
        <w:rPr/>
        <w:t>impacts.</w:t>
      </w:r>
      <w:r>
        <w:rPr>
          <w:spacing w:val="-3"/>
        </w:rPr>
        <w:t> </w:t>
      </w:r>
      <w:r>
        <w:rPr/>
        <w:t>PAPP</w:t>
      </w:r>
      <w:r>
        <w:rPr>
          <w:spacing w:val="-3"/>
        </w:rPr>
        <w:t> </w:t>
      </w:r>
      <w:r>
        <w:rPr/>
        <w:t>leads</w:t>
      </w:r>
      <w:r>
        <w:rPr>
          <w:spacing w:val="-2"/>
        </w:rPr>
        <w:t> </w:t>
      </w:r>
      <w:r>
        <w:rPr/>
        <w:t>to</w:t>
      </w:r>
      <w:r>
        <w:rPr>
          <w:spacing w:val="-3"/>
        </w:rPr>
        <w:t> </w:t>
      </w:r>
      <w:r>
        <w:rPr/>
        <w:t>a</w:t>
      </w:r>
      <w:r>
        <w:rPr>
          <w:spacing w:val="-2"/>
        </w:rPr>
        <w:t> </w:t>
      </w:r>
      <w:r>
        <w:rPr/>
        <w:t>lag</w:t>
      </w:r>
      <w:r>
        <w:rPr>
          <w:spacing w:val="-1"/>
        </w:rPr>
        <w:t> </w:t>
      </w:r>
      <w:r>
        <w:rPr/>
        <w:t>period before symptoms like lethargy and cyanosis emerge, followed by unconsciousness and death, but animals are vulnerable to predation and environmental harm during the transition. Sodium nitrite, used for feral pigs, induces</w:t>
      </w:r>
      <w:r>
        <w:rPr>
          <w:spacing w:val="-2"/>
        </w:rPr>
        <w:t> </w:t>
      </w:r>
      <w:r>
        <w:rPr/>
        <w:t>rapid</w:t>
      </w:r>
      <w:r>
        <w:rPr>
          <w:spacing w:val="-3"/>
        </w:rPr>
        <w:t> </w:t>
      </w:r>
      <w:r>
        <w:rPr/>
        <w:t>death</w:t>
      </w:r>
      <w:r>
        <w:rPr>
          <w:spacing w:val="-1"/>
        </w:rPr>
        <w:t> </w:t>
      </w:r>
      <w:r>
        <w:rPr/>
        <w:t>after</w:t>
      </w:r>
      <w:r>
        <w:rPr>
          <w:spacing w:val="-3"/>
        </w:rPr>
        <w:t> </w:t>
      </w:r>
      <w:r>
        <w:rPr/>
        <w:t>a</w:t>
      </w:r>
      <w:r>
        <w:rPr>
          <w:spacing w:val="-1"/>
        </w:rPr>
        <w:t> </w:t>
      </w:r>
      <w:r>
        <w:rPr/>
        <w:t>brief</w:t>
      </w:r>
      <w:r>
        <w:rPr>
          <w:spacing w:val="-1"/>
        </w:rPr>
        <w:t> </w:t>
      </w:r>
      <w:r>
        <w:rPr/>
        <w:t>onset</w:t>
      </w:r>
      <w:r>
        <w:rPr>
          <w:spacing w:val="-1"/>
        </w:rPr>
        <w:t> </w:t>
      </w:r>
      <w:r>
        <w:rPr/>
        <w:t>of</w:t>
      </w:r>
      <w:r>
        <w:rPr>
          <w:spacing w:val="-3"/>
        </w:rPr>
        <w:t> </w:t>
      </w:r>
      <w:r>
        <w:rPr/>
        <w:t>symptoms,</w:t>
      </w:r>
      <w:r>
        <w:rPr>
          <w:spacing w:val="-3"/>
        </w:rPr>
        <w:t> </w:t>
      </w:r>
      <w:r>
        <w:rPr/>
        <w:t>but</w:t>
      </w:r>
      <w:r>
        <w:rPr>
          <w:spacing w:val="-3"/>
        </w:rPr>
        <w:t> </w:t>
      </w:r>
      <w:r>
        <w:rPr/>
        <w:t>still</w:t>
      </w:r>
      <w:r>
        <w:rPr>
          <w:spacing w:val="-4"/>
        </w:rPr>
        <w:t> </w:t>
      </w:r>
      <w:r>
        <w:rPr/>
        <w:t>causes</w:t>
      </w:r>
      <w:r>
        <w:rPr>
          <w:spacing w:val="-2"/>
        </w:rPr>
        <w:t> </w:t>
      </w:r>
      <w:r>
        <w:rPr/>
        <w:t>distress.</w:t>
      </w:r>
      <w:r>
        <w:rPr>
          <w:spacing w:val="-3"/>
        </w:rPr>
        <w:t> </w:t>
      </w:r>
      <w:r>
        <w:rPr/>
        <w:t>Pindone,</w:t>
      </w:r>
      <w:r>
        <w:rPr>
          <w:spacing w:val="-3"/>
        </w:rPr>
        <w:t> </w:t>
      </w:r>
      <w:r>
        <w:rPr/>
        <w:t>an</w:t>
      </w:r>
      <w:r>
        <w:rPr>
          <w:spacing w:val="-1"/>
        </w:rPr>
        <w:t> </w:t>
      </w:r>
      <w:r>
        <w:rPr/>
        <w:t>anticoagulant</w:t>
      </w:r>
      <w:r>
        <w:rPr>
          <w:spacing w:val="-1"/>
        </w:rPr>
        <w:t> </w:t>
      </w:r>
      <w:r>
        <w:rPr/>
        <w:t>used for rabbits, causes prolonged suffering through internal bleeding, leading to death after a variable lag period.</w:t>
      </w:r>
    </w:p>
    <w:p>
      <w:pPr>
        <w:pStyle w:val="BodyText"/>
        <w:spacing w:before="121"/>
        <w:ind w:left="312" w:right="163"/>
      </w:pPr>
      <w:r>
        <w:rPr/>
        <w:t>Fumigation of warrens or dens with phosphine or carbon monoxide also carry welfare concerns, with phosphine causing rapid death at high concentrations, while chloropicrin results in respiratory distress and prolonged</w:t>
      </w:r>
      <w:r>
        <w:rPr>
          <w:spacing w:val="-5"/>
        </w:rPr>
        <w:t> </w:t>
      </w:r>
      <w:r>
        <w:rPr/>
        <w:t>suffering</w:t>
      </w:r>
      <w:r>
        <w:rPr>
          <w:spacing w:val="-5"/>
        </w:rPr>
        <w:t> </w:t>
      </w:r>
      <w:r>
        <w:rPr/>
        <w:t>before</w:t>
      </w:r>
      <w:r>
        <w:rPr>
          <w:spacing w:val="-3"/>
        </w:rPr>
        <w:t> </w:t>
      </w:r>
      <w:r>
        <w:rPr/>
        <w:t>death.</w:t>
      </w:r>
      <w:r>
        <w:rPr>
          <w:spacing w:val="-5"/>
        </w:rPr>
        <w:t> </w:t>
      </w:r>
      <w:r>
        <w:rPr/>
        <w:t>Ripping</w:t>
      </w:r>
      <w:r>
        <w:rPr>
          <w:spacing w:val="-3"/>
        </w:rPr>
        <w:t> </w:t>
      </w:r>
      <w:r>
        <w:rPr/>
        <w:t>rabbit</w:t>
      </w:r>
      <w:r>
        <w:rPr>
          <w:spacing w:val="-5"/>
        </w:rPr>
        <w:t> </w:t>
      </w:r>
      <w:r>
        <w:rPr/>
        <w:t>warrens</w:t>
      </w:r>
      <w:r>
        <w:rPr>
          <w:spacing w:val="-4"/>
        </w:rPr>
        <w:t> </w:t>
      </w:r>
      <w:r>
        <w:rPr/>
        <w:t>leads</w:t>
      </w:r>
      <w:r>
        <w:rPr>
          <w:spacing w:val="-4"/>
        </w:rPr>
        <w:t> </w:t>
      </w:r>
      <w:r>
        <w:rPr/>
        <w:t>to</w:t>
      </w:r>
      <w:r>
        <w:rPr>
          <w:spacing w:val="-4"/>
        </w:rPr>
        <w:t> </w:t>
      </w:r>
      <w:r>
        <w:rPr/>
        <w:t>asphyxiation or</w:t>
      </w:r>
      <w:r>
        <w:rPr>
          <w:spacing w:val="-2"/>
        </w:rPr>
        <w:t> </w:t>
      </w:r>
      <w:r>
        <w:rPr/>
        <w:t>crushing,</w:t>
      </w:r>
      <w:r>
        <w:rPr>
          <w:spacing w:val="-3"/>
        </w:rPr>
        <w:t> </w:t>
      </w:r>
      <w:r>
        <w:rPr/>
        <w:t>while</w:t>
      </w:r>
      <w:r>
        <w:rPr>
          <w:spacing w:val="-3"/>
        </w:rPr>
        <w:t> </w:t>
      </w:r>
      <w:r>
        <w:rPr/>
        <w:t>biological control via RHDV viruses can take up to 24 hours with internal haemorrhaging common.</w:t>
      </w:r>
    </w:p>
    <w:p>
      <w:pPr>
        <w:pStyle w:val="BodyText"/>
        <w:spacing w:before="119"/>
        <w:ind w:left="312" w:right="159"/>
      </w:pPr>
      <w:r>
        <w:rPr/>
        <w:t>Livestock guardian animals can cause significant welfare impacts on wildlife, and fencing can lead to animal entanglement and death. Shooting relies heavily on proper shot placement to minimise suffering. Trapping, whether using containment (cages or netted enclosures) or leghold traps (containment traps), also causes distress, with leghold traps raising welfare concerns despite improvements in design. Technological advancements like trap alert systems aim to reduce the duration animals spend in traps, improving welfare outcomes.</w:t>
      </w:r>
      <w:r>
        <w:rPr>
          <w:spacing w:val="-4"/>
        </w:rPr>
        <w:t> </w:t>
      </w:r>
      <w:r>
        <w:rPr/>
        <w:t>Lastly,</w:t>
      </w:r>
      <w:r>
        <w:rPr>
          <w:spacing w:val="-4"/>
        </w:rPr>
        <w:t> </w:t>
      </w:r>
      <w:r>
        <w:rPr/>
        <w:t>lethal</w:t>
      </w:r>
      <w:r>
        <w:rPr>
          <w:spacing w:val="-5"/>
        </w:rPr>
        <w:t> </w:t>
      </w:r>
      <w:r>
        <w:rPr/>
        <w:t>trap</w:t>
      </w:r>
      <w:r>
        <w:rPr>
          <w:spacing w:val="-4"/>
        </w:rPr>
        <w:t> </w:t>
      </w:r>
      <w:r>
        <w:rPr/>
        <w:t>devices</w:t>
      </w:r>
      <w:r>
        <w:rPr>
          <w:spacing w:val="-3"/>
        </w:rPr>
        <w:t> </w:t>
      </w:r>
      <w:r>
        <w:rPr/>
        <w:t>(LTDs) utilising</w:t>
      </w:r>
      <w:r>
        <w:rPr>
          <w:spacing w:val="-3"/>
        </w:rPr>
        <w:t> </w:t>
      </w:r>
      <w:r>
        <w:rPr/>
        <w:t>PAPP</w:t>
      </w:r>
      <w:r>
        <w:rPr>
          <w:spacing w:val="-3"/>
        </w:rPr>
        <w:t> </w:t>
      </w:r>
      <w:r>
        <w:rPr/>
        <w:t>for</w:t>
      </w:r>
      <w:r>
        <w:rPr>
          <w:spacing w:val="-3"/>
        </w:rPr>
        <w:t> </w:t>
      </w:r>
      <w:r>
        <w:rPr/>
        <w:t>foxes</w:t>
      </w:r>
      <w:r>
        <w:rPr>
          <w:spacing w:val="-3"/>
        </w:rPr>
        <w:t> </w:t>
      </w:r>
      <w:r>
        <w:rPr/>
        <w:t>and</w:t>
      </w:r>
      <w:r>
        <w:rPr>
          <w:spacing w:val="-3"/>
        </w:rPr>
        <w:t> </w:t>
      </w:r>
      <w:r>
        <w:rPr/>
        <w:t>Dingoes and</w:t>
      </w:r>
      <w:r>
        <w:rPr>
          <w:spacing w:val="-1"/>
        </w:rPr>
        <w:t> </w:t>
      </w:r>
      <w:r>
        <w:rPr/>
        <w:t>Wild</w:t>
      </w:r>
      <w:r>
        <w:rPr>
          <w:spacing w:val="-2"/>
        </w:rPr>
        <w:t> </w:t>
      </w:r>
      <w:r>
        <w:rPr/>
        <w:t>Dogs,</w:t>
      </w:r>
      <w:r>
        <w:rPr>
          <w:spacing w:val="-2"/>
        </w:rPr>
        <w:t> </w:t>
      </w:r>
      <w:r>
        <w:rPr/>
        <w:t>while</w:t>
      </w:r>
      <w:r>
        <w:rPr>
          <w:spacing w:val="-2"/>
        </w:rPr>
        <w:t> </w:t>
      </w:r>
      <w:r>
        <w:rPr/>
        <w:t>more humane than strychnine, still require further assessment for welfare impacts. Overall, while some control methods have shown improvements in reducing suffering, the welfare implications of each technique vary depending on species, method, and execution.</w:t>
      </w:r>
    </w:p>
    <w:p>
      <w:pPr>
        <w:pStyle w:val="Heading3"/>
        <w:spacing w:before="142"/>
        <w:ind w:left="312" w:firstLine="0"/>
      </w:pPr>
      <w:bookmarkStart w:name="_TOC_250086" w:id="9"/>
      <w:r>
        <w:rPr/>
        <w:t>Environmental</w:t>
      </w:r>
      <w:r>
        <w:rPr>
          <w:spacing w:val="-8"/>
        </w:rPr>
        <w:t> </w:t>
      </w:r>
      <w:bookmarkEnd w:id="9"/>
      <w:r>
        <w:rPr>
          <w:spacing w:val="-2"/>
        </w:rPr>
        <w:t>impacts</w:t>
      </w:r>
    </w:p>
    <w:p>
      <w:pPr>
        <w:spacing w:before="57"/>
        <w:ind w:left="312" w:right="0" w:firstLine="0"/>
        <w:jc w:val="left"/>
        <w:rPr>
          <w:b/>
          <w:sz w:val="20"/>
        </w:rPr>
      </w:pPr>
      <w:r>
        <w:rPr>
          <w:b/>
          <w:sz w:val="20"/>
        </w:rPr>
        <w:t>Toxic</w:t>
      </w:r>
      <w:r>
        <w:rPr>
          <w:b/>
          <w:spacing w:val="-10"/>
          <w:sz w:val="20"/>
        </w:rPr>
        <w:t> </w:t>
      </w:r>
      <w:r>
        <w:rPr>
          <w:b/>
          <w:spacing w:val="-4"/>
          <w:sz w:val="20"/>
        </w:rPr>
        <w:t>Baits</w:t>
      </w:r>
    </w:p>
    <w:p>
      <w:pPr>
        <w:pStyle w:val="BodyText"/>
        <w:ind w:left="312" w:right="364"/>
      </w:pPr>
      <w:r>
        <w:rPr/>
        <w:t>1080 is highly water-soluble so dilutes readily in water and biodegrades in water typically within days. The process of biodegradation in soil is primarily driven by temperature and soil microbes. When mammals experience</w:t>
      </w:r>
      <w:r>
        <w:rPr>
          <w:spacing w:val="-4"/>
        </w:rPr>
        <w:t> </w:t>
      </w:r>
      <w:r>
        <w:rPr/>
        <w:t>sub-lethal</w:t>
      </w:r>
      <w:r>
        <w:rPr>
          <w:spacing w:val="-3"/>
        </w:rPr>
        <w:t> </w:t>
      </w:r>
      <w:r>
        <w:rPr/>
        <w:t>exposure,</w:t>
      </w:r>
      <w:r>
        <w:rPr>
          <w:spacing w:val="-4"/>
        </w:rPr>
        <w:t> </w:t>
      </w:r>
      <w:r>
        <w:rPr/>
        <w:t>rapid</w:t>
      </w:r>
      <w:r>
        <w:rPr>
          <w:spacing w:val="-4"/>
        </w:rPr>
        <w:t> </w:t>
      </w:r>
      <w:r>
        <w:rPr/>
        <w:t>metabolism</w:t>
      </w:r>
      <w:r>
        <w:rPr>
          <w:spacing w:val="-2"/>
        </w:rPr>
        <w:t> </w:t>
      </w:r>
      <w:r>
        <w:rPr/>
        <w:t>and</w:t>
      </w:r>
      <w:r>
        <w:rPr>
          <w:spacing w:val="-2"/>
        </w:rPr>
        <w:t> </w:t>
      </w:r>
      <w:r>
        <w:rPr/>
        <w:t>excretion occur,</w:t>
      </w:r>
      <w:r>
        <w:rPr>
          <w:spacing w:val="-3"/>
        </w:rPr>
        <w:t> </w:t>
      </w:r>
      <w:r>
        <w:rPr/>
        <w:t>such</w:t>
      </w:r>
      <w:r>
        <w:rPr>
          <w:spacing w:val="-4"/>
        </w:rPr>
        <w:t> </w:t>
      </w:r>
      <w:r>
        <w:rPr/>
        <w:t>that</w:t>
      </w:r>
      <w:r>
        <w:rPr>
          <w:spacing w:val="-2"/>
        </w:rPr>
        <w:t> </w:t>
      </w:r>
      <w:r>
        <w:rPr/>
        <w:t>1080</w:t>
      </w:r>
      <w:r>
        <w:rPr>
          <w:spacing w:val="-2"/>
        </w:rPr>
        <w:t> </w:t>
      </w:r>
      <w:r>
        <w:rPr/>
        <w:t>is</w:t>
      </w:r>
      <w:r>
        <w:rPr>
          <w:spacing w:val="-3"/>
        </w:rPr>
        <w:t> </w:t>
      </w:r>
      <w:r>
        <w:rPr/>
        <w:t>not</w:t>
      </w:r>
      <w:r>
        <w:rPr>
          <w:spacing w:val="-4"/>
        </w:rPr>
        <w:t> </w:t>
      </w:r>
      <w:r>
        <w:rPr/>
        <w:t>considered</w:t>
      </w:r>
      <w:r>
        <w:rPr>
          <w:spacing w:val="-1"/>
        </w:rPr>
        <w:t> </w:t>
      </w:r>
      <w:r>
        <w:rPr/>
        <w:t>to bio-accumulate in living animals.</w:t>
      </w:r>
    </w:p>
    <w:p>
      <w:pPr>
        <w:pStyle w:val="BodyText"/>
        <w:spacing w:before="119"/>
        <w:ind w:left="312" w:right="247"/>
      </w:pPr>
      <w:r>
        <w:rPr/>
        <w:t>PAPP</w:t>
      </w:r>
      <w:r>
        <w:rPr>
          <w:spacing w:val="-3"/>
        </w:rPr>
        <w:t> </w:t>
      </w:r>
      <w:r>
        <w:rPr/>
        <w:t>is</w:t>
      </w:r>
      <w:r>
        <w:rPr>
          <w:spacing w:val="-3"/>
        </w:rPr>
        <w:t> </w:t>
      </w:r>
      <w:r>
        <w:rPr/>
        <w:t>moderately</w:t>
      </w:r>
      <w:r>
        <w:rPr>
          <w:spacing w:val="-3"/>
        </w:rPr>
        <w:t> </w:t>
      </w:r>
      <w:r>
        <w:rPr/>
        <w:t>water-soluble</w:t>
      </w:r>
      <w:r>
        <w:rPr>
          <w:spacing w:val="-3"/>
        </w:rPr>
        <w:t> </w:t>
      </w:r>
      <w:r>
        <w:rPr/>
        <w:t>and</w:t>
      </w:r>
      <w:r>
        <w:rPr>
          <w:spacing w:val="-3"/>
        </w:rPr>
        <w:t> </w:t>
      </w:r>
      <w:r>
        <w:rPr/>
        <w:t>mobile</w:t>
      </w:r>
      <w:r>
        <w:rPr>
          <w:spacing w:val="-3"/>
        </w:rPr>
        <w:t> </w:t>
      </w:r>
      <w:r>
        <w:rPr/>
        <w:t>in</w:t>
      </w:r>
      <w:r>
        <w:rPr>
          <w:spacing w:val="-4"/>
        </w:rPr>
        <w:t> </w:t>
      </w:r>
      <w:r>
        <w:rPr/>
        <w:t>sandy</w:t>
      </w:r>
      <w:r>
        <w:rPr>
          <w:spacing w:val="-3"/>
        </w:rPr>
        <w:t> </w:t>
      </w:r>
      <w:r>
        <w:rPr/>
        <w:t>soils.</w:t>
      </w:r>
      <w:r>
        <w:rPr>
          <w:spacing w:val="-4"/>
        </w:rPr>
        <w:t> </w:t>
      </w:r>
      <w:r>
        <w:rPr/>
        <w:t>It</w:t>
      </w:r>
      <w:r>
        <w:rPr>
          <w:spacing w:val="-3"/>
        </w:rPr>
        <w:t> </w:t>
      </w:r>
      <w:r>
        <w:rPr/>
        <w:t>does</w:t>
      </w:r>
      <w:r>
        <w:rPr>
          <w:spacing w:val="-2"/>
        </w:rPr>
        <w:t> </w:t>
      </w:r>
      <w:r>
        <w:rPr/>
        <w:t>not</w:t>
      </w:r>
      <w:r>
        <w:rPr>
          <w:spacing w:val="-3"/>
        </w:rPr>
        <w:t> </w:t>
      </w:r>
      <w:r>
        <w:rPr/>
        <w:t>bioaccumulate</w:t>
      </w:r>
      <w:r>
        <w:rPr>
          <w:spacing w:val="-3"/>
        </w:rPr>
        <w:t> </w:t>
      </w:r>
      <w:r>
        <w:rPr/>
        <w:t>but</w:t>
      </w:r>
      <w:r>
        <w:rPr>
          <w:spacing w:val="-3"/>
        </w:rPr>
        <w:t> </w:t>
      </w:r>
      <w:r>
        <w:rPr/>
        <w:t>has</w:t>
      </w:r>
      <w:r>
        <w:rPr>
          <w:spacing w:val="-3"/>
        </w:rPr>
        <w:t> </w:t>
      </w:r>
      <w:r>
        <w:rPr/>
        <w:t>been</w:t>
      </w:r>
      <w:r>
        <w:rPr>
          <w:spacing w:val="-4"/>
        </w:rPr>
        <w:t> </w:t>
      </w:r>
      <w:r>
        <w:rPr/>
        <w:t>shown to slightly bioconcentrate. High residual concentrations of PAPP have been found in the stomachs of foxes, but it degrades quickly in carcasses and does not persist in the environment. Pindone degrades in wet</w:t>
      </w:r>
    </w:p>
    <w:p>
      <w:pPr>
        <w:spacing w:after="0"/>
        <w:sectPr>
          <w:pgSz w:w="11910" w:h="16850"/>
          <w:pgMar w:header="0" w:footer="688" w:top="1060" w:bottom="880" w:left="820" w:right="980"/>
        </w:sectPr>
      </w:pPr>
    </w:p>
    <w:p>
      <w:pPr>
        <w:pStyle w:val="BodyText"/>
        <w:spacing w:before="71"/>
        <w:ind w:left="312"/>
      </w:pPr>
      <w:r>
        <w:rPr/>
        <w:t>conditions,</w:t>
      </w:r>
      <w:r>
        <w:rPr>
          <w:spacing w:val="-5"/>
        </w:rPr>
        <w:t> </w:t>
      </w:r>
      <w:r>
        <w:rPr/>
        <w:t>though</w:t>
      </w:r>
      <w:r>
        <w:rPr>
          <w:spacing w:val="-3"/>
        </w:rPr>
        <w:t> </w:t>
      </w:r>
      <w:r>
        <w:rPr/>
        <w:t>photodegradation</w:t>
      </w:r>
      <w:r>
        <w:rPr>
          <w:spacing w:val="-5"/>
        </w:rPr>
        <w:t> </w:t>
      </w:r>
      <w:r>
        <w:rPr/>
        <w:t>remains</w:t>
      </w:r>
      <w:r>
        <w:rPr>
          <w:spacing w:val="-2"/>
        </w:rPr>
        <w:t> </w:t>
      </w:r>
      <w:r>
        <w:rPr/>
        <w:t>unconfirmed.</w:t>
      </w:r>
      <w:r>
        <w:rPr>
          <w:spacing w:val="-3"/>
        </w:rPr>
        <w:t> </w:t>
      </w:r>
      <w:r>
        <w:rPr/>
        <w:t>Residual</w:t>
      </w:r>
      <w:r>
        <w:rPr>
          <w:spacing w:val="-6"/>
        </w:rPr>
        <w:t> </w:t>
      </w:r>
      <w:r>
        <w:rPr/>
        <w:t>concentrations</w:t>
      </w:r>
      <w:r>
        <w:rPr>
          <w:spacing w:val="-4"/>
        </w:rPr>
        <w:t> </w:t>
      </w:r>
      <w:r>
        <w:rPr/>
        <w:t>in</w:t>
      </w:r>
      <w:r>
        <w:rPr>
          <w:spacing w:val="-5"/>
        </w:rPr>
        <w:t> </w:t>
      </w:r>
      <w:r>
        <w:rPr/>
        <w:t>sub-lethally</w:t>
      </w:r>
      <w:r>
        <w:rPr>
          <w:spacing w:val="-4"/>
        </w:rPr>
        <w:t> </w:t>
      </w:r>
      <w:r>
        <w:rPr/>
        <w:t>exposed rabbits clear in about 10 days.</w:t>
      </w:r>
    </w:p>
    <w:p>
      <w:pPr>
        <w:pStyle w:val="BodyText"/>
        <w:spacing w:before="122"/>
        <w:ind w:left="312" w:right="247"/>
      </w:pPr>
      <w:r>
        <w:rPr/>
        <w:t>Secondary</w:t>
      </w:r>
      <w:r>
        <w:rPr>
          <w:spacing w:val="-4"/>
        </w:rPr>
        <w:t> </w:t>
      </w:r>
      <w:r>
        <w:rPr/>
        <w:t>poisoning</w:t>
      </w:r>
      <w:r>
        <w:rPr>
          <w:spacing w:val="-3"/>
        </w:rPr>
        <w:t> </w:t>
      </w:r>
      <w:r>
        <w:rPr/>
        <w:t>risks</w:t>
      </w:r>
      <w:r>
        <w:rPr>
          <w:spacing w:val="-4"/>
        </w:rPr>
        <w:t> </w:t>
      </w:r>
      <w:r>
        <w:rPr/>
        <w:t>are</w:t>
      </w:r>
      <w:r>
        <w:rPr>
          <w:spacing w:val="-5"/>
        </w:rPr>
        <w:t> </w:t>
      </w:r>
      <w:r>
        <w:rPr/>
        <w:t>highest</w:t>
      </w:r>
      <w:r>
        <w:rPr>
          <w:spacing w:val="-5"/>
        </w:rPr>
        <w:t> </w:t>
      </w:r>
      <w:r>
        <w:rPr/>
        <w:t>when</w:t>
      </w:r>
      <w:r>
        <w:rPr>
          <w:spacing w:val="-5"/>
        </w:rPr>
        <w:t> </w:t>
      </w:r>
      <w:r>
        <w:rPr/>
        <w:t>predators</w:t>
      </w:r>
      <w:r>
        <w:rPr>
          <w:spacing w:val="-3"/>
        </w:rPr>
        <w:t> </w:t>
      </w:r>
      <w:r>
        <w:rPr/>
        <w:t>consume</w:t>
      </w:r>
      <w:r>
        <w:rPr>
          <w:spacing w:val="-3"/>
        </w:rPr>
        <w:t> </w:t>
      </w:r>
      <w:r>
        <w:rPr/>
        <w:t>multiple</w:t>
      </w:r>
      <w:r>
        <w:rPr>
          <w:spacing w:val="-5"/>
        </w:rPr>
        <w:t> </w:t>
      </w:r>
      <w:r>
        <w:rPr/>
        <w:t>exposed</w:t>
      </w:r>
      <w:r>
        <w:rPr>
          <w:spacing w:val="-3"/>
        </w:rPr>
        <w:t> </w:t>
      </w:r>
      <w:r>
        <w:rPr/>
        <w:t>rabbits,</w:t>
      </w:r>
      <w:r>
        <w:rPr>
          <w:spacing w:val="-5"/>
        </w:rPr>
        <w:t> </w:t>
      </w:r>
      <w:r>
        <w:rPr/>
        <w:t>but</w:t>
      </w:r>
      <w:r>
        <w:rPr>
          <w:spacing w:val="-3"/>
        </w:rPr>
        <w:t> </w:t>
      </w:r>
      <w:r>
        <w:rPr/>
        <w:t>pindone presents a lower risk to domestic pets when compared to 1080.</w:t>
      </w:r>
    </w:p>
    <w:p>
      <w:pPr>
        <w:pStyle w:val="BodyText"/>
        <w:spacing w:before="120"/>
        <w:ind w:left="312" w:right="163"/>
      </w:pPr>
      <w:r>
        <w:rPr/>
        <w:t>Sodium</w:t>
      </w:r>
      <w:r>
        <w:rPr>
          <w:spacing w:val="-4"/>
        </w:rPr>
        <w:t> </w:t>
      </w:r>
      <w:r>
        <w:rPr/>
        <w:t>nitrite</w:t>
      </w:r>
      <w:r>
        <w:rPr>
          <w:spacing w:val="-4"/>
        </w:rPr>
        <w:t> </w:t>
      </w:r>
      <w:r>
        <w:rPr/>
        <w:t>is</w:t>
      </w:r>
      <w:r>
        <w:rPr>
          <w:spacing w:val="-3"/>
        </w:rPr>
        <w:t> </w:t>
      </w:r>
      <w:r>
        <w:rPr/>
        <w:t>highly</w:t>
      </w:r>
      <w:r>
        <w:rPr>
          <w:spacing w:val="-3"/>
        </w:rPr>
        <w:t> </w:t>
      </w:r>
      <w:r>
        <w:rPr/>
        <w:t>mobile</w:t>
      </w:r>
      <w:r>
        <w:rPr>
          <w:spacing w:val="-2"/>
        </w:rPr>
        <w:t> </w:t>
      </w:r>
      <w:r>
        <w:rPr/>
        <w:t>and</w:t>
      </w:r>
      <w:r>
        <w:rPr>
          <w:spacing w:val="-4"/>
        </w:rPr>
        <w:t> </w:t>
      </w:r>
      <w:r>
        <w:rPr/>
        <w:t>does</w:t>
      </w:r>
      <w:r>
        <w:rPr>
          <w:spacing w:val="-3"/>
        </w:rPr>
        <w:t> </w:t>
      </w:r>
      <w:r>
        <w:rPr/>
        <w:t>not</w:t>
      </w:r>
      <w:r>
        <w:rPr>
          <w:spacing w:val="-2"/>
        </w:rPr>
        <w:t> </w:t>
      </w:r>
      <w:r>
        <w:rPr/>
        <w:t>bioaccumulate.</w:t>
      </w:r>
      <w:r>
        <w:rPr>
          <w:spacing w:val="-4"/>
        </w:rPr>
        <w:t> </w:t>
      </w:r>
      <w:r>
        <w:rPr/>
        <w:t>It</w:t>
      </w:r>
      <w:r>
        <w:rPr>
          <w:spacing w:val="-4"/>
        </w:rPr>
        <w:t> </w:t>
      </w:r>
      <w:r>
        <w:rPr/>
        <w:t>degrades</w:t>
      </w:r>
      <w:r>
        <w:rPr>
          <w:spacing w:val="-3"/>
        </w:rPr>
        <w:t> </w:t>
      </w:r>
      <w:r>
        <w:rPr/>
        <w:t>in</w:t>
      </w:r>
      <w:r>
        <w:rPr>
          <w:spacing w:val="-4"/>
        </w:rPr>
        <w:t> </w:t>
      </w:r>
      <w:r>
        <w:rPr/>
        <w:t>the</w:t>
      </w:r>
      <w:r>
        <w:rPr>
          <w:spacing w:val="-4"/>
        </w:rPr>
        <w:t> </w:t>
      </w:r>
      <w:r>
        <w:rPr/>
        <w:t>environment</w:t>
      </w:r>
      <w:r>
        <w:rPr>
          <w:spacing w:val="-4"/>
        </w:rPr>
        <w:t> </w:t>
      </w:r>
      <w:r>
        <w:rPr/>
        <w:t>through</w:t>
      </w:r>
      <w:r>
        <w:rPr>
          <w:spacing w:val="-4"/>
        </w:rPr>
        <w:t> </w:t>
      </w:r>
      <w:r>
        <w:rPr/>
        <w:t>oxidation and microbial activity, integrating into the nitrogen cycle. Sub-lethal exposures are quickly eliminated in animals, which reduces the risk of secondary poisoning.</w:t>
      </w:r>
    </w:p>
    <w:p>
      <w:pPr>
        <w:spacing w:before="119"/>
        <w:ind w:left="312" w:right="0" w:firstLine="0"/>
        <w:jc w:val="left"/>
        <w:rPr>
          <w:b/>
          <w:sz w:val="20"/>
        </w:rPr>
      </w:pPr>
      <w:r>
        <w:rPr>
          <w:b/>
          <w:sz w:val="20"/>
        </w:rPr>
        <w:t>Den</w:t>
      </w:r>
      <w:r>
        <w:rPr>
          <w:b/>
          <w:spacing w:val="-7"/>
          <w:sz w:val="20"/>
        </w:rPr>
        <w:t> </w:t>
      </w:r>
      <w:r>
        <w:rPr>
          <w:b/>
          <w:sz w:val="20"/>
        </w:rPr>
        <w:t>and</w:t>
      </w:r>
      <w:r>
        <w:rPr>
          <w:b/>
          <w:spacing w:val="-3"/>
          <w:sz w:val="20"/>
        </w:rPr>
        <w:t> </w:t>
      </w:r>
      <w:r>
        <w:rPr>
          <w:b/>
          <w:sz w:val="20"/>
        </w:rPr>
        <w:t>Warren</w:t>
      </w:r>
      <w:r>
        <w:rPr>
          <w:b/>
          <w:spacing w:val="-7"/>
          <w:sz w:val="20"/>
        </w:rPr>
        <w:t> </w:t>
      </w:r>
      <w:r>
        <w:rPr>
          <w:b/>
          <w:spacing w:val="-2"/>
          <w:sz w:val="20"/>
        </w:rPr>
        <w:t>Fumigation</w:t>
      </w:r>
    </w:p>
    <w:p>
      <w:pPr>
        <w:pStyle w:val="BodyText"/>
        <w:spacing w:before="1"/>
        <w:ind w:left="312" w:right="247"/>
      </w:pPr>
      <w:r>
        <w:rPr/>
        <w:t>Phosphine gas reacts with water to release toxic gas, which is inherently degradable and not persistent in the environment. Chloropicrin, being volatile, moves through the soil with biodegradation and photolysis. It disperses</w:t>
      </w:r>
      <w:r>
        <w:rPr>
          <w:spacing w:val="-3"/>
        </w:rPr>
        <w:t> </w:t>
      </w:r>
      <w:r>
        <w:rPr/>
        <w:t>more</w:t>
      </w:r>
      <w:r>
        <w:rPr>
          <w:spacing w:val="-4"/>
        </w:rPr>
        <w:t> </w:t>
      </w:r>
      <w:r>
        <w:rPr/>
        <w:t>slowly</w:t>
      </w:r>
      <w:r>
        <w:rPr>
          <w:spacing w:val="-3"/>
        </w:rPr>
        <w:t> </w:t>
      </w:r>
      <w:r>
        <w:rPr/>
        <w:t>in</w:t>
      </w:r>
      <w:r>
        <w:rPr>
          <w:spacing w:val="-4"/>
        </w:rPr>
        <w:t> </w:t>
      </w:r>
      <w:r>
        <w:rPr/>
        <w:t>water.</w:t>
      </w:r>
      <w:r>
        <w:rPr>
          <w:spacing w:val="-4"/>
        </w:rPr>
        <w:t> </w:t>
      </w:r>
      <w:r>
        <w:rPr/>
        <w:t>Carbon</w:t>
      </w:r>
      <w:r>
        <w:rPr>
          <w:spacing w:val="-2"/>
        </w:rPr>
        <w:t> </w:t>
      </w:r>
      <w:r>
        <w:rPr/>
        <w:t>monoxide,</w:t>
      </w:r>
      <w:r>
        <w:rPr>
          <w:spacing w:val="-4"/>
        </w:rPr>
        <w:t> </w:t>
      </w:r>
      <w:r>
        <w:rPr/>
        <w:t>when used</w:t>
      </w:r>
      <w:r>
        <w:rPr>
          <w:spacing w:val="-4"/>
        </w:rPr>
        <w:t> </w:t>
      </w:r>
      <w:r>
        <w:rPr/>
        <w:t>in</w:t>
      </w:r>
      <w:r>
        <w:rPr>
          <w:spacing w:val="-4"/>
        </w:rPr>
        <w:t> </w:t>
      </w:r>
      <w:r>
        <w:rPr/>
        <w:t>fumigation</w:t>
      </w:r>
      <w:r>
        <w:rPr>
          <w:spacing w:val="-5"/>
        </w:rPr>
        <w:t> </w:t>
      </w:r>
      <w:r>
        <w:rPr/>
        <w:t>cartridges,</w:t>
      </w:r>
      <w:r>
        <w:rPr>
          <w:spacing w:val="-4"/>
        </w:rPr>
        <w:t> </w:t>
      </w:r>
      <w:r>
        <w:rPr/>
        <w:t>poses</w:t>
      </w:r>
      <w:r>
        <w:rPr>
          <w:spacing w:val="-3"/>
        </w:rPr>
        <w:t> </w:t>
      </w:r>
      <w:r>
        <w:rPr/>
        <w:t>no</w:t>
      </w:r>
      <w:r>
        <w:rPr>
          <w:spacing w:val="-5"/>
        </w:rPr>
        <w:t> </w:t>
      </w:r>
      <w:r>
        <w:rPr/>
        <w:t>secondary poisoning risk, as it disperses through inhalation, microbial uptake, or integration into carbon cycles.</w:t>
      </w:r>
    </w:p>
    <w:p>
      <w:pPr>
        <w:spacing w:before="119"/>
        <w:ind w:left="312" w:right="0" w:firstLine="0"/>
        <w:jc w:val="left"/>
        <w:rPr>
          <w:b/>
          <w:sz w:val="20"/>
        </w:rPr>
      </w:pPr>
      <w:r>
        <w:rPr>
          <w:b/>
          <w:sz w:val="20"/>
        </w:rPr>
        <w:t>Rabbit</w:t>
      </w:r>
      <w:r>
        <w:rPr>
          <w:b/>
          <w:spacing w:val="-7"/>
          <w:sz w:val="20"/>
        </w:rPr>
        <w:t> </w:t>
      </w:r>
      <w:r>
        <w:rPr>
          <w:b/>
          <w:sz w:val="20"/>
        </w:rPr>
        <w:t>Warren</w:t>
      </w:r>
      <w:r>
        <w:rPr>
          <w:b/>
          <w:spacing w:val="-7"/>
          <w:sz w:val="20"/>
        </w:rPr>
        <w:t> </w:t>
      </w:r>
      <w:r>
        <w:rPr>
          <w:b/>
          <w:spacing w:val="-2"/>
          <w:sz w:val="20"/>
        </w:rPr>
        <w:t>Ripping</w:t>
      </w:r>
    </w:p>
    <w:p>
      <w:pPr>
        <w:pStyle w:val="BodyText"/>
        <w:ind w:left="312"/>
      </w:pPr>
      <w:r>
        <w:rPr/>
        <w:t>Warren</w:t>
      </w:r>
      <w:r>
        <w:rPr>
          <w:spacing w:val="-5"/>
        </w:rPr>
        <w:t> </w:t>
      </w:r>
      <w:r>
        <w:rPr/>
        <w:t>ripping</w:t>
      </w:r>
      <w:r>
        <w:rPr>
          <w:spacing w:val="-4"/>
        </w:rPr>
        <w:t> </w:t>
      </w:r>
      <w:r>
        <w:rPr/>
        <w:t>disrupts</w:t>
      </w:r>
      <w:r>
        <w:rPr>
          <w:spacing w:val="-3"/>
        </w:rPr>
        <w:t> </w:t>
      </w:r>
      <w:r>
        <w:rPr/>
        <w:t>soil</w:t>
      </w:r>
      <w:r>
        <w:rPr>
          <w:spacing w:val="-3"/>
        </w:rPr>
        <w:t> </w:t>
      </w:r>
      <w:r>
        <w:rPr/>
        <w:t>but</w:t>
      </w:r>
      <w:r>
        <w:rPr>
          <w:spacing w:val="-4"/>
        </w:rPr>
        <w:t> </w:t>
      </w:r>
      <w:r>
        <w:rPr/>
        <w:t>can</w:t>
      </w:r>
      <w:r>
        <w:rPr>
          <w:spacing w:val="-4"/>
        </w:rPr>
        <w:t> </w:t>
      </w:r>
      <w:r>
        <w:rPr/>
        <w:t>promote stabilisation</w:t>
      </w:r>
      <w:r>
        <w:rPr>
          <w:spacing w:val="-4"/>
        </w:rPr>
        <w:t> </w:t>
      </w:r>
      <w:r>
        <w:rPr/>
        <w:t>over</w:t>
      </w:r>
      <w:r>
        <w:rPr>
          <w:spacing w:val="-4"/>
        </w:rPr>
        <w:t> </w:t>
      </w:r>
      <w:r>
        <w:rPr/>
        <w:t>time.</w:t>
      </w:r>
      <w:r>
        <w:rPr>
          <w:spacing w:val="-4"/>
        </w:rPr>
        <w:t> </w:t>
      </w:r>
      <w:r>
        <w:rPr/>
        <w:t>It</w:t>
      </w:r>
      <w:r>
        <w:rPr>
          <w:spacing w:val="-2"/>
        </w:rPr>
        <w:t> </w:t>
      </w:r>
      <w:r>
        <w:rPr/>
        <w:t>may</w:t>
      </w:r>
      <w:r>
        <w:rPr>
          <w:spacing w:val="-3"/>
        </w:rPr>
        <w:t> </w:t>
      </w:r>
      <w:r>
        <w:rPr/>
        <w:t>reduce</w:t>
      </w:r>
      <w:r>
        <w:rPr>
          <w:spacing w:val="-2"/>
        </w:rPr>
        <w:t> </w:t>
      </w:r>
      <w:r>
        <w:rPr/>
        <w:t>vegetation</w:t>
      </w:r>
      <w:r>
        <w:rPr>
          <w:spacing w:val="-4"/>
        </w:rPr>
        <w:t> </w:t>
      </w:r>
      <w:r>
        <w:rPr/>
        <w:t>diversity, favouring exotic species.</w:t>
      </w:r>
    </w:p>
    <w:p>
      <w:pPr>
        <w:spacing w:before="122"/>
        <w:ind w:left="312" w:right="0" w:firstLine="0"/>
        <w:jc w:val="left"/>
        <w:rPr>
          <w:b/>
          <w:sz w:val="20"/>
        </w:rPr>
      </w:pPr>
      <w:r>
        <w:rPr>
          <w:b/>
          <w:spacing w:val="-2"/>
          <w:sz w:val="20"/>
        </w:rPr>
        <w:t>Shooting</w:t>
      </w:r>
    </w:p>
    <w:p>
      <w:pPr>
        <w:pStyle w:val="BodyText"/>
        <w:ind w:left="312" w:right="544"/>
      </w:pPr>
      <w:r>
        <w:rPr/>
        <w:t>Lead</w:t>
      </w:r>
      <w:r>
        <w:rPr>
          <w:spacing w:val="-3"/>
        </w:rPr>
        <w:t> </w:t>
      </w:r>
      <w:r>
        <w:rPr/>
        <w:t>ammunition</w:t>
      </w:r>
      <w:r>
        <w:rPr>
          <w:spacing w:val="-4"/>
        </w:rPr>
        <w:t> </w:t>
      </w:r>
      <w:r>
        <w:rPr/>
        <w:t>poses</w:t>
      </w:r>
      <w:r>
        <w:rPr>
          <w:spacing w:val="-4"/>
        </w:rPr>
        <w:t> </w:t>
      </w:r>
      <w:r>
        <w:rPr/>
        <w:t>environmental</w:t>
      </w:r>
      <w:r>
        <w:rPr>
          <w:spacing w:val="-6"/>
        </w:rPr>
        <w:t> </w:t>
      </w:r>
      <w:r>
        <w:rPr/>
        <w:t>risks</w:t>
      </w:r>
      <w:r>
        <w:rPr>
          <w:spacing w:val="-4"/>
        </w:rPr>
        <w:t> </w:t>
      </w:r>
      <w:r>
        <w:rPr/>
        <w:t>by</w:t>
      </w:r>
      <w:r>
        <w:rPr>
          <w:spacing w:val="-4"/>
        </w:rPr>
        <w:t> </w:t>
      </w:r>
      <w:r>
        <w:rPr/>
        <w:t>contaminating</w:t>
      </w:r>
      <w:r>
        <w:rPr>
          <w:spacing w:val="-6"/>
        </w:rPr>
        <w:t> </w:t>
      </w:r>
      <w:r>
        <w:rPr/>
        <w:t>soil</w:t>
      </w:r>
      <w:r>
        <w:rPr>
          <w:spacing w:val="-4"/>
        </w:rPr>
        <w:t> </w:t>
      </w:r>
      <w:r>
        <w:rPr/>
        <w:t>and</w:t>
      </w:r>
      <w:r>
        <w:rPr>
          <w:spacing w:val="-3"/>
        </w:rPr>
        <w:t> </w:t>
      </w:r>
      <w:r>
        <w:rPr/>
        <w:t>water.</w:t>
      </w:r>
      <w:r>
        <w:rPr>
          <w:spacing w:val="-5"/>
        </w:rPr>
        <w:t> </w:t>
      </w:r>
      <w:r>
        <w:rPr/>
        <w:t>This</w:t>
      </w:r>
      <w:r>
        <w:rPr>
          <w:spacing w:val="-4"/>
        </w:rPr>
        <w:t> </w:t>
      </w:r>
      <w:r>
        <w:rPr/>
        <w:t>contamination</w:t>
      </w:r>
      <w:r>
        <w:rPr>
          <w:spacing w:val="-5"/>
        </w:rPr>
        <w:t> </w:t>
      </w:r>
      <w:r>
        <w:rPr/>
        <w:t>creates short-term environmental concerns and can influence scavenger populations. Although shooting disturbances are generally localised and temporary, they may still affect wildlife behaviour.</w:t>
      </w:r>
    </w:p>
    <w:p>
      <w:pPr>
        <w:spacing w:before="119"/>
        <w:ind w:left="312" w:right="0" w:firstLine="0"/>
        <w:jc w:val="left"/>
        <w:rPr>
          <w:b/>
          <w:sz w:val="20"/>
        </w:rPr>
      </w:pPr>
      <w:r>
        <w:rPr>
          <w:b/>
          <w:sz w:val="20"/>
        </w:rPr>
        <w:t>Livestock</w:t>
      </w:r>
      <w:r>
        <w:rPr>
          <w:b/>
          <w:spacing w:val="-10"/>
          <w:sz w:val="20"/>
        </w:rPr>
        <w:t> </w:t>
      </w:r>
      <w:r>
        <w:rPr>
          <w:b/>
          <w:sz w:val="20"/>
        </w:rPr>
        <w:t>Guardian</w:t>
      </w:r>
      <w:r>
        <w:rPr>
          <w:b/>
          <w:spacing w:val="-11"/>
          <w:sz w:val="20"/>
        </w:rPr>
        <w:t> </w:t>
      </w:r>
      <w:r>
        <w:rPr>
          <w:b/>
          <w:sz w:val="20"/>
        </w:rPr>
        <w:t>Animals</w:t>
      </w:r>
      <w:r>
        <w:rPr>
          <w:b/>
          <w:spacing w:val="-12"/>
          <w:sz w:val="20"/>
        </w:rPr>
        <w:t> </w:t>
      </w:r>
      <w:r>
        <w:rPr>
          <w:b/>
          <w:spacing w:val="-2"/>
          <w:sz w:val="20"/>
        </w:rPr>
        <w:t>(LGAs)</w:t>
      </w:r>
    </w:p>
    <w:p>
      <w:pPr>
        <w:pStyle w:val="BodyText"/>
        <w:ind w:left="312" w:right="232"/>
      </w:pPr>
      <w:r>
        <w:rPr/>
        <w:t>Proper containment of LGAs is essential to minimise environmental impacts. Livestock guardian dogs (LGDs)</w:t>
      </w:r>
      <w:r>
        <w:rPr>
          <w:spacing w:val="-2"/>
        </w:rPr>
        <w:t> </w:t>
      </w:r>
      <w:r>
        <w:rPr/>
        <w:t>that</w:t>
      </w:r>
      <w:r>
        <w:rPr>
          <w:spacing w:val="-3"/>
        </w:rPr>
        <w:t> </w:t>
      </w:r>
      <w:r>
        <w:rPr/>
        <w:t>roam</w:t>
      </w:r>
      <w:r>
        <w:rPr>
          <w:spacing w:val="-3"/>
        </w:rPr>
        <w:t> </w:t>
      </w:r>
      <w:r>
        <w:rPr/>
        <w:t>excessively</w:t>
      </w:r>
      <w:r>
        <w:rPr>
          <w:spacing w:val="-2"/>
        </w:rPr>
        <w:t> </w:t>
      </w:r>
      <w:r>
        <w:rPr/>
        <w:t>or</w:t>
      </w:r>
      <w:r>
        <w:rPr>
          <w:spacing w:val="-3"/>
        </w:rPr>
        <w:t> </w:t>
      </w:r>
      <w:r>
        <w:rPr/>
        <w:t>exhibit</w:t>
      </w:r>
      <w:r>
        <w:rPr>
          <w:spacing w:val="-3"/>
        </w:rPr>
        <w:t> </w:t>
      </w:r>
      <w:r>
        <w:rPr/>
        <w:t>aggression</w:t>
      </w:r>
      <w:r>
        <w:rPr>
          <w:spacing w:val="-3"/>
        </w:rPr>
        <w:t> </w:t>
      </w:r>
      <w:r>
        <w:rPr/>
        <w:t>may</w:t>
      </w:r>
      <w:r>
        <w:rPr>
          <w:spacing w:val="-2"/>
        </w:rPr>
        <w:t> </w:t>
      </w:r>
      <w:r>
        <w:rPr/>
        <w:t>pose</w:t>
      </w:r>
      <w:r>
        <w:rPr>
          <w:spacing w:val="-3"/>
        </w:rPr>
        <w:t> </w:t>
      </w:r>
      <w:r>
        <w:rPr/>
        <w:t>a</w:t>
      </w:r>
      <w:r>
        <w:rPr>
          <w:spacing w:val="-1"/>
        </w:rPr>
        <w:t> </w:t>
      </w:r>
      <w:r>
        <w:rPr/>
        <w:t>threat</w:t>
      </w:r>
      <w:r>
        <w:rPr>
          <w:spacing w:val="-3"/>
        </w:rPr>
        <w:t> </w:t>
      </w:r>
      <w:r>
        <w:rPr/>
        <w:t>to</w:t>
      </w:r>
      <w:r>
        <w:rPr>
          <w:spacing w:val="-1"/>
        </w:rPr>
        <w:t> </w:t>
      </w:r>
      <w:r>
        <w:rPr/>
        <w:t>non-target</w:t>
      </w:r>
      <w:r>
        <w:rPr>
          <w:spacing w:val="-3"/>
        </w:rPr>
        <w:t> </w:t>
      </w:r>
      <w:r>
        <w:rPr/>
        <w:t>wildlife</w:t>
      </w:r>
      <w:r>
        <w:rPr>
          <w:spacing w:val="-1"/>
        </w:rPr>
        <w:t> </w:t>
      </w:r>
      <w:r>
        <w:rPr/>
        <w:t>or</w:t>
      </w:r>
      <w:r>
        <w:rPr>
          <w:spacing w:val="-3"/>
        </w:rPr>
        <w:t> </w:t>
      </w:r>
      <w:r>
        <w:rPr/>
        <w:t>neighbouring livestock.</w:t>
      </w:r>
      <w:r>
        <w:rPr>
          <w:spacing w:val="-3"/>
        </w:rPr>
        <w:t> </w:t>
      </w:r>
      <w:r>
        <w:rPr/>
        <w:t>Similarly,</w:t>
      </w:r>
      <w:r>
        <w:rPr>
          <w:spacing w:val="-3"/>
        </w:rPr>
        <w:t> </w:t>
      </w:r>
      <w:r>
        <w:rPr/>
        <w:t>donkeys</w:t>
      </w:r>
      <w:r>
        <w:rPr>
          <w:spacing w:val="-2"/>
        </w:rPr>
        <w:t> </w:t>
      </w:r>
      <w:r>
        <w:rPr/>
        <w:t>used</w:t>
      </w:r>
      <w:r>
        <w:rPr>
          <w:spacing w:val="-4"/>
        </w:rPr>
        <w:t> </w:t>
      </w:r>
      <w:r>
        <w:rPr/>
        <w:t>as</w:t>
      </w:r>
      <w:r>
        <w:rPr>
          <w:spacing w:val="-2"/>
        </w:rPr>
        <w:t> </w:t>
      </w:r>
      <w:r>
        <w:rPr/>
        <w:t>guardians</w:t>
      </w:r>
      <w:r>
        <w:rPr>
          <w:spacing w:val="-2"/>
        </w:rPr>
        <w:t> </w:t>
      </w:r>
      <w:r>
        <w:rPr/>
        <w:t>may</w:t>
      </w:r>
      <w:r>
        <w:rPr>
          <w:spacing w:val="-2"/>
        </w:rPr>
        <w:t> </w:t>
      </w:r>
      <w:r>
        <w:rPr/>
        <w:t>contribute</w:t>
      </w:r>
      <w:r>
        <w:rPr>
          <w:spacing w:val="-2"/>
        </w:rPr>
        <w:t> </w:t>
      </w:r>
      <w:r>
        <w:rPr/>
        <w:t>to</w:t>
      </w:r>
      <w:r>
        <w:rPr>
          <w:spacing w:val="-4"/>
        </w:rPr>
        <w:t> </w:t>
      </w:r>
      <w:r>
        <w:rPr/>
        <w:t>environmental</w:t>
      </w:r>
      <w:r>
        <w:rPr>
          <w:spacing w:val="-2"/>
        </w:rPr>
        <w:t> </w:t>
      </w:r>
      <w:r>
        <w:rPr/>
        <w:t>harm</w:t>
      </w:r>
      <w:r>
        <w:rPr>
          <w:spacing w:val="-1"/>
        </w:rPr>
        <w:t> </w:t>
      </w:r>
      <w:r>
        <w:rPr/>
        <w:t>if</w:t>
      </w:r>
      <w:r>
        <w:rPr>
          <w:spacing w:val="-3"/>
        </w:rPr>
        <w:t> </w:t>
      </w:r>
      <w:r>
        <w:rPr/>
        <w:t>they</w:t>
      </w:r>
      <w:r>
        <w:rPr>
          <w:spacing w:val="-2"/>
        </w:rPr>
        <w:t> </w:t>
      </w:r>
      <w:r>
        <w:rPr/>
        <w:t>establish</w:t>
      </w:r>
      <w:r>
        <w:rPr>
          <w:spacing w:val="-1"/>
        </w:rPr>
        <w:t> </w:t>
      </w:r>
      <w:r>
        <w:rPr/>
        <w:t>feral populations in new areas.</w:t>
      </w:r>
    </w:p>
    <w:p>
      <w:pPr>
        <w:spacing w:before="120"/>
        <w:ind w:left="312" w:right="0" w:firstLine="0"/>
        <w:jc w:val="left"/>
        <w:rPr>
          <w:b/>
          <w:sz w:val="20"/>
        </w:rPr>
      </w:pPr>
      <w:r>
        <w:rPr>
          <w:b/>
          <w:spacing w:val="-2"/>
          <w:sz w:val="20"/>
        </w:rPr>
        <w:t>Fencing</w:t>
      </w:r>
    </w:p>
    <w:p>
      <w:pPr>
        <w:pStyle w:val="BodyText"/>
        <w:ind w:left="312" w:right="163"/>
      </w:pPr>
      <w:r>
        <w:rPr/>
        <w:t>Exclusion</w:t>
      </w:r>
      <w:r>
        <w:rPr>
          <w:spacing w:val="-5"/>
        </w:rPr>
        <w:t> </w:t>
      </w:r>
      <w:r>
        <w:rPr/>
        <w:t>fencing</w:t>
      </w:r>
      <w:r>
        <w:rPr>
          <w:spacing w:val="-5"/>
        </w:rPr>
        <w:t> </w:t>
      </w:r>
      <w:r>
        <w:rPr/>
        <w:t>requires</w:t>
      </w:r>
      <w:r>
        <w:rPr>
          <w:spacing w:val="-2"/>
        </w:rPr>
        <w:t> </w:t>
      </w:r>
      <w:r>
        <w:rPr/>
        <w:t>ground</w:t>
      </w:r>
      <w:r>
        <w:rPr>
          <w:spacing w:val="-5"/>
        </w:rPr>
        <w:t> </w:t>
      </w:r>
      <w:r>
        <w:rPr/>
        <w:t>access</w:t>
      </w:r>
      <w:r>
        <w:rPr>
          <w:spacing w:val="-4"/>
        </w:rPr>
        <w:t> </w:t>
      </w:r>
      <w:r>
        <w:rPr/>
        <w:t>for</w:t>
      </w:r>
      <w:r>
        <w:rPr>
          <w:spacing w:val="-4"/>
        </w:rPr>
        <w:t> </w:t>
      </w:r>
      <w:r>
        <w:rPr/>
        <w:t>installation</w:t>
      </w:r>
      <w:r>
        <w:rPr>
          <w:spacing w:val="-5"/>
        </w:rPr>
        <w:t> </w:t>
      </w:r>
      <w:r>
        <w:rPr/>
        <w:t>and</w:t>
      </w:r>
      <w:r>
        <w:rPr>
          <w:spacing w:val="-6"/>
        </w:rPr>
        <w:t> </w:t>
      </w:r>
      <w:r>
        <w:rPr/>
        <w:t>maintenance,</w:t>
      </w:r>
      <w:r>
        <w:rPr>
          <w:spacing w:val="-3"/>
        </w:rPr>
        <w:t> </w:t>
      </w:r>
      <w:r>
        <w:rPr/>
        <w:t>which</w:t>
      </w:r>
      <w:r>
        <w:rPr>
          <w:spacing w:val="-3"/>
        </w:rPr>
        <w:t> </w:t>
      </w:r>
      <w:r>
        <w:rPr/>
        <w:t>often</w:t>
      </w:r>
      <w:r>
        <w:rPr>
          <w:spacing w:val="-5"/>
        </w:rPr>
        <w:t> </w:t>
      </w:r>
      <w:r>
        <w:rPr/>
        <w:t>involves</w:t>
      </w:r>
      <w:r>
        <w:rPr>
          <w:spacing w:val="-4"/>
        </w:rPr>
        <w:t> </w:t>
      </w:r>
      <w:r>
        <w:rPr/>
        <w:t>vegetation clearance, earthworks, and vehicle traffic, all of which can have significant environmental effects.</w:t>
      </w:r>
    </w:p>
    <w:p>
      <w:pPr>
        <w:pStyle w:val="BodyText"/>
        <w:spacing w:before="1"/>
        <w:ind w:left="312"/>
      </w:pPr>
      <w:r>
        <w:rPr/>
        <w:t>Environmental</w:t>
      </w:r>
      <w:r>
        <w:rPr>
          <w:spacing w:val="-10"/>
        </w:rPr>
        <w:t> </w:t>
      </w:r>
      <w:r>
        <w:rPr/>
        <w:t>assessments</w:t>
      </w:r>
      <w:r>
        <w:rPr>
          <w:spacing w:val="-8"/>
        </w:rPr>
        <w:t> </w:t>
      </w:r>
      <w:r>
        <w:rPr/>
        <w:t>of</w:t>
      </w:r>
      <w:r>
        <w:rPr>
          <w:spacing w:val="-9"/>
        </w:rPr>
        <w:t> </w:t>
      </w:r>
      <w:r>
        <w:rPr/>
        <w:t>exclusion</w:t>
      </w:r>
      <w:r>
        <w:rPr>
          <w:spacing w:val="-9"/>
        </w:rPr>
        <w:t> </w:t>
      </w:r>
      <w:r>
        <w:rPr/>
        <w:t>fencing</w:t>
      </w:r>
      <w:r>
        <w:rPr>
          <w:spacing w:val="-9"/>
        </w:rPr>
        <w:t> </w:t>
      </w:r>
      <w:r>
        <w:rPr/>
        <w:t>in</w:t>
      </w:r>
      <w:r>
        <w:rPr>
          <w:spacing w:val="-7"/>
        </w:rPr>
        <w:t> </w:t>
      </w:r>
      <w:r>
        <w:rPr/>
        <w:t>Australian</w:t>
      </w:r>
      <w:r>
        <w:rPr>
          <w:spacing w:val="-9"/>
        </w:rPr>
        <w:t> </w:t>
      </w:r>
      <w:r>
        <w:rPr/>
        <w:t>agricultural</w:t>
      </w:r>
      <w:r>
        <w:rPr>
          <w:spacing w:val="-7"/>
        </w:rPr>
        <w:t> </w:t>
      </w:r>
      <w:r>
        <w:rPr/>
        <w:t>contexts</w:t>
      </w:r>
      <w:r>
        <w:rPr>
          <w:spacing w:val="-7"/>
        </w:rPr>
        <w:t> </w:t>
      </w:r>
      <w:r>
        <w:rPr/>
        <w:t>are</w:t>
      </w:r>
      <w:r>
        <w:rPr>
          <w:spacing w:val="-9"/>
        </w:rPr>
        <w:t> </w:t>
      </w:r>
      <w:r>
        <w:rPr/>
        <w:t>rarely</w:t>
      </w:r>
      <w:r>
        <w:rPr>
          <w:spacing w:val="-8"/>
        </w:rPr>
        <w:t> </w:t>
      </w:r>
      <w:r>
        <w:rPr>
          <w:spacing w:val="-2"/>
        </w:rPr>
        <w:t>conducted.</w:t>
      </w:r>
    </w:p>
    <w:p>
      <w:pPr>
        <w:pStyle w:val="Heading3"/>
        <w:spacing w:line="275" w:lineRule="exact" w:before="121"/>
        <w:ind w:left="312" w:firstLine="0"/>
      </w:pPr>
      <w:r>
        <w:rPr>
          <w:spacing w:val="-2"/>
        </w:rPr>
        <w:t>Conclusion</w:t>
      </w:r>
    </w:p>
    <w:p>
      <w:pPr>
        <w:pStyle w:val="BodyText"/>
        <w:ind w:left="312" w:right="206"/>
      </w:pPr>
      <w:r>
        <w:rPr/>
        <w:t>Viable alternatives to the use of 1080 exist, however all require careful, context specific consideration and are generally less cost-effective with varying animal welfare and social impacts. Effective pest management requires</w:t>
      </w:r>
      <w:r>
        <w:rPr>
          <w:spacing w:val="-3"/>
        </w:rPr>
        <w:t> </w:t>
      </w:r>
      <w:r>
        <w:rPr/>
        <w:t>the</w:t>
      </w:r>
      <w:r>
        <w:rPr>
          <w:spacing w:val="-3"/>
        </w:rPr>
        <w:t> </w:t>
      </w:r>
      <w:r>
        <w:rPr/>
        <w:t>adoption</w:t>
      </w:r>
      <w:r>
        <w:rPr>
          <w:spacing w:val="-3"/>
        </w:rPr>
        <w:t> </w:t>
      </w:r>
      <w:r>
        <w:rPr/>
        <w:t>of</w:t>
      </w:r>
      <w:r>
        <w:rPr>
          <w:spacing w:val="-4"/>
        </w:rPr>
        <w:t> </w:t>
      </w:r>
      <w:r>
        <w:rPr/>
        <w:t>adaptive,</w:t>
      </w:r>
      <w:r>
        <w:rPr>
          <w:spacing w:val="-4"/>
        </w:rPr>
        <w:t> </w:t>
      </w:r>
      <w:r>
        <w:rPr/>
        <w:t>evidence-based</w:t>
      </w:r>
      <w:r>
        <w:rPr>
          <w:spacing w:val="-5"/>
        </w:rPr>
        <w:t> </w:t>
      </w:r>
      <w:r>
        <w:rPr/>
        <w:t>strategies</w:t>
      </w:r>
      <w:r>
        <w:rPr>
          <w:spacing w:val="-3"/>
        </w:rPr>
        <w:t> </w:t>
      </w:r>
      <w:r>
        <w:rPr/>
        <w:t>that</w:t>
      </w:r>
      <w:r>
        <w:rPr>
          <w:spacing w:val="-4"/>
        </w:rPr>
        <w:t> </w:t>
      </w:r>
      <w:r>
        <w:rPr/>
        <w:t>balance</w:t>
      </w:r>
      <w:r>
        <w:rPr>
          <w:spacing w:val="-4"/>
        </w:rPr>
        <w:t> </w:t>
      </w:r>
      <w:r>
        <w:rPr/>
        <w:t>environmental,</w:t>
      </w:r>
      <w:r>
        <w:rPr>
          <w:spacing w:val="-4"/>
        </w:rPr>
        <w:t> </w:t>
      </w:r>
      <w:r>
        <w:rPr/>
        <w:t>social,</w:t>
      </w:r>
      <w:r>
        <w:rPr>
          <w:spacing w:val="-4"/>
        </w:rPr>
        <w:t> </w:t>
      </w:r>
      <w:r>
        <w:rPr/>
        <w:t>and</w:t>
      </w:r>
      <w:r>
        <w:rPr>
          <w:spacing w:val="-5"/>
        </w:rPr>
        <w:t> </w:t>
      </w:r>
      <w:r>
        <w:rPr/>
        <w:t>welfare concerns. Tailored approaches, supported by careful monitoring and cost assessments, are necessary to mitigate negative impacts and ensure long-term control of pest populations.</w:t>
      </w:r>
    </w:p>
    <w:p>
      <w:pPr>
        <w:spacing w:after="0"/>
        <w:sectPr>
          <w:pgSz w:w="11910" w:h="16850"/>
          <w:pgMar w:header="0" w:footer="688" w:top="1060" w:bottom="880" w:left="820" w:right="980"/>
        </w:sectPr>
      </w:pPr>
    </w:p>
    <w:p>
      <w:pPr>
        <w:pStyle w:val="Heading2"/>
        <w:numPr>
          <w:ilvl w:val="0"/>
          <w:numId w:val="11"/>
        </w:numPr>
        <w:tabs>
          <w:tab w:pos="740" w:val="left" w:leader="none"/>
        </w:tabs>
        <w:spacing w:line="240" w:lineRule="auto" w:before="61" w:after="0"/>
        <w:ind w:left="740" w:right="0" w:hanging="435"/>
        <w:jc w:val="left"/>
      </w:pPr>
      <w:bookmarkStart w:name="_TOC_250085" w:id="10"/>
      <w:bookmarkEnd w:id="10"/>
      <w:r>
        <w:rPr>
          <w:color w:val="001F5F"/>
          <w:spacing w:val="-2"/>
        </w:rPr>
        <w:t>Introduction</w:t>
      </w:r>
    </w:p>
    <w:p>
      <w:pPr>
        <w:pStyle w:val="BodyText"/>
        <w:spacing w:before="255"/>
        <w:rPr>
          <w:b/>
          <w:sz w:val="32"/>
        </w:rPr>
      </w:pPr>
    </w:p>
    <w:p>
      <w:pPr>
        <w:pStyle w:val="BodyText"/>
        <w:spacing w:before="1"/>
        <w:ind w:left="312"/>
      </w:pPr>
      <w:r>
        <w:rPr/>
        <w:t>Since European</w:t>
      </w:r>
      <w:r>
        <w:rPr>
          <w:spacing w:val="-2"/>
        </w:rPr>
        <w:t> </w:t>
      </w:r>
      <w:r>
        <w:rPr/>
        <w:t>settlement in 1788,</w:t>
      </w:r>
      <w:r>
        <w:rPr>
          <w:spacing w:val="-1"/>
        </w:rPr>
        <w:t> </w:t>
      </w:r>
      <w:r>
        <w:rPr/>
        <w:t>between</w:t>
      </w:r>
      <w:r>
        <w:rPr>
          <w:spacing w:val="-2"/>
        </w:rPr>
        <w:t> </w:t>
      </w:r>
      <w:r>
        <w:rPr/>
        <w:t>70</w:t>
      </w:r>
      <w:r>
        <w:rPr>
          <w:spacing w:val="-1"/>
        </w:rPr>
        <w:t> </w:t>
      </w:r>
      <w:r>
        <w:rPr/>
        <w:t>and 80</w:t>
      </w:r>
      <w:r>
        <w:rPr>
          <w:spacing w:val="-1"/>
        </w:rPr>
        <w:t> </w:t>
      </w:r>
      <w:r>
        <w:rPr/>
        <w:t>introduced</w:t>
      </w:r>
      <w:r>
        <w:rPr>
          <w:spacing w:val="-1"/>
        </w:rPr>
        <w:t> </w:t>
      </w:r>
      <w:r>
        <w:rPr/>
        <w:t>vertebrate pest</w:t>
      </w:r>
      <w:r>
        <w:rPr>
          <w:spacing w:val="-1"/>
        </w:rPr>
        <w:t> </w:t>
      </w:r>
      <w:r>
        <w:rPr/>
        <w:t>species have</w:t>
      </w:r>
      <w:r>
        <w:rPr>
          <w:spacing w:val="-1"/>
        </w:rPr>
        <w:t> </w:t>
      </w:r>
      <w:r>
        <w:rPr/>
        <w:t>established wild populations in Australia (West 2018). More than 30 of these species have been recognised as causing significant environmental, economic, and social harm (Bomford and Quentin 2002; Whisson and Ashman 2020). To minimise their impacts, both public and private land managers use a variety of control strategies, employing both lethal and non-lethal methods. Lethal tools include biological control agents, poisoning, shooting,</w:t>
      </w:r>
      <w:r>
        <w:rPr>
          <w:spacing w:val="-2"/>
        </w:rPr>
        <w:t> </w:t>
      </w:r>
      <w:r>
        <w:rPr/>
        <w:t>and</w:t>
      </w:r>
      <w:r>
        <w:rPr>
          <w:spacing w:val="-2"/>
        </w:rPr>
        <w:t> </w:t>
      </w:r>
      <w:r>
        <w:rPr/>
        <w:t>trapping,</w:t>
      </w:r>
      <w:r>
        <w:rPr>
          <w:spacing w:val="-4"/>
        </w:rPr>
        <w:t> </w:t>
      </w:r>
      <w:r>
        <w:rPr/>
        <w:t>while</w:t>
      </w:r>
      <w:r>
        <w:rPr>
          <w:spacing w:val="-4"/>
        </w:rPr>
        <w:t> </w:t>
      </w:r>
      <w:r>
        <w:rPr/>
        <w:t>non-lethal</w:t>
      </w:r>
      <w:r>
        <w:rPr>
          <w:spacing w:val="-5"/>
        </w:rPr>
        <w:t> </w:t>
      </w:r>
      <w:r>
        <w:rPr/>
        <w:t>methods</w:t>
      </w:r>
      <w:r>
        <w:rPr>
          <w:spacing w:val="-2"/>
        </w:rPr>
        <w:t> </w:t>
      </w:r>
      <w:r>
        <w:rPr/>
        <w:t>include</w:t>
      </w:r>
      <w:r>
        <w:rPr>
          <w:spacing w:val="-4"/>
        </w:rPr>
        <w:t> </w:t>
      </w:r>
      <w:r>
        <w:rPr/>
        <w:t>fencing,</w:t>
      </w:r>
      <w:r>
        <w:rPr>
          <w:spacing w:val="-1"/>
        </w:rPr>
        <w:t> </w:t>
      </w:r>
      <w:r>
        <w:rPr/>
        <w:t>livestock</w:t>
      </w:r>
      <w:r>
        <w:rPr>
          <w:spacing w:val="-2"/>
        </w:rPr>
        <w:t> </w:t>
      </w:r>
      <w:r>
        <w:rPr/>
        <w:t>guardian</w:t>
      </w:r>
      <w:r>
        <w:rPr>
          <w:spacing w:val="-3"/>
        </w:rPr>
        <w:t> </w:t>
      </w:r>
      <w:r>
        <w:rPr/>
        <w:t>animals</w:t>
      </w:r>
      <w:r>
        <w:rPr>
          <w:spacing w:val="-2"/>
        </w:rPr>
        <w:t> </w:t>
      </w:r>
      <w:r>
        <w:rPr/>
        <w:t>(LGAs),</w:t>
      </w:r>
      <w:r>
        <w:rPr>
          <w:spacing w:val="-4"/>
        </w:rPr>
        <w:t> </w:t>
      </w:r>
      <w:r>
        <w:rPr/>
        <w:t>on-farm practices, and deterrents (</w:t>
      </w:r>
      <w:hyperlink r:id="rId19">
        <w:r>
          <w:rPr>
            <w:color w:val="0000FF"/>
            <w:u w:val="single" w:color="0000FF"/>
          </w:rPr>
          <w:t>https://pestsmart.org.au/</w:t>
        </w:r>
      </w:hyperlink>
      <w:r>
        <w:rPr>
          <w:u w:val="none"/>
        </w:rPr>
        <w:t>).</w:t>
      </w:r>
    </w:p>
    <w:p>
      <w:pPr>
        <w:pStyle w:val="BodyText"/>
        <w:spacing w:before="120"/>
        <w:ind w:left="312" w:right="218"/>
      </w:pPr>
      <w:r>
        <w:rPr/>
        <w:t>One of the most used poisons is sodium fluoroacetate, also known as 1080, which serves as the active (toxic)</w:t>
      </w:r>
      <w:r>
        <w:rPr>
          <w:spacing w:val="-3"/>
        </w:rPr>
        <w:t> </w:t>
      </w:r>
      <w:r>
        <w:rPr/>
        <w:t>component</w:t>
      </w:r>
      <w:r>
        <w:rPr>
          <w:spacing w:val="-2"/>
        </w:rPr>
        <w:t> </w:t>
      </w:r>
      <w:r>
        <w:rPr/>
        <w:t>in</w:t>
      </w:r>
      <w:r>
        <w:rPr>
          <w:spacing w:val="-2"/>
        </w:rPr>
        <w:t> </w:t>
      </w:r>
      <w:r>
        <w:rPr/>
        <w:t>several</w:t>
      </w:r>
      <w:r>
        <w:rPr>
          <w:spacing w:val="-5"/>
        </w:rPr>
        <w:t> </w:t>
      </w:r>
      <w:r>
        <w:rPr/>
        <w:t>pest</w:t>
      </w:r>
      <w:r>
        <w:rPr>
          <w:spacing w:val="-4"/>
        </w:rPr>
        <w:t> </w:t>
      </w:r>
      <w:r>
        <w:rPr/>
        <w:t>bait</w:t>
      </w:r>
      <w:r>
        <w:rPr>
          <w:spacing w:val="-2"/>
        </w:rPr>
        <w:t> </w:t>
      </w:r>
      <w:r>
        <w:rPr/>
        <w:t>products</w:t>
      </w:r>
      <w:r>
        <w:rPr>
          <w:spacing w:val="-3"/>
        </w:rPr>
        <w:t> </w:t>
      </w:r>
      <w:r>
        <w:rPr/>
        <w:t>(Reddiex</w:t>
      </w:r>
      <w:r>
        <w:rPr>
          <w:spacing w:val="-3"/>
        </w:rPr>
        <w:t> </w:t>
      </w:r>
      <w:r>
        <w:rPr/>
        <w:t>et</w:t>
      </w:r>
      <w:r>
        <w:rPr>
          <w:spacing w:val="-4"/>
        </w:rPr>
        <w:t> </w:t>
      </w:r>
      <w:r>
        <w:rPr/>
        <w:t>al.</w:t>
      </w:r>
      <w:r>
        <w:rPr>
          <w:spacing w:val="-4"/>
        </w:rPr>
        <w:t> </w:t>
      </w:r>
      <w:r>
        <w:rPr/>
        <w:t>2006).</w:t>
      </w:r>
      <w:r>
        <w:rPr>
          <w:spacing w:val="-1"/>
        </w:rPr>
        <w:t> </w:t>
      </w:r>
      <w:r>
        <w:rPr/>
        <w:t>Products</w:t>
      </w:r>
      <w:r>
        <w:rPr>
          <w:spacing w:val="-3"/>
        </w:rPr>
        <w:t> </w:t>
      </w:r>
      <w:r>
        <w:rPr/>
        <w:t>containing</w:t>
      </w:r>
      <w:r>
        <w:rPr>
          <w:spacing w:val="-5"/>
        </w:rPr>
        <w:t> </w:t>
      </w:r>
      <w:r>
        <w:rPr/>
        <w:t>1080,</w:t>
      </w:r>
      <w:r>
        <w:rPr>
          <w:spacing w:val="-4"/>
        </w:rPr>
        <w:t> </w:t>
      </w:r>
      <w:r>
        <w:rPr/>
        <w:t>intended</w:t>
      </w:r>
      <w:r>
        <w:rPr>
          <w:spacing w:val="-4"/>
        </w:rPr>
        <w:t> </w:t>
      </w:r>
      <w:r>
        <w:rPr/>
        <w:t>for pest control, are registered with the Australian Pesticides and Veterinary Medicines Authority (APVMA). In Victoria, Agriculture Victoria regulates the use of 1080 and the toxin para-aminopropiophenone (PAPP), by restricting their supply and use to individuals holding an Agricultural Chemical Users Permit (ACUP) endorsed for the use of 1080 and PAPP, or other forms of authority. Victoria authorises the use of 1080 to control European Rabbits (</w:t>
      </w:r>
      <w:r>
        <w:rPr>
          <w:i/>
        </w:rPr>
        <w:t>Oryctolagus cuniculus</w:t>
      </w:r>
      <w:r>
        <w:rPr/>
        <w:t>; hereafter referred to as ‘rabbits’), Feral Pigs (</w:t>
      </w:r>
      <w:r>
        <w:rPr>
          <w:i/>
        </w:rPr>
        <w:t>Sus scrofa</w:t>
      </w:r>
      <w:r>
        <w:rPr/>
        <w:t>), Red Foxes (</w:t>
      </w:r>
      <w:r>
        <w:rPr>
          <w:i/>
        </w:rPr>
        <w:t>Vulpes vulpes</w:t>
      </w:r>
      <w:r>
        <w:rPr/>
        <w:t>; hereafter referred to as foxes) and Wild Dogs (see below for definition). These species are classified as established pest animals under the </w:t>
      </w:r>
      <w:r>
        <w:rPr>
          <w:i/>
        </w:rPr>
        <w:t>Catchment and Land Protection Act </w:t>
      </w:r>
      <w:r>
        <w:rPr/>
        <w:t>1994 (CaLP Act), which obliges landowners to take reasonable steps to prevent the spread of, and attempt to eradicate, these pests from their properties.</w:t>
      </w:r>
    </w:p>
    <w:p>
      <w:pPr>
        <w:pStyle w:val="BodyText"/>
        <w:spacing w:before="121"/>
        <w:ind w:left="312" w:right="247"/>
      </w:pPr>
      <w:r>
        <w:rPr/>
        <w:t>Recent research (Weeks et al. 2025) has indicated that Dingoes are a distinct canid linage, with Jackson et al.</w:t>
      </w:r>
      <w:r>
        <w:rPr>
          <w:spacing w:val="-3"/>
        </w:rPr>
        <w:t> </w:t>
      </w:r>
      <w:r>
        <w:rPr/>
        <w:t>(2021) describing</w:t>
      </w:r>
      <w:r>
        <w:rPr>
          <w:spacing w:val="-3"/>
        </w:rPr>
        <w:t> </w:t>
      </w:r>
      <w:r>
        <w:rPr/>
        <w:t>the</w:t>
      </w:r>
      <w:r>
        <w:rPr>
          <w:spacing w:val="-2"/>
        </w:rPr>
        <w:t> </w:t>
      </w:r>
      <w:r>
        <w:rPr/>
        <w:t>most</w:t>
      </w:r>
      <w:r>
        <w:rPr>
          <w:spacing w:val="-3"/>
        </w:rPr>
        <w:t> </w:t>
      </w:r>
      <w:r>
        <w:rPr/>
        <w:t>appropriate</w:t>
      </w:r>
      <w:r>
        <w:rPr>
          <w:spacing w:val="-4"/>
        </w:rPr>
        <w:t> </w:t>
      </w:r>
      <w:r>
        <w:rPr/>
        <w:t>taxonomic name as</w:t>
      </w:r>
      <w:r>
        <w:rPr>
          <w:spacing w:val="-2"/>
        </w:rPr>
        <w:t> </w:t>
      </w:r>
      <w:r>
        <w:rPr>
          <w:i/>
        </w:rPr>
        <w:t>Canis</w:t>
      </w:r>
      <w:r>
        <w:rPr>
          <w:i/>
          <w:spacing w:val="-1"/>
        </w:rPr>
        <w:t> </w:t>
      </w:r>
      <w:r>
        <w:rPr>
          <w:i/>
        </w:rPr>
        <w:t>familiaris</w:t>
      </w:r>
      <w:r>
        <w:rPr/>
        <w:t>,</w:t>
      </w:r>
      <w:r>
        <w:rPr>
          <w:spacing w:val="-3"/>
        </w:rPr>
        <w:t> </w:t>
      </w:r>
      <w:r>
        <w:rPr/>
        <w:t>while</w:t>
      </w:r>
      <w:r>
        <w:rPr>
          <w:spacing w:val="-3"/>
        </w:rPr>
        <w:t> </w:t>
      </w:r>
      <w:r>
        <w:rPr/>
        <w:t>the</w:t>
      </w:r>
      <w:r>
        <w:rPr>
          <w:spacing w:val="-3"/>
        </w:rPr>
        <w:t> </w:t>
      </w:r>
      <w:r>
        <w:rPr>
          <w:i/>
        </w:rPr>
        <w:t>Victorian</w:t>
      </w:r>
      <w:r>
        <w:rPr>
          <w:i/>
          <w:spacing w:val="-4"/>
        </w:rPr>
        <w:t> </w:t>
      </w:r>
      <w:r>
        <w:rPr>
          <w:i/>
        </w:rPr>
        <w:t>Flora</w:t>
      </w:r>
      <w:r>
        <w:rPr>
          <w:i/>
          <w:spacing w:val="-1"/>
        </w:rPr>
        <w:t> </w:t>
      </w:r>
      <w:r>
        <w:rPr>
          <w:i/>
        </w:rPr>
        <w:t>and</w:t>
      </w:r>
      <w:r>
        <w:rPr>
          <w:i/>
        </w:rPr>
        <w:t> Fauna Act 1988 </w:t>
      </w:r>
      <w:r>
        <w:rPr/>
        <w:t>(FFG Act) classifies </w:t>
      </w:r>
      <w:r>
        <w:rPr>
          <w:i/>
        </w:rPr>
        <w:t>C. lupus dingo </w:t>
      </w:r>
      <w:r>
        <w:rPr/>
        <w:t>as a threatened species that are protected as ‘threatened wildlife’ under the Wildlife Act 1975. The regulations for the use of 1080 and PAPP in Victoria and the APVMA approved labels of registered for 1080 and PAPP products refers to ‘Wild Dogs’. The meaning of ‘Wild Dogs’ under Victorian regulation for the use of 1080 and PAPP does not include Dingoes, except where Dingoes are unprotected by an Order under section 7A of the </w:t>
      </w:r>
      <w:r>
        <w:rPr>
          <w:i/>
        </w:rPr>
        <w:t>Wildlife Act </w:t>
      </w:r>
      <w:r>
        <w:rPr/>
        <w:t>1975 or where the control of Dingoes by poisoning is otherwise permitted under the </w:t>
      </w:r>
      <w:r>
        <w:rPr>
          <w:i/>
        </w:rPr>
        <w:t>Wildlife Act </w:t>
      </w:r>
      <w:r>
        <w:rPr/>
        <w:t>1975. A Governor-in-Council Order</w:t>
      </w:r>
      <w:r>
        <w:rPr>
          <w:spacing w:val="-1"/>
        </w:rPr>
        <w:t> </w:t>
      </w:r>
      <w:r>
        <w:rPr/>
        <w:t>made</w:t>
      </w:r>
      <w:r>
        <w:rPr>
          <w:spacing w:val="-1"/>
        </w:rPr>
        <w:t> </w:t>
      </w:r>
      <w:r>
        <w:rPr/>
        <w:t>in</w:t>
      </w:r>
      <w:r>
        <w:rPr>
          <w:spacing w:val="-2"/>
        </w:rPr>
        <w:t> </w:t>
      </w:r>
      <w:r>
        <w:rPr/>
        <w:t>September 2018 and remade in September</w:t>
      </w:r>
      <w:r>
        <w:rPr>
          <w:spacing w:val="-2"/>
        </w:rPr>
        <w:t> </w:t>
      </w:r>
      <w:r>
        <w:rPr/>
        <w:t>2023 and</w:t>
      </w:r>
      <w:r>
        <w:rPr>
          <w:spacing w:val="-2"/>
        </w:rPr>
        <w:t> </w:t>
      </w:r>
      <w:r>
        <w:rPr/>
        <w:t>again</w:t>
      </w:r>
      <w:r>
        <w:rPr>
          <w:spacing w:val="-2"/>
        </w:rPr>
        <w:t> </w:t>
      </w:r>
      <w:r>
        <w:rPr/>
        <w:t>in</w:t>
      </w:r>
      <w:r>
        <w:rPr>
          <w:spacing w:val="-1"/>
        </w:rPr>
        <w:t> </w:t>
      </w:r>
      <w:r>
        <w:rPr/>
        <w:t>October</w:t>
      </w:r>
      <w:r>
        <w:rPr>
          <w:spacing w:val="-2"/>
        </w:rPr>
        <w:t> </w:t>
      </w:r>
      <w:r>
        <w:rPr/>
        <w:t>2024</w:t>
      </w:r>
      <w:r>
        <w:rPr>
          <w:spacing w:val="-1"/>
        </w:rPr>
        <w:t> </w:t>
      </w:r>
      <w:r>
        <w:rPr/>
        <w:t>and</w:t>
      </w:r>
      <w:r>
        <w:rPr>
          <w:spacing w:val="-2"/>
        </w:rPr>
        <w:t> </w:t>
      </w:r>
      <w:r>
        <w:rPr/>
        <w:t>expiring</w:t>
      </w:r>
      <w:r>
        <w:rPr>
          <w:spacing w:val="-1"/>
        </w:rPr>
        <w:t> </w:t>
      </w:r>
      <w:r>
        <w:rPr/>
        <w:t>on 01 January 2028 unprotects Dingoes living in the wild allowing for their killing in specified areas in eastern Victoria.</w:t>
      </w:r>
      <w:r>
        <w:rPr>
          <w:spacing w:val="-2"/>
        </w:rPr>
        <w:t> </w:t>
      </w:r>
      <w:r>
        <w:rPr/>
        <w:t>Wild</w:t>
      </w:r>
      <w:r>
        <w:rPr>
          <w:spacing w:val="-2"/>
        </w:rPr>
        <w:t> </w:t>
      </w:r>
      <w:r>
        <w:rPr/>
        <w:t>dogs</w:t>
      </w:r>
      <w:r>
        <w:rPr>
          <w:spacing w:val="-1"/>
        </w:rPr>
        <w:t> </w:t>
      </w:r>
      <w:r>
        <w:rPr/>
        <w:t>are</w:t>
      </w:r>
      <w:r>
        <w:rPr>
          <w:spacing w:val="-4"/>
        </w:rPr>
        <w:t> </w:t>
      </w:r>
      <w:r>
        <w:rPr/>
        <w:t>also</w:t>
      </w:r>
      <w:r>
        <w:rPr>
          <w:spacing w:val="-2"/>
        </w:rPr>
        <w:t> </w:t>
      </w:r>
      <w:r>
        <w:rPr/>
        <w:t>defined</w:t>
      </w:r>
      <w:r>
        <w:rPr>
          <w:spacing w:val="-4"/>
        </w:rPr>
        <w:t> </w:t>
      </w:r>
      <w:r>
        <w:rPr/>
        <w:t>under</w:t>
      </w:r>
      <w:r>
        <w:rPr>
          <w:spacing w:val="-3"/>
        </w:rPr>
        <w:t> </w:t>
      </w:r>
      <w:r>
        <w:rPr/>
        <w:t>the</w:t>
      </w:r>
      <w:r>
        <w:rPr>
          <w:spacing w:val="-5"/>
        </w:rPr>
        <w:t> </w:t>
      </w:r>
      <w:r>
        <w:rPr/>
        <w:t>CaLP</w:t>
      </w:r>
      <w:r>
        <w:rPr>
          <w:spacing w:val="-4"/>
        </w:rPr>
        <w:t> </w:t>
      </w:r>
      <w:r>
        <w:rPr/>
        <w:t>Act</w:t>
      </w:r>
      <w:r>
        <w:rPr>
          <w:spacing w:val="-4"/>
        </w:rPr>
        <w:t> </w:t>
      </w:r>
      <w:r>
        <w:rPr/>
        <w:t>as</w:t>
      </w:r>
      <w:r>
        <w:rPr>
          <w:spacing w:val="-3"/>
        </w:rPr>
        <w:t> </w:t>
      </w:r>
      <w:r>
        <w:rPr/>
        <w:t>established</w:t>
      </w:r>
      <w:r>
        <w:rPr>
          <w:spacing w:val="-4"/>
        </w:rPr>
        <w:t> </w:t>
      </w:r>
      <w:r>
        <w:rPr/>
        <w:t>pet</w:t>
      </w:r>
      <w:r>
        <w:rPr>
          <w:spacing w:val="-4"/>
        </w:rPr>
        <w:t> </w:t>
      </w:r>
      <w:r>
        <w:rPr/>
        <w:t>animals.</w:t>
      </w:r>
      <w:r>
        <w:rPr>
          <w:spacing w:val="-4"/>
        </w:rPr>
        <w:t> </w:t>
      </w:r>
      <w:r>
        <w:rPr/>
        <w:t>For</w:t>
      </w:r>
      <w:r>
        <w:rPr>
          <w:spacing w:val="-3"/>
        </w:rPr>
        <w:t> </w:t>
      </w:r>
      <w:r>
        <w:rPr/>
        <w:t>the</w:t>
      </w:r>
      <w:r>
        <w:rPr>
          <w:spacing w:val="-4"/>
        </w:rPr>
        <w:t> </w:t>
      </w:r>
      <w:r>
        <w:rPr/>
        <w:t>purposes</w:t>
      </w:r>
      <w:r>
        <w:rPr>
          <w:spacing w:val="-3"/>
        </w:rPr>
        <w:t> </w:t>
      </w:r>
      <w:r>
        <w:rPr/>
        <w:t>of</w:t>
      </w:r>
      <w:r>
        <w:rPr>
          <w:spacing w:val="-4"/>
        </w:rPr>
        <w:t> </w:t>
      </w:r>
      <w:r>
        <w:rPr/>
        <w:t>this review when we refer to Dingo, we are referring to animals that are unprotected unless otherwise specified.</w:t>
      </w:r>
    </w:p>
    <w:p>
      <w:pPr>
        <w:pStyle w:val="BodyText"/>
        <w:spacing w:before="120"/>
        <w:ind w:left="312" w:right="193"/>
      </w:pPr>
      <w:r>
        <w:rPr/>
        <w:t>As part of coordinated, cross-tenure pest management programmes, 1080 plays an important role in combination with other control methods to reduce established pest species. It is routinely used to manage populations of European Rabbits, Feral Pigs, foxes, and Dingoes and Wild Dogs. A recent survey of 1080- and PAPP-endorsed ACUP holders found that most respondents (94% for foxes, 93% for Wild Dogs, 92%</w:t>
      </w:r>
      <w:r>
        <w:rPr>
          <w:spacing w:val="40"/>
        </w:rPr>
        <w:t> </w:t>
      </w:r>
      <w:r>
        <w:rPr/>
        <w:t>for</w:t>
      </w:r>
      <w:r>
        <w:rPr>
          <w:spacing w:val="-4"/>
        </w:rPr>
        <w:t> </w:t>
      </w:r>
      <w:r>
        <w:rPr/>
        <w:t>rabbits,</w:t>
      </w:r>
      <w:r>
        <w:rPr>
          <w:spacing w:val="-4"/>
        </w:rPr>
        <w:t> </w:t>
      </w:r>
      <w:r>
        <w:rPr/>
        <w:t>and</w:t>
      </w:r>
      <w:r>
        <w:rPr>
          <w:spacing w:val="-5"/>
        </w:rPr>
        <w:t> </w:t>
      </w:r>
      <w:r>
        <w:rPr/>
        <w:t>88%</w:t>
      </w:r>
      <w:r>
        <w:rPr>
          <w:spacing w:val="-4"/>
        </w:rPr>
        <w:t> </w:t>
      </w:r>
      <w:r>
        <w:rPr/>
        <w:t>for</w:t>
      </w:r>
      <w:r>
        <w:rPr>
          <w:spacing w:val="-1"/>
        </w:rPr>
        <w:t> </w:t>
      </w:r>
      <w:r>
        <w:rPr/>
        <w:t>Feral</w:t>
      </w:r>
      <w:r>
        <w:rPr>
          <w:spacing w:val="-3"/>
        </w:rPr>
        <w:t> </w:t>
      </w:r>
      <w:r>
        <w:rPr/>
        <w:t>Pigs)</w:t>
      </w:r>
      <w:r>
        <w:rPr>
          <w:spacing w:val="-3"/>
        </w:rPr>
        <w:t> </w:t>
      </w:r>
      <w:r>
        <w:rPr/>
        <w:t>consider</w:t>
      </w:r>
      <w:r>
        <w:rPr>
          <w:spacing w:val="-1"/>
        </w:rPr>
        <w:t> </w:t>
      </w:r>
      <w:r>
        <w:rPr/>
        <w:t>it</w:t>
      </w:r>
      <w:r>
        <w:rPr>
          <w:spacing w:val="-4"/>
        </w:rPr>
        <w:t> </w:t>
      </w:r>
      <w:r>
        <w:rPr/>
        <w:t>essential</w:t>
      </w:r>
      <w:r>
        <w:rPr>
          <w:spacing w:val="-5"/>
        </w:rPr>
        <w:t> </w:t>
      </w:r>
      <w:r>
        <w:rPr/>
        <w:t>for</w:t>
      </w:r>
      <w:r>
        <w:rPr>
          <w:spacing w:val="-3"/>
        </w:rPr>
        <w:t> </w:t>
      </w:r>
      <w:r>
        <w:rPr/>
        <w:t>effective</w:t>
      </w:r>
      <w:r>
        <w:rPr>
          <w:spacing w:val="-2"/>
        </w:rPr>
        <w:t> </w:t>
      </w:r>
      <w:r>
        <w:rPr/>
        <w:t>pest</w:t>
      </w:r>
      <w:r>
        <w:rPr>
          <w:spacing w:val="-4"/>
        </w:rPr>
        <w:t> </w:t>
      </w:r>
      <w:r>
        <w:rPr/>
        <w:t>control (Quantum</w:t>
      </w:r>
      <w:r>
        <w:rPr>
          <w:spacing w:val="-4"/>
        </w:rPr>
        <w:t> </w:t>
      </w:r>
      <w:r>
        <w:rPr/>
        <w:t>Market</w:t>
      </w:r>
      <w:r>
        <w:rPr>
          <w:spacing w:val="-4"/>
        </w:rPr>
        <w:t> </w:t>
      </w:r>
      <w:r>
        <w:rPr/>
        <w:t>Research </w:t>
      </w:r>
      <w:r>
        <w:rPr>
          <w:spacing w:val="-2"/>
        </w:rPr>
        <w:t>2024).</w:t>
      </w:r>
    </w:p>
    <w:p>
      <w:pPr>
        <w:pStyle w:val="BodyText"/>
        <w:spacing w:before="120"/>
        <w:ind w:left="312" w:right="163"/>
      </w:pPr>
      <w:r>
        <w:rPr/>
        <w:t>Stakeholder opinions on 1080 vary widely. Some advocate for its prohibition due to concerns about animal welfare and environmental impacts, while others consider it a vital tool for cost-effective, large-scale pest control. Numerous other methods are available for use in managing pest animals, which are often used in conjunction with 1080 as part of integrated control programmes, each with their own advantages and limitations.</w:t>
      </w:r>
      <w:r>
        <w:rPr>
          <w:spacing w:val="-2"/>
        </w:rPr>
        <w:t> </w:t>
      </w:r>
      <w:r>
        <w:rPr/>
        <w:t>These other</w:t>
      </w:r>
      <w:r>
        <w:rPr>
          <w:spacing w:val="-2"/>
        </w:rPr>
        <w:t> </w:t>
      </w:r>
      <w:r>
        <w:rPr/>
        <w:t>methods require thorough</w:t>
      </w:r>
      <w:r>
        <w:rPr>
          <w:spacing w:val="-2"/>
        </w:rPr>
        <w:t> </w:t>
      </w:r>
      <w:r>
        <w:rPr/>
        <w:t>evaluation</w:t>
      </w:r>
      <w:r>
        <w:rPr>
          <w:spacing w:val="-1"/>
        </w:rPr>
        <w:t> </w:t>
      </w:r>
      <w:r>
        <w:rPr/>
        <w:t>and</w:t>
      </w:r>
      <w:r>
        <w:rPr>
          <w:spacing w:val="-2"/>
        </w:rPr>
        <w:t> </w:t>
      </w:r>
      <w:r>
        <w:rPr/>
        <w:t>comparison</w:t>
      </w:r>
      <w:r>
        <w:rPr>
          <w:spacing w:val="-1"/>
        </w:rPr>
        <w:t> </w:t>
      </w:r>
      <w:r>
        <w:rPr/>
        <w:t>to</w:t>
      </w:r>
      <w:r>
        <w:rPr>
          <w:spacing w:val="-3"/>
        </w:rPr>
        <w:t> </w:t>
      </w:r>
      <w:r>
        <w:rPr/>
        <w:t>guide</w:t>
      </w:r>
      <w:r>
        <w:rPr>
          <w:spacing w:val="-2"/>
        </w:rPr>
        <w:t> </w:t>
      </w:r>
      <w:r>
        <w:rPr/>
        <w:t>best practices in</w:t>
      </w:r>
      <w:r>
        <w:rPr>
          <w:spacing w:val="-2"/>
        </w:rPr>
        <w:t> </w:t>
      </w:r>
      <w:r>
        <w:rPr/>
        <w:t>pest management and determine the role of 1080 within this framework. According to the recent ACUP permit holder</w:t>
      </w:r>
      <w:r>
        <w:rPr>
          <w:spacing w:val="-3"/>
        </w:rPr>
        <w:t> </w:t>
      </w:r>
      <w:r>
        <w:rPr/>
        <w:t>survey,</w:t>
      </w:r>
      <w:r>
        <w:rPr>
          <w:spacing w:val="-4"/>
        </w:rPr>
        <w:t> </w:t>
      </w:r>
      <w:r>
        <w:rPr/>
        <w:t>the</w:t>
      </w:r>
      <w:r>
        <w:rPr>
          <w:spacing w:val="-2"/>
        </w:rPr>
        <w:t> </w:t>
      </w:r>
      <w:r>
        <w:rPr/>
        <w:t>majority</w:t>
      </w:r>
      <w:r>
        <w:rPr>
          <w:spacing w:val="-3"/>
        </w:rPr>
        <w:t> </w:t>
      </w:r>
      <w:r>
        <w:rPr/>
        <w:t>of</w:t>
      </w:r>
      <w:r>
        <w:rPr>
          <w:spacing w:val="-4"/>
        </w:rPr>
        <w:t> </w:t>
      </w:r>
      <w:r>
        <w:rPr/>
        <w:t>1080</w:t>
      </w:r>
      <w:r>
        <w:rPr>
          <w:spacing w:val="-2"/>
        </w:rPr>
        <w:t> </w:t>
      </w:r>
      <w:r>
        <w:rPr/>
        <w:t>users</w:t>
      </w:r>
      <w:r>
        <w:rPr>
          <w:spacing w:val="-2"/>
        </w:rPr>
        <w:t> </w:t>
      </w:r>
      <w:r>
        <w:rPr/>
        <w:t>also</w:t>
      </w:r>
      <w:r>
        <w:rPr>
          <w:spacing w:val="-2"/>
        </w:rPr>
        <w:t> </w:t>
      </w:r>
      <w:r>
        <w:rPr/>
        <w:t>employed</w:t>
      </w:r>
      <w:r>
        <w:rPr>
          <w:spacing w:val="-4"/>
        </w:rPr>
        <w:t> </w:t>
      </w:r>
      <w:r>
        <w:rPr/>
        <w:t>other</w:t>
      </w:r>
      <w:r>
        <w:rPr>
          <w:spacing w:val="-4"/>
        </w:rPr>
        <w:t> </w:t>
      </w:r>
      <w:r>
        <w:rPr/>
        <w:t>control</w:t>
      </w:r>
      <w:r>
        <w:rPr>
          <w:spacing w:val="-5"/>
        </w:rPr>
        <w:t> </w:t>
      </w:r>
      <w:r>
        <w:rPr/>
        <w:t>methods</w:t>
      </w:r>
      <w:r>
        <w:rPr>
          <w:spacing w:val="-3"/>
        </w:rPr>
        <w:t> </w:t>
      </w:r>
      <w:r>
        <w:rPr/>
        <w:t>over</w:t>
      </w:r>
      <w:r>
        <w:rPr>
          <w:spacing w:val="-4"/>
        </w:rPr>
        <w:t> </w:t>
      </w:r>
      <w:r>
        <w:rPr/>
        <w:t>the</w:t>
      </w:r>
      <w:r>
        <w:rPr>
          <w:spacing w:val="-2"/>
        </w:rPr>
        <w:t> </w:t>
      </w:r>
      <w:r>
        <w:rPr/>
        <w:t>past</w:t>
      </w:r>
      <w:r>
        <w:rPr>
          <w:spacing w:val="-4"/>
        </w:rPr>
        <w:t> </w:t>
      </w:r>
      <w:r>
        <w:rPr/>
        <w:t>five</w:t>
      </w:r>
      <w:r>
        <w:rPr>
          <w:spacing w:val="-4"/>
        </w:rPr>
        <w:t> </w:t>
      </w:r>
      <w:r>
        <w:rPr/>
        <w:t>years: 98% for rabbits, 96% for Feral Pigs, 89% for foxes, and 91% for Dingoes and Wild Dogs (Quantum Market Research 2024).</w:t>
      </w:r>
    </w:p>
    <w:p>
      <w:pPr>
        <w:pStyle w:val="BodyText"/>
        <w:spacing w:line="259" w:lineRule="auto" w:before="120"/>
        <w:ind w:left="312" w:right="278"/>
      </w:pPr>
      <w:r>
        <w:rPr/>
        <w:t>Vertebrate pest problems are foremost economic, political</w:t>
      </w:r>
      <w:r>
        <w:rPr>
          <w:spacing w:val="-1"/>
        </w:rPr>
        <w:t> </w:t>
      </w:r>
      <w:r>
        <w:rPr/>
        <w:t>and social</w:t>
      </w:r>
      <w:r>
        <w:rPr>
          <w:spacing w:val="-1"/>
        </w:rPr>
        <w:t> </w:t>
      </w:r>
      <w:r>
        <w:rPr/>
        <w:t>rather than purely biological problems or</w:t>
      </w:r>
      <w:r>
        <w:rPr>
          <w:spacing w:val="-2"/>
        </w:rPr>
        <w:t> </w:t>
      </w:r>
      <w:r>
        <w:rPr/>
        <w:t>strictly</w:t>
      </w:r>
      <w:r>
        <w:rPr>
          <w:spacing w:val="-1"/>
        </w:rPr>
        <w:t> </w:t>
      </w:r>
      <w:r>
        <w:rPr/>
        <w:t>technical</w:t>
      </w:r>
      <w:r>
        <w:rPr>
          <w:spacing w:val="-1"/>
        </w:rPr>
        <w:t> </w:t>
      </w:r>
      <w:r>
        <w:rPr/>
        <w:t>in nature. Consequently, there</w:t>
      </w:r>
      <w:r>
        <w:rPr>
          <w:spacing w:val="-2"/>
        </w:rPr>
        <w:t> </w:t>
      </w:r>
      <w:r>
        <w:rPr/>
        <w:t>needs</w:t>
      </w:r>
      <w:r>
        <w:rPr>
          <w:spacing w:val="-1"/>
        </w:rPr>
        <w:t> </w:t>
      </w:r>
      <w:r>
        <w:rPr/>
        <w:t>to</w:t>
      </w:r>
      <w:r>
        <w:rPr>
          <w:spacing w:val="-3"/>
        </w:rPr>
        <w:t> </w:t>
      </w:r>
      <w:r>
        <w:rPr/>
        <w:t>be</w:t>
      </w:r>
      <w:r>
        <w:rPr>
          <w:spacing w:val="-2"/>
        </w:rPr>
        <w:t> </w:t>
      </w:r>
      <w:r>
        <w:rPr/>
        <w:t>consideration of</w:t>
      </w:r>
      <w:r>
        <w:rPr>
          <w:spacing w:val="-2"/>
        </w:rPr>
        <w:t> </w:t>
      </w:r>
      <w:r>
        <w:rPr/>
        <w:t>the 'human dimensions’ that arise when implementing control actions. Assessing the efficacy of control actions does not explicitly consider</w:t>
      </w:r>
      <w:r>
        <w:rPr>
          <w:spacing w:val="-3"/>
        </w:rPr>
        <w:t> </w:t>
      </w:r>
      <w:r>
        <w:rPr/>
        <w:t>the</w:t>
      </w:r>
      <w:r>
        <w:rPr>
          <w:spacing w:val="-3"/>
        </w:rPr>
        <w:t> </w:t>
      </w:r>
      <w:r>
        <w:rPr/>
        <w:t>ethical</w:t>
      </w:r>
      <w:r>
        <w:rPr>
          <w:spacing w:val="-3"/>
        </w:rPr>
        <w:t> </w:t>
      </w:r>
      <w:r>
        <w:rPr/>
        <w:t>issue</w:t>
      </w:r>
      <w:r>
        <w:rPr>
          <w:spacing w:val="-2"/>
        </w:rPr>
        <w:t> </w:t>
      </w:r>
      <w:r>
        <w:rPr/>
        <w:t>of</w:t>
      </w:r>
      <w:r>
        <w:rPr>
          <w:spacing w:val="-4"/>
        </w:rPr>
        <w:t> </w:t>
      </w:r>
      <w:r>
        <w:rPr/>
        <w:t>controlling</w:t>
      </w:r>
      <w:r>
        <w:rPr>
          <w:spacing w:val="-3"/>
        </w:rPr>
        <w:t> </w:t>
      </w:r>
      <w:r>
        <w:rPr/>
        <w:t>pest</w:t>
      </w:r>
      <w:r>
        <w:rPr>
          <w:spacing w:val="-4"/>
        </w:rPr>
        <w:t> </w:t>
      </w:r>
      <w:r>
        <w:rPr/>
        <w:t>species</w:t>
      </w:r>
      <w:r>
        <w:rPr>
          <w:spacing w:val="-3"/>
        </w:rPr>
        <w:t> </w:t>
      </w:r>
      <w:r>
        <w:rPr/>
        <w:t>or the</w:t>
      </w:r>
      <w:r>
        <w:rPr>
          <w:spacing w:val="-3"/>
        </w:rPr>
        <w:t> </w:t>
      </w:r>
      <w:r>
        <w:rPr/>
        <w:t>unintended</w:t>
      </w:r>
      <w:r>
        <w:rPr>
          <w:spacing w:val="-4"/>
        </w:rPr>
        <w:t> </w:t>
      </w:r>
      <w:r>
        <w:rPr/>
        <w:t>consequences</w:t>
      </w:r>
      <w:r>
        <w:rPr>
          <w:spacing w:val="-3"/>
        </w:rPr>
        <w:t> </w:t>
      </w:r>
      <w:r>
        <w:rPr/>
        <w:t>of</w:t>
      </w:r>
      <w:r>
        <w:rPr>
          <w:spacing w:val="-4"/>
        </w:rPr>
        <w:t> </w:t>
      </w:r>
      <w:r>
        <w:rPr/>
        <w:t>potentially</w:t>
      </w:r>
      <w:r>
        <w:rPr>
          <w:spacing w:val="-3"/>
        </w:rPr>
        <w:t> </w:t>
      </w:r>
      <w:r>
        <w:rPr/>
        <w:t>harming or</w:t>
      </w:r>
      <w:r>
        <w:rPr>
          <w:spacing w:val="-2"/>
        </w:rPr>
        <w:t> </w:t>
      </w:r>
      <w:r>
        <w:rPr/>
        <w:t>killing</w:t>
      </w:r>
      <w:r>
        <w:rPr>
          <w:spacing w:val="-2"/>
        </w:rPr>
        <w:t> </w:t>
      </w:r>
      <w:r>
        <w:rPr/>
        <w:t>some</w:t>
      </w:r>
      <w:r>
        <w:rPr>
          <w:spacing w:val="-2"/>
        </w:rPr>
        <w:t> </w:t>
      </w:r>
      <w:r>
        <w:rPr/>
        <w:t>individuals</w:t>
      </w:r>
      <w:r>
        <w:rPr>
          <w:spacing w:val="-1"/>
        </w:rPr>
        <w:t> </w:t>
      </w:r>
      <w:r>
        <w:rPr/>
        <w:t>to</w:t>
      </w:r>
      <w:r>
        <w:rPr>
          <w:spacing w:val="-2"/>
        </w:rPr>
        <w:t> </w:t>
      </w:r>
      <w:r>
        <w:rPr/>
        <w:t>benefit</w:t>
      </w:r>
      <w:r>
        <w:rPr>
          <w:spacing w:val="-2"/>
        </w:rPr>
        <w:t> </w:t>
      </w:r>
      <w:r>
        <w:rPr/>
        <w:t>populations</w:t>
      </w:r>
      <w:r>
        <w:rPr>
          <w:spacing w:val="-1"/>
        </w:rPr>
        <w:t> </w:t>
      </w:r>
      <w:r>
        <w:rPr/>
        <w:t>of</w:t>
      </w:r>
      <w:r>
        <w:rPr>
          <w:spacing w:val="-2"/>
        </w:rPr>
        <w:t> </w:t>
      </w:r>
      <w:r>
        <w:rPr/>
        <w:t>(in most</w:t>
      </w:r>
      <w:r>
        <w:rPr>
          <w:spacing w:val="-2"/>
        </w:rPr>
        <w:t> </w:t>
      </w:r>
      <w:r>
        <w:rPr/>
        <w:t>cases)</w:t>
      </w:r>
      <w:r>
        <w:rPr>
          <w:spacing w:val="-1"/>
        </w:rPr>
        <w:t> </w:t>
      </w:r>
      <w:r>
        <w:rPr/>
        <w:t>threatened</w:t>
      </w:r>
      <w:r>
        <w:rPr>
          <w:spacing w:val="-3"/>
        </w:rPr>
        <w:t> </w:t>
      </w:r>
      <w:r>
        <w:rPr/>
        <w:t>native</w:t>
      </w:r>
      <w:r>
        <w:rPr>
          <w:spacing w:val="-2"/>
        </w:rPr>
        <w:t> </w:t>
      </w:r>
      <w:r>
        <w:rPr/>
        <w:t>species,</w:t>
      </w:r>
      <w:r>
        <w:rPr>
          <w:spacing w:val="-2"/>
        </w:rPr>
        <w:t> </w:t>
      </w:r>
      <w:r>
        <w:rPr/>
        <w:t>or to alleviate financial, psychological and social stress or cultural impacts. Resolving ethical and moral aspects of pest animal control is outside the scope of this review. However, it is an important consideration and drives a considerable amount of the debate surrounding the use of lethal and non-lethal control and the impact on non-target animals (De Ridder and Knight 2024; PETA 2024; RSPCA 2019).</w:t>
      </w:r>
    </w:p>
    <w:p>
      <w:pPr>
        <w:spacing w:after="0" w:line="259" w:lineRule="auto"/>
        <w:sectPr>
          <w:pgSz w:w="11910" w:h="16850"/>
          <w:pgMar w:header="0" w:footer="688" w:top="1140" w:bottom="880" w:left="820" w:right="980"/>
        </w:sectPr>
      </w:pPr>
    </w:p>
    <w:p>
      <w:pPr>
        <w:pStyle w:val="BodyText"/>
        <w:spacing w:before="71"/>
        <w:ind w:left="312" w:right="232"/>
      </w:pPr>
      <w:r>
        <w:rPr/>
        <w:t>In 2022, the Victorian Government committed to a two-year project (2023–2025) under the ‘Backing Victoria’s World-Class</w:t>
      </w:r>
      <w:r>
        <w:rPr>
          <w:spacing w:val="-2"/>
        </w:rPr>
        <w:t> </w:t>
      </w:r>
      <w:r>
        <w:rPr/>
        <w:t>Producers</w:t>
      </w:r>
      <w:r>
        <w:rPr>
          <w:spacing w:val="-1"/>
        </w:rPr>
        <w:t> </w:t>
      </w:r>
      <w:r>
        <w:rPr/>
        <w:t>to</w:t>
      </w:r>
      <w:r>
        <w:rPr>
          <w:spacing w:val="-4"/>
        </w:rPr>
        <w:t> </w:t>
      </w:r>
      <w:r>
        <w:rPr/>
        <w:t>Grow’</w:t>
      </w:r>
      <w:r>
        <w:rPr>
          <w:spacing w:val="-2"/>
        </w:rPr>
        <w:t> </w:t>
      </w:r>
      <w:r>
        <w:rPr/>
        <w:t>policy</w:t>
      </w:r>
      <w:r>
        <w:rPr>
          <w:spacing w:val="-2"/>
        </w:rPr>
        <w:t> </w:t>
      </w:r>
      <w:r>
        <w:rPr/>
        <w:t>to</w:t>
      </w:r>
      <w:r>
        <w:rPr>
          <w:spacing w:val="-2"/>
        </w:rPr>
        <w:t> </w:t>
      </w:r>
      <w:r>
        <w:rPr/>
        <w:t>assess</w:t>
      </w:r>
      <w:r>
        <w:rPr>
          <w:spacing w:val="-2"/>
        </w:rPr>
        <w:t> </w:t>
      </w:r>
      <w:r>
        <w:rPr/>
        <w:t>the</w:t>
      </w:r>
      <w:r>
        <w:rPr>
          <w:spacing w:val="-3"/>
        </w:rPr>
        <w:t> </w:t>
      </w:r>
      <w:r>
        <w:rPr/>
        <w:t>relative</w:t>
      </w:r>
      <w:r>
        <w:rPr>
          <w:spacing w:val="-3"/>
        </w:rPr>
        <w:t> </w:t>
      </w:r>
      <w:r>
        <w:rPr/>
        <w:t>effectiveness</w:t>
      </w:r>
      <w:r>
        <w:rPr>
          <w:spacing w:val="-2"/>
        </w:rPr>
        <w:t> </w:t>
      </w:r>
      <w:r>
        <w:rPr/>
        <w:t>of</w:t>
      </w:r>
      <w:r>
        <w:rPr>
          <w:spacing w:val="-3"/>
        </w:rPr>
        <w:t> </w:t>
      </w:r>
      <w:r>
        <w:rPr/>
        <w:t>alternatives to</w:t>
      </w:r>
      <w:r>
        <w:rPr>
          <w:spacing w:val="-3"/>
        </w:rPr>
        <w:t> </w:t>
      </w:r>
      <w:r>
        <w:rPr/>
        <w:t>1080 for</w:t>
      </w:r>
      <w:r>
        <w:rPr>
          <w:spacing w:val="-4"/>
        </w:rPr>
        <w:t> </w:t>
      </w:r>
      <w:r>
        <w:rPr/>
        <w:t>controlling</w:t>
      </w:r>
      <w:r>
        <w:rPr>
          <w:spacing w:val="-1"/>
        </w:rPr>
        <w:t> </w:t>
      </w:r>
      <w:r>
        <w:rPr/>
        <w:t>European</w:t>
      </w:r>
      <w:r>
        <w:rPr>
          <w:spacing w:val="-5"/>
        </w:rPr>
        <w:t> </w:t>
      </w:r>
      <w:r>
        <w:rPr/>
        <w:t>Rabbits,</w:t>
      </w:r>
      <w:r>
        <w:rPr>
          <w:spacing w:val="-3"/>
        </w:rPr>
        <w:t> </w:t>
      </w:r>
      <w:r>
        <w:rPr/>
        <w:t>Feral</w:t>
      </w:r>
      <w:r>
        <w:rPr>
          <w:spacing w:val="-3"/>
        </w:rPr>
        <w:t> </w:t>
      </w:r>
      <w:r>
        <w:rPr/>
        <w:t>Pigs,</w:t>
      </w:r>
      <w:r>
        <w:rPr>
          <w:spacing w:val="-4"/>
        </w:rPr>
        <w:t> </w:t>
      </w:r>
      <w:r>
        <w:rPr/>
        <w:t>Red</w:t>
      </w:r>
      <w:r>
        <w:rPr>
          <w:spacing w:val="-4"/>
        </w:rPr>
        <w:t> </w:t>
      </w:r>
      <w:r>
        <w:rPr/>
        <w:t>Foxes,</w:t>
      </w:r>
      <w:r>
        <w:rPr>
          <w:spacing w:val="-4"/>
        </w:rPr>
        <w:t> </w:t>
      </w:r>
      <w:r>
        <w:rPr/>
        <w:t>and</w:t>
      </w:r>
      <w:r>
        <w:rPr>
          <w:spacing w:val="-4"/>
        </w:rPr>
        <w:t> </w:t>
      </w:r>
      <w:r>
        <w:rPr/>
        <w:t>Dingoes</w:t>
      </w:r>
      <w:r>
        <w:rPr>
          <w:spacing w:val="-3"/>
        </w:rPr>
        <w:t> </w:t>
      </w:r>
      <w:r>
        <w:rPr/>
        <w:t>and</w:t>
      </w:r>
      <w:r>
        <w:rPr>
          <w:spacing w:val="-2"/>
        </w:rPr>
        <w:t> </w:t>
      </w:r>
      <w:r>
        <w:rPr/>
        <w:t>Wild</w:t>
      </w:r>
      <w:r>
        <w:rPr>
          <w:spacing w:val="-2"/>
        </w:rPr>
        <w:t> </w:t>
      </w:r>
      <w:r>
        <w:rPr/>
        <w:t>Dogs.</w:t>
      </w:r>
      <w:r>
        <w:rPr>
          <w:spacing w:val="-4"/>
        </w:rPr>
        <w:t> </w:t>
      </w:r>
      <w:r>
        <w:rPr/>
        <w:t>This</w:t>
      </w:r>
      <w:r>
        <w:rPr>
          <w:spacing w:val="-1"/>
        </w:rPr>
        <w:t> </w:t>
      </w:r>
      <w:r>
        <w:rPr/>
        <w:t>literature</w:t>
      </w:r>
      <w:r>
        <w:rPr>
          <w:spacing w:val="-4"/>
        </w:rPr>
        <w:t> </w:t>
      </w:r>
      <w:r>
        <w:rPr/>
        <w:t>review contributes to fulfilling the Government’s commitment as part of a larger investigation.</w:t>
      </w:r>
    </w:p>
    <w:p>
      <w:pPr>
        <w:spacing w:after="0"/>
        <w:sectPr>
          <w:pgSz w:w="11910" w:h="16850"/>
          <w:pgMar w:header="0" w:footer="688" w:top="1060" w:bottom="880" w:left="820" w:right="980"/>
        </w:sectPr>
      </w:pPr>
    </w:p>
    <w:p>
      <w:pPr>
        <w:pStyle w:val="Heading2"/>
        <w:numPr>
          <w:ilvl w:val="0"/>
          <w:numId w:val="11"/>
        </w:numPr>
        <w:tabs>
          <w:tab w:pos="879" w:val="left" w:leader="none"/>
        </w:tabs>
        <w:spacing w:line="240" w:lineRule="auto" w:before="61" w:after="0"/>
        <w:ind w:left="879" w:right="0" w:hanging="567"/>
        <w:jc w:val="left"/>
      </w:pPr>
      <w:bookmarkStart w:name="_TOC_250084" w:id="11"/>
      <w:bookmarkEnd w:id="11"/>
      <w:r>
        <w:rPr>
          <w:color w:val="001F5F"/>
          <w:spacing w:val="-2"/>
        </w:rPr>
        <w:t>Objectives</w:t>
      </w:r>
    </w:p>
    <w:p>
      <w:pPr>
        <w:pStyle w:val="BodyText"/>
        <w:spacing w:before="255"/>
        <w:rPr>
          <w:b/>
          <w:sz w:val="32"/>
        </w:rPr>
      </w:pPr>
    </w:p>
    <w:p>
      <w:pPr>
        <w:pStyle w:val="BodyText"/>
        <w:spacing w:before="1"/>
        <w:ind w:left="312"/>
        <w:jc w:val="both"/>
      </w:pPr>
      <w:r>
        <w:rPr/>
        <w:t>The</w:t>
      </w:r>
      <w:r>
        <w:rPr>
          <w:spacing w:val="-7"/>
        </w:rPr>
        <w:t> </w:t>
      </w:r>
      <w:r>
        <w:rPr/>
        <w:t>objectives</w:t>
      </w:r>
      <w:r>
        <w:rPr>
          <w:spacing w:val="-4"/>
        </w:rPr>
        <w:t> </w:t>
      </w:r>
      <w:r>
        <w:rPr/>
        <w:t>of</w:t>
      </w:r>
      <w:r>
        <w:rPr>
          <w:spacing w:val="-6"/>
        </w:rPr>
        <w:t> </w:t>
      </w:r>
      <w:r>
        <w:rPr/>
        <w:t>this</w:t>
      </w:r>
      <w:r>
        <w:rPr>
          <w:spacing w:val="-4"/>
        </w:rPr>
        <w:t> </w:t>
      </w:r>
      <w:r>
        <w:rPr/>
        <w:t>review</w:t>
      </w:r>
      <w:r>
        <w:rPr>
          <w:spacing w:val="-4"/>
        </w:rPr>
        <w:t> </w:t>
      </w:r>
      <w:r>
        <w:rPr/>
        <w:t>were</w:t>
      </w:r>
      <w:r>
        <w:rPr>
          <w:spacing w:val="-6"/>
        </w:rPr>
        <w:t> </w:t>
      </w:r>
      <w:r>
        <w:rPr>
          <w:spacing w:val="-5"/>
        </w:rPr>
        <w:t>to:</w:t>
      </w:r>
    </w:p>
    <w:p>
      <w:pPr>
        <w:pStyle w:val="ListParagraph"/>
        <w:numPr>
          <w:ilvl w:val="0"/>
          <w:numId w:val="12"/>
        </w:numPr>
        <w:tabs>
          <w:tab w:pos="1033" w:val="left" w:leader="none"/>
        </w:tabs>
        <w:spacing w:line="280" w:lineRule="auto" w:before="135" w:after="0"/>
        <w:ind w:left="1033" w:right="813" w:hanging="360"/>
        <w:jc w:val="both"/>
        <w:rPr>
          <w:sz w:val="20"/>
        </w:rPr>
      </w:pPr>
      <w:r>
        <w:rPr>
          <w:sz w:val="20"/>
        </w:rPr>
        <w:t>undertake</w:t>
      </w:r>
      <w:r>
        <w:rPr>
          <w:spacing w:val="-3"/>
          <w:sz w:val="20"/>
        </w:rPr>
        <w:t> </w:t>
      </w:r>
      <w:r>
        <w:rPr>
          <w:sz w:val="20"/>
        </w:rPr>
        <w:t>a</w:t>
      </w:r>
      <w:r>
        <w:rPr>
          <w:spacing w:val="-3"/>
          <w:sz w:val="20"/>
        </w:rPr>
        <w:t> </w:t>
      </w:r>
      <w:r>
        <w:rPr>
          <w:sz w:val="20"/>
        </w:rPr>
        <w:t>general</w:t>
      </w:r>
      <w:r>
        <w:rPr>
          <w:spacing w:val="-2"/>
          <w:sz w:val="20"/>
        </w:rPr>
        <w:t> </w:t>
      </w:r>
      <w:r>
        <w:rPr>
          <w:sz w:val="20"/>
        </w:rPr>
        <w:t>literature</w:t>
      </w:r>
      <w:r>
        <w:rPr>
          <w:spacing w:val="-3"/>
          <w:sz w:val="20"/>
        </w:rPr>
        <w:t> </w:t>
      </w:r>
      <w:r>
        <w:rPr>
          <w:sz w:val="20"/>
        </w:rPr>
        <w:t>review</w:t>
      </w:r>
      <w:r>
        <w:rPr>
          <w:spacing w:val="-2"/>
          <w:sz w:val="20"/>
        </w:rPr>
        <w:t> </w:t>
      </w:r>
      <w:r>
        <w:rPr>
          <w:sz w:val="20"/>
        </w:rPr>
        <w:t>of</w:t>
      </w:r>
      <w:r>
        <w:rPr>
          <w:spacing w:val="-2"/>
          <w:sz w:val="20"/>
        </w:rPr>
        <w:t> </w:t>
      </w:r>
      <w:r>
        <w:rPr>
          <w:sz w:val="20"/>
        </w:rPr>
        <w:t>the</w:t>
      </w:r>
      <w:r>
        <w:rPr>
          <w:spacing w:val="-3"/>
          <w:sz w:val="20"/>
        </w:rPr>
        <w:t> </w:t>
      </w:r>
      <w:r>
        <w:rPr>
          <w:sz w:val="20"/>
        </w:rPr>
        <w:t>alternative (lethal</w:t>
      </w:r>
      <w:r>
        <w:rPr>
          <w:spacing w:val="-4"/>
          <w:sz w:val="20"/>
        </w:rPr>
        <w:t> </w:t>
      </w:r>
      <w:r>
        <w:rPr>
          <w:sz w:val="20"/>
        </w:rPr>
        <w:t>and</w:t>
      </w:r>
      <w:r>
        <w:rPr>
          <w:spacing w:val="-3"/>
          <w:sz w:val="20"/>
        </w:rPr>
        <w:t> </w:t>
      </w:r>
      <w:r>
        <w:rPr>
          <w:sz w:val="20"/>
        </w:rPr>
        <w:t>non-lethal)</w:t>
      </w:r>
      <w:r>
        <w:rPr>
          <w:spacing w:val="-3"/>
          <w:sz w:val="20"/>
        </w:rPr>
        <w:t> </w:t>
      </w:r>
      <w:r>
        <w:rPr>
          <w:sz w:val="20"/>
        </w:rPr>
        <w:t>control</w:t>
      </w:r>
      <w:r>
        <w:rPr>
          <w:spacing w:val="-4"/>
          <w:sz w:val="20"/>
        </w:rPr>
        <w:t> </w:t>
      </w:r>
      <w:r>
        <w:rPr>
          <w:sz w:val="20"/>
        </w:rPr>
        <w:t>methods currently</w:t>
      </w:r>
      <w:r>
        <w:rPr>
          <w:spacing w:val="-3"/>
          <w:sz w:val="20"/>
        </w:rPr>
        <w:t> </w:t>
      </w:r>
      <w:r>
        <w:rPr>
          <w:sz w:val="20"/>
        </w:rPr>
        <w:t>available</w:t>
      </w:r>
      <w:r>
        <w:rPr>
          <w:spacing w:val="-4"/>
          <w:sz w:val="20"/>
        </w:rPr>
        <w:t> </w:t>
      </w:r>
      <w:r>
        <w:rPr>
          <w:sz w:val="20"/>
        </w:rPr>
        <w:t>in</w:t>
      </w:r>
      <w:r>
        <w:rPr>
          <w:spacing w:val="-4"/>
          <w:sz w:val="20"/>
        </w:rPr>
        <w:t> </w:t>
      </w:r>
      <w:r>
        <w:rPr>
          <w:sz w:val="20"/>
        </w:rPr>
        <w:t>Victoria</w:t>
      </w:r>
      <w:r>
        <w:rPr>
          <w:spacing w:val="-1"/>
          <w:sz w:val="20"/>
        </w:rPr>
        <w:t> </w:t>
      </w:r>
      <w:r>
        <w:rPr>
          <w:sz w:val="20"/>
        </w:rPr>
        <w:t>for</w:t>
      </w:r>
      <w:r>
        <w:rPr>
          <w:spacing w:val="-4"/>
          <w:sz w:val="20"/>
        </w:rPr>
        <w:t> </w:t>
      </w:r>
      <w:r>
        <w:rPr>
          <w:sz w:val="20"/>
        </w:rPr>
        <w:t>the</w:t>
      </w:r>
      <w:r>
        <w:rPr>
          <w:spacing w:val="-4"/>
          <w:sz w:val="20"/>
        </w:rPr>
        <w:t> </w:t>
      </w:r>
      <w:r>
        <w:rPr>
          <w:sz w:val="20"/>
        </w:rPr>
        <w:t>management</w:t>
      </w:r>
      <w:r>
        <w:rPr>
          <w:spacing w:val="-2"/>
          <w:sz w:val="20"/>
        </w:rPr>
        <w:t> </w:t>
      </w:r>
      <w:r>
        <w:rPr>
          <w:sz w:val="20"/>
        </w:rPr>
        <w:t>of</w:t>
      </w:r>
      <w:r>
        <w:rPr>
          <w:spacing w:val="-1"/>
          <w:sz w:val="20"/>
        </w:rPr>
        <w:t> </w:t>
      </w:r>
      <w:r>
        <w:rPr>
          <w:sz w:val="20"/>
        </w:rPr>
        <w:t>European</w:t>
      </w:r>
      <w:r>
        <w:rPr>
          <w:spacing w:val="-5"/>
          <w:sz w:val="20"/>
        </w:rPr>
        <w:t> </w:t>
      </w:r>
      <w:r>
        <w:rPr>
          <w:sz w:val="20"/>
        </w:rPr>
        <w:t>Rabbits,</w:t>
      </w:r>
      <w:r>
        <w:rPr>
          <w:spacing w:val="-3"/>
          <w:sz w:val="20"/>
        </w:rPr>
        <w:t> </w:t>
      </w:r>
      <w:r>
        <w:rPr>
          <w:sz w:val="20"/>
        </w:rPr>
        <w:t>Feral</w:t>
      </w:r>
      <w:r>
        <w:rPr>
          <w:spacing w:val="-3"/>
          <w:sz w:val="20"/>
        </w:rPr>
        <w:t> </w:t>
      </w:r>
      <w:r>
        <w:rPr>
          <w:sz w:val="20"/>
        </w:rPr>
        <w:t>Pigs,</w:t>
      </w:r>
      <w:r>
        <w:rPr>
          <w:spacing w:val="-4"/>
          <w:sz w:val="20"/>
        </w:rPr>
        <w:t> </w:t>
      </w:r>
      <w:r>
        <w:rPr>
          <w:sz w:val="20"/>
        </w:rPr>
        <w:t>foxes</w:t>
      </w:r>
      <w:r>
        <w:rPr>
          <w:spacing w:val="-3"/>
          <w:sz w:val="20"/>
        </w:rPr>
        <w:t> </w:t>
      </w:r>
      <w:r>
        <w:rPr>
          <w:sz w:val="20"/>
        </w:rPr>
        <w:t>and Dingoes and Wild Dogs.</w:t>
      </w:r>
    </w:p>
    <w:p>
      <w:pPr>
        <w:pStyle w:val="ListParagraph"/>
        <w:numPr>
          <w:ilvl w:val="0"/>
          <w:numId w:val="12"/>
        </w:numPr>
        <w:tabs>
          <w:tab w:pos="1032" w:val="left" w:leader="none"/>
        </w:tabs>
        <w:spacing w:line="231" w:lineRule="exact" w:before="0" w:after="0"/>
        <w:ind w:left="1032" w:right="0" w:hanging="359"/>
        <w:jc w:val="both"/>
        <w:rPr>
          <w:sz w:val="20"/>
        </w:rPr>
      </w:pPr>
      <w:r>
        <w:rPr>
          <w:sz w:val="20"/>
        </w:rPr>
        <w:t>describe</w:t>
      </w:r>
      <w:r>
        <w:rPr>
          <w:spacing w:val="-8"/>
          <w:sz w:val="20"/>
        </w:rPr>
        <w:t> </w:t>
      </w:r>
      <w:r>
        <w:rPr>
          <w:sz w:val="20"/>
        </w:rPr>
        <w:t>the</w:t>
      </w:r>
      <w:r>
        <w:rPr>
          <w:spacing w:val="-7"/>
          <w:sz w:val="20"/>
        </w:rPr>
        <w:t> </w:t>
      </w:r>
      <w:r>
        <w:rPr>
          <w:sz w:val="20"/>
        </w:rPr>
        <w:t>‘pros</w:t>
      </w:r>
      <w:r>
        <w:rPr>
          <w:spacing w:val="-7"/>
          <w:sz w:val="20"/>
        </w:rPr>
        <w:t> </w:t>
      </w:r>
      <w:r>
        <w:rPr>
          <w:sz w:val="20"/>
        </w:rPr>
        <w:t>and</w:t>
      </w:r>
      <w:r>
        <w:rPr>
          <w:spacing w:val="-8"/>
          <w:sz w:val="20"/>
        </w:rPr>
        <w:t> </w:t>
      </w:r>
      <w:r>
        <w:rPr>
          <w:sz w:val="20"/>
        </w:rPr>
        <w:t>cons’</w:t>
      </w:r>
      <w:r>
        <w:rPr>
          <w:spacing w:val="-9"/>
          <w:sz w:val="20"/>
        </w:rPr>
        <w:t> </w:t>
      </w:r>
      <w:r>
        <w:rPr>
          <w:sz w:val="20"/>
        </w:rPr>
        <w:t>of</w:t>
      </w:r>
      <w:r>
        <w:rPr>
          <w:spacing w:val="-6"/>
          <w:sz w:val="20"/>
        </w:rPr>
        <w:t> </w:t>
      </w:r>
      <w:r>
        <w:rPr>
          <w:sz w:val="20"/>
        </w:rPr>
        <w:t>available</w:t>
      </w:r>
      <w:r>
        <w:rPr>
          <w:spacing w:val="-7"/>
          <w:sz w:val="20"/>
        </w:rPr>
        <w:t> </w:t>
      </w:r>
      <w:r>
        <w:rPr>
          <w:sz w:val="20"/>
        </w:rPr>
        <w:t>alternative</w:t>
      </w:r>
      <w:r>
        <w:rPr>
          <w:spacing w:val="-7"/>
          <w:sz w:val="20"/>
        </w:rPr>
        <w:t> </w:t>
      </w:r>
      <w:r>
        <w:rPr>
          <w:sz w:val="20"/>
        </w:rPr>
        <w:t>control</w:t>
      </w:r>
      <w:r>
        <w:rPr>
          <w:spacing w:val="-8"/>
          <w:sz w:val="20"/>
        </w:rPr>
        <w:t> </w:t>
      </w:r>
      <w:r>
        <w:rPr>
          <w:sz w:val="20"/>
        </w:rPr>
        <w:t>methods</w:t>
      </w:r>
      <w:r>
        <w:rPr>
          <w:spacing w:val="-2"/>
          <w:sz w:val="20"/>
        </w:rPr>
        <w:t> </w:t>
      </w:r>
      <w:r>
        <w:rPr>
          <w:sz w:val="20"/>
        </w:rPr>
        <w:t>currently</w:t>
      </w:r>
      <w:r>
        <w:rPr>
          <w:spacing w:val="-7"/>
          <w:sz w:val="20"/>
        </w:rPr>
        <w:t> </w:t>
      </w:r>
      <w:r>
        <w:rPr>
          <w:sz w:val="20"/>
        </w:rPr>
        <w:t>available</w:t>
      </w:r>
      <w:r>
        <w:rPr>
          <w:spacing w:val="-8"/>
          <w:sz w:val="20"/>
        </w:rPr>
        <w:t> </w:t>
      </w:r>
      <w:r>
        <w:rPr>
          <w:sz w:val="20"/>
        </w:rPr>
        <w:t>in</w:t>
      </w:r>
      <w:r>
        <w:rPr>
          <w:spacing w:val="-8"/>
          <w:sz w:val="20"/>
        </w:rPr>
        <w:t> </w:t>
      </w:r>
      <w:r>
        <w:rPr>
          <w:sz w:val="20"/>
        </w:rPr>
        <w:t>Victoria</w:t>
      </w:r>
      <w:r>
        <w:rPr>
          <w:spacing w:val="-5"/>
          <w:sz w:val="20"/>
        </w:rPr>
        <w:t> for</w:t>
      </w:r>
    </w:p>
    <w:p>
      <w:pPr>
        <w:pStyle w:val="BodyText"/>
        <w:spacing w:before="38"/>
        <w:ind w:left="1033"/>
        <w:jc w:val="both"/>
      </w:pPr>
      <w:r>
        <w:rPr/>
        <w:t>each</w:t>
      </w:r>
      <w:r>
        <w:rPr>
          <w:spacing w:val="-6"/>
        </w:rPr>
        <w:t> </w:t>
      </w:r>
      <w:r>
        <w:rPr/>
        <w:t>of</w:t>
      </w:r>
      <w:r>
        <w:rPr>
          <w:spacing w:val="-3"/>
        </w:rPr>
        <w:t> </w:t>
      </w:r>
      <w:r>
        <w:rPr/>
        <w:t>the</w:t>
      </w:r>
      <w:r>
        <w:rPr>
          <w:spacing w:val="-3"/>
        </w:rPr>
        <w:t> </w:t>
      </w:r>
      <w:r>
        <w:rPr/>
        <w:t>four</w:t>
      </w:r>
      <w:r>
        <w:rPr>
          <w:spacing w:val="-3"/>
        </w:rPr>
        <w:t> </w:t>
      </w:r>
      <w:r>
        <w:rPr/>
        <w:t>pest</w:t>
      </w:r>
      <w:r>
        <w:rPr>
          <w:spacing w:val="-5"/>
        </w:rPr>
        <w:t> </w:t>
      </w:r>
      <w:r>
        <w:rPr/>
        <w:t>species,</w:t>
      </w:r>
      <w:r>
        <w:rPr>
          <w:spacing w:val="-5"/>
        </w:rPr>
        <w:t> </w:t>
      </w:r>
      <w:r>
        <w:rPr>
          <w:spacing w:val="-2"/>
        </w:rPr>
        <w:t>including</w:t>
      </w:r>
    </w:p>
    <w:p>
      <w:pPr>
        <w:pStyle w:val="ListParagraph"/>
        <w:numPr>
          <w:ilvl w:val="1"/>
          <w:numId w:val="12"/>
        </w:numPr>
        <w:tabs>
          <w:tab w:pos="1752" w:val="left" w:leader="none"/>
        </w:tabs>
        <w:spacing w:line="240" w:lineRule="auto" w:before="10" w:after="0"/>
        <w:ind w:left="1752" w:right="0" w:hanging="359"/>
        <w:jc w:val="left"/>
        <w:rPr>
          <w:sz w:val="20"/>
        </w:rPr>
      </w:pPr>
      <w:r>
        <w:rPr>
          <w:sz w:val="20"/>
        </w:rPr>
        <w:t>non-target</w:t>
      </w:r>
      <w:r>
        <w:rPr>
          <w:spacing w:val="-11"/>
          <w:sz w:val="20"/>
        </w:rPr>
        <w:t> </w:t>
      </w:r>
      <w:r>
        <w:rPr>
          <w:sz w:val="20"/>
        </w:rPr>
        <w:t>species</w:t>
      </w:r>
      <w:r>
        <w:rPr>
          <w:spacing w:val="-10"/>
          <w:sz w:val="20"/>
        </w:rPr>
        <w:t> </w:t>
      </w:r>
      <w:r>
        <w:rPr>
          <w:spacing w:val="-2"/>
          <w:sz w:val="20"/>
        </w:rPr>
        <w:t>impacts</w:t>
      </w:r>
    </w:p>
    <w:p>
      <w:pPr>
        <w:pStyle w:val="ListParagraph"/>
        <w:numPr>
          <w:ilvl w:val="1"/>
          <w:numId w:val="12"/>
        </w:numPr>
        <w:tabs>
          <w:tab w:pos="1752" w:val="left" w:leader="none"/>
        </w:tabs>
        <w:spacing w:line="247" w:lineRule="exact" w:before="2" w:after="0"/>
        <w:ind w:left="1752" w:right="0" w:hanging="359"/>
        <w:jc w:val="left"/>
        <w:rPr>
          <w:sz w:val="20"/>
        </w:rPr>
      </w:pPr>
      <w:r>
        <w:rPr>
          <w:sz w:val="20"/>
        </w:rPr>
        <w:t>cultural</w:t>
      </w:r>
      <w:r>
        <w:rPr>
          <w:spacing w:val="-8"/>
          <w:sz w:val="20"/>
        </w:rPr>
        <w:t> </w:t>
      </w:r>
      <w:r>
        <w:rPr>
          <w:sz w:val="20"/>
        </w:rPr>
        <w:t>and</w:t>
      </w:r>
      <w:r>
        <w:rPr>
          <w:spacing w:val="-8"/>
          <w:sz w:val="20"/>
        </w:rPr>
        <w:t> </w:t>
      </w:r>
      <w:r>
        <w:rPr>
          <w:sz w:val="20"/>
        </w:rPr>
        <w:t>social</w:t>
      </w:r>
      <w:r>
        <w:rPr>
          <w:spacing w:val="-7"/>
          <w:sz w:val="20"/>
        </w:rPr>
        <w:t> </w:t>
      </w:r>
      <w:r>
        <w:rPr>
          <w:spacing w:val="-2"/>
          <w:sz w:val="20"/>
        </w:rPr>
        <w:t>considerations</w:t>
      </w:r>
    </w:p>
    <w:p>
      <w:pPr>
        <w:pStyle w:val="ListParagraph"/>
        <w:numPr>
          <w:ilvl w:val="1"/>
          <w:numId w:val="12"/>
        </w:numPr>
        <w:tabs>
          <w:tab w:pos="1752" w:val="left" w:leader="none"/>
        </w:tabs>
        <w:spacing w:line="247" w:lineRule="exact" w:before="0" w:after="0"/>
        <w:ind w:left="1752" w:right="0" w:hanging="359"/>
        <w:jc w:val="left"/>
        <w:rPr>
          <w:sz w:val="20"/>
        </w:rPr>
      </w:pPr>
      <w:r>
        <w:rPr>
          <w:sz w:val="20"/>
        </w:rPr>
        <w:t>health</w:t>
      </w:r>
      <w:r>
        <w:rPr>
          <w:spacing w:val="-5"/>
          <w:sz w:val="20"/>
        </w:rPr>
        <w:t> </w:t>
      </w:r>
      <w:r>
        <w:rPr>
          <w:sz w:val="20"/>
        </w:rPr>
        <w:t>and</w:t>
      </w:r>
      <w:r>
        <w:rPr>
          <w:spacing w:val="-6"/>
          <w:sz w:val="20"/>
        </w:rPr>
        <w:t> </w:t>
      </w:r>
      <w:r>
        <w:rPr>
          <w:sz w:val="20"/>
        </w:rPr>
        <w:t>safety</w:t>
      </w:r>
      <w:r>
        <w:rPr>
          <w:spacing w:val="-6"/>
          <w:sz w:val="20"/>
        </w:rPr>
        <w:t> </w:t>
      </w:r>
      <w:r>
        <w:rPr>
          <w:sz w:val="20"/>
        </w:rPr>
        <w:t>of</w:t>
      </w:r>
      <w:r>
        <w:rPr>
          <w:spacing w:val="-4"/>
          <w:sz w:val="20"/>
        </w:rPr>
        <w:t> </w:t>
      </w:r>
      <w:r>
        <w:rPr>
          <w:spacing w:val="-2"/>
          <w:sz w:val="20"/>
        </w:rPr>
        <w:t>operators</w:t>
      </w:r>
    </w:p>
    <w:p>
      <w:pPr>
        <w:pStyle w:val="ListParagraph"/>
        <w:numPr>
          <w:ilvl w:val="1"/>
          <w:numId w:val="12"/>
        </w:numPr>
        <w:tabs>
          <w:tab w:pos="1753" w:val="left" w:leader="none"/>
        </w:tabs>
        <w:spacing w:line="240" w:lineRule="auto" w:before="1" w:after="0"/>
        <w:ind w:left="1753" w:right="926" w:hanging="360"/>
        <w:jc w:val="left"/>
        <w:rPr>
          <w:sz w:val="20"/>
        </w:rPr>
      </w:pPr>
      <w:r>
        <w:rPr>
          <w:sz w:val="20"/>
        </w:rPr>
        <w:t>humaneness</w:t>
      </w:r>
      <w:r>
        <w:rPr>
          <w:spacing w:val="-5"/>
          <w:sz w:val="20"/>
        </w:rPr>
        <w:t> </w:t>
      </w:r>
      <w:r>
        <w:rPr>
          <w:sz w:val="20"/>
        </w:rPr>
        <w:t>and</w:t>
      </w:r>
      <w:r>
        <w:rPr>
          <w:spacing w:val="-2"/>
          <w:sz w:val="20"/>
        </w:rPr>
        <w:t> </w:t>
      </w:r>
      <w:r>
        <w:rPr>
          <w:sz w:val="20"/>
        </w:rPr>
        <w:t>animal</w:t>
      </w:r>
      <w:r>
        <w:rPr>
          <w:spacing w:val="-6"/>
          <w:sz w:val="20"/>
        </w:rPr>
        <w:t> </w:t>
      </w:r>
      <w:r>
        <w:rPr>
          <w:sz w:val="20"/>
        </w:rPr>
        <w:t>welfare</w:t>
      </w:r>
      <w:r>
        <w:rPr>
          <w:spacing w:val="-3"/>
          <w:sz w:val="20"/>
        </w:rPr>
        <w:t> </w:t>
      </w:r>
      <w:r>
        <w:rPr>
          <w:sz w:val="20"/>
        </w:rPr>
        <w:t>(including</w:t>
      </w:r>
      <w:r>
        <w:rPr>
          <w:spacing w:val="-4"/>
          <w:sz w:val="20"/>
        </w:rPr>
        <w:t> </w:t>
      </w:r>
      <w:r>
        <w:rPr>
          <w:sz w:val="20"/>
        </w:rPr>
        <w:t>welfare</w:t>
      </w:r>
      <w:r>
        <w:rPr>
          <w:spacing w:val="-4"/>
          <w:sz w:val="20"/>
        </w:rPr>
        <w:t> </w:t>
      </w:r>
      <w:r>
        <w:rPr>
          <w:sz w:val="20"/>
        </w:rPr>
        <w:t>issues</w:t>
      </w:r>
      <w:r>
        <w:rPr>
          <w:spacing w:val="-3"/>
          <w:sz w:val="20"/>
        </w:rPr>
        <w:t> </w:t>
      </w:r>
      <w:r>
        <w:rPr>
          <w:sz w:val="20"/>
        </w:rPr>
        <w:t>associated</w:t>
      </w:r>
      <w:r>
        <w:rPr>
          <w:spacing w:val="-6"/>
          <w:sz w:val="20"/>
        </w:rPr>
        <w:t> </w:t>
      </w:r>
      <w:r>
        <w:rPr>
          <w:sz w:val="20"/>
        </w:rPr>
        <w:t>with</w:t>
      </w:r>
      <w:r>
        <w:rPr>
          <w:spacing w:val="-3"/>
          <w:sz w:val="20"/>
        </w:rPr>
        <w:t> </w:t>
      </w:r>
      <w:r>
        <w:rPr>
          <w:sz w:val="20"/>
        </w:rPr>
        <w:t>1080</w:t>
      </w:r>
      <w:r>
        <w:rPr>
          <w:spacing w:val="-6"/>
          <w:sz w:val="20"/>
        </w:rPr>
        <w:t> </w:t>
      </w:r>
      <w:r>
        <w:rPr>
          <w:sz w:val="20"/>
        </w:rPr>
        <w:t>and </w:t>
      </w:r>
      <w:r>
        <w:rPr>
          <w:spacing w:val="-2"/>
          <w:sz w:val="20"/>
        </w:rPr>
        <w:t>alternatives)</w:t>
      </w:r>
    </w:p>
    <w:p>
      <w:pPr>
        <w:pStyle w:val="ListParagraph"/>
        <w:numPr>
          <w:ilvl w:val="1"/>
          <w:numId w:val="12"/>
        </w:numPr>
        <w:tabs>
          <w:tab w:pos="1752" w:val="left" w:leader="none"/>
        </w:tabs>
        <w:spacing w:line="240" w:lineRule="auto" w:before="20" w:after="0"/>
        <w:ind w:left="1752" w:right="0" w:hanging="359"/>
        <w:jc w:val="left"/>
        <w:rPr>
          <w:sz w:val="20"/>
        </w:rPr>
      </w:pPr>
      <w:r>
        <w:rPr>
          <w:sz w:val="20"/>
        </w:rPr>
        <w:t>abiotic</w:t>
      </w:r>
      <w:r>
        <w:rPr>
          <w:spacing w:val="-6"/>
          <w:sz w:val="20"/>
        </w:rPr>
        <w:t> </w:t>
      </w:r>
      <w:r>
        <w:rPr>
          <w:sz w:val="20"/>
        </w:rPr>
        <w:t>environmental</w:t>
      </w:r>
      <w:r>
        <w:rPr>
          <w:spacing w:val="-8"/>
          <w:sz w:val="20"/>
        </w:rPr>
        <w:t> </w:t>
      </w:r>
      <w:r>
        <w:rPr>
          <w:sz w:val="20"/>
        </w:rPr>
        <w:t>impacts</w:t>
      </w:r>
      <w:r>
        <w:rPr>
          <w:spacing w:val="-6"/>
          <w:sz w:val="20"/>
        </w:rPr>
        <w:t> </w:t>
      </w:r>
      <w:r>
        <w:rPr>
          <w:sz w:val="20"/>
        </w:rPr>
        <w:t>(water,</w:t>
      </w:r>
      <w:r>
        <w:rPr>
          <w:spacing w:val="-6"/>
          <w:sz w:val="20"/>
        </w:rPr>
        <w:t> </w:t>
      </w:r>
      <w:r>
        <w:rPr>
          <w:sz w:val="20"/>
        </w:rPr>
        <w:t>soil</w:t>
      </w:r>
      <w:r>
        <w:rPr>
          <w:spacing w:val="-8"/>
          <w:sz w:val="20"/>
        </w:rPr>
        <w:t> </w:t>
      </w:r>
      <w:r>
        <w:rPr>
          <w:sz w:val="20"/>
        </w:rPr>
        <w:t>and</w:t>
      </w:r>
      <w:r>
        <w:rPr>
          <w:spacing w:val="-7"/>
          <w:sz w:val="20"/>
        </w:rPr>
        <w:t> </w:t>
      </w:r>
      <w:r>
        <w:rPr>
          <w:sz w:val="20"/>
        </w:rPr>
        <w:t>air</w:t>
      </w:r>
      <w:r>
        <w:rPr>
          <w:spacing w:val="-1"/>
          <w:sz w:val="20"/>
        </w:rPr>
        <w:t> </w:t>
      </w:r>
      <w:r>
        <w:rPr>
          <w:sz w:val="20"/>
        </w:rPr>
        <w:t>–</w:t>
      </w:r>
      <w:r>
        <w:rPr>
          <w:spacing w:val="-7"/>
          <w:sz w:val="20"/>
        </w:rPr>
        <w:t> </w:t>
      </w:r>
      <w:r>
        <w:rPr>
          <w:sz w:val="20"/>
        </w:rPr>
        <w:t>for</w:t>
      </w:r>
      <w:r>
        <w:rPr>
          <w:spacing w:val="-6"/>
          <w:sz w:val="20"/>
        </w:rPr>
        <w:t> </w:t>
      </w:r>
      <w:r>
        <w:rPr>
          <w:sz w:val="20"/>
        </w:rPr>
        <w:t>all</w:t>
      </w:r>
      <w:r>
        <w:rPr>
          <w:spacing w:val="-8"/>
          <w:sz w:val="20"/>
        </w:rPr>
        <w:t> </w:t>
      </w:r>
      <w:r>
        <w:rPr>
          <w:spacing w:val="-2"/>
          <w:sz w:val="20"/>
        </w:rPr>
        <w:t>methods)</w:t>
      </w:r>
    </w:p>
    <w:p>
      <w:pPr>
        <w:pStyle w:val="ListParagraph"/>
        <w:numPr>
          <w:ilvl w:val="0"/>
          <w:numId w:val="12"/>
        </w:numPr>
        <w:tabs>
          <w:tab w:pos="1033" w:val="left" w:leader="none"/>
        </w:tabs>
        <w:spacing w:line="278" w:lineRule="auto" w:before="15" w:after="0"/>
        <w:ind w:left="1033" w:right="471" w:hanging="360"/>
        <w:jc w:val="left"/>
        <w:rPr>
          <w:sz w:val="20"/>
        </w:rPr>
      </w:pPr>
      <w:r>
        <w:rPr>
          <w:sz w:val="20"/>
        </w:rPr>
        <w:t>evaluate</w:t>
      </w:r>
      <w:r>
        <w:rPr>
          <w:spacing w:val="-5"/>
          <w:sz w:val="20"/>
        </w:rPr>
        <w:t> </w:t>
      </w:r>
      <w:r>
        <w:rPr>
          <w:sz w:val="20"/>
        </w:rPr>
        <w:t>the</w:t>
      </w:r>
      <w:r>
        <w:rPr>
          <w:spacing w:val="-5"/>
          <w:sz w:val="20"/>
        </w:rPr>
        <w:t> </w:t>
      </w:r>
      <w:r>
        <w:rPr>
          <w:sz w:val="20"/>
        </w:rPr>
        <w:t>cost-effectiveness</w:t>
      </w:r>
      <w:r>
        <w:rPr>
          <w:spacing w:val="-3"/>
          <w:sz w:val="20"/>
        </w:rPr>
        <w:t> </w:t>
      </w:r>
      <w:r>
        <w:rPr>
          <w:sz w:val="20"/>
        </w:rPr>
        <w:t>of</w:t>
      </w:r>
      <w:r>
        <w:rPr>
          <w:spacing w:val="-4"/>
          <w:sz w:val="20"/>
        </w:rPr>
        <w:t> </w:t>
      </w:r>
      <w:r>
        <w:rPr>
          <w:sz w:val="20"/>
        </w:rPr>
        <w:t>alternative lethal</w:t>
      </w:r>
      <w:r>
        <w:rPr>
          <w:spacing w:val="-2"/>
          <w:sz w:val="20"/>
        </w:rPr>
        <w:t> </w:t>
      </w:r>
      <w:r>
        <w:rPr>
          <w:sz w:val="20"/>
        </w:rPr>
        <w:t>control</w:t>
      </w:r>
      <w:r>
        <w:rPr>
          <w:spacing w:val="-5"/>
          <w:sz w:val="20"/>
        </w:rPr>
        <w:t> </w:t>
      </w:r>
      <w:r>
        <w:rPr>
          <w:sz w:val="20"/>
        </w:rPr>
        <w:t>methods</w:t>
      </w:r>
      <w:r>
        <w:rPr>
          <w:spacing w:val="-3"/>
          <w:sz w:val="20"/>
        </w:rPr>
        <w:t> </w:t>
      </w:r>
      <w:r>
        <w:rPr>
          <w:sz w:val="20"/>
        </w:rPr>
        <w:t>relative</w:t>
      </w:r>
      <w:r>
        <w:rPr>
          <w:spacing w:val="-2"/>
          <w:sz w:val="20"/>
        </w:rPr>
        <w:t> </w:t>
      </w:r>
      <w:r>
        <w:rPr>
          <w:sz w:val="20"/>
        </w:rPr>
        <w:t>to</w:t>
      </w:r>
      <w:r>
        <w:rPr>
          <w:spacing w:val="-5"/>
          <w:sz w:val="20"/>
        </w:rPr>
        <w:t> </w:t>
      </w:r>
      <w:r>
        <w:rPr>
          <w:sz w:val="20"/>
        </w:rPr>
        <w:t>the</w:t>
      </w:r>
      <w:r>
        <w:rPr>
          <w:spacing w:val="-3"/>
          <w:sz w:val="20"/>
        </w:rPr>
        <w:t> </w:t>
      </w:r>
      <w:r>
        <w:rPr>
          <w:sz w:val="20"/>
        </w:rPr>
        <w:t>use</w:t>
      </w:r>
      <w:r>
        <w:rPr>
          <w:spacing w:val="-4"/>
          <w:sz w:val="20"/>
        </w:rPr>
        <w:t> </w:t>
      </w:r>
      <w:r>
        <w:rPr>
          <w:sz w:val="20"/>
        </w:rPr>
        <w:t>of</w:t>
      </w:r>
      <w:r>
        <w:rPr>
          <w:spacing w:val="-2"/>
          <w:sz w:val="20"/>
        </w:rPr>
        <w:t> </w:t>
      </w:r>
      <w:r>
        <w:rPr>
          <w:sz w:val="20"/>
        </w:rPr>
        <w:t>1080</w:t>
      </w:r>
      <w:r>
        <w:rPr>
          <w:spacing w:val="-4"/>
          <w:sz w:val="20"/>
        </w:rPr>
        <w:t> </w:t>
      </w:r>
      <w:r>
        <w:rPr>
          <w:sz w:val="20"/>
        </w:rPr>
        <w:t>for the control of the selected pest species</w:t>
      </w:r>
    </w:p>
    <w:p>
      <w:pPr>
        <w:pStyle w:val="ListParagraph"/>
        <w:numPr>
          <w:ilvl w:val="0"/>
          <w:numId w:val="12"/>
        </w:numPr>
        <w:tabs>
          <w:tab w:pos="1033" w:val="left" w:leader="none"/>
        </w:tabs>
        <w:spacing w:line="236" w:lineRule="exact" w:before="0" w:after="0"/>
        <w:ind w:left="1033" w:right="0" w:hanging="360"/>
        <w:jc w:val="left"/>
        <w:rPr>
          <w:sz w:val="20"/>
        </w:rPr>
      </w:pPr>
      <w:r>
        <w:rPr>
          <w:sz w:val="20"/>
        </w:rPr>
        <w:t>synthesise</w:t>
      </w:r>
      <w:r>
        <w:rPr>
          <w:spacing w:val="-9"/>
          <w:sz w:val="20"/>
        </w:rPr>
        <w:t> </w:t>
      </w:r>
      <w:r>
        <w:rPr>
          <w:sz w:val="20"/>
        </w:rPr>
        <w:t>this</w:t>
      </w:r>
      <w:r>
        <w:rPr>
          <w:spacing w:val="-7"/>
          <w:sz w:val="20"/>
        </w:rPr>
        <w:t> </w:t>
      </w:r>
      <w:r>
        <w:rPr>
          <w:sz w:val="20"/>
        </w:rPr>
        <w:t>information</w:t>
      </w:r>
      <w:r>
        <w:rPr>
          <w:spacing w:val="-7"/>
          <w:sz w:val="20"/>
        </w:rPr>
        <w:t> </w:t>
      </w:r>
      <w:r>
        <w:rPr>
          <w:sz w:val="20"/>
        </w:rPr>
        <w:t>for</w:t>
      </w:r>
      <w:r>
        <w:rPr>
          <w:spacing w:val="-9"/>
          <w:sz w:val="20"/>
        </w:rPr>
        <w:t> </w:t>
      </w:r>
      <w:r>
        <w:rPr>
          <w:sz w:val="20"/>
        </w:rPr>
        <w:t>policy</w:t>
      </w:r>
      <w:r>
        <w:rPr>
          <w:spacing w:val="-7"/>
          <w:sz w:val="20"/>
        </w:rPr>
        <w:t> </w:t>
      </w:r>
      <w:r>
        <w:rPr>
          <w:sz w:val="20"/>
        </w:rPr>
        <w:t>and</w:t>
      </w:r>
      <w:r>
        <w:rPr>
          <w:spacing w:val="-8"/>
          <w:sz w:val="20"/>
        </w:rPr>
        <w:t> </w:t>
      </w:r>
      <w:r>
        <w:rPr>
          <w:sz w:val="20"/>
        </w:rPr>
        <w:t>land</w:t>
      </w:r>
      <w:r>
        <w:rPr>
          <w:spacing w:val="-7"/>
          <w:sz w:val="20"/>
        </w:rPr>
        <w:t> </w:t>
      </w:r>
      <w:r>
        <w:rPr>
          <w:spacing w:val="-2"/>
          <w:sz w:val="20"/>
        </w:rPr>
        <w:t>managers.</w:t>
      </w:r>
    </w:p>
    <w:p>
      <w:pPr>
        <w:pStyle w:val="BodyText"/>
        <w:spacing w:before="47"/>
      </w:pPr>
    </w:p>
    <w:p>
      <w:pPr>
        <w:pStyle w:val="Heading2"/>
        <w:numPr>
          <w:ilvl w:val="0"/>
          <w:numId w:val="11"/>
        </w:numPr>
        <w:tabs>
          <w:tab w:pos="879" w:val="left" w:leader="none"/>
        </w:tabs>
        <w:spacing w:line="240" w:lineRule="auto" w:before="1" w:after="0"/>
        <w:ind w:left="879" w:right="0" w:hanging="567"/>
        <w:jc w:val="left"/>
      </w:pPr>
      <w:bookmarkStart w:name="_TOC_250083" w:id="12"/>
      <w:r>
        <w:rPr>
          <w:color w:val="001F5F"/>
        </w:rPr>
        <w:t>Scope</w:t>
      </w:r>
      <w:r>
        <w:rPr>
          <w:color w:val="001F5F"/>
          <w:spacing w:val="-7"/>
        </w:rPr>
        <w:t> </w:t>
      </w:r>
      <w:r>
        <w:rPr>
          <w:color w:val="001F5F"/>
        </w:rPr>
        <w:t>of</w:t>
      </w:r>
      <w:r>
        <w:rPr>
          <w:color w:val="001F5F"/>
          <w:spacing w:val="-8"/>
        </w:rPr>
        <w:t> </w:t>
      </w:r>
      <w:r>
        <w:rPr>
          <w:color w:val="001F5F"/>
        </w:rPr>
        <w:t>the</w:t>
      </w:r>
      <w:r>
        <w:rPr>
          <w:color w:val="001F5F"/>
          <w:spacing w:val="-9"/>
        </w:rPr>
        <w:t> </w:t>
      </w:r>
      <w:bookmarkEnd w:id="12"/>
      <w:r>
        <w:rPr>
          <w:color w:val="001F5F"/>
          <w:spacing w:val="-2"/>
        </w:rPr>
        <w:t>review</w:t>
      </w:r>
    </w:p>
    <w:p>
      <w:pPr>
        <w:pStyle w:val="BodyText"/>
        <w:spacing w:before="277"/>
        <w:rPr>
          <w:b/>
          <w:sz w:val="32"/>
        </w:rPr>
      </w:pPr>
    </w:p>
    <w:p>
      <w:pPr>
        <w:pStyle w:val="Heading3"/>
        <w:numPr>
          <w:ilvl w:val="1"/>
          <w:numId w:val="11"/>
        </w:numPr>
        <w:tabs>
          <w:tab w:pos="889" w:val="left" w:leader="none"/>
        </w:tabs>
        <w:spacing w:line="240" w:lineRule="auto" w:before="0" w:after="0"/>
        <w:ind w:left="889" w:right="0" w:hanging="577"/>
        <w:jc w:val="left"/>
      </w:pPr>
      <w:bookmarkStart w:name="_TOC_250082" w:id="13"/>
      <w:r>
        <w:rPr>
          <w:color w:val="2D1E66"/>
        </w:rPr>
        <w:t>In </w:t>
      </w:r>
      <w:bookmarkEnd w:id="13"/>
      <w:r>
        <w:rPr>
          <w:color w:val="2D1E66"/>
          <w:spacing w:val="-2"/>
        </w:rPr>
        <w:t>scope</w:t>
      </w:r>
    </w:p>
    <w:p>
      <w:pPr>
        <w:pStyle w:val="BodyText"/>
        <w:spacing w:before="112"/>
        <w:ind w:left="312" w:right="163"/>
      </w:pPr>
      <w:r>
        <w:rPr/>
        <w:t>This</w:t>
      </w:r>
      <w:r>
        <w:rPr>
          <w:spacing w:val="-3"/>
        </w:rPr>
        <w:t> </w:t>
      </w:r>
      <w:r>
        <w:rPr/>
        <w:t>review</w:t>
      </w:r>
      <w:r>
        <w:rPr>
          <w:spacing w:val="-2"/>
        </w:rPr>
        <w:t> </w:t>
      </w:r>
      <w:r>
        <w:rPr/>
        <w:t>covers methods</w:t>
      </w:r>
      <w:r>
        <w:rPr>
          <w:spacing w:val="-2"/>
        </w:rPr>
        <w:t> </w:t>
      </w:r>
      <w:r>
        <w:rPr/>
        <w:t>and</w:t>
      </w:r>
      <w:r>
        <w:rPr>
          <w:spacing w:val="-4"/>
        </w:rPr>
        <w:t> </w:t>
      </w:r>
      <w:r>
        <w:rPr/>
        <w:t>approaches</w:t>
      </w:r>
      <w:r>
        <w:rPr>
          <w:spacing w:val="-1"/>
        </w:rPr>
        <w:t> </w:t>
      </w:r>
      <w:r>
        <w:rPr/>
        <w:t>that</w:t>
      </w:r>
      <w:r>
        <w:rPr>
          <w:spacing w:val="-4"/>
        </w:rPr>
        <w:t> </w:t>
      </w:r>
      <w:r>
        <w:rPr/>
        <w:t>are</w:t>
      </w:r>
      <w:r>
        <w:rPr>
          <w:spacing w:val="-4"/>
        </w:rPr>
        <w:t> </w:t>
      </w:r>
      <w:r>
        <w:rPr/>
        <w:t>registered</w:t>
      </w:r>
      <w:r>
        <w:rPr>
          <w:spacing w:val="-4"/>
        </w:rPr>
        <w:t> </w:t>
      </w:r>
      <w:r>
        <w:rPr/>
        <w:t>and</w:t>
      </w:r>
      <w:r>
        <w:rPr>
          <w:spacing w:val="-5"/>
        </w:rPr>
        <w:t> </w:t>
      </w:r>
      <w:r>
        <w:rPr/>
        <w:t>currently</w:t>
      </w:r>
      <w:r>
        <w:rPr>
          <w:spacing w:val="-3"/>
        </w:rPr>
        <w:t> </w:t>
      </w:r>
      <w:r>
        <w:rPr/>
        <w:t>permitted</w:t>
      </w:r>
      <w:r>
        <w:rPr>
          <w:spacing w:val="-5"/>
        </w:rPr>
        <w:t> </w:t>
      </w:r>
      <w:r>
        <w:rPr/>
        <w:t>for</w:t>
      </w:r>
      <w:r>
        <w:rPr>
          <w:spacing w:val="-4"/>
        </w:rPr>
        <w:t> </w:t>
      </w:r>
      <w:r>
        <w:rPr/>
        <w:t>use</w:t>
      </w:r>
      <w:r>
        <w:rPr>
          <w:spacing w:val="-2"/>
        </w:rPr>
        <w:t> </w:t>
      </w:r>
      <w:r>
        <w:rPr/>
        <w:t>in</w:t>
      </w:r>
      <w:r>
        <w:rPr>
          <w:spacing w:val="-2"/>
        </w:rPr>
        <w:t> </w:t>
      </w:r>
      <w:r>
        <w:rPr/>
        <w:t>Victoria for controlling the four pest species. Where no information is available, we may include Australian and overseas studies to provide context or examples.</w:t>
      </w:r>
    </w:p>
    <w:p>
      <w:pPr>
        <w:pStyle w:val="BodyText"/>
        <w:spacing w:before="122"/>
        <w:ind w:left="312" w:right="163"/>
      </w:pPr>
      <w:r>
        <w:rPr/>
        <w:t>We</w:t>
      </w:r>
      <w:r>
        <w:rPr>
          <w:spacing w:val="-3"/>
        </w:rPr>
        <w:t> </w:t>
      </w:r>
      <w:r>
        <w:rPr/>
        <w:t>review</w:t>
      </w:r>
      <w:r>
        <w:rPr>
          <w:spacing w:val="-3"/>
        </w:rPr>
        <w:t> </w:t>
      </w:r>
      <w:r>
        <w:rPr/>
        <w:t>the</w:t>
      </w:r>
      <w:r>
        <w:rPr>
          <w:spacing w:val="-2"/>
        </w:rPr>
        <w:t> </w:t>
      </w:r>
      <w:r>
        <w:rPr/>
        <w:t>literature on</w:t>
      </w:r>
      <w:r>
        <w:rPr>
          <w:spacing w:val="-1"/>
        </w:rPr>
        <w:t> </w:t>
      </w:r>
      <w:r>
        <w:rPr/>
        <w:t>the</w:t>
      </w:r>
      <w:r>
        <w:rPr>
          <w:spacing w:val="-3"/>
        </w:rPr>
        <w:t> </w:t>
      </w:r>
      <w:r>
        <w:rPr/>
        <w:t>cost-effectiveness</w:t>
      </w:r>
      <w:r>
        <w:rPr>
          <w:spacing w:val="-2"/>
        </w:rPr>
        <w:t> </w:t>
      </w:r>
      <w:r>
        <w:rPr/>
        <w:t>of</w:t>
      </w:r>
      <w:r>
        <w:rPr>
          <w:spacing w:val="-3"/>
        </w:rPr>
        <w:t> </w:t>
      </w:r>
      <w:r>
        <w:rPr/>
        <w:t>each</w:t>
      </w:r>
      <w:r>
        <w:rPr>
          <w:spacing w:val="-3"/>
        </w:rPr>
        <w:t> </w:t>
      </w:r>
      <w:r>
        <w:rPr/>
        <w:t>of</w:t>
      </w:r>
      <w:r>
        <w:rPr>
          <w:spacing w:val="-3"/>
        </w:rPr>
        <w:t> </w:t>
      </w:r>
      <w:r>
        <w:rPr/>
        <w:t>the</w:t>
      </w:r>
      <w:r>
        <w:rPr>
          <w:spacing w:val="-3"/>
        </w:rPr>
        <w:t> </w:t>
      </w:r>
      <w:r>
        <w:rPr/>
        <w:t>lethal</w:t>
      </w:r>
      <w:r>
        <w:rPr>
          <w:spacing w:val="-2"/>
        </w:rPr>
        <w:t> </w:t>
      </w:r>
      <w:r>
        <w:rPr/>
        <w:t>management</w:t>
      </w:r>
      <w:r>
        <w:rPr>
          <w:spacing w:val="-3"/>
        </w:rPr>
        <w:t> </w:t>
      </w:r>
      <w:r>
        <w:rPr/>
        <w:t>techniques,</w:t>
      </w:r>
      <w:r>
        <w:rPr>
          <w:spacing w:val="-3"/>
        </w:rPr>
        <w:t> </w:t>
      </w:r>
      <w:r>
        <w:rPr/>
        <w:t>but</w:t>
      </w:r>
      <w:r>
        <w:rPr>
          <w:spacing w:val="-3"/>
        </w:rPr>
        <w:t> </w:t>
      </w:r>
      <w:r>
        <w:rPr/>
        <w:t>do</w:t>
      </w:r>
      <w:r>
        <w:rPr>
          <w:spacing w:val="-3"/>
        </w:rPr>
        <w:t> </w:t>
      </w:r>
      <w:r>
        <w:rPr/>
        <w:t>not formally model these, because there were insufficient data available in the literature or provided by land managers contacted as part of the review process, to build realistic models.</w:t>
      </w:r>
    </w:p>
    <w:p>
      <w:pPr>
        <w:pStyle w:val="BodyText"/>
        <w:spacing w:before="153"/>
      </w:pPr>
    </w:p>
    <w:p>
      <w:pPr>
        <w:pStyle w:val="Heading3"/>
        <w:numPr>
          <w:ilvl w:val="1"/>
          <w:numId w:val="11"/>
        </w:numPr>
        <w:tabs>
          <w:tab w:pos="889" w:val="left" w:leader="none"/>
        </w:tabs>
        <w:spacing w:line="240" w:lineRule="auto" w:before="0" w:after="0"/>
        <w:ind w:left="889" w:right="0" w:hanging="577"/>
        <w:jc w:val="left"/>
      </w:pPr>
      <w:bookmarkStart w:name="_TOC_250081" w:id="14"/>
      <w:r>
        <w:rPr>
          <w:color w:val="2D1E66"/>
        </w:rPr>
        <w:t>Out of</w:t>
      </w:r>
      <w:r>
        <w:rPr>
          <w:color w:val="2D1E66"/>
          <w:spacing w:val="-1"/>
        </w:rPr>
        <w:t> </w:t>
      </w:r>
      <w:bookmarkEnd w:id="14"/>
      <w:r>
        <w:rPr>
          <w:color w:val="2D1E66"/>
          <w:spacing w:val="-2"/>
        </w:rPr>
        <w:t>scope</w:t>
      </w:r>
    </w:p>
    <w:p>
      <w:pPr>
        <w:pStyle w:val="BodyText"/>
        <w:spacing w:before="112"/>
        <w:ind w:left="312" w:right="179"/>
      </w:pPr>
      <w:r>
        <w:rPr/>
        <w:t>We do not review literature on new and emerging alternative tools, e.g. engineered synthetic gene drives using the CRISPR/Cas9 genome-editing system, which permits rapid, precise, and targeted genetic engineering in many organisms, including mammals (Grunwald et al. 2019). Nor do we review literature on the</w:t>
      </w:r>
      <w:r>
        <w:rPr>
          <w:spacing w:val="-5"/>
        </w:rPr>
        <w:t> </w:t>
      </w:r>
      <w:r>
        <w:rPr/>
        <w:t>use</w:t>
      </w:r>
      <w:r>
        <w:rPr>
          <w:spacing w:val="-2"/>
        </w:rPr>
        <w:t> </w:t>
      </w:r>
      <w:r>
        <w:rPr/>
        <w:t>of</w:t>
      </w:r>
      <w:r>
        <w:rPr>
          <w:spacing w:val="-2"/>
        </w:rPr>
        <w:t> </w:t>
      </w:r>
      <w:r>
        <w:rPr/>
        <w:t>generative</w:t>
      </w:r>
      <w:r>
        <w:rPr>
          <w:spacing w:val="-2"/>
        </w:rPr>
        <w:t> </w:t>
      </w:r>
      <w:r>
        <w:rPr/>
        <w:t>artificial</w:t>
      </w:r>
      <w:r>
        <w:rPr>
          <w:spacing w:val="-3"/>
        </w:rPr>
        <w:t> </w:t>
      </w:r>
      <w:r>
        <w:rPr/>
        <w:t>intelligence</w:t>
      </w:r>
      <w:r>
        <w:rPr>
          <w:spacing w:val="-4"/>
        </w:rPr>
        <w:t> </w:t>
      </w:r>
      <w:r>
        <w:rPr/>
        <w:t>to</w:t>
      </w:r>
      <w:r>
        <w:rPr>
          <w:spacing w:val="-4"/>
        </w:rPr>
        <w:t> </w:t>
      </w:r>
      <w:r>
        <w:rPr/>
        <w:t>‘discover’</w:t>
      </w:r>
      <w:r>
        <w:rPr>
          <w:spacing w:val="-2"/>
        </w:rPr>
        <w:t> </w:t>
      </w:r>
      <w:r>
        <w:rPr/>
        <w:t>new</w:t>
      </w:r>
      <w:r>
        <w:rPr>
          <w:spacing w:val="-4"/>
        </w:rPr>
        <w:t> </w:t>
      </w:r>
      <w:r>
        <w:rPr/>
        <w:t>compounds (Gangwal</w:t>
      </w:r>
      <w:r>
        <w:rPr>
          <w:spacing w:val="-3"/>
        </w:rPr>
        <w:t> </w:t>
      </w:r>
      <w:r>
        <w:rPr/>
        <w:t>et</w:t>
      </w:r>
      <w:r>
        <w:rPr>
          <w:spacing w:val="-4"/>
        </w:rPr>
        <w:t> </w:t>
      </w:r>
      <w:r>
        <w:rPr/>
        <w:t>al.</w:t>
      </w:r>
      <w:r>
        <w:rPr>
          <w:spacing w:val="-4"/>
        </w:rPr>
        <w:t> </w:t>
      </w:r>
      <w:r>
        <w:rPr/>
        <w:t>2024)</w:t>
      </w:r>
      <w:r>
        <w:rPr>
          <w:spacing w:val="-1"/>
        </w:rPr>
        <w:t> </w:t>
      </w:r>
      <w:r>
        <w:rPr/>
        <w:t>that</w:t>
      </w:r>
      <w:r>
        <w:rPr>
          <w:spacing w:val="-1"/>
        </w:rPr>
        <w:t> </w:t>
      </w:r>
      <w:r>
        <w:rPr/>
        <w:t>may</w:t>
      </w:r>
      <w:r>
        <w:rPr>
          <w:spacing w:val="-3"/>
        </w:rPr>
        <w:t> </w:t>
      </w:r>
      <w:r>
        <w:rPr/>
        <w:t>have the potential as vertebrate pest toxins.</w:t>
      </w:r>
    </w:p>
    <w:p>
      <w:pPr>
        <w:pStyle w:val="BodyText"/>
        <w:spacing w:before="123"/>
        <w:ind w:left="312"/>
      </w:pPr>
      <w:r>
        <w:rPr/>
        <w:t>We</w:t>
      </w:r>
      <w:r>
        <w:rPr>
          <w:spacing w:val="-2"/>
        </w:rPr>
        <w:t> </w:t>
      </w:r>
      <w:r>
        <w:rPr/>
        <w:t>also</w:t>
      </w:r>
      <w:r>
        <w:rPr>
          <w:spacing w:val="-2"/>
        </w:rPr>
        <w:t> </w:t>
      </w:r>
      <w:r>
        <w:rPr/>
        <w:t>do</w:t>
      </w:r>
      <w:r>
        <w:rPr>
          <w:spacing w:val="-5"/>
        </w:rPr>
        <w:t> </w:t>
      </w:r>
      <w:r>
        <w:rPr/>
        <w:t>not</w:t>
      </w:r>
      <w:r>
        <w:rPr>
          <w:spacing w:val="-4"/>
        </w:rPr>
        <w:t> </w:t>
      </w:r>
      <w:r>
        <w:rPr/>
        <w:t>present</w:t>
      </w:r>
      <w:r>
        <w:rPr>
          <w:spacing w:val="-2"/>
        </w:rPr>
        <w:t> </w:t>
      </w:r>
      <w:r>
        <w:rPr/>
        <w:t>a</w:t>
      </w:r>
      <w:r>
        <w:rPr>
          <w:spacing w:val="-4"/>
        </w:rPr>
        <w:t> </w:t>
      </w:r>
      <w:r>
        <w:rPr/>
        <w:t>detailed</w:t>
      </w:r>
      <w:r>
        <w:rPr>
          <w:spacing w:val="-4"/>
        </w:rPr>
        <w:t> </w:t>
      </w:r>
      <w:r>
        <w:rPr/>
        <w:t>review</w:t>
      </w:r>
      <w:r>
        <w:rPr>
          <w:spacing w:val="-4"/>
        </w:rPr>
        <w:t> </w:t>
      </w:r>
      <w:r>
        <w:rPr/>
        <w:t>on</w:t>
      </w:r>
      <w:r>
        <w:rPr>
          <w:spacing w:val="-2"/>
        </w:rPr>
        <w:t> </w:t>
      </w:r>
      <w:r>
        <w:rPr/>
        <w:t>the</w:t>
      </w:r>
      <w:r>
        <w:rPr>
          <w:spacing w:val="-2"/>
        </w:rPr>
        <w:t> </w:t>
      </w:r>
      <w:r>
        <w:rPr/>
        <w:t>impact</w:t>
      </w:r>
      <w:r>
        <w:rPr>
          <w:spacing w:val="-4"/>
        </w:rPr>
        <w:t> </w:t>
      </w:r>
      <w:r>
        <w:rPr/>
        <w:t>each pest</w:t>
      </w:r>
      <w:r>
        <w:rPr>
          <w:spacing w:val="-4"/>
        </w:rPr>
        <w:t> </w:t>
      </w:r>
      <w:r>
        <w:rPr/>
        <w:t>species</w:t>
      </w:r>
      <w:r>
        <w:rPr>
          <w:spacing w:val="-3"/>
        </w:rPr>
        <w:t> </w:t>
      </w:r>
      <w:r>
        <w:rPr/>
        <w:t>has</w:t>
      </w:r>
      <w:r>
        <w:rPr>
          <w:spacing w:val="-3"/>
        </w:rPr>
        <w:t> </w:t>
      </w:r>
      <w:r>
        <w:rPr/>
        <w:t>had</w:t>
      </w:r>
      <w:r>
        <w:rPr>
          <w:spacing w:val="-4"/>
        </w:rPr>
        <w:t> </w:t>
      </w:r>
      <w:r>
        <w:rPr/>
        <w:t>in</w:t>
      </w:r>
      <w:r>
        <w:rPr>
          <w:spacing w:val="-2"/>
        </w:rPr>
        <w:t> </w:t>
      </w:r>
      <w:r>
        <w:rPr/>
        <w:t>Victoria on</w:t>
      </w:r>
      <w:r>
        <w:rPr>
          <w:spacing w:val="-3"/>
        </w:rPr>
        <w:t> </w:t>
      </w:r>
      <w:r>
        <w:rPr/>
        <w:t>either agriculture or biodiversity.</w:t>
      </w:r>
    </w:p>
    <w:p>
      <w:pPr>
        <w:pStyle w:val="BodyText"/>
        <w:spacing w:before="118"/>
        <w:ind w:left="312" w:right="247"/>
      </w:pPr>
      <w:r>
        <w:rPr/>
        <w:t>We</w:t>
      </w:r>
      <w:r>
        <w:rPr>
          <w:spacing w:val="-2"/>
        </w:rPr>
        <w:t> </w:t>
      </w:r>
      <w:r>
        <w:rPr/>
        <w:t>do</w:t>
      </w:r>
      <w:r>
        <w:rPr>
          <w:spacing w:val="-5"/>
        </w:rPr>
        <w:t> </w:t>
      </w:r>
      <w:r>
        <w:rPr/>
        <w:t>not</w:t>
      </w:r>
      <w:r>
        <w:rPr>
          <w:spacing w:val="-4"/>
        </w:rPr>
        <w:t> </w:t>
      </w:r>
      <w:r>
        <w:rPr/>
        <w:t>review</w:t>
      </w:r>
      <w:r>
        <w:rPr>
          <w:spacing w:val="-4"/>
        </w:rPr>
        <w:t> </w:t>
      </w:r>
      <w:r>
        <w:rPr/>
        <w:t>the</w:t>
      </w:r>
      <w:r>
        <w:rPr>
          <w:spacing w:val="-3"/>
        </w:rPr>
        <w:t> </w:t>
      </w:r>
      <w:r>
        <w:rPr/>
        <w:t>literature</w:t>
      </w:r>
      <w:r>
        <w:rPr>
          <w:spacing w:val="-1"/>
        </w:rPr>
        <w:t> </w:t>
      </w:r>
      <w:r>
        <w:rPr/>
        <w:t>relating</w:t>
      </w:r>
      <w:r>
        <w:rPr>
          <w:spacing w:val="-5"/>
        </w:rPr>
        <w:t> </w:t>
      </w:r>
      <w:r>
        <w:rPr/>
        <w:t>to</w:t>
      </w:r>
      <w:r>
        <w:rPr>
          <w:spacing w:val="-4"/>
        </w:rPr>
        <w:t> </w:t>
      </w:r>
      <w:r>
        <w:rPr/>
        <w:t>wider</w:t>
      </w:r>
      <w:r>
        <w:rPr>
          <w:spacing w:val="-1"/>
        </w:rPr>
        <w:t> </w:t>
      </w:r>
      <w:r>
        <w:rPr/>
        <w:t>land</w:t>
      </w:r>
      <w:r>
        <w:rPr>
          <w:spacing w:val="-4"/>
        </w:rPr>
        <w:t> </w:t>
      </w:r>
      <w:r>
        <w:rPr/>
        <w:t>or</w:t>
      </w:r>
      <w:r>
        <w:rPr>
          <w:spacing w:val="-1"/>
        </w:rPr>
        <w:t> </w:t>
      </w:r>
      <w:r>
        <w:rPr/>
        <w:t>farm</w:t>
      </w:r>
      <w:r>
        <w:rPr>
          <w:spacing w:val="-1"/>
        </w:rPr>
        <w:t> </w:t>
      </w:r>
      <w:r>
        <w:rPr/>
        <w:t>management</w:t>
      </w:r>
      <w:r>
        <w:rPr>
          <w:spacing w:val="-2"/>
        </w:rPr>
        <w:t> </w:t>
      </w:r>
      <w:r>
        <w:rPr/>
        <w:t>practices</w:t>
      </w:r>
      <w:r>
        <w:rPr>
          <w:spacing w:val="-3"/>
        </w:rPr>
        <w:t> </w:t>
      </w:r>
      <w:r>
        <w:rPr/>
        <w:t>that</w:t>
      </w:r>
      <w:r>
        <w:rPr>
          <w:spacing w:val="-4"/>
        </w:rPr>
        <w:t> </w:t>
      </w:r>
      <w:r>
        <w:rPr/>
        <w:t>may</w:t>
      </w:r>
      <w:r>
        <w:rPr>
          <w:spacing w:val="-3"/>
        </w:rPr>
        <w:t> </w:t>
      </w:r>
      <w:r>
        <w:rPr/>
        <w:t>assist</w:t>
      </w:r>
      <w:r>
        <w:rPr>
          <w:spacing w:val="-4"/>
        </w:rPr>
        <w:t> </w:t>
      </w:r>
      <w:r>
        <w:rPr/>
        <w:t>in managing the impact of pest species.</w:t>
      </w:r>
    </w:p>
    <w:p>
      <w:pPr>
        <w:pStyle w:val="BodyText"/>
        <w:spacing w:before="121"/>
        <w:ind w:left="312" w:right="232"/>
      </w:pPr>
      <w:r>
        <w:rPr/>
        <w:t>A</w:t>
      </w:r>
      <w:r>
        <w:rPr>
          <w:spacing w:val="-3"/>
        </w:rPr>
        <w:t> </w:t>
      </w:r>
      <w:r>
        <w:rPr/>
        <w:t>detailed</w:t>
      </w:r>
      <w:r>
        <w:rPr>
          <w:spacing w:val="-3"/>
        </w:rPr>
        <w:t> </w:t>
      </w:r>
      <w:r>
        <w:rPr/>
        <w:t>cost-benefit</w:t>
      </w:r>
      <w:r>
        <w:rPr>
          <w:spacing w:val="-3"/>
        </w:rPr>
        <w:t> </w:t>
      </w:r>
      <w:r>
        <w:rPr/>
        <w:t>analysis</w:t>
      </w:r>
      <w:r>
        <w:rPr>
          <w:spacing w:val="-2"/>
        </w:rPr>
        <w:t> </w:t>
      </w:r>
      <w:r>
        <w:rPr/>
        <w:t>of</w:t>
      </w:r>
      <w:r>
        <w:rPr>
          <w:spacing w:val="-3"/>
        </w:rPr>
        <w:t> </w:t>
      </w:r>
      <w:r>
        <w:rPr/>
        <w:t>1080</w:t>
      </w:r>
      <w:r>
        <w:rPr>
          <w:spacing w:val="-3"/>
        </w:rPr>
        <w:t> </w:t>
      </w:r>
      <w:r>
        <w:rPr/>
        <w:t>and</w:t>
      </w:r>
      <w:r>
        <w:rPr>
          <w:spacing w:val="-4"/>
        </w:rPr>
        <w:t> </w:t>
      </w:r>
      <w:r>
        <w:rPr/>
        <w:t>the</w:t>
      </w:r>
      <w:r>
        <w:rPr>
          <w:spacing w:val="-2"/>
        </w:rPr>
        <w:t> </w:t>
      </w:r>
      <w:r>
        <w:rPr/>
        <w:t>lethal</w:t>
      </w:r>
      <w:r>
        <w:rPr>
          <w:spacing w:val="-2"/>
        </w:rPr>
        <w:t> </w:t>
      </w:r>
      <w:r>
        <w:rPr/>
        <w:t>and</w:t>
      </w:r>
      <w:r>
        <w:rPr>
          <w:spacing w:val="-1"/>
        </w:rPr>
        <w:t> </w:t>
      </w:r>
      <w:r>
        <w:rPr/>
        <w:t>non-lethal</w:t>
      </w:r>
      <w:r>
        <w:rPr>
          <w:spacing w:val="-2"/>
        </w:rPr>
        <w:t> </w:t>
      </w:r>
      <w:r>
        <w:rPr/>
        <w:t>alternatives</w:t>
      </w:r>
      <w:r>
        <w:rPr>
          <w:spacing w:val="-2"/>
        </w:rPr>
        <w:t> </w:t>
      </w:r>
      <w:r>
        <w:rPr/>
        <w:t>is</w:t>
      </w:r>
      <w:r>
        <w:rPr>
          <w:spacing w:val="-2"/>
        </w:rPr>
        <w:t> </w:t>
      </w:r>
      <w:r>
        <w:rPr/>
        <w:t>outside</w:t>
      </w:r>
      <w:r>
        <w:rPr>
          <w:spacing w:val="-3"/>
        </w:rPr>
        <w:t> </w:t>
      </w:r>
      <w:r>
        <w:rPr/>
        <w:t>the</w:t>
      </w:r>
      <w:r>
        <w:rPr>
          <w:spacing w:val="-3"/>
        </w:rPr>
        <w:t> </w:t>
      </w:r>
      <w:r>
        <w:rPr/>
        <w:t>scope</w:t>
      </w:r>
      <w:r>
        <w:rPr>
          <w:spacing w:val="-1"/>
        </w:rPr>
        <w:t> </w:t>
      </w:r>
      <w:r>
        <w:rPr/>
        <w:t>of</w:t>
      </w:r>
      <w:r>
        <w:rPr>
          <w:spacing w:val="-3"/>
        </w:rPr>
        <w:t> </w:t>
      </w:r>
      <w:r>
        <w:rPr/>
        <w:t>the review. Where data are available from the published literature or are obtained from subject matter experts, we attempt to build models to compare the relative cost-effectiveness of different methods.</w:t>
      </w:r>
    </w:p>
    <w:p>
      <w:pPr>
        <w:pStyle w:val="BodyText"/>
        <w:spacing w:before="119"/>
        <w:ind w:left="312" w:right="167"/>
      </w:pPr>
      <w:r>
        <w:rPr/>
        <w:t>We do not provide a quantitative assessment (meta-analysis) of the likely size of the reduction in density of pest</w:t>
      </w:r>
      <w:r>
        <w:rPr>
          <w:spacing w:val="-3"/>
        </w:rPr>
        <w:t> </w:t>
      </w:r>
      <w:r>
        <w:rPr/>
        <w:t>species</w:t>
      </w:r>
      <w:r>
        <w:rPr>
          <w:spacing w:val="-2"/>
        </w:rPr>
        <w:t> </w:t>
      </w:r>
      <w:r>
        <w:rPr/>
        <w:t>from</w:t>
      </w:r>
      <w:r>
        <w:rPr>
          <w:spacing w:val="-3"/>
        </w:rPr>
        <w:t> </w:t>
      </w:r>
      <w:r>
        <w:rPr/>
        <w:t>the</w:t>
      </w:r>
      <w:r>
        <w:rPr>
          <w:spacing w:val="-2"/>
        </w:rPr>
        <w:t> </w:t>
      </w:r>
      <w:r>
        <w:rPr/>
        <w:t>application</w:t>
      </w:r>
      <w:r>
        <w:rPr>
          <w:spacing w:val="-1"/>
        </w:rPr>
        <w:t> </w:t>
      </w:r>
      <w:r>
        <w:rPr/>
        <w:t>of</w:t>
      </w:r>
      <w:r>
        <w:rPr>
          <w:spacing w:val="-3"/>
        </w:rPr>
        <w:t> </w:t>
      </w:r>
      <w:r>
        <w:rPr/>
        <w:t>the</w:t>
      </w:r>
      <w:r>
        <w:rPr>
          <w:spacing w:val="-4"/>
        </w:rPr>
        <w:t> </w:t>
      </w:r>
      <w:r>
        <w:rPr/>
        <w:t>control</w:t>
      </w:r>
      <w:r>
        <w:rPr>
          <w:spacing w:val="-2"/>
        </w:rPr>
        <w:t> </w:t>
      </w:r>
      <w:r>
        <w:rPr/>
        <w:t>tools</w:t>
      </w:r>
      <w:r>
        <w:rPr>
          <w:spacing w:val="-2"/>
        </w:rPr>
        <w:t> </w:t>
      </w:r>
      <w:r>
        <w:rPr/>
        <w:t>applied</w:t>
      </w:r>
      <w:r>
        <w:rPr>
          <w:spacing w:val="-1"/>
        </w:rPr>
        <w:t> </w:t>
      </w:r>
      <w:r>
        <w:rPr/>
        <w:t>to</w:t>
      </w:r>
      <w:r>
        <w:rPr>
          <w:spacing w:val="-2"/>
        </w:rPr>
        <w:t> </w:t>
      </w:r>
      <w:r>
        <w:rPr/>
        <w:t>each</w:t>
      </w:r>
      <w:r>
        <w:rPr>
          <w:spacing w:val="-3"/>
        </w:rPr>
        <w:t> </w:t>
      </w:r>
      <w:r>
        <w:rPr/>
        <w:t>species,</w:t>
      </w:r>
      <w:r>
        <w:rPr>
          <w:spacing w:val="-3"/>
        </w:rPr>
        <w:t> </w:t>
      </w:r>
      <w:r>
        <w:rPr/>
        <w:t>nor do</w:t>
      </w:r>
      <w:r>
        <w:rPr>
          <w:spacing w:val="-4"/>
        </w:rPr>
        <w:t> </w:t>
      </w:r>
      <w:r>
        <w:rPr/>
        <w:t>we</w:t>
      </w:r>
      <w:r>
        <w:rPr>
          <w:spacing w:val="-1"/>
        </w:rPr>
        <w:t> </w:t>
      </w:r>
      <w:r>
        <w:rPr/>
        <w:t>consider</w:t>
      </w:r>
      <w:r>
        <w:rPr>
          <w:spacing w:val="-3"/>
        </w:rPr>
        <w:t> </w:t>
      </w:r>
      <w:r>
        <w:rPr/>
        <w:t>the</w:t>
      </w:r>
      <w:r>
        <w:rPr>
          <w:spacing w:val="-3"/>
        </w:rPr>
        <w:t> </w:t>
      </w:r>
      <w:r>
        <w:rPr/>
        <w:t>broader outcomes or benefits (economic or environmental) of reducing pest populations.</w:t>
      </w:r>
    </w:p>
    <w:p>
      <w:pPr>
        <w:spacing w:after="0"/>
        <w:sectPr>
          <w:pgSz w:w="11910" w:h="16850"/>
          <w:pgMar w:header="0" w:footer="688" w:top="1140" w:bottom="880" w:left="820" w:right="980"/>
        </w:sectPr>
      </w:pPr>
    </w:p>
    <w:p>
      <w:pPr>
        <w:pStyle w:val="Heading2"/>
        <w:numPr>
          <w:ilvl w:val="0"/>
          <w:numId w:val="11"/>
        </w:numPr>
        <w:tabs>
          <w:tab w:pos="879" w:val="left" w:leader="none"/>
        </w:tabs>
        <w:spacing w:line="240" w:lineRule="auto" w:before="61" w:after="0"/>
        <w:ind w:left="879" w:right="0" w:hanging="567"/>
        <w:jc w:val="left"/>
      </w:pPr>
      <w:bookmarkStart w:name="_TOC_250080" w:id="15"/>
      <w:bookmarkEnd w:id="15"/>
      <w:r>
        <w:rPr>
          <w:color w:val="001F5F"/>
          <w:spacing w:val="-2"/>
        </w:rPr>
        <w:t>Methods</w:t>
      </w:r>
    </w:p>
    <w:p>
      <w:pPr>
        <w:pStyle w:val="BodyText"/>
        <w:spacing w:before="280"/>
        <w:rPr>
          <w:b/>
          <w:sz w:val="32"/>
        </w:rPr>
      </w:pPr>
    </w:p>
    <w:p>
      <w:pPr>
        <w:pStyle w:val="Heading3"/>
        <w:numPr>
          <w:ilvl w:val="1"/>
          <w:numId w:val="11"/>
        </w:numPr>
        <w:tabs>
          <w:tab w:pos="889" w:val="left" w:leader="none"/>
        </w:tabs>
        <w:spacing w:line="240" w:lineRule="auto" w:before="0" w:after="0"/>
        <w:ind w:left="889" w:right="0" w:hanging="577"/>
        <w:jc w:val="left"/>
      </w:pPr>
      <w:bookmarkStart w:name="_TOC_250079" w:id="16"/>
      <w:r>
        <w:rPr>
          <w:color w:val="2D1E66"/>
        </w:rPr>
        <w:t>Literature</w:t>
      </w:r>
      <w:r>
        <w:rPr>
          <w:color w:val="2D1E66"/>
          <w:spacing w:val="-8"/>
        </w:rPr>
        <w:t> </w:t>
      </w:r>
      <w:bookmarkEnd w:id="16"/>
      <w:r>
        <w:rPr>
          <w:color w:val="2D1E66"/>
          <w:spacing w:val="-2"/>
        </w:rPr>
        <w:t>search</w:t>
      </w:r>
    </w:p>
    <w:p>
      <w:pPr>
        <w:pStyle w:val="BodyText"/>
        <w:spacing w:before="112"/>
        <w:ind w:left="312" w:right="188"/>
      </w:pPr>
      <w:r>
        <w:rPr/>
        <w:t>We followed the general review approach as outlined in the Preferred Reporting Items for Systematic Reviews and Meta-Analysis (PRISMA) statement to guide our methodology (Page et al. 2020). This approach aims to provide a repeatable and transparent review methodology. Our study search was conducted via the Victorian Government Library Services using database searches of BioOne, CSIRO, EBSCOhost, Policy</w:t>
      </w:r>
      <w:r>
        <w:rPr>
          <w:spacing w:val="-1"/>
        </w:rPr>
        <w:t> </w:t>
      </w:r>
      <w:r>
        <w:rPr/>
        <w:t>Commons,</w:t>
      </w:r>
      <w:r>
        <w:rPr>
          <w:spacing w:val="-2"/>
        </w:rPr>
        <w:t> </w:t>
      </w:r>
      <w:r>
        <w:rPr/>
        <w:t>ProQuest, Scopus, Science</w:t>
      </w:r>
      <w:r>
        <w:rPr>
          <w:spacing w:val="-2"/>
        </w:rPr>
        <w:t> </w:t>
      </w:r>
      <w:r>
        <w:rPr/>
        <w:t>Direct,</w:t>
      </w:r>
      <w:r>
        <w:rPr>
          <w:spacing w:val="-2"/>
        </w:rPr>
        <w:t> </w:t>
      </w:r>
      <w:r>
        <w:rPr/>
        <w:t>and</w:t>
      </w:r>
      <w:r>
        <w:rPr>
          <w:spacing w:val="-1"/>
        </w:rPr>
        <w:t> </w:t>
      </w:r>
      <w:r>
        <w:rPr/>
        <w:t>Wiley</w:t>
      </w:r>
      <w:r>
        <w:rPr>
          <w:spacing w:val="-1"/>
        </w:rPr>
        <w:t> </w:t>
      </w:r>
      <w:r>
        <w:rPr/>
        <w:t>Online</w:t>
      </w:r>
      <w:r>
        <w:rPr>
          <w:spacing w:val="-1"/>
        </w:rPr>
        <w:t> </w:t>
      </w:r>
      <w:r>
        <w:rPr/>
        <w:t>searching</w:t>
      </w:r>
      <w:r>
        <w:rPr>
          <w:spacing w:val="-1"/>
        </w:rPr>
        <w:t> </w:t>
      </w:r>
      <w:r>
        <w:rPr/>
        <w:t>for</w:t>
      </w:r>
      <w:r>
        <w:rPr>
          <w:spacing w:val="-1"/>
        </w:rPr>
        <w:t> </w:t>
      </w:r>
      <w:r>
        <w:rPr/>
        <w:t>published journal</w:t>
      </w:r>
      <w:r>
        <w:rPr>
          <w:spacing w:val="-3"/>
        </w:rPr>
        <w:t> </w:t>
      </w:r>
      <w:r>
        <w:rPr/>
        <w:t>articles,</w:t>
      </w:r>
      <w:r>
        <w:rPr>
          <w:spacing w:val="-4"/>
        </w:rPr>
        <w:t> </w:t>
      </w:r>
      <w:r>
        <w:rPr/>
        <w:t>reports,</w:t>
      </w:r>
      <w:r>
        <w:rPr>
          <w:spacing w:val="-4"/>
        </w:rPr>
        <w:t> </w:t>
      </w:r>
      <w:r>
        <w:rPr/>
        <w:t>conference</w:t>
      </w:r>
      <w:r>
        <w:rPr>
          <w:spacing w:val="-2"/>
        </w:rPr>
        <w:t> </w:t>
      </w:r>
      <w:r>
        <w:rPr/>
        <w:t>proceedings,</w:t>
      </w:r>
      <w:r>
        <w:rPr>
          <w:spacing w:val="-1"/>
        </w:rPr>
        <w:t> </w:t>
      </w:r>
      <w:r>
        <w:rPr/>
        <w:t>and</w:t>
      </w:r>
      <w:r>
        <w:rPr>
          <w:spacing w:val="-2"/>
        </w:rPr>
        <w:t> </w:t>
      </w:r>
      <w:r>
        <w:rPr/>
        <w:t>information</w:t>
      </w:r>
      <w:r>
        <w:rPr>
          <w:spacing w:val="-5"/>
        </w:rPr>
        <w:t> </w:t>
      </w:r>
      <w:r>
        <w:rPr/>
        <w:t>sheets.</w:t>
      </w:r>
      <w:r>
        <w:rPr>
          <w:spacing w:val="-2"/>
        </w:rPr>
        <w:t> </w:t>
      </w:r>
      <w:r>
        <w:rPr/>
        <w:t>We</w:t>
      </w:r>
      <w:r>
        <w:rPr>
          <w:spacing w:val="-2"/>
        </w:rPr>
        <w:t> </w:t>
      </w:r>
      <w:r>
        <w:rPr/>
        <w:t>also</w:t>
      </w:r>
      <w:r>
        <w:rPr>
          <w:spacing w:val="-4"/>
        </w:rPr>
        <w:t> </w:t>
      </w:r>
      <w:r>
        <w:rPr/>
        <w:t>used</w:t>
      </w:r>
      <w:r>
        <w:rPr>
          <w:spacing w:val="-5"/>
        </w:rPr>
        <w:t> </w:t>
      </w:r>
      <w:r>
        <w:rPr/>
        <w:t>Google</w:t>
      </w:r>
      <w:r>
        <w:rPr>
          <w:spacing w:val="-2"/>
        </w:rPr>
        <w:t> </w:t>
      </w:r>
      <w:r>
        <w:rPr/>
        <w:t>Scholar,</w:t>
      </w:r>
      <w:r>
        <w:rPr>
          <w:spacing w:val="-2"/>
        </w:rPr>
        <w:t> </w:t>
      </w:r>
      <w:r>
        <w:rPr/>
        <w:t>and State and Federal Government web sites, e.g. PestSmart (</w:t>
      </w:r>
      <w:hyperlink r:id="rId19">
        <w:r>
          <w:rPr>
            <w:color w:val="0000FF"/>
            <w:u w:val="single" w:color="0000FF"/>
          </w:rPr>
          <w:t>https://pestsmart.org.au/</w:t>
        </w:r>
      </w:hyperlink>
      <w:r>
        <w:rPr>
          <w:color w:val="0000FF"/>
          <w:u w:val="none"/>
        </w:rPr>
        <w:t> </w:t>
      </w:r>
      <w:r>
        <w:rPr>
          <w:u w:val="none"/>
        </w:rPr>
        <w:t>), and Agriculture</w:t>
      </w:r>
      <w:r>
        <w:rPr>
          <w:spacing w:val="40"/>
          <w:u w:val="none"/>
        </w:rPr>
        <w:t> </w:t>
      </w:r>
      <w:r>
        <w:rPr>
          <w:u w:val="none"/>
        </w:rPr>
        <w:t>Victoria</w:t>
      </w:r>
      <w:r>
        <w:rPr>
          <w:spacing w:val="-2"/>
          <w:u w:val="none"/>
        </w:rPr>
        <w:t> </w:t>
      </w:r>
      <w:hyperlink r:id="rId20">
        <w:r>
          <w:rPr>
            <w:color w:val="0000FF"/>
            <w:u w:val="single" w:color="0000FF"/>
          </w:rPr>
          <w:t>https://agriculture.vic.gov.au/biosecurity/pest-animals</w:t>
        </w:r>
        <w:r>
          <w:rPr>
            <w:u w:val="none"/>
          </w:rPr>
          <w:t>.</w:t>
        </w:r>
      </w:hyperlink>
      <w:r>
        <w:rPr>
          <w:u w:val="none"/>
        </w:rPr>
        <w:t> Based on</w:t>
      </w:r>
      <w:r>
        <w:rPr>
          <w:spacing w:val="-1"/>
          <w:u w:val="none"/>
        </w:rPr>
        <w:t> </w:t>
      </w:r>
      <w:r>
        <w:rPr>
          <w:u w:val="none"/>
        </w:rPr>
        <w:t>the</w:t>
      </w:r>
      <w:r>
        <w:rPr>
          <w:spacing w:val="-3"/>
          <w:u w:val="none"/>
        </w:rPr>
        <w:t> </w:t>
      </w:r>
      <w:r>
        <w:rPr>
          <w:u w:val="none"/>
        </w:rPr>
        <w:t>results</w:t>
      </w:r>
      <w:r>
        <w:rPr>
          <w:spacing w:val="-1"/>
          <w:u w:val="none"/>
        </w:rPr>
        <w:t> </w:t>
      </w:r>
      <w:r>
        <w:rPr>
          <w:u w:val="none"/>
        </w:rPr>
        <w:t>from</w:t>
      </w:r>
      <w:r>
        <w:rPr>
          <w:spacing w:val="-2"/>
          <w:u w:val="none"/>
        </w:rPr>
        <w:t> </w:t>
      </w:r>
      <w:r>
        <w:rPr>
          <w:u w:val="none"/>
        </w:rPr>
        <w:t>these</w:t>
      </w:r>
      <w:r>
        <w:rPr>
          <w:spacing w:val="-2"/>
          <w:u w:val="none"/>
        </w:rPr>
        <w:t> </w:t>
      </w:r>
      <w:r>
        <w:rPr>
          <w:u w:val="none"/>
        </w:rPr>
        <w:t>searches,</w:t>
      </w:r>
      <w:r>
        <w:rPr>
          <w:spacing w:val="-2"/>
          <w:u w:val="none"/>
        </w:rPr>
        <w:t> </w:t>
      </w:r>
      <w:r>
        <w:rPr>
          <w:u w:val="none"/>
        </w:rPr>
        <w:t>we were able to use citations to trace back to other appropriate studies.</w:t>
      </w:r>
    </w:p>
    <w:p>
      <w:pPr>
        <w:pStyle w:val="BodyText"/>
        <w:spacing w:before="122"/>
        <w:ind w:left="312" w:right="247"/>
      </w:pPr>
      <w:r>
        <w:rPr/>
        <w:t>We categorised findings by species and control method, or subject (e.g. animal welfare, social impact etc). We recorded details on the study location, dates, the control method(s), and the method used to assess changes</w:t>
      </w:r>
      <w:r>
        <w:rPr>
          <w:spacing w:val="-1"/>
        </w:rPr>
        <w:t> </w:t>
      </w:r>
      <w:r>
        <w:rPr/>
        <w:t>in</w:t>
      </w:r>
      <w:r>
        <w:rPr>
          <w:spacing w:val="-1"/>
        </w:rPr>
        <w:t> </w:t>
      </w:r>
      <w:r>
        <w:rPr/>
        <w:t>population</w:t>
      </w:r>
      <w:r>
        <w:rPr>
          <w:spacing w:val="-5"/>
        </w:rPr>
        <w:t> </w:t>
      </w:r>
      <w:r>
        <w:rPr/>
        <w:t>densities</w:t>
      </w:r>
      <w:r>
        <w:rPr>
          <w:spacing w:val="-3"/>
        </w:rPr>
        <w:t> </w:t>
      </w:r>
      <w:r>
        <w:rPr/>
        <w:t>(before</w:t>
      </w:r>
      <w:r>
        <w:rPr>
          <w:spacing w:val="-2"/>
        </w:rPr>
        <w:t> </w:t>
      </w:r>
      <w:r>
        <w:rPr/>
        <w:t>and</w:t>
      </w:r>
      <w:r>
        <w:rPr>
          <w:spacing w:val="-4"/>
        </w:rPr>
        <w:t> </w:t>
      </w:r>
      <w:r>
        <w:rPr/>
        <w:t>after) the</w:t>
      </w:r>
      <w:r>
        <w:rPr>
          <w:spacing w:val="-4"/>
        </w:rPr>
        <w:t> </w:t>
      </w:r>
      <w:r>
        <w:rPr/>
        <w:t>control</w:t>
      </w:r>
      <w:r>
        <w:rPr>
          <w:spacing w:val="-3"/>
        </w:rPr>
        <w:t> </w:t>
      </w:r>
      <w:r>
        <w:rPr/>
        <w:t>effort.</w:t>
      </w:r>
      <w:r>
        <w:rPr>
          <w:spacing w:val="-2"/>
        </w:rPr>
        <w:t> </w:t>
      </w:r>
      <w:r>
        <w:rPr/>
        <w:t>We</w:t>
      </w:r>
      <w:r>
        <w:rPr>
          <w:spacing w:val="-4"/>
        </w:rPr>
        <w:t> </w:t>
      </w:r>
      <w:r>
        <w:rPr/>
        <w:t>also</w:t>
      </w:r>
      <w:r>
        <w:rPr>
          <w:spacing w:val="-4"/>
        </w:rPr>
        <w:t> </w:t>
      </w:r>
      <w:r>
        <w:rPr/>
        <w:t>grouped</w:t>
      </w:r>
      <w:r>
        <w:rPr>
          <w:spacing w:val="-5"/>
        </w:rPr>
        <w:t> </w:t>
      </w:r>
      <w:r>
        <w:rPr/>
        <w:t>studies</w:t>
      </w:r>
      <w:r>
        <w:rPr>
          <w:spacing w:val="-1"/>
        </w:rPr>
        <w:t> </w:t>
      </w:r>
      <w:r>
        <w:rPr/>
        <w:t>into</w:t>
      </w:r>
      <w:r>
        <w:rPr>
          <w:spacing w:val="-2"/>
        </w:rPr>
        <w:t> </w:t>
      </w:r>
      <w:r>
        <w:rPr/>
        <w:t>those</w:t>
      </w:r>
      <w:r>
        <w:rPr>
          <w:spacing w:val="-2"/>
        </w:rPr>
        <w:t> </w:t>
      </w:r>
      <w:r>
        <w:rPr/>
        <w:t>that had some element of experimental design (e.g. before-and-after, treatment control, replication and/or randomisation of</w:t>
      </w:r>
      <w:r>
        <w:rPr>
          <w:spacing w:val="-1"/>
        </w:rPr>
        <w:t> </w:t>
      </w:r>
      <w:r>
        <w:rPr/>
        <w:t>treatments and</w:t>
      </w:r>
      <w:r>
        <w:rPr>
          <w:spacing w:val="-1"/>
        </w:rPr>
        <w:t> </w:t>
      </w:r>
      <w:r>
        <w:rPr/>
        <w:t>controls) and</w:t>
      </w:r>
      <w:r>
        <w:rPr>
          <w:spacing w:val="-1"/>
        </w:rPr>
        <w:t> </w:t>
      </w:r>
      <w:r>
        <w:rPr/>
        <w:t>those</w:t>
      </w:r>
      <w:r>
        <w:rPr>
          <w:spacing w:val="-1"/>
        </w:rPr>
        <w:t> </w:t>
      </w:r>
      <w:r>
        <w:rPr/>
        <w:t>that</w:t>
      </w:r>
      <w:r>
        <w:rPr>
          <w:spacing w:val="-1"/>
        </w:rPr>
        <w:t> </w:t>
      </w:r>
      <w:r>
        <w:rPr/>
        <w:t>did not have any of these</w:t>
      </w:r>
      <w:r>
        <w:rPr>
          <w:spacing w:val="-1"/>
        </w:rPr>
        <w:t> </w:t>
      </w:r>
      <w:r>
        <w:rPr/>
        <w:t>elements to</w:t>
      </w:r>
      <w:r>
        <w:rPr>
          <w:spacing w:val="-2"/>
        </w:rPr>
        <w:t> </w:t>
      </w:r>
      <w:r>
        <w:rPr/>
        <w:t>the</w:t>
      </w:r>
      <w:r>
        <w:rPr>
          <w:spacing w:val="-2"/>
        </w:rPr>
        <w:t> </w:t>
      </w:r>
      <w:r>
        <w:rPr/>
        <w:t>study.</w:t>
      </w:r>
      <w:r>
        <w:rPr>
          <w:spacing w:val="-1"/>
        </w:rPr>
        <w:t> </w:t>
      </w:r>
      <w:r>
        <w:rPr/>
        <w:t>If available, we recorded information on costs for implementing the control action. Where papers detailed multiple control tools, we reviewed and analysed each separately. Where a single paper detailed multiple control attempts (e.g. different years), we recorded these as separate control events.</w:t>
      </w:r>
    </w:p>
    <w:p>
      <w:pPr>
        <w:pStyle w:val="BodyText"/>
        <w:spacing w:before="119"/>
        <w:ind w:left="312" w:right="247"/>
      </w:pPr>
      <w:r>
        <w:rPr/>
        <w:t>Studies were initially collected covering the period 1980–2024; however, we expanded this criterion by dropping filters by</w:t>
      </w:r>
      <w:r>
        <w:rPr>
          <w:spacing w:val="-1"/>
        </w:rPr>
        <w:t> </w:t>
      </w:r>
      <w:r>
        <w:rPr/>
        <w:t>date because</w:t>
      </w:r>
      <w:r>
        <w:rPr>
          <w:spacing w:val="-1"/>
        </w:rPr>
        <w:t> </w:t>
      </w:r>
      <w:r>
        <w:rPr/>
        <w:t>many</w:t>
      </w:r>
      <w:r>
        <w:rPr>
          <w:spacing w:val="-1"/>
        </w:rPr>
        <w:t> </w:t>
      </w:r>
      <w:r>
        <w:rPr/>
        <w:t>of the</w:t>
      </w:r>
      <w:r>
        <w:rPr>
          <w:spacing w:val="-1"/>
        </w:rPr>
        <w:t> </w:t>
      </w:r>
      <w:r>
        <w:rPr/>
        <w:t>earlier</w:t>
      </w:r>
      <w:r>
        <w:rPr>
          <w:spacing w:val="-2"/>
        </w:rPr>
        <w:t> </w:t>
      </w:r>
      <w:r>
        <w:rPr/>
        <w:t>studies</w:t>
      </w:r>
      <w:r>
        <w:rPr>
          <w:spacing w:val="-1"/>
        </w:rPr>
        <w:t> </w:t>
      </w:r>
      <w:r>
        <w:rPr/>
        <w:t>provided</w:t>
      </w:r>
      <w:r>
        <w:rPr>
          <w:spacing w:val="-3"/>
        </w:rPr>
        <w:t> </w:t>
      </w:r>
      <w:r>
        <w:rPr/>
        <w:t>critical</w:t>
      </w:r>
      <w:r>
        <w:rPr>
          <w:spacing w:val="-1"/>
        </w:rPr>
        <w:t> </w:t>
      </w:r>
      <w:r>
        <w:rPr/>
        <w:t>data on</w:t>
      </w:r>
      <w:r>
        <w:rPr>
          <w:spacing w:val="-2"/>
        </w:rPr>
        <w:t> </w:t>
      </w:r>
      <w:r>
        <w:rPr/>
        <w:t>effectiveness.</w:t>
      </w:r>
      <w:r>
        <w:rPr>
          <w:spacing w:val="-2"/>
        </w:rPr>
        <w:t> </w:t>
      </w:r>
      <w:r>
        <w:rPr/>
        <w:t>We</w:t>
      </w:r>
      <w:r>
        <w:rPr>
          <w:spacing w:val="-2"/>
        </w:rPr>
        <w:t> </w:t>
      </w:r>
      <w:r>
        <w:rPr/>
        <w:t>also contacted</w:t>
      </w:r>
      <w:r>
        <w:rPr>
          <w:spacing w:val="-3"/>
        </w:rPr>
        <w:t> </w:t>
      </w:r>
      <w:r>
        <w:rPr/>
        <w:t>subject</w:t>
      </w:r>
      <w:r>
        <w:rPr>
          <w:spacing w:val="-5"/>
        </w:rPr>
        <w:t> </w:t>
      </w:r>
      <w:r>
        <w:rPr/>
        <w:t>matter</w:t>
      </w:r>
      <w:r>
        <w:rPr>
          <w:spacing w:val="-5"/>
        </w:rPr>
        <w:t> </w:t>
      </w:r>
      <w:r>
        <w:rPr/>
        <w:t>experts</w:t>
      </w:r>
      <w:r>
        <w:rPr>
          <w:spacing w:val="-4"/>
        </w:rPr>
        <w:t> </w:t>
      </w:r>
      <w:r>
        <w:rPr/>
        <w:t>and</w:t>
      </w:r>
      <w:r>
        <w:rPr>
          <w:spacing w:val="-3"/>
        </w:rPr>
        <w:t> </w:t>
      </w:r>
      <w:r>
        <w:rPr/>
        <w:t>researchers</w:t>
      </w:r>
      <w:r>
        <w:rPr>
          <w:spacing w:val="-4"/>
        </w:rPr>
        <w:t> </w:t>
      </w:r>
      <w:r>
        <w:rPr/>
        <w:t>for</w:t>
      </w:r>
      <w:r>
        <w:rPr>
          <w:spacing w:val="-2"/>
        </w:rPr>
        <w:t> </w:t>
      </w:r>
      <w:r>
        <w:rPr/>
        <w:t>unpublished</w:t>
      </w:r>
      <w:r>
        <w:rPr>
          <w:spacing w:val="-4"/>
        </w:rPr>
        <w:t> </w:t>
      </w:r>
      <w:r>
        <w:rPr/>
        <w:t>data</w:t>
      </w:r>
      <w:r>
        <w:rPr>
          <w:spacing w:val="-5"/>
        </w:rPr>
        <w:t> </w:t>
      </w:r>
      <w:r>
        <w:rPr/>
        <w:t>or</w:t>
      </w:r>
      <w:r>
        <w:rPr>
          <w:spacing w:val="-4"/>
        </w:rPr>
        <w:t> </w:t>
      </w:r>
      <w:r>
        <w:rPr/>
        <w:t>advice</w:t>
      </w:r>
      <w:r>
        <w:rPr>
          <w:spacing w:val="-5"/>
        </w:rPr>
        <w:t> </w:t>
      </w:r>
      <w:r>
        <w:rPr/>
        <w:t>on</w:t>
      </w:r>
      <w:r>
        <w:rPr>
          <w:spacing w:val="-5"/>
        </w:rPr>
        <w:t> </w:t>
      </w:r>
      <w:r>
        <w:rPr/>
        <w:t>operational</w:t>
      </w:r>
      <w:r>
        <w:rPr>
          <w:spacing w:val="-6"/>
        </w:rPr>
        <w:t> </w:t>
      </w:r>
      <w:r>
        <w:rPr/>
        <w:t>procedures and costs.</w:t>
      </w:r>
    </w:p>
    <w:p>
      <w:pPr>
        <w:pStyle w:val="Heading5"/>
        <w:numPr>
          <w:ilvl w:val="2"/>
          <w:numId w:val="11"/>
        </w:numPr>
        <w:tabs>
          <w:tab w:pos="1033" w:val="left" w:leader="none"/>
        </w:tabs>
        <w:spacing w:line="240" w:lineRule="auto" w:before="141" w:after="0"/>
        <w:ind w:left="1033" w:right="0" w:hanging="721"/>
        <w:jc w:val="left"/>
      </w:pPr>
      <w:bookmarkStart w:name="_TOC_250078" w:id="17"/>
      <w:r>
        <w:rPr/>
        <w:t>Selection</w:t>
      </w:r>
      <w:r>
        <w:rPr>
          <w:spacing w:val="-6"/>
        </w:rPr>
        <w:t> </w:t>
      </w:r>
      <w:r>
        <w:rPr/>
        <w:t>and</w:t>
      </w:r>
      <w:r>
        <w:rPr>
          <w:spacing w:val="-5"/>
        </w:rPr>
        <w:t> </w:t>
      </w:r>
      <w:r>
        <w:rPr/>
        <w:t>eligibility</w:t>
      </w:r>
      <w:r>
        <w:rPr>
          <w:spacing w:val="-5"/>
        </w:rPr>
        <w:t> </w:t>
      </w:r>
      <w:bookmarkEnd w:id="17"/>
      <w:r>
        <w:rPr>
          <w:spacing w:val="-2"/>
        </w:rPr>
        <w:t>criteria</w:t>
      </w:r>
    </w:p>
    <w:p>
      <w:pPr>
        <w:pStyle w:val="Heading6"/>
        <w:ind w:left="312"/>
        <w:rPr>
          <w:i/>
        </w:rPr>
      </w:pPr>
      <w:r>
        <w:rPr>
          <w:i/>
        </w:rPr>
        <w:t>1080</w:t>
      </w:r>
      <w:r>
        <w:rPr>
          <w:i/>
          <w:spacing w:val="-4"/>
        </w:rPr>
        <w:t> </w:t>
      </w:r>
      <w:r>
        <w:rPr>
          <w:i/>
        </w:rPr>
        <w:t>and</w:t>
      </w:r>
      <w:r>
        <w:rPr>
          <w:i/>
          <w:spacing w:val="-2"/>
        </w:rPr>
        <w:t> </w:t>
      </w:r>
      <w:r>
        <w:rPr>
          <w:i/>
        </w:rPr>
        <w:t>other</w:t>
      </w:r>
      <w:r>
        <w:rPr>
          <w:i/>
          <w:spacing w:val="-5"/>
        </w:rPr>
        <w:t> </w:t>
      </w:r>
      <w:r>
        <w:rPr>
          <w:i/>
        </w:rPr>
        <w:t>lethal</w:t>
      </w:r>
      <w:r>
        <w:rPr>
          <w:i/>
          <w:spacing w:val="-4"/>
        </w:rPr>
        <w:t> </w:t>
      </w:r>
      <w:r>
        <w:rPr>
          <w:i/>
        </w:rPr>
        <w:t>control</w:t>
      </w:r>
      <w:r>
        <w:rPr>
          <w:i/>
          <w:spacing w:val="-4"/>
        </w:rPr>
        <w:t> </w:t>
      </w:r>
      <w:r>
        <w:rPr>
          <w:i/>
          <w:spacing w:val="-2"/>
        </w:rPr>
        <w:t>effectiveness</w:t>
      </w:r>
    </w:p>
    <w:p>
      <w:pPr>
        <w:pStyle w:val="BodyText"/>
        <w:spacing w:before="56"/>
        <w:ind w:left="312"/>
      </w:pPr>
      <w:r>
        <w:rPr/>
        <w:t>We included studies that were published in peer-reviewed journals, technical reports, and government department</w:t>
      </w:r>
      <w:r>
        <w:rPr>
          <w:spacing w:val="-3"/>
        </w:rPr>
        <w:t> </w:t>
      </w:r>
      <w:r>
        <w:rPr/>
        <w:t>publications</w:t>
      </w:r>
      <w:r>
        <w:rPr>
          <w:spacing w:val="-2"/>
        </w:rPr>
        <w:t> </w:t>
      </w:r>
      <w:r>
        <w:rPr/>
        <w:t>and</w:t>
      </w:r>
      <w:r>
        <w:rPr>
          <w:spacing w:val="-3"/>
        </w:rPr>
        <w:t> </w:t>
      </w:r>
      <w:r>
        <w:rPr/>
        <w:t>that</w:t>
      </w:r>
      <w:r>
        <w:rPr>
          <w:spacing w:val="-3"/>
        </w:rPr>
        <w:t> </w:t>
      </w:r>
      <w:r>
        <w:rPr/>
        <w:t>included</w:t>
      </w:r>
      <w:r>
        <w:rPr>
          <w:spacing w:val="-2"/>
        </w:rPr>
        <w:t> </w:t>
      </w:r>
      <w:r>
        <w:rPr/>
        <w:t>quantitative</w:t>
      </w:r>
      <w:r>
        <w:rPr>
          <w:spacing w:val="-1"/>
        </w:rPr>
        <w:t> </w:t>
      </w:r>
      <w:r>
        <w:rPr/>
        <w:t>data</w:t>
      </w:r>
      <w:r>
        <w:rPr>
          <w:spacing w:val="-1"/>
        </w:rPr>
        <w:t> </w:t>
      </w:r>
      <w:r>
        <w:rPr/>
        <w:t>from</w:t>
      </w:r>
      <w:r>
        <w:rPr>
          <w:spacing w:val="-3"/>
        </w:rPr>
        <w:t> </w:t>
      </w:r>
      <w:r>
        <w:rPr/>
        <w:t>field-based</w:t>
      </w:r>
      <w:r>
        <w:rPr>
          <w:spacing w:val="-3"/>
        </w:rPr>
        <w:t> </w:t>
      </w:r>
      <w:r>
        <w:rPr/>
        <w:t>research</w:t>
      </w:r>
      <w:r>
        <w:rPr>
          <w:spacing w:val="-3"/>
        </w:rPr>
        <w:t> </w:t>
      </w:r>
      <w:r>
        <w:rPr/>
        <w:t>or</w:t>
      </w:r>
      <w:r>
        <w:rPr>
          <w:spacing w:val="-2"/>
        </w:rPr>
        <w:t> </w:t>
      </w:r>
      <w:r>
        <w:rPr/>
        <w:t>that</w:t>
      </w:r>
      <w:r>
        <w:rPr>
          <w:spacing w:val="-3"/>
        </w:rPr>
        <w:t> </w:t>
      </w:r>
      <w:r>
        <w:rPr/>
        <w:t>reported</w:t>
      </w:r>
      <w:r>
        <w:rPr>
          <w:spacing w:val="-3"/>
        </w:rPr>
        <w:t> </w:t>
      </w:r>
      <w:r>
        <w:rPr/>
        <w:t>on</w:t>
      </w:r>
      <w:r>
        <w:rPr>
          <w:spacing w:val="-3"/>
        </w:rPr>
        <w:t> </w:t>
      </w:r>
      <w:r>
        <w:rPr/>
        <w:t>the outcomes of monitoring to assess reductions in the pest species.</w:t>
      </w:r>
    </w:p>
    <w:p>
      <w:pPr>
        <w:pStyle w:val="BodyText"/>
        <w:spacing w:before="122"/>
        <w:ind w:left="312"/>
      </w:pPr>
      <w:r>
        <w:rPr/>
        <w:t>We</w:t>
      </w:r>
      <w:r>
        <w:rPr>
          <w:spacing w:val="-5"/>
        </w:rPr>
        <w:t> </w:t>
      </w:r>
      <w:r>
        <w:rPr/>
        <w:t>included</w:t>
      </w:r>
      <w:r>
        <w:rPr>
          <w:spacing w:val="-5"/>
        </w:rPr>
        <w:t> </w:t>
      </w:r>
      <w:r>
        <w:rPr/>
        <w:t>literature</w:t>
      </w:r>
      <w:r>
        <w:rPr>
          <w:spacing w:val="-6"/>
        </w:rPr>
        <w:t> </w:t>
      </w:r>
      <w:r>
        <w:rPr/>
        <w:t>for</w:t>
      </w:r>
      <w:r>
        <w:rPr>
          <w:spacing w:val="-6"/>
        </w:rPr>
        <w:t> </w:t>
      </w:r>
      <w:r>
        <w:rPr/>
        <w:t>review</w:t>
      </w:r>
      <w:r>
        <w:rPr>
          <w:spacing w:val="-2"/>
        </w:rPr>
        <w:t> </w:t>
      </w:r>
      <w:r>
        <w:rPr/>
        <w:t>if</w:t>
      </w:r>
      <w:r>
        <w:rPr>
          <w:spacing w:val="-6"/>
        </w:rPr>
        <w:t> </w:t>
      </w:r>
      <w:r>
        <w:rPr/>
        <w:t>the</w:t>
      </w:r>
      <w:r>
        <w:rPr>
          <w:spacing w:val="-7"/>
        </w:rPr>
        <w:t> </w:t>
      </w:r>
      <w:r>
        <w:rPr/>
        <w:t>study</w:t>
      </w:r>
      <w:r>
        <w:rPr>
          <w:spacing w:val="-5"/>
        </w:rPr>
        <w:t> </w:t>
      </w:r>
      <w:r>
        <w:rPr/>
        <w:t>met</w:t>
      </w:r>
      <w:r>
        <w:rPr>
          <w:spacing w:val="-4"/>
        </w:rPr>
        <w:t> </w:t>
      </w:r>
      <w:r>
        <w:rPr/>
        <w:t>the</w:t>
      </w:r>
      <w:r>
        <w:rPr>
          <w:spacing w:val="-7"/>
        </w:rPr>
        <w:t> </w:t>
      </w:r>
      <w:r>
        <w:rPr/>
        <w:t>set</w:t>
      </w:r>
      <w:r>
        <w:rPr>
          <w:spacing w:val="-6"/>
        </w:rPr>
        <w:t> </w:t>
      </w:r>
      <w:r>
        <w:rPr/>
        <w:t>of</w:t>
      </w:r>
      <w:r>
        <w:rPr>
          <w:spacing w:val="-6"/>
        </w:rPr>
        <w:t> </w:t>
      </w:r>
      <w:r>
        <w:rPr/>
        <w:t>criteria</w:t>
      </w:r>
      <w:r>
        <w:rPr>
          <w:spacing w:val="-3"/>
        </w:rPr>
        <w:t> </w:t>
      </w:r>
      <w:r>
        <w:rPr/>
        <w:t>listed</w:t>
      </w:r>
      <w:r>
        <w:rPr>
          <w:spacing w:val="-6"/>
        </w:rPr>
        <w:t> </w:t>
      </w:r>
      <w:r>
        <w:rPr>
          <w:spacing w:val="-2"/>
        </w:rPr>
        <w:t>below:</w:t>
      </w:r>
    </w:p>
    <w:p>
      <w:pPr>
        <w:pStyle w:val="ListParagraph"/>
        <w:numPr>
          <w:ilvl w:val="3"/>
          <w:numId w:val="11"/>
        </w:numPr>
        <w:tabs>
          <w:tab w:pos="1031" w:val="left" w:leader="none"/>
        </w:tabs>
        <w:spacing w:line="240" w:lineRule="auto" w:before="149" w:after="0"/>
        <w:ind w:left="1031" w:right="0" w:hanging="358"/>
        <w:jc w:val="left"/>
        <w:rPr>
          <w:sz w:val="20"/>
        </w:rPr>
      </w:pPr>
      <w:r>
        <w:rPr>
          <w:sz w:val="20"/>
        </w:rPr>
        <w:t>The</w:t>
      </w:r>
      <w:r>
        <w:rPr>
          <w:spacing w:val="-8"/>
          <w:sz w:val="20"/>
        </w:rPr>
        <w:t> </w:t>
      </w:r>
      <w:r>
        <w:rPr>
          <w:sz w:val="20"/>
        </w:rPr>
        <w:t>literature</w:t>
      </w:r>
      <w:r>
        <w:rPr>
          <w:spacing w:val="-4"/>
          <w:sz w:val="20"/>
        </w:rPr>
        <w:t> </w:t>
      </w:r>
      <w:r>
        <w:rPr>
          <w:sz w:val="20"/>
        </w:rPr>
        <w:t>must</w:t>
      </w:r>
      <w:r>
        <w:rPr>
          <w:spacing w:val="-7"/>
          <w:sz w:val="20"/>
        </w:rPr>
        <w:t> </w:t>
      </w:r>
      <w:r>
        <w:rPr>
          <w:sz w:val="20"/>
        </w:rPr>
        <w:t>have</w:t>
      </w:r>
      <w:r>
        <w:rPr>
          <w:spacing w:val="-7"/>
          <w:sz w:val="20"/>
        </w:rPr>
        <w:t> </w:t>
      </w:r>
      <w:r>
        <w:rPr>
          <w:sz w:val="20"/>
        </w:rPr>
        <w:t>involved</w:t>
      </w:r>
      <w:r>
        <w:rPr>
          <w:spacing w:val="-8"/>
          <w:sz w:val="20"/>
        </w:rPr>
        <w:t> </w:t>
      </w:r>
      <w:r>
        <w:rPr>
          <w:sz w:val="20"/>
        </w:rPr>
        <w:t>the</w:t>
      </w:r>
      <w:r>
        <w:rPr>
          <w:spacing w:val="-8"/>
          <w:sz w:val="20"/>
        </w:rPr>
        <w:t> </w:t>
      </w:r>
      <w:r>
        <w:rPr>
          <w:sz w:val="20"/>
        </w:rPr>
        <w:t>attempted</w:t>
      </w:r>
      <w:r>
        <w:rPr>
          <w:spacing w:val="-7"/>
          <w:sz w:val="20"/>
        </w:rPr>
        <w:t> </w:t>
      </w:r>
      <w:r>
        <w:rPr>
          <w:sz w:val="20"/>
        </w:rPr>
        <w:t>suppression</w:t>
      </w:r>
      <w:r>
        <w:rPr>
          <w:spacing w:val="-8"/>
          <w:sz w:val="20"/>
        </w:rPr>
        <w:t> </w:t>
      </w:r>
      <w:r>
        <w:rPr>
          <w:sz w:val="20"/>
        </w:rPr>
        <w:t>or</w:t>
      </w:r>
      <w:r>
        <w:rPr>
          <w:spacing w:val="-7"/>
          <w:sz w:val="20"/>
        </w:rPr>
        <w:t> </w:t>
      </w:r>
      <w:r>
        <w:rPr>
          <w:sz w:val="20"/>
        </w:rPr>
        <w:t>removal</w:t>
      </w:r>
      <w:r>
        <w:rPr>
          <w:spacing w:val="-8"/>
          <w:sz w:val="20"/>
        </w:rPr>
        <w:t> </w:t>
      </w:r>
      <w:r>
        <w:rPr>
          <w:sz w:val="20"/>
        </w:rPr>
        <w:t>of</w:t>
      </w:r>
      <w:r>
        <w:rPr>
          <w:spacing w:val="-1"/>
          <w:sz w:val="20"/>
        </w:rPr>
        <w:t> </w:t>
      </w:r>
      <w:r>
        <w:rPr>
          <w:sz w:val="20"/>
        </w:rPr>
        <w:t>the</w:t>
      </w:r>
      <w:r>
        <w:rPr>
          <w:spacing w:val="-6"/>
          <w:sz w:val="20"/>
        </w:rPr>
        <w:t> </w:t>
      </w:r>
      <w:r>
        <w:rPr>
          <w:spacing w:val="-2"/>
          <w:sz w:val="20"/>
        </w:rPr>
        <w:t>pest.</w:t>
      </w:r>
    </w:p>
    <w:p>
      <w:pPr>
        <w:pStyle w:val="ListParagraph"/>
        <w:numPr>
          <w:ilvl w:val="3"/>
          <w:numId w:val="11"/>
        </w:numPr>
        <w:tabs>
          <w:tab w:pos="1031" w:val="left" w:leader="none"/>
        </w:tabs>
        <w:spacing w:line="240" w:lineRule="auto" w:before="41" w:after="0"/>
        <w:ind w:left="1031" w:right="0" w:hanging="358"/>
        <w:jc w:val="left"/>
        <w:rPr>
          <w:sz w:val="20"/>
        </w:rPr>
      </w:pPr>
      <w:r>
        <w:rPr>
          <w:sz w:val="20"/>
        </w:rPr>
        <w:t>The</w:t>
      </w:r>
      <w:r>
        <w:rPr>
          <w:spacing w:val="-9"/>
          <w:sz w:val="20"/>
        </w:rPr>
        <w:t> </w:t>
      </w:r>
      <w:r>
        <w:rPr>
          <w:sz w:val="20"/>
        </w:rPr>
        <w:t>literature</w:t>
      </w:r>
      <w:r>
        <w:rPr>
          <w:spacing w:val="-5"/>
          <w:sz w:val="20"/>
        </w:rPr>
        <w:t> </w:t>
      </w:r>
      <w:r>
        <w:rPr>
          <w:sz w:val="20"/>
        </w:rPr>
        <w:t>must</w:t>
      </w:r>
      <w:r>
        <w:rPr>
          <w:spacing w:val="-7"/>
          <w:sz w:val="20"/>
        </w:rPr>
        <w:t> </w:t>
      </w:r>
      <w:r>
        <w:rPr>
          <w:sz w:val="20"/>
        </w:rPr>
        <w:t>have</w:t>
      </w:r>
      <w:r>
        <w:rPr>
          <w:spacing w:val="-7"/>
          <w:sz w:val="20"/>
        </w:rPr>
        <w:t> </w:t>
      </w:r>
      <w:r>
        <w:rPr>
          <w:sz w:val="20"/>
        </w:rPr>
        <w:t>used</w:t>
      </w:r>
      <w:r>
        <w:rPr>
          <w:spacing w:val="-8"/>
          <w:sz w:val="20"/>
        </w:rPr>
        <w:t> </w:t>
      </w:r>
      <w:r>
        <w:rPr>
          <w:sz w:val="20"/>
        </w:rPr>
        <w:t>some</w:t>
      </w:r>
      <w:r>
        <w:rPr>
          <w:spacing w:val="-8"/>
          <w:sz w:val="20"/>
        </w:rPr>
        <w:t> </w:t>
      </w:r>
      <w:r>
        <w:rPr>
          <w:sz w:val="20"/>
        </w:rPr>
        <w:t>elements</w:t>
      </w:r>
      <w:r>
        <w:rPr>
          <w:spacing w:val="-7"/>
          <w:sz w:val="20"/>
        </w:rPr>
        <w:t> </w:t>
      </w:r>
      <w:r>
        <w:rPr>
          <w:sz w:val="20"/>
        </w:rPr>
        <w:t>of</w:t>
      </w:r>
      <w:r>
        <w:rPr>
          <w:spacing w:val="-6"/>
          <w:sz w:val="20"/>
        </w:rPr>
        <w:t> </w:t>
      </w:r>
      <w:r>
        <w:rPr>
          <w:sz w:val="20"/>
        </w:rPr>
        <w:t>experimental</w:t>
      </w:r>
      <w:r>
        <w:rPr>
          <w:spacing w:val="-8"/>
          <w:sz w:val="20"/>
        </w:rPr>
        <w:t> </w:t>
      </w:r>
      <w:r>
        <w:rPr>
          <w:spacing w:val="-2"/>
          <w:sz w:val="20"/>
        </w:rPr>
        <w:t>design.</w:t>
      </w:r>
    </w:p>
    <w:p>
      <w:pPr>
        <w:pStyle w:val="ListParagraph"/>
        <w:numPr>
          <w:ilvl w:val="3"/>
          <w:numId w:val="11"/>
        </w:numPr>
        <w:tabs>
          <w:tab w:pos="1031" w:val="left" w:leader="none"/>
          <w:tab w:pos="1033" w:val="left" w:leader="none"/>
        </w:tabs>
        <w:spacing w:line="283" w:lineRule="auto" w:before="39" w:after="0"/>
        <w:ind w:left="1033" w:right="155" w:hanging="360"/>
        <w:jc w:val="left"/>
        <w:rPr>
          <w:sz w:val="20"/>
        </w:rPr>
      </w:pPr>
      <w:r>
        <w:rPr>
          <w:sz w:val="20"/>
        </w:rPr>
        <w:t>The</w:t>
      </w:r>
      <w:r>
        <w:rPr>
          <w:spacing w:val="-4"/>
          <w:sz w:val="20"/>
        </w:rPr>
        <w:t> </w:t>
      </w:r>
      <w:r>
        <w:rPr>
          <w:sz w:val="20"/>
        </w:rPr>
        <w:t>literature</w:t>
      </w:r>
      <w:r>
        <w:rPr>
          <w:spacing w:val="-1"/>
          <w:sz w:val="20"/>
        </w:rPr>
        <w:t> </w:t>
      </w:r>
      <w:r>
        <w:rPr>
          <w:sz w:val="20"/>
        </w:rPr>
        <w:t>must</w:t>
      </w:r>
      <w:r>
        <w:rPr>
          <w:spacing w:val="-4"/>
          <w:sz w:val="20"/>
        </w:rPr>
        <w:t> </w:t>
      </w:r>
      <w:r>
        <w:rPr>
          <w:sz w:val="20"/>
        </w:rPr>
        <w:t>have</w:t>
      </w:r>
      <w:r>
        <w:rPr>
          <w:spacing w:val="-4"/>
          <w:sz w:val="20"/>
        </w:rPr>
        <w:t> </w:t>
      </w:r>
      <w:r>
        <w:rPr>
          <w:sz w:val="20"/>
        </w:rPr>
        <w:t>reported</w:t>
      </w:r>
      <w:r>
        <w:rPr>
          <w:spacing w:val="-5"/>
          <w:sz w:val="20"/>
        </w:rPr>
        <w:t> </w:t>
      </w:r>
      <w:r>
        <w:rPr>
          <w:sz w:val="20"/>
        </w:rPr>
        <w:t>some</w:t>
      </w:r>
      <w:r>
        <w:rPr>
          <w:spacing w:val="-2"/>
          <w:sz w:val="20"/>
        </w:rPr>
        <w:t> </w:t>
      </w:r>
      <w:r>
        <w:rPr>
          <w:sz w:val="20"/>
        </w:rPr>
        <w:t>pre-</w:t>
      </w:r>
      <w:r>
        <w:rPr>
          <w:spacing w:val="-3"/>
          <w:sz w:val="20"/>
        </w:rPr>
        <w:t> </w:t>
      </w:r>
      <w:r>
        <w:rPr>
          <w:sz w:val="20"/>
        </w:rPr>
        <w:t>and</w:t>
      </w:r>
      <w:r>
        <w:rPr>
          <w:spacing w:val="-4"/>
          <w:sz w:val="20"/>
        </w:rPr>
        <w:t> </w:t>
      </w:r>
      <w:r>
        <w:rPr>
          <w:sz w:val="20"/>
        </w:rPr>
        <w:t>post-control</w:t>
      </w:r>
      <w:r>
        <w:rPr>
          <w:spacing w:val="-3"/>
          <w:sz w:val="20"/>
        </w:rPr>
        <w:t> </w:t>
      </w:r>
      <w:r>
        <w:rPr>
          <w:sz w:val="20"/>
        </w:rPr>
        <w:t>abundances</w:t>
      </w:r>
      <w:r>
        <w:rPr>
          <w:spacing w:val="-3"/>
          <w:sz w:val="20"/>
        </w:rPr>
        <w:t> </w:t>
      </w:r>
      <w:r>
        <w:rPr>
          <w:sz w:val="20"/>
        </w:rPr>
        <w:t>or</w:t>
      </w:r>
      <w:r>
        <w:rPr>
          <w:spacing w:val="-3"/>
          <w:sz w:val="20"/>
        </w:rPr>
        <w:t> </w:t>
      </w:r>
      <w:r>
        <w:rPr>
          <w:sz w:val="20"/>
        </w:rPr>
        <w:t>an</w:t>
      </w:r>
      <w:r>
        <w:rPr>
          <w:spacing w:val="-4"/>
          <w:sz w:val="20"/>
        </w:rPr>
        <w:t> </w:t>
      </w:r>
      <w:r>
        <w:rPr>
          <w:sz w:val="20"/>
        </w:rPr>
        <w:t>index</w:t>
      </w:r>
      <w:r>
        <w:rPr>
          <w:spacing w:val="-3"/>
          <w:sz w:val="20"/>
        </w:rPr>
        <w:t> </w:t>
      </w:r>
      <w:r>
        <w:rPr>
          <w:sz w:val="20"/>
        </w:rPr>
        <w:t>of</w:t>
      </w:r>
      <w:r>
        <w:rPr>
          <w:spacing w:val="-2"/>
          <w:sz w:val="20"/>
        </w:rPr>
        <w:t> </w:t>
      </w:r>
      <w:r>
        <w:rPr>
          <w:sz w:val="20"/>
        </w:rPr>
        <w:t>abundance, or the rate of removal.</w:t>
      </w:r>
    </w:p>
    <w:p>
      <w:pPr>
        <w:pStyle w:val="BodyText"/>
        <w:spacing w:before="86"/>
        <w:ind w:left="312" w:right="163"/>
      </w:pPr>
      <w:r>
        <w:rPr/>
        <w:t>The</w:t>
      </w:r>
      <w:r>
        <w:rPr>
          <w:spacing w:val="-4"/>
        </w:rPr>
        <w:t> </w:t>
      </w:r>
      <w:r>
        <w:rPr/>
        <w:t>literature</w:t>
      </w:r>
      <w:r>
        <w:rPr>
          <w:spacing w:val="-1"/>
        </w:rPr>
        <w:t> </w:t>
      </w:r>
      <w:r>
        <w:rPr/>
        <w:t>ideally</w:t>
      </w:r>
      <w:r>
        <w:rPr>
          <w:spacing w:val="-3"/>
        </w:rPr>
        <w:t> </w:t>
      </w:r>
      <w:r>
        <w:rPr/>
        <w:t>would</w:t>
      </w:r>
      <w:r>
        <w:rPr>
          <w:spacing w:val="-2"/>
        </w:rPr>
        <w:t> </w:t>
      </w:r>
      <w:r>
        <w:rPr/>
        <w:t>have</w:t>
      </w:r>
      <w:r>
        <w:rPr>
          <w:spacing w:val="-4"/>
        </w:rPr>
        <w:t> </w:t>
      </w:r>
      <w:r>
        <w:rPr/>
        <w:t>reported</w:t>
      </w:r>
      <w:r>
        <w:rPr>
          <w:spacing w:val="-2"/>
        </w:rPr>
        <w:t> </w:t>
      </w:r>
      <w:r>
        <w:rPr/>
        <w:t>efficiency</w:t>
      </w:r>
      <w:r>
        <w:rPr>
          <w:spacing w:val="-3"/>
        </w:rPr>
        <w:t> </w:t>
      </w:r>
      <w:r>
        <w:rPr/>
        <w:t>of the</w:t>
      </w:r>
      <w:r>
        <w:rPr>
          <w:spacing w:val="-5"/>
        </w:rPr>
        <w:t> </w:t>
      </w:r>
      <w:r>
        <w:rPr/>
        <w:t>control</w:t>
      </w:r>
      <w:r>
        <w:rPr>
          <w:spacing w:val="-3"/>
        </w:rPr>
        <w:t> </w:t>
      </w:r>
      <w:r>
        <w:rPr/>
        <w:t>action</w:t>
      </w:r>
      <w:r>
        <w:rPr>
          <w:spacing w:val="-4"/>
        </w:rPr>
        <w:t> </w:t>
      </w:r>
      <w:r>
        <w:rPr/>
        <w:t>(e.g.</w:t>
      </w:r>
      <w:r>
        <w:rPr>
          <w:spacing w:val="-4"/>
        </w:rPr>
        <w:t> </w:t>
      </w:r>
      <w:r>
        <w:rPr/>
        <w:t>pest</w:t>
      </w:r>
      <w:r>
        <w:rPr>
          <w:spacing w:val="-2"/>
        </w:rPr>
        <w:t> </w:t>
      </w:r>
      <w:r>
        <w:rPr/>
        <w:t>species</w:t>
      </w:r>
      <w:r>
        <w:rPr>
          <w:spacing w:val="-2"/>
        </w:rPr>
        <w:t> </w:t>
      </w:r>
      <w:r>
        <w:rPr/>
        <w:t>removed</w:t>
      </w:r>
      <w:r>
        <w:rPr>
          <w:spacing w:val="-1"/>
        </w:rPr>
        <w:t> </w:t>
      </w:r>
      <w:r>
        <w:rPr/>
        <w:t>per</w:t>
      </w:r>
      <w:r>
        <w:rPr>
          <w:spacing w:val="-3"/>
        </w:rPr>
        <w:t> </w:t>
      </w:r>
      <w:r>
        <w:rPr/>
        <w:t>time unit), and/or the cost of control (e.g. cost per pest removed). Where this information was provided, we recorded it. Nonetheless, papers that did not include this information were not excluded from the review if they provided some insight into the general effectiveness of a control method.</w:t>
      </w:r>
    </w:p>
    <w:p>
      <w:pPr>
        <w:pStyle w:val="BodyText"/>
        <w:spacing w:before="122"/>
        <w:ind w:left="312" w:right="247"/>
      </w:pPr>
      <w:r>
        <w:rPr/>
        <w:t>When</w:t>
      </w:r>
      <w:r>
        <w:rPr>
          <w:spacing w:val="-4"/>
        </w:rPr>
        <w:t> </w:t>
      </w:r>
      <w:r>
        <w:rPr/>
        <w:t>reviewing</w:t>
      </w:r>
      <w:r>
        <w:rPr>
          <w:spacing w:val="-5"/>
        </w:rPr>
        <w:t> </w:t>
      </w:r>
      <w:r>
        <w:rPr/>
        <w:t>studies</w:t>
      </w:r>
      <w:r>
        <w:rPr>
          <w:spacing w:val="-1"/>
        </w:rPr>
        <w:t> </w:t>
      </w:r>
      <w:r>
        <w:rPr/>
        <w:t>of</w:t>
      </w:r>
      <w:r>
        <w:rPr>
          <w:spacing w:val="-2"/>
        </w:rPr>
        <w:t> </w:t>
      </w:r>
      <w:r>
        <w:rPr/>
        <w:t>efficacy,</w:t>
      </w:r>
      <w:r>
        <w:rPr>
          <w:spacing w:val="-4"/>
        </w:rPr>
        <w:t> </w:t>
      </w:r>
      <w:r>
        <w:rPr/>
        <w:t>we</w:t>
      </w:r>
      <w:r>
        <w:rPr>
          <w:spacing w:val="-2"/>
        </w:rPr>
        <w:t> </w:t>
      </w:r>
      <w:r>
        <w:rPr/>
        <w:t>focused</w:t>
      </w:r>
      <w:r>
        <w:rPr>
          <w:spacing w:val="-2"/>
        </w:rPr>
        <w:t> </w:t>
      </w:r>
      <w:r>
        <w:rPr/>
        <w:t>on</w:t>
      </w:r>
      <w:r>
        <w:rPr>
          <w:spacing w:val="-5"/>
        </w:rPr>
        <w:t> </w:t>
      </w:r>
      <w:r>
        <w:rPr/>
        <w:t>studies</w:t>
      </w:r>
      <w:r>
        <w:rPr>
          <w:spacing w:val="-3"/>
        </w:rPr>
        <w:t> </w:t>
      </w:r>
      <w:r>
        <w:rPr/>
        <w:t>that</w:t>
      </w:r>
      <w:r>
        <w:rPr>
          <w:spacing w:val="-2"/>
        </w:rPr>
        <w:t> </w:t>
      </w:r>
      <w:r>
        <w:rPr/>
        <w:t>measured</w:t>
      </w:r>
      <w:r>
        <w:rPr>
          <w:spacing w:val="-4"/>
        </w:rPr>
        <w:t> </w:t>
      </w:r>
      <w:r>
        <w:rPr/>
        <w:t>population</w:t>
      </w:r>
      <w:r>
        <w:rPr>
          <w:spacing w:val="-5"/>
        </w:rPr>
        <w:t> </w:t>
      </w:r>
      <w:r>
        <w:rPr/>
        <w:t>reductions</w:t>
      </w:r>
      <w:r>
        <w:rPr>
          <w:spacing w:val="-1"/>
        </w:rPr>
        <w:t> </w:t>
      </w:r>
      <w:r>
        <w:rPr/>
        <w:t>in</w:t>
      </w:r>
      <w:r>
        <w:rPr>
          <w:spacing w:val="-4"/>
        </w:rPr>
        <w:t> </w:t>
      </w:r>
      <w:r>
        <w:rPr/>
        <w:t>response to control actions. Except for studies that incorporated a comparative element, such as comparing different bait types or impacts on non-target species, we excluded</w:t>
      </w:r>
      <w:r>
        <w:rPr>
          <w:spacing w:val="-1"/>
        </w:rPr>
        <w:t> </w:t>
      </w:r>
      <w:r>
        <w:rPr/>
        <w:t>research that used placebo or non-poisoned baits as a proxy for likely population reductions. Publications that met these criteria for lethal control tools were also used in the cost-effectiveness analysis if they had details of costs, the effort applied (e.g. hours flown and length of transect) and measures of pre- and post-densities of the pest species.</w:t>
      </w:r>
    </w:p>
    <w:p>
      <w:pPr>
        <w:pStyle w:val="BodyText"/>
        <w:spacing w:before="120"/>
        <w:ind w:left="312" w:right="247"/>
      </w:pPr>
      <w:r>
        <w:rPr/>
        <w:t>Cost-effectiveness</w:t>
      </w:r>
      <w:r>
        <w:rPr>
          <w:spacing w:val="-3"/>
        </w:rPr>
        <w:t> </w:t>
      </w:r>
      <w:r>
        <w:rPr/>
        <w:t>analysis is</w:t>
      </w:r>
      <w:r>
        <w:rPr>
          <w:spacing w:val="-3"/>
        </w:rPr>
        <w:t> </w:t>
      </w:r>
      <w:r>
        <w:rPr/>
        <w:t>one</w:t>
      </w:r>
      <w:r>
        <w:rPr>
          <w:spacing w:val="-4"/>
        </w:rPr>
        <w:t> </w:t>
      </w:r>
      <w:r>
        <w:rPr/>
        <w:t>measure</w:t>
      </w:r>
      <w:r>
        <w:rPr>
          <w:spacing w:val="-4"/>
        </w:rPr>
        <w:t> </w:t>
      </w:r>
      <w:r>
        <w:rPr/>
        <w:t>that</w:t>
      </w:r>
      <w:r>
        <w:rPr>
          <w:spacing w:val="-4"/>
        </w:rPr>
        <w:t> </w:t>
      </w:r>
      <w:r>
        <w:rPr/>
        <w:t>can</w:t>
      </w:r>
      <w:r>
        <w:rPr>
          <w:spacing w:val="-4"/>
        </w:rPr>
        <w:t> </w:t>
      </w:r>
      <w:r>
        <w:rPr/>
        <w:t>be</w:t>
      </w:r>
      <w:r>
        <w:rPr>
          <w:spacing w:val="-4"/>
        </w:rPr>
        <w:t> </w:t>
      </w:r>
      <w:r>
        <w:rPr/>
        <w:t>used</w:t>
      </w:r>
      <w:r>
        <w:rPr>
          <w:spacing w:val="-3"/>
        </w:rPr>
        <w:t> </w:t>
      </w:r>
      <w:r>
        <w:rPr/>
        <w:t>to</w:t>
      </w:r>
      <w:r>
        <w:rPr>
          <w:spacing w:val="-5"/>
        </w:rPr>
        <w:t> </w:t>
      </w:r>
      <w:r>
        <w:rPr/>
        <w:t>compare</w:t>
      </w:r>
      <w:r>
        <w:rPr>
          <w:spacing w:val="-2"/>
        </w:rPr>
        <w:t> </w:t>
      </w:r>
      <w:r>
        <w:rPr/>
        <w:t>the</w:t>
      </w:r>
      <w:r>
        <w:rPr>
          <w:spacing w:val="-3"/>
        </w:rPr>
        <w:t> </w:t>
      </w:r>
      <w:r>
        <w:rPr/>
        <w:t>efficiency</w:t>
      </w:r>
      <w:r>
        <w:rPr>
          <w:spacing w:val="-3"/>
        </w:rPr>
        <w:t> </w:t>
      </w:r>
      <w:r>
        <w:rPr/>
        <w:t>of</w:t>
      </w:r>
      <w:r>
        <w:rPr>
          <w:spacing w:val="-2"/>
        </w:rPr>
        <w:t> </w:t>
      </w:r>
      <w:r>
        <w:rPr/>
        <w:t>different</w:t>
      </w:r>
      <w:r>
        <w:rPr>
          <w:spacing w:val="-2"/>
        </w:rPr>
        <w:t> </w:t>
      </w:r>
      <w:r>
        <w:rPr/>
        <w:t>methods of control (Hone 1994). Rather than using cost-benefit analysis to quantify and subsequently assess the need to undertake an objective, cost-effectiveness analysis is used primarily to determine the least expensive way to meet the objective (Bicknell 1993). Given that control actions for the four species are commonly undertaken on agricultural and conservation land for the protection of susceptible prey, cost- effectiveness analysis would be a suitable means to compare the choice of strategy (Gentle 2005).</w:t>
      </w:r>
    </w:p>
    <w:p>
      <w:pPr>
        <w:spacing w:after="0"/>
        <w:sectPr>
          <w:pgSz w:w="11910" w:h="16850"/>
          <w:pgMar w:header="0" w:footer="688" w:top="1140" w:bottom="880" w:left="820" w:right="980"/>
        </w:sectPr>
      </w:pPr>
    </w:p>
    <w:p>
      <w:pPr>
        <w:pStyle w:val="Heading6"/>
        <w:spacing w:before="72"/>
        <w:ind w:left="312"/>
        <w:rPr>
          <w:i/>
        </w:rPr>
      </w:pPr>
      <w:r>
        <w:rPr>
          <w:i/>
        </w:rPr>
        <w:t>Literature</w:t>
      </w:r>
      <w:r>
        <w:rPr>
          <w:i/>
          <w:spacing w:val="-7"/>
        </w:rPr>
        <w:t> </w:t>
      </w:r>
      <w:r>
        <w:rPr>
          <w:i/>
        </w:rPr>
        <w:t>on</w:t>
      </w:r>
      <w:r>
        <w:rPr>
          <w:i/>
          <w:spacing w:val="-5"/>
        </w:rPr>
        <w:t> </w:t>
      </w:r>
      <w:r>
        <w:rPr>
          <w:i/>
        </w:rPr>
        <w:t>broader</w:t>
      </w:r>
      <w:r>
        <w:rPr>
          <w:i/>
          <w:spacing w:val="-4"/>
        </w:rPr>
        <w:t> </w:t>
      </w:r>
      <w:r>
        <w:rPr>
          <w:i/>
        </w:rPr>
        <w:t>aspects</w:t>
      </w:r>
      <w:r>
        <w:rPr>
          <w:i/>
          <w:spacing w:val="-5"/>
        </w:rPr>
        <w:t> </w:t>
      </w:r>
      <w:r>
        <w:rPr>
          <w:i/>
        </w:rPr>
        <w:t>of</w:t>
      </w:r>
      <w:r>
        <w:rPr>
          <w:i/>
          <w:spacing w:val="-1"/>
        </w:rPr>
        <w:t> </w:t>
      </w:r>
      <w:r>
        <w:rPr>
          <w:i/>
        </w:rPr>
        <w:t>pest</w:t>
      </w:r>
      <w:r>
        <w:rPr>
          <w:i/>
          <w:spacing w:val="-4"/>
        </w:rPr>
        <w:t> </w:t>
      </w:r>
      <w:r>
        <w:rPr>
          <w:i/>
        </w:rPr>
        <w:t>animal</w:t>
      </w:r>
      <w:r>
        <w:rPr>
          <w:i/>
          <w:spacing w:val="-3"/>
        </w:rPr>
        <w:t> </w:t>
      </w:r>
      <w:r>
        <w:rPr>
          <w:i/>
          <w:spacing w:val="-2"/>
        </w:rPr>
        <w:t>control</w:t>
      </w:r>
    </w:p>
    <w:p>
      <w:pPr>
        <w:pStyle w:val="BodyText"/>
        <w:spacing w:before="56"/>
        <w:ind w:left="312" w:right="156"/>
      </w:pPr>
      <w:r>
        <w:rPr/>
        <w:t>Literature searches on the remaining topics of the review (non-lethal control alternatives, humaneness, animal</w:t>
      </w:r>
      <w:r>
        <w:rPr>
          <w:spacing w:val="-5"/>
        </w:rPr>
        <w:t> </w:t>
      </w:r>
      <w:r>
        <w:rPr/>
        <w:t>welfare,</w:t>
      </w:r>
      <w:r>
        <w:rPr>
          <w:spacing w:val="-1"/>
        </w:rPr>
        <w:t> </w:t>
      </w:r>
      <w:r>
        <w:rPr/>
        <w:t>occupational</w:t>
      </w:r>
      <w:r>
        <w:rPr>
          <w:spacing w:val="-5"/>
        </w:rPr>
        <w:t> </w:t>
      </w:r>
      <w:r>
        <w:rPr/>
        <w:t>health</w:t>
      </w:r>
      <w:r>
        <w:rPr>
          <w:spacing w:val="-2"/>
        </w:rPr>
        <w:t> </w:t>
      </w:r>
      <w:r>
        <w:rPr/>
        <w:t>and</w:t>
      </w:r>
      <w:r>
        <w:rPr>
          <w:spacing w:val="-4"/>
        </w:rPr>
        <w:t> </w:t>
      </w:r>
      <w:r>
        <w:rPr/>
        <w:t>safety,</w:t>
      </w:r>
      <w:r>
        <w:rPr>
          <w:spacing w:val="-4"/>
        </w:rPr>
        <w:t> </w:t>
      </w:r>
      <w:r>
        <w:rPr/>
        <w:t>environmental</w:t>
      </w:r>
      <w:r>
        <w:rPr>
          <w:spacing w:val="-3"/>
        </w:rPr>
        <w:t> </w:t>
      </w:r>
      <w:r>
        <w:rPr/>
        <w:t>impacts) were</w:t>
      </w:r>
      <w:r>
        <w:rPr>
          <w:spacing w:val="-2"/>
        </w:rPr>
        <w:t> </w:t>
      </w:r>
      <w:r>
        <w:rPr/>
        <w:t>by</w:t>
      </w:r>
      <w:r>
        <w:rPr>
          <w:spacing w:val="-3"/>
        </w:rPr>
        <w:t> </w:t>
      </w:r>
      <w:r>
        <w:rPr/>
        <w:t>the</w:t>
      </w:r>
      <w:r>
        <w:rPr>
          <w:spacing w:val="-5"/>
        </w:rPr>
        <w:t> </w:t>
      </w:r>
      <w:r>
        <w:rPr/>
        <w:t>nature</w:t>
      </w:r>
      <w:r>
        <w:rPr>
          <w:spacing w:val="-2"/>
        </w:rPr>
        <w:t> </w:t>
      </w:r>
      <w:r>
        <w:rPr/>
        <w:t>of</w:t>
      </w:r>
      <w:r>
        <w:rPr>
          <w:spacing w:val="-4"/>
        </w:rPr>
        <w:t> </w:t>
      </w:r>
      <w:r>
        <w:rPr/>
        <w:t>the</w:t>
      </w:r>
      <w:r>
        <w:rPr>
          <w:spacing w:val="-4"/>
        </w:rPr>
        <w:t> </w:t>
      </w:r>
      <w:r>
        <w:rPr/>
        <w:t>topics</w:t>
      </w:r>
      <w:r>
        <w:rPr>
          <w:spacing w:val="-3"/>
        </w:rPr>
        <w:t> </w:t>
      </w:r>
      <w:r>
        <w:rPr/>
        <w:t>more generalised. We limited searches to the past 20 years and to those publications that were conducted in Australia and included the pest species and the topic as additional criteria for searches. However, where appropriate we included publications from overseas that had relevance to the Australian context.</w:t>
      </w:r>
    </w:p>
    <w:p>
      <w:pPr>
        <w:pStyle w:val="BodyText"/>
        <w:spacing w:before="122"/>
        <w:ind w:left="312" w:right="247"/>
      </w:pPr>
      <w:r>
        <w:rPr/>
        <w:t>Several</w:t>
      </w:r>
      <w:r>
        <w:rPr>
          <w:spacing w:val="-4"/>
        </w:rPr>
        <w:t> </w:t>
      </w:r>
      <w:r>
        <w:rPr/>
        <w:t>reviews</w:t>
      </w:r>
      <w:r>
        <w:rPr>
          <w:spacing w:val="-1"/>
        </w:rPr>
        <w:t> </w:t>
      </w:r>
      <w:r>
        <w:rPr/>
        <w:t>have</w:t>
      </w:r>
      <w:r>
        <w:rPr>
          <w:spacing w:val="-1"/>
        </w:rPr>
        <w:t> </w:t>
      </w:r>
      <w:r>
        <w:rPr/>
        <w:t>been</w:t>
      </w:r>
      <w:r>
        <w:rPr>
          <w:spacing w:val="-1"/>
        </w:rPr>
        <w:t> </w:t>
      </w:r>
      <w:r>
        <w:rPr/>
        <w:t>undertaken</w:t>
      </w:r>
      <w:r>
        <w:rPr>
          <w:spacing w:val="-2"/>
        </w:rPr>
        <w:t> </w:t>
      </w:r>
      <w:r>
        <w:rPr/>
        <w:t>in</w:t>
      </w:r>
      <w:r>
        <w:rPr>
          <w:spacing w:val="-1"/>
        </w:rPr>
        <w:t> </w:t>
      </w:r>
      <w:r>
        <w:rPr/>
        <w:t>the</w:t>
      </w:r>
      <w:r>
        <w:rPr>
          <w:spacing w:val="-2"/>
        </w:rPr>
        <w:t> </w:t>
      </w:r>
      <w:r>
        <w:rPr/>
        <w:t>past</w:t>
      </w:r>
      <w:r>
        <w:rPr>
          <w:spacing w:val="-3"/>
        </w:rPr>
        <w:t> </w:t>
      </w:r>
      <w:r>
        <w:rPr/>
        <w:t>two</w:t>
      </w:r>
      <w:r>
        <w:rPr>
          <w:spacing w:val="-1"/>
        </w:rPr>
        <w:t> </w:t>
      </w:r>
      <w:r>
        <w:rPr/>
        <w:t>decades</w:t>
      </w:r>
      <w:r>
        <w:rPr>
          <w:spacing w:val="-2"/>
        </w:rPr>
        <w:t> </w:t>
      </w:r>
      <w:r>
        <w:rPr/>
        <w:t>on</w:t>
      </w:r>
      <w:r>
        <w:rPr>
          <w:spacing w:val="-4"/>
        </w:rPr>
        <w:t> </w:t>
      </w:r>
      <w:r>
        <w:rPr/>
        <w:t>the</w:t>
      </w:r>
      <w:r>
        <w:rPr>
          <w:spacing w:val="-2"/>
        </w:rPr>
        <w:t> </w:t>
      </w:r>
      <w:r>
        <w:rPr/>
        <w:t>use</w:t>
      </w:r>
      <w:r>
        <w:rPr>
          <w:spacing w:val="-3"/>
        </w:rPr>
        <w:t> </w:t>
      </w:r>
      <w:r>
        <w:rPr/>
        <w:t>of</w:t>
      </w:r>
      <w:r>
        <w:rPr>
          <w:spacing w:val="-1"/>
        </w:rPr>
        <w:t> </w:t>
      </w:r>
      <w:r>
        <w:rPr/>
        <w:t>pesticides</w:t>
      </w:r>
      <w:r>
        <w:rPr>
          <w:spacing w:val="-2"/>
        </w:rPr>
        <w:t> </w:t>
      </w:r>
      <w:r>
        <w:rPr/>
        <w:t>in</w:t>
      </w:r>
      <w:r>
        <w:rPr>
          <w:spacing w:val="-1"/>
        </w:rPr>
        <w:t> </w:t>
      </w:r>
      <w:r>
        <w:rPr/>
        <w:t>Australia</w:t>
      </w:r>
      <w:r>
        <w:rPr>
          <w:spacing w:val="-3"/>
        </w:rPr>
        <w:t> </w:t>
      </w:r>
      <w:r>
        <w:rPr/>
        <w:t>and</w:t>
      </w:r>
      <w:r>
        <w:rPr>
          <w:spacing w:val="-3"/>
        </w:rPr>
        <w:t> </w:t>
      </w:r>
      <w:r>
        <w:rPr/>
        <w:t>the associated issues. The Australian Pesticides and Veterinary Medicines Authority (APVMA) has undertaken two major reviews of the use of 1080 in 2005 and 2008. Cooper et al. (2007) investigated the scientific and ethical issues of using 1080 on Australian mammals, and in 2013, McLeod and Saunders (2013) reviewed the</w:t>
      </w:r>
      <w:r>
        <w:rPr>
          <w:spacing w:val="-5"/>
        </w:rPr>
        <w:t> </w:t>
      </w:r>
      <w:r>
        <w:rPr/>
        <w:t>use</w:t>
      </w:r>
      <w:r>
        <w:rPr>
          <w:spacing w:val="-2"/>
        </w:rPr>
        <w:t> </w:t>
      </w:r>
      <w:r>
        <w:rPr/>
        <w:t>of</w:t>
      </w:r>
      <w:r>
        <w:rPr>
          <w:spacing w:val="-2"/>
        </w:rPr>
        <w:t> </w:t>
      </w:r>
      <w:r>
        <w:rPr/>
        <w:t>pesticides</w:t>
      </w:r>
      <w:r>
        <w:rPr>
          <w:spacing w:val="-3"/>
        </w:rPr>
        <w:t> </w:t>
      </w:r>
      <w:r>
        <w:rPr/>
        <w:t>for</w:t>
      </w:r>
      <w:r>
        <w:rPr>
          <w:spacing w:val="-1"/>
        </w:rPr>
        <w:t> </w:t>
      </w:r>
      <w:r>
        <w:rPr/>
        <w:t>the</w:t>
      </w:r>
      <w:r>
        <w:rPr>
          <w:spacing w:val="-2"/>
        </w:rPr>
        <w:t> </w:t>
      </w:r>
      <w:r>
        <w:rPr/>
        <w:t>management</w:t>
      </w:r>
      <w:r>
        <w:rPr>
          <w:spacing w:val="-4"/>
        </w:rPr>
        <w:t> </w:t>
      </w:r>
      <w:r>
        <w:rPr/>
        <w:t>of</w:t>
      </w:r>
      <w:r>
        <w:rPr>
          <w:spacing w:val="-4"/>
        </w:rPr>
        <w:t> </w:t>
      </w:r>
      <w:r>
        <w:rPr/>
        <w:t>vertebrate</w:t>
      </w:r>
      <w:r>
        <w:rPr>
          <w:spacing w:val="-2"/>
        </w:rPr>
        <w:t> </w:t>
      </w:r>
      <w:r>
        <w:rPr/>
        <w:t>pests</w:t>
      </w:r>
      <w:r>
        <w:rPr>
          <w:spacing w:val="-3"/>
        </w:rPr>
        <w:t> </w:t>
      </w:r>
      <w:r>
        <w:rPr/>
        <w:t>in</w:t>
      </w:r>
      <w:r>
        <w:rPr>
          <w:spacing w:val="-2"/>
        </w:rPr>
        <w:t> </w:t>
      </w:r>
      <w:r>
        <w:rPr/>
        <w:t>Australia.</w:t>
      </w:r>
      <w:r>
        <w:rPr>
          <w:spacing w:val="-4"/>
        </w:rPr>
        <w:t> </w:t>
      </w:r>
      <w:r>
        <w:rPr/>
        <w:t>In</w:t>
      </w:r>
      <w:r>
        <w:rPr>
          <w:spacing w:val="-4"/>
        </w:rPr>
        <w:t> </w:t>
      </w:r>
      <w:r>
        <w:rPr/>
        <w:t>2017,</w:t>
      </w:r>
      <w:r>
        <w:rPr>
          <w:spacing w:val="-2"/>
        </w:rPr>
        <w:t> </w:t>
      </w:r>
      <w:r>
        <w:rPr/>
        <w:t>the</w:t>
      </w:r>
      <w:r>
        <w:rPr>
          <w:spacing w:val="-2"/>
        </w:rPr>
        <w:t> </w:t>
      </w:r>
      <w:r>
        <w:rPr/>
        <w:t>Parliament</w:t>
      </w:r>
      <w:r>
        <w:rPr>
          <w:spacing w:val="-4"/>
        </w:rPr>
        <w:t> </w:t>
      </w:r>
      <w:r>
        <w:rPr/>
        <w:t>of</w:t>
      </w:r>
      <w:r>
        <w:rPr>
          <w:spacing w:val="-2"/>
        </w:rPr>
        <w:t> </w:t>
      </w:r>
      <w:r>
        <w:rPr/>
        <w:t>Victoria undertook an inquiry into the control of invasive animals on Crown Land, and Ross and Eason (2022) reviewed 1080 for conservation and protection of endangered species in New Zealand and Australia. Our review drew on these previous reviews as major sources of information.</w:t>
      </w:r>
    </w:p>
    <w:p>
      <w:pPr>
        <w:pStyle w:val="BodyText"/>
        <w:spacing w:before="154"/>
      </w:pPr>
    </w:p>
    <w:p>
      <w:pPr>
        <w:pStyle w:val="Heading3"/>
        <w:numPr>
          <w:ilvl w:val="1"/>
          <w:numId w:val="11"/>
        </w:numPr>
        <w:tabs>
          <w:tab w:pos="889" w:val="left" w:leader="none"/>
        </w:tabs>
        <w:spacing w:line="240" w:lineRule="auto" w:before="0" w:after="0"/>
        <w:ind w:left="889" w:right="0" w:hanging="577"/>
        <w:jc w:val="left"/>
      </w:pPr>
      <w:bookmarkStart w:name="_TOC_250077" w:id="18"/>
      <w:r>
        <w:rPr>
          <w:color w:val="2D1E66"/>
        </w:rPr>
        <w:t>Cost-effectiveness</w:t>
      </w:r>
      <w:r>
        <w:rPr>
          <w:color w:val="2D1E66"/>
          <w:spacing w:val="-5"/>
        </w:rPr>
        <w:t> </w:t>
      </w:r>
      <w:r>
        <w:rPr>
          <w:color w:val="2D1E66"/>
        </w:rPr>
        <w:t>of</w:t>
      </w:r>
      <w:r>
        <w:rPr>
          <w:color w:val="2D1E66"/>
          <w:spacing w:val="-8"/>
        </w:rPr>
        <w:t> </w:t>
      </w:r>
      <w:r>
        <w:rPr>
          <w:color w:val="2D1E66"/>
        </w:rPr>
        <w:t>lethal</w:t>
      </w:r>
      <w:r>
        <w:rPr>
          <w:color w:val="2D1E66"/>
          <w:spacing w:val="-7"/>
        </w:rPr>
        <w:t> </w:t>
      </w:r>
      <w:bookmarkEnd w:id="18"/>
      <w:r>
        <w:rPr>
          <w:color w:val="2D1E66"/>
          <w:spacing w:val="-2"/>
        </w:rPr>
        <w:t>control</w:t>
      </w:r>
    </w:p>
    <w:p>
      <w:pPr>
        <w:pStyle w:val="BodyText"/>
        <w:spacing w:before="112"/>
        <w:ind w:left="312" w:right="206"/>
      </w:pPr>
      <w:r>
        <w:rPr/>
        <w:t>Cost-effectiveness analysis (CEA) offers a valuable framework for evaluating 1080 alongside other lethal control methods by comparing costs to measurable outcomes, such as reductions in pest populations or economic</w:t>
      </w:r>
      <w:r>
        <w:rPr>
          <w:spacing w:val="-3"/>
        </w:rPr>
        <w:t> </w:t>
      </w:r>
      <w:r>
        <w:rPr/>
        <w:t>losses</w:t>
      </w:r>
      <w:r>
        <w:rPr>
          <w:spacing w:val="-3"/>
        </w:rPr>
        <w:t> </w:t>
      </w:r>
      <w:r>
        <w:rPr/>
        <w:t>mitigated (Hone</w:t>
      </w:r>
      <w:r>
        <w:rPr>
          <w:spacing w:val="-5"/>
        </w:rPr>
        <w:t> </w:t>
      </w:r>
      <w:r>
        <w:rPr/>
        <w:t>1994).</w:t>
      </w:r>
      <w:r>
        <w:rPr>
          <w:spacing w:val="-4"/>
        </w:rPr>
        <w:t> </w:t>
      </w:r>
      <w:r>
        <w:rPr/>
        <w:t>While</w:t>
      </w:r>
      <w:r>
        <w:rPr>
          <w:spacing w:val="-4"/>
        </w:rPr>
        <w:t> </w:t>
      </w:r>
      <w:r>
        <w:rPr/>
        <w:t>1080</w:t>
      </w:r>
      <w:r>
        <w:rPr>
          <w:spacing w:val="-4"/>
        </w:rPr>
        <w:t> </w:t>
      </w:r>
      <w:r>
        <w:rPr/>
        <w:t>is frequently</w:t>
      </w:r>
      <w:r>
        <w:rPr>
          <w:spacing w:val="-3"/>
        </w:rPr>
        <w:t> </w:t>
      </w:r>
      <w:r>
        <w:rPr/>
        <w:t>viewed</w:t>
      </w:r>
      <w:r>
        <w:rPr>
          <w:spacing w:val="-4"/>
        </w:rPr>
        <w:t> </w:t>
      </w:r>
      <w:r>
        <w:rPr/>
        <w:t>as</w:t>
      </w:r>
      <w:r>
        <w:rPr>
          <w:spacing w:val="-3"/>
        </w:rPr>
        <w:t> </w:t>
      </w:r>
      <w:r>
        <w:rPr/>
        <w:t>cost-effective</w:t>
      </w:r>
      <w:r>
        <w:rPr>
          <w:spacing w:val="-2"/>
        </w:rPr>
        <w:t> </w:t>
      </w:r>
      <w:r>
        <w:rPr/>
        <w:t>due</w:t>
      </w:r>
      <w:r>
        <w:rPr>
          <w:spacing w:val="-4"/>
        </w:rPr>
        <w:t> </w:t>
      </w:r>
      <w:r>
        <w:rPr/>
        <w:t>to</w:t>
      </w:r>
      <w:r>
        <w:rPr>
          <w:spacing w:val="-2"/>
        </w:rPr>
        <w:t> </w:t>
      </w:r>
      <w:r>
        <w:rPr/>
        <w:t>its</w:t>
      </w:r>
      <w:r>
        <w:rPr>
          <w:spacing w:val="-3"/>
        </w:rPr>
        <w:t> </w:t>
      </w:r>
      <w:r>
        <w:rPr/>
        <w:t>capacity to cover extensive areas with minimal labour input, concerns persist regarding its potential negative effects on native wildlife and the suffering inflicted on poisoned animals (Saunders et al. 2010). Conversely,</w:t>
      </w:r>
      <w:r>
        <w:rPr/>
        <w:t> methods like trapping, ground shooting, and warren ripping are more selective but typically entail greater operational expenses and logistical difficulties, especially in remote or hard-to-access regions (McLeod </w:t>
      </w:r>
      <w:r>
        <w:rPr>
          <w:spacing w:val="-2"/>
        </w:rPr>
        <w:t>2004).</w:t>
      </w:r>
    </w:p>
    <w:p>
      <w:pPr>
        <w:pStyle w:val="BodyText"/>
        <w:spacing w:before="121"/>
        <w:ind w:left="312" w:right="247"/>
      </w:pPr>
      <w:r>
        <w:rPr/>
        <w:t>Recent technological advances, including aerial shooting supported by thermal imaging and the development of more humane toxins are gaining recognition. Evaluating these alternatives requires assessing cost-effectiveness in terms of effectiveness, scalability, ecological impact, and long-term sustainability (Eason et al. 2014). The primary value of CEA lies not in predicting exact costs, but in comparing</w:t>
      </w:r>
      <w:r>
        <w:rPr>
          <w:spacing w:val="-5"/>
        </w:rPr>
        <w:t> </w:t>
      </w:r>
      <w:r>
        <w:rPr/>
        <w:t>relative</w:t>
      </w:r>
      <w:r>
        <w:rPr>
          <w:spacing w:val="-4"/>
        </w:rPr>
        <w:t> </w:t>
      </w:r>
      <w:r>
        <w:rPr/>
        <w:t>costs</w:t>
      </w:r>
      <w:r>
        <w:rPr>
          <w:spacing w:val="-3"/>
        </w:rPr>
        <w:t> </w:t>
      </w:r>
      <w:r>
        <w:rPr/>
        <w:t>across</w:t>
      </w:r>
      <w:r>
        <w:rPr>
          <w:spacing w:val="-3"/>
        </w:rPr>
        <w:t> </w:t>
      </w:r>
      <w:r>
        <w:rPr/>
        <w:t>different</w:t>
      </w:r>
      <w:r>
        <w:rPr>
          <w:spacing w:val="-4"/>
        </w:rPr>
        <w:t> </w:t>
      </w:r>
      <w:r>
        <w:rPr/>
        <w:t>scenarios</w:t>
      </w:r>
      <w:r>
        <w:rPr>
          <w:spacing w:val="-3"/>
        </w:rPr>
        <w:t> </w:t>
      </w:r>
      <w:r>
        <w:rPr/>
        <w:t>to</w:t>
      </w:r>
      <w:r>
        <w:rPr>
          <w:spacing w:val="-3"/>
        </w:rPr>
        <w:t> </w:t>
      </w:r>
      <w:r>
        <w:rPr/>
        <w:t>determine</w:t>
      </w:r>
      <w:r>
        <w:rPr>
          <w:spacing w:val="-4"/>
        </w:rPr>
        <w:t> </w:t>
      </w:r>
      <w:r>
        <w:rPr/>
        <w:t>the</w:t>
      </w:r>
      <w:r>
        <w:rPr>
          <w:spacing w:val="-4"/>
        </w:rPr>
        <w:t> </w:t>
      </w:r>
      <w:r>
        <w:rPr/>
        <w:t>most</w:t>
      </w:r>
      <w:r>
        <w:rPr>
          <w:spacing w:val="-4"/>
        </w:rPr>
        <w:t> </w:t>
      </w:r>
      <w:r>
        <w:rPr/>
        <w:t>effective</w:t>
      </w:r>
      <w:r>
        <w:rPr>
          <w:spacing w:val="-4"/>
        </w:rPr>
        <w:t> </w:t>
      </w:r>
      <w:r>
        <w:rPr/>
        <w:t>method</w:t>
      </w:r>
      <w:r>
        <w:rPr>
          <w:spacing w:val="-2"/>
        </w:rPr>
        <w:t> </w:t>
      </w:r>
      <w:r>
        <w:rPr/>
        <w:t>under</w:t>
      </w:r>
      <w:r>
        <w:rPr>
          <w:spacing w:val="-3"/>
        </w:rPr>
        <w:t> </w:t>
      </w:r>
      <w:r>
        <w:rPr/>
        <w:t>various </w:t>
      </w:r>
      <w:r>
        <w:rPr>
          <w:spacing w:val="-2"/>
        </w:rPr>
        <w:t>conditions.</w:t>
      </w:r>
    </w:p>
    <w:p>
      <w:pPr>
        <w:pStyle w:val="BodyText"/>
        <w:spacing w:before="121"/>
        <w:ind w:left="312" w:right="278"/>
      </w:pPr>
      <w:r>
        <w:rPr/>
        <w:t>However,</w:t>
      </w:r>
      <w:r>
        <w:rPr>
          <w:spacing w:val="-5"/>
        </w:rPr>
        <w:t> </w:t>
      </w:r>
      <w:r>
        <w:rPr/>
        <w:t>the</w:t>
      </w:r>
      <w:r>
        <w:rPr>
          <w:spacing w:val="-6"/>
        </w:rPr>
        <w:t> </w:t>
      </w:r>
      <w:r>
        <w:rPr/>
        <w:t>cost-effectiveness</w:t>
      </w:r>
      <w:r>
        <w:rPr>
          <w:spacing w:val="-4"/>
        </w:rPr>
        <w:t> </w:t>
      </w:r>
      <w:r>
        <w:rPr/>
        <w:t>of</w:t>
      </w:r>
      <w:r>
        <w:rPr>
          <w:spacing w:val="-5"/>
        </w:rPr>
        <w:t> </w:t>
      </w:r>
      <w:r>
        <w:rPr/>
        <w:t>a</w:t>
      </w:r>
      <w:r>
        <w:rPr>
          <w:spacing w:val="-3"/>
        </w:rPr>
        <w:t> </w:t>
      </w:r>
      <w:r>
        <w:rPr/>
        <w:t>particular</w:t>
      </w:r>
      <w:r>
        <w:rPr>
          <w:spacing w:val="-2"/>
        </w:rPr>
        <w:t> </w:t>
      </w:r>
      <w:r>
        <w:rPr/>
        <w:t>pest</w:t>
      </w:r>
      <w:r>
        <w:rPr>
          <w:spacing w:val="-5"/>
        </w:rPr>
        <w:t> </w:t>
      </w:r>
      <w:r>
        <w:rPr/>
        <w:t>management</w:t>
      </w:r>
      <w:r>
        <w:rPr>
          <w:spacing w:val="-3"/>
        </w:rPr>
        <w:t> </w:t>
      </w:r>
      <w:r>
        <w:rPr/>
        <w:t>initiative</w:t>
      </w:r>
      <w:r>
        <w:rPr>
          <w:spacing w:val="-3"/>
        </w:rPr>
        <w:t> </w:t>
      </w:r>
      <w:r>
        <w:rPr/>
        <w:t>does</w:t>
      </w:r>
      <w:r>
        <w:rPr>
          <w:spacing w:val="-2"/>
        </w:rPr>
        <w:t> </w:t>
      </w:r>
      <w:r>
        <w:rPr/>
        <w:t>not</w:t>
      </w:r>
      <w:r>
        <w:rPr>
          <w:spacing w:val="-5"/>
        </w:rPr>
        <w:t> </w:t>
      </w:r>
      <w:r>
        <w:rPr/>
        <w:t>necessarily</w:t>
      </w:r>
      <w:r>
        <w:rPr>
          <w:spacing w:val="-4"/>
        </w:rPr>
        <w:t> </w:t>
      </w:r>
      <w:r>
        <w:rPr/>
        <w:t>mean</w:t>
      </w:r>
      <w:r>
        <w:rPr>
          <w:spacing w:val="-4"/>
        </w:rPr>
        <w:t> </w:t>
      </w:r>
      <w:r>
        <w:rPr/>
        <w:t>it</w:t>
      </w:r>
      <w:r>
        <w:rPr>
          <w:spacing w:val="-3"/>
        </w:rPr>
        <w:t> </w:t>
      </w:r>
      <w:r>
        <w:rPr/>
        <w:t>is the most efficient approach from a broader societal perspective, where more humane alternatives could provide comparable benefits at similar or even higher costs. CEA faces challenges common to other economic evaluations, such as cost-benefit analyses, including selecting appropriate discount rates, managing uncertainty, and accounting for the complexity of both ecological systems and associated management costs.</w:t>
      </w:r>
    </w:p>
    <w:p>
      <w:pPr>
        <w:pStyle w:val="BodyText"/>
        <w:spacing w:before="120"/>
        <w:ind w:left="312"/>
      </w:pPr>
      <w:r>
        <w:rPr/>
        <w:t>Additionally,</w:t>
      </w:r>
      <w:r>
        <w:rPr>
          <w:spacing w:val="-4"/>
        </w:rPr>
        <w:t> </w:t>
      </w:r>
      <w:r>
        <w:rPr/>
        <w:t>evaluating</w:t>
      </w:r>
      <w:r>
        <w:rPr>
          <w:spacing w:val="-2"/>
        </w:rPr>
        <w:t> </w:t>
      </w:r>
      <w:r>
        <w:rPr/>
        <w:t>non-lethal</w:t>
      </w:r>
      <w:r>
        <w:rPr>
          <w:spacing w:val="-3"/>
        </w:rPr>
        <w:t> </w:t>
      </w:r>
      <w:r>
        <w:rPr/>
        <w:t>methods</w:t>
      </w:r>
      <w:r>
        <w:rPr>
          <w:spacing w:val="-3"/>
        </w:rPr>
        <w:t> </w:t>
      </w:r>
      <w:r>
        <w:rPr/>
        <w:t>like</w:t>
      </w:r>
      <w:r>
        <w:rPr>
          <w:spacing w:val="-2"/>
        </w:rPr>
        <w:t> </w:t>
      </w:r>
      <w:r>
        <w:rPr/>
        <w:t>LGAs</w:t>
      </w:r>
      <w:r>
        <w:rPr>
          <w:spacing w:val="-2"/>
        </w:rPr>
        <w:t> </w:t>
      </w:r>
      <w:r>
        <w:rPr/>
        <w:t>or</w:t>
      </w:r>
      <w:r>
        <w:rPr>
          <w:spacing w:val="-3"/>
        </w:rPr>
        <w:t> </w:t>
      </w:r>
      <w:r>
        <w:rPr/>
        <w:t>fencing</w:t>
      </w:r>
      <w:r>
        <w:rPr>
          <w:spacing w:val="-4"/>
        </w:rPr>
        <w:t> </w:t>
      </w:r>
      <w:r>
        <w:rPr/>
        <w:t>is</w:t>
      </w:r>
      <w:r>
        <w:rPr>
          <w:spacing w:val="-3"/>
        </w:rPr>
        <w:t> </w:t>
      </w:r>
      <w:r>
        <w:rPr/>
        <w:t>challenging</w:t>
      </w:r>
      <w:r>
        <w:rPr>
          <w:spacing w:val="-4"/>
        </w:rPr>
        <w:t> </w:t>
      </w:r>
      <w:r>
        <w:rPr/>
        <w:t>within</w:t>
      </w:r>
      <w:r>
        <w:rPr>
          <w:spacing w:val="-4"/>
        </w:rPr>
        <w:t> </w:t>
      </w:r>
      <w:r>
        <w:rPr/>
        <w:t>a</w:t>
      </w:r>
      <w:r>
        <w:rPr>
          <w:spacing w:val="-2"/>
        </w:rPr>
        <w:t> </w:t>
      </w:r>
      <w:r>
        <w:rPr/>
        <w:t>CEA</w:t>
      </w:r>
      <w:r>
        <w:rPr>
          <w:spacing w:val="-4"/>
        </w:rPr>
        <w:t> </w:t>
      </w:r>
      <w:r>
        <w:rPr/>
        <w:t>framework</w:t>
      </w:r>
      <w:r>
        <w:rPr>
          <w:spacing w:val="-2"/>
        </w:rPr>
        <w:t> </w:t>
      </w:r>
      <w:r>
        <w:rPr/>
        <w:t>when outcomes are not directly tied to pest density reduction. Including such non-lethal tools in cost-effectiveness modelling is outside the scope of this review. However, there are available methods that can assess the effectiveness of non-lethal methods, for example, reduction in attack rates.</w:t>
      </w:r>
    </w:p>
    <w:p>
      <w:pPr>
        <w:pStyle w:val="BodyText"/>
        <w:spacing w:before="119"/>
        <w:ind w:left="312" w:right="247"/>
      </w:pPr>
      <w:r>
        <w:rPr/>
        <w:t>Conducting a comprehensive CEA requires detailed data on changes in pest density from before to after initiation of control, operational costs, including labour, travel, vehicle use, and machinery expenses (e.g. cost/hr</w:t>
      </w:r>
      <w:r>
        <w:rPr>
          <w:spacing w:val="-2"/>
        </w:rPr>
        <w:t> </w:t>
      </w:r>
      <w:r>
        <w:rPr/>
        <w:t>for</w:t>
      </w:r>
      <w:r>
        <w:rPr>
          <w:spacing w:val="-1"/>
        </w:rPr>
        <w:t> </w:t>
      </w:r>
      <w:r>
        <w:rPr/>
        <w:t>bulldozers,</w:t>
      </w:r>
      <w:r>
        <w:rPr>
          <w:spacing w:val="-3"/>
        </w:rPr>
        <w:t> </w:t>
      </w:r>
      <w:r>
        <w:rPr/>
        <w:t>helicopters),</w:t>
      </w:r>
      <w:r>
        <w:rPr>
          <w:spacing w:val="-3"/>
        </w:rPr>
        <w:t> </w:t>
      </w:r>
      <w:r>
        <w:rPr/>
        <w:t>as</w:t>
      </w:r>
      <w:r>
        <w:rPr>
          <w:spacing w:val="-2"/>
        </w:rPr>
        <w:t> </w:t>
      </w:r>
      <w:r>
        <w:rPr/>
        <w:t>well</w:t>
      </w:r>
      <w:r>
        <w:rPr>
          <w:spacing w:val="-2"/>
        </w:rPr>
        <w:t> </w:t>
      </w:r>
      <w:r>
        <w:rPr/>
        <w:t>as</w:t>
      </w:r>
      <w:r>
        <w:rPr>
          <w:spacing w:val="-2"/>
        </w:rPr>
        <w:t> </w:t>
      </w:r>
      <w:r>
        <w:rPr/>
        <w:t>the</w:t>
      </w:r>
      <w:r>
        <w:rPr>
          <w:spacing w:val="-3"/>
        </w:rPr>
        <w:t> </w:t>
      </w:r>
      <w:r>
        <w:rPr/>
        <w:t>costs</w:t>
      </w:r>
      <w:r>
        <w:rPr>
          <w:spacing w:val="-2"/>
        </w:rPr>
        <w:t> </w:t>
      </w:r>
      <w:r>
        <w:rPr/>
        <w:t>of</w:t>
      </w:r>
      <w:r>
        <w:rPr>
          <w:spacing w:val="-3"/>
        </w:rPr>
        <w:t> </w:t>
      </w:r>
      <w:r>
        <w:rPr/>
        <w:t>toxicants. Measures</w:t>
      </w:r>
      <w:r>
        <w:rPr>
          <w:spacing w:val="-1"/>
        </w:rPr>
        <w:t> </w:t>
      </w:r>
      <w:r>
        <w:rPr/>
        <w:t>of</w:t>
      </w:r>
      <w:r>
        <w:rPr>
          <w:spacing w:val="-1"/>
        </w:rPr>
        <w:t> </w:t>
      </w:r>
      <w:r>
        <w:rPr/>
        <w:t>the</w:t>
      </w:r>
      <w:r>
        <w:rPr>
          <w:spacing w:val="-4"/>
        </w:rPr>
        <w:t> </w:t>
      </w:r>
      <w:r>
        <w:rPr/>
        <w:t>effort</w:t>
      </w:r>
      <w:r>
        <w:rPr>
          <w:spacing w:val="-3"/>
        </w:rPr>
        <w:t> </w:t>
      </w:r>
      <w:r>
        <w:rPr/>
        <w:t>expended,</w:t>
      </w:r>
      <w:r>
        <w:rPr>
          <w:spacing w:val="-1"/>
        </w:rPr>
        <w:t> </w:t>
      </w:r>
      <w:r>
        <w:rPr/>
        <w:t>such as</w:t>
      </w:r>
      <w:r>
        <w:rPr>
          <w:spacing w:val="-3"/>
        </w:rPr>
        <w:t> </w:t>
      </w:r>
      <w:r>
        <w:rPr/>
        <w:t>hours</w:t>
      </w:r>
      <w:r>
        <w:rPr>
          <w:spacing w:val="-2"/>
        </w:rPr>
        <w:t> </w:t>
      </w:r>
      <w:r>
        <w:rPr/>
        <w:t>spent</w:t>
      </w:r>
      <w:r>
        <w:rPr>
          <w:spacing w:val="-4"/>
        </w:rPr>
        <w:t> </w:t>
      </w:r>
      <w:r>
        <w:rPr/>
        <w:t>shooting,</w:t>
      </w:r>
      <w:r>
        <w:rPr>
          <w:spacing w:val="-2"/>
        </w:rPr>
        <w:t> </w:t>
      </w:r>
      <w:r>
        <w:rPr/>
        <w:t>distances</w:t>
      </w:r>
      <w:r>
        <w:rPr>
          <w:spacing w:val="-3"/>
        </w:rPr>
        <w:t> </w:t>
      </w:r>
      <w:r>
        <w:rPr/>
        <w:t>travelled,</w:t>
      </w:r>
      <w:r>
        <w:rPr>
          <w:spacing w:val="-4"/>
        </w:rPr>
        <w:t> </w:t>
      </w:r>
      <w:r>
        <w:rPr/>
        <w:t>number</w:t>
      </w:r>
      <w:r>
        <w:rPr>
          <w:spacing w:val="-4"/>
        </w:rPr>
        <w:t> </w:t>
      </w:r>
      <w:r>
        <w:rPr/>
        <w:t>of</w:t>
      </w:r>
      <w:r>
        <w:rPr>
          <w:spacing w:val="-4"/>
        </w:rPr>
        <w:t> </w:t>
      </w:r>
      <w:r>
        <w:rPr/>
        <w:t>baits</w:t>
      </w:r>
      <w:r>
        <w:rPr>
          <w:spacing w:val="-3"/>
        </w:rPr>
        <w:t> </w:t>
      </w:r>
      <w:r>
        <w:rPr/>
        <w:t>laid,</w:t>
      </w:r>
      <w:r>
        <w:rPr>
          <w:spacing w:val="-4"/>
        </w:rPr>
        <w:t> </w:t>
      </w:r>
      <w:r>
        <w:rPr/>
        <w:t>warrens</w:t>
      </w:r>
      <w:r>
        <w:rPr>
          <w:spacing w:val="-3"/>
        </w:rPr>
        <w:t> </w:t>
      </w:r>
      <w:r>
        <w:rPr/>
        <w:t>destroyed,</w:t>
      </w:r>
      <w:r>
        <w:rPr>
          <w:spacing w:val="-4"/>
        </w:rPr>
        <w:t> </w:t>
      </w:r>
      <w:r>
        <w:rPr/>
        <w:t>or</w:t>
      </w:r>
      <w:r>
        <w:rPr>
          <w:spacing w:val="-3"/>
        </w:rPr>
        <w:t> </w:t>
      </w:r>
      <w:r>
        <w:rPr/>
        <w:t>animals</w:t>
      </w:r>
      <w:r>
        <w:rPr>
          <w:spacing w:val="-3"/>
        </w:rPr>
        <w:t> </w:t>
      </w:r>
      <w:r>
        <w:rPr/>
        <w:t>culled</w:t>
      </w:r>
      <w:r>
        <w:rPr>
          <w:spacing w:val="-3"/>
        </w:rPr>
        <w:t> </w:t>
      </w:r>
      <w:r>
        <w:rPr/>
        <w:t>are essential. Effectiveness should be measured against explicit management goals, such as reductions in population density or damage levels. While some studies and information provide total costs, they lack information on either effort or pre- and post-changes in density.</w:t>
      </w:r>
    </w:p>
    <w:p>
      <w:pPr>
        <w:pStyle w:val="BodyText"/>
        <w:spacing w:before="121"/>
        <w:ind w:left="312" w:right="232"/>
      </w:pPr>
      <w:r>
        <w:rPr/>
        <w:t>Understanding</w:t>
      </w:r>
      <w:r>
        <w:rPr>
          <w:spacing w:val="-3"/>
        </w:rPr>
        <w:t> </w:t>
      </w:r>
      <w:r>
        <w:rPr/>
        <w:t>how</w:t>
      </w:r>
      <w:r>
        <w:rPr>
          <w:spacing w:val="-2"/>
        </w:rPr>
        <w:t> </w:t>
      </w:r>
      <w:r>
        <w:rPr/>
        <w:t>management</w:t>
      </w:r>
      <w:r>
        <w:rPr>
          <w:spacing w:val="-4"/>
        </w:rPr>
        <w:t> </w:t>
      </w:r>
      <w:r>
        <w:rPr/>
        <w:t>inputs,</w:t>
      </w:r>
      <w:r>
        <w:rPr>
          <w:spacing w:val="-4"/>
        </w:rPr>
        <w:t> </w:t>
      </w:r>
      <w:r>
        <w:rPr/>
        <w:t>such</w:t>
      </w:r>
      <w:r>
        <w:rPr>
          <w:spacing w:val="-4"/>
        </w:rPr>
        <w:t> </w:t>
      </w:r>
      <w:r>
        <w:rPr/>
        <w:t>as</w:t>
      </w:r>
      <w:r>
        <w:rPr>
          <w:spacing w:val="-3"/>
        </w:rPr>
        <w:t> </w:t>
      </w:r>
      <w:r>
        <w:rPr/>
        <w:t>shooting,</w:t>
      </w:r>
      <w:r>
        <w:rPr>
          <w:spacing w:val="-4"/>
        </w:rPr>
        <w:t> </w:t>
      </w:r>
      <w:r>
        <w:rPr/>
        <w:t>correlate</w:t>
      </w:r>
      <w:r>
        <w:rPr>
          <w:spacing w:val="-5"/>
        </w:rPr>
        <w:t> </w:t>
      </w:r>
      <w:r>
        <w:rPr/>
        <w:t>with</w:t>
      </w:r>
      <w:r>
        <w:rPr>
          <w:spacing w:val="-2"/>
        </w:rPr>
        <w:t> </w:t>
      </w:r>
      <w:r>
        <w:rPr/>
        <w:t>outputs</w:t>
      </w:r>
      <w:r>
        <w:rPr>
          <w:spacing w:val="-3"/>
        </w:rPr>
        <w:t> </w:t>
      </w:r>
      <w:r>
        <w:rPr/>
        <w:t>like</w:t>
      </w:r>
      <w:r>
        <w:rPr>
          <w:spacing w:val="-4"/>
        </w:rPr>
        <w:t> </w:t>
      </w:r>
      <w:r>
        <w:rPr/>
        <w:t>reduced</w:t>
      </w:r>
      <w:r>
        <w:rPr>
          <w:spacing w:val="-5"/>
        </w:rPr>
        <w:t> </w:t>
      </w:r>
      <w:r>
        <w:rPr/>
        <w:t>pest</w:t>
      </w:r>
      <w:r>
        <w:rPr>
          <w:spacing w:val="-4"/>
        </w:rPr>
        <w:t> </w:t>
      </w:r>
      <w:r>
        <w:rPr/>
        <w:t>densities is crucial (Choquenot et al. 1999). While decreased pest densities often lead to reduced impacts (Hone 1994), not all density reductions yield significant ecological or agricultural benefits. For instance, many pest populations have threshold densities above which impacts become unacceptable, such as the need to reduce rabbit densities to fewer than 100 individuals per km² to enable the regeneration of sensitive woody plant species (Bird et al. 2012; Mutze et al. 2008).</w:t>
      </w:r>
    </w:p>
    <w:p>
      <w:pPr>
        <w:pStyle w:val="BodyText"/>
        <w:spacing w:before="121"/>
        <w:ind w:left="312" w:right="193"/>
      </w:pPr>
      <w:r>
        <w:rPr/>
        <w:t>Outside</w:t>
      </w:r>
      <w:r>
        <w:rPr>
          <w:spacing w:val="-3"/>
        </w:rPr>
        <w:t> </w:t>
      </w:r>
      <w:r>
        <w:rPr/>
        <w:t>of</w:t>
      </w:r>
      <w:r>
        <w:rPr>
          <w:spacing w:val="-4"/>
        </w:rPr>
        <w:t> </w:t>
      </w:r>
      <w:r>
        <w:rPr/>
        <w:t>specialised</w:t>
      </w:r>
      <w:r>
        <w:rPr>
          <w:spacing w:val="-5"/>
        </w:rPr>
        <w:t> </w:t>
      </w:r>
      <w:r>
        <w:rPr/>
        <w:t>research</w:t>
      </w:r>
      <w:r>
        <w:rPr>
          <w:spacing w:val="-4"/>
        </w:rPr>
        <w:t> </w:t>
      </w:r>
      <w:r>
        <w:rPr/>
        <w:t>projects,</w:t>
      </w:r>
      <w:r>
        <w:rPr>
          <w:spacing w:val="-4"/>
        </w:rPr>
        <w:t> </w:t>
      </w:r>
      <w:r>
        <w:rPr/>
        <w:t>operational</w:t>
      </w:r>
      <w:r>
        <w:rPr>
          <w:spacing w:val="-5"/>
        </w:rPr>
        <w:t> </w:t>
      </w:r>
      <w:r>
        <w:rPr/>
        <w:t>data</w:t>
      </w:r>
      <w:r>
        <w:rPr>
          <w:spacing w:val="-5"/>
        </w:rPr>
        <w:t> </w:t>
      </w:r>
      <w:r>
        <w:rPr/>
        <w:t>on</w:t>
      </w:r>
      <w:r>
        <w:rPr>
          <w:spacing w:val="-4"/>
        </w:rPr>
        <w:t> </w:t>
      </w:r>
      <w:r>
        <w:rPr/>
        <w:t>lethal</w:t>
      </w:r>
      <w:r>
        <w:rPr>
          <w:spacing w:val="-5"/>
        </w:rPr>
        <w:t> </w:t>
      </w:r>
      <w:r>
        <w:rPr/>
        <w:t>control</w:t>
      </w:r>
      <w:r>
        <w:rPr>
          <w:spacing w:val="-3"/>
        </w:rPr>
        <w:t> </w:t>
      </w:r>
      <w:r>
        <w:rPr/>
        <w:t>costs</w:t>
      </w:r>
      <w:r>
        <w:rPr>
          <w:spacing w:val="-3"/>
        </w:rPr>
        <w:t> </w:t>
      </w:r>
      <w:r>
        <w:rPr/>
        <w:t>across</w:t>
      </w:r>
      <w:r>
        <w:rPr>
          <w:spacing w:val="-3"/>
        </w:rPr>
        <w:t> </w:t>
      </w:r>
      <w:r>
        <w:rPr/>
        <w:t>different</w:t>
      </w:r>
      <w:r>
        <w:rPr>
          <w:spacing w:val="-2"/>
        </w:rPr>
        <w:t> </w:t>
      </w:r>
      <w:r>
        <w:rPr/>
        <w:t>regions</w:t>
      </w:r>
      <w:r>
        <w:rPr>
          <w:spacing w:val="-3"/>
        </w:rPr>
        <w:t> </w:t>
      </w:r>
      <w:r>
        <w:rPr/>
        <w:t>and densities has not been systematically recorded. If available, such data could facilitate the calculation of kill- per-unit-effort metrics and cost comparisons between control methods.</w:t>
      </w:r>
    </w:p>
    <w:p>
      <w:pPr>
        <w:spacing w:after="0"/>
        <w:sectPr>
          <w:pgSz w:w="11910" w:h="16850"/>
          <w:pgMar w:header="0" w:footer="688" w:top="1060" w:bottom="880" w:left="820" w:right="980"/>
        </w:sectPr>
      </w:pPr>
    </w:p>
    <w:p>
      <w:pPr>
        <w:pStyle w:val="BodyText"/>
        <w:spacing w:before="71"/>
        <w:ind w:left="312" w:right="247"/>
      </w:pPr>
      <w:r>
        <w:rPr/>
        <w:t>To address these data gaps, modelling approaches can simulate population densities over time using species’</w:t>
      </w:r>
      <w:r>
        <w:rPr>
          <w:spacing w:val="-4"/>
        </w:rPr>
        <w:t> </w:t>
      </w:r>
      <w:r>
        <w:rPr/>
        <w:t>life</w:t>
      </w:r>
      <w:r>
        <w:rPr>
          <w:spacing w:val="-4"/>
        </w:rPr>
        <w:t> </w:t>
      </w:r>
      <w:r>
        <w:rPr/>
        <w:t>history</w:t>
      </w:r>
      <w:r>
        <w:rPr>
          <w:spacing w:val="-3"/>
        </w:rPr>
        <w:t> </w:t>
      </w:r>
      <w:r>
        <w:rPr/>
        <w:t>data</w:t>
      </w:r>
      <w:r>
        <w:rPr>
          <w:spacing w:val="-3"/>
        </w:rPr>
        <w:t> </w:t>
      </w:r>
      <w:r>
        <w:rPr/>
        <w:t>(Hone</w:t>
      </w:r>
      <w:r>
        <w:rPr>
          <w:spacing w:val="-3"/>
        </w:rPr>
        <w:t> </w:t>
      </w:r>
      <w:r>
        <w:rPr/>
        <w:t>1994)</w:t>
      </w:r>
      <w:r>
        <w:rPr>
          <w:spacing w:val="-3"/>
        </w:rPr>
        <w:t> </w:t>
      </w:r>
      <w:r>
        <w:rPr/>
        <w:t>and</w:t>
      </w:r>
      <w:r>
        <w:rPr>
          <w:spacing w:val="-4"/>
        </w:rPr>
        <w:t> </w:t>
      </w:r>
      <w:r>
        <w:rPr/>
        <w:t>generalised</w:t>
      </w:r>
      <w:r>
        <w:rPr>
          <w:spacing w:val="-3"/>
        </w:rPr>
        <w:t> </w:t>
      </w:r>
      <w:r>
        <w:rPr/>
        <w:t>cost</w:t>
      </w:r>
      <w:r>
        <w:rPr>
          <w:spacing w:val="-4"/>
        </w:rPr>
        <w:t> </w:t>
      </w:r>
      <w:r>
        <w:rPr/>
        <w:t>estimates.</w:t>
      </w:r>
      <w:r>
        <w:rPr>
          <w:spacing w:val="-3"/>
        </w:rPr>
        <w:t> </w:t>
      </w:r>
      <w:r>
        <w:rPr/>
        <w:t>Simulations</w:t>
      </w:r>
      <w:r>
        <w:rPr>
          <w:spacing w:val="-1"/>
        </w:rPr>
        <w:t> </w:t>
      </w:r>
      <w:r>
        <w:rPr/>
        <w:t>can</w:t>
      </w:r>
      <w:r>
        <w:rPr>
          <w:spacing w:val="-5"/>
        </w:rPr>
        <w:t> </w:t>
      </w:r>
      <w:r>
        <w:rPr/>
        <w:t>incorporate</w:t>
      </w:r>
      <w:r>
        <w:rPr>
          <w:spacing w:val="-4"/>
        </w:rPr>
        <w:t> </w:t>
      </w:r>
      <w:r>
        <w:rPr/>
        <w:t>expected density changes after control actions, helping estimate both effectiveness and associated costs. However, pest control cost assessments remain highly context-specific, because they are influenced by factors like operational area characteristics, logistical challenges, and management objectives (e.g. eradication versus sustained control).</w:t>
      </w:r>
    </w:p>
    <w:p>
      <w:pPr>
        <w:pStyle w:val="BodyText"/>
        <w:spacing w:before="121"/>
        <w:ind w:left="312"/>
      </w:pPr>
      <w:r>
        <w:rPr/>
        <w:t>While general</w:t>
      </w:r>
      <w:r>
        <w:rPr>
          <w:spacing w:val="-1"/>
        </w:rPr>
        <w:t> </w:t>
      </w:r>
      <w:r>
        <w:rPr/>
        <w:t>operational activities have been recorded for some of the pest species under Victorian conditions,</w:t>
      </w:r>
      <w:r>
        <w:rPr>
          <w:spacing w:val="-4"/>
        </w:rPr>
        <w:t> </w:t>
      </w:r>
      <w:r>
        <w:rPr/>
        <w:t>the</w:t>
      </w:r>
      <w:r>
        <w:rPr>
          <w:spacing w:val="-2"/>
        </w:rPr>
        <w:t> </w:t>
      </w:r>
      <w:r>
        <w:rPr/>
        <w:t>requisite</w:t>
      </w:r>
      <w:r>
        <w:rPr>
          <w:spacing w:val="-4"/>
        </w:rPr>
        <w:t> </w:t>
      </w:r>
      <w:r>
        <w:rPr/>
        <w:t>data</w:t>
      </w:r>
      <w:r>
        <w:rPr>
          <w:spacing w:val="-1"/>
        </w:rPr>
        <w:t> </w:t>
      </w:r>
      <w:r>
        <w:rPr/>
        <w:t>are</w:t>
      </w:r>
      <w:r>
        <w:rPr>
          <w:spacing w:val="-3"/>
        </w:rPr>
        <w:t> </w:t>
      </w:r>
      <w:r>
        <w:rPr/>
        <w:t>not</w:t>
      </w:r>
      <w:r>
        <w:rPr>
          <w:spacing w:val="-4"/>
        </w:rPr>
        <w:t> </w:t>
      </w:r>
      <w:r>
        <w:rPr/>
        <w:t>available</w:t>
      </w:r>
      <w:r>
        <w:rPr>
          <w:spacing w:val="-2"/>
        </w:rPr>
        <w:t> </w:t>
      </w:r>
      <w:r>
        <w:rPr/>
        <w:t>in</w:t>
      </w:r>
      <w:r>
        <w:rPr>
          <w:spacing w:val="-4"/>
        </w:rPr>
        <w:t> </w:t>
      </w:r>
      <w:r>
        <w:rPr/>
        <w:t>sufficient</w:t>
      </w:r>
      <w:r>
        <w:rPr>
          <w:spacing w:val="-4"/>
        </w:rPr>
        <w:t> </w:t>
      </w:r>
      <w:r>
        <w:rPr/>
        <w:t>detail</w:t>
      </w:r>
      <w:r>
        <w:rPr>
          <w:spacing w:val="-3"/>
        </w:rPr>
        <w:t> </w:t>
      </w:r>
      <w:r>
        <w:rPr/>
        <w:t>to</w:t>
      </w:r>
      <w:r>
        <w:rPr>
          <w:spacing w:val="-5"/>
        </w:rPr>
        <w:t> </w:t>
      </w:r>
      <w:r>
        <w:rPr/>
        <w:t>build</w:t>
      </w:r>
      <w:r>
        <w:rPr>
          <w:spacing w:val="-2"/>
        </w:rPr>
        <w:t> </w:t>
      </w:r>
      <w:r>
        <w:rPr/>
        <w:t>useful cost-effective</w:t>
      </w:r>
      <w:r>
        <w:rPr>
          <w:spacing w:val="-1"/>
        </w:rPr>
        <w:t> </w:t>
      </w:r>
      <w:r>
        <w:rPr/>
        <w:t>models.</w:t>
      </w:r>
    </w:p>
    <w:p>
      <w:pPr>
        <w:pStyle w:val="BodyText"/>
        <w:spacing w:before="121"/>
        <w:ind w:left="312" w:right="179"/>
      </w:pPr>
      <w:r>
        <w:rPr/>
        <w:t>Before applying any findings from this review to guide operational decisions, it is essential to prepare detailed, site-specific cost estimates, by carefully collecting the required data (Appendix A1). Additionally, sensitivity</w:t>
      </w:r>
      <w:r>
        <w:rPr>
          <w:spacing w:val="-4"/>
        </w:rPr>
        <w:t> </w:t>
      </w:r>
      <w:r>
        <w:rPr/>
        <w:t>analyses</w:t>
      </w:r>
      <w:r>
        <w:rPr>
          <w:spacing w:val="-4"/>
        </w:rPr>
        <w:t> </w:t>
      </w:r>
      <w:r>
        <w:rPr/>
        <w:t>should</w:t>
      </w:r>
      <w:r>
        <w:rPr>
          <w:spacing w:val="-3"/>
        </w:rPr>
        <w:t> </w:t>
      </w:r>
      <w:r>
        <w:rPr/>
        <w:t>be</w:t>
      </w:r>
      <w:r>
        <w:rPr>
          <w:spacing w:val="-6"/>
        </w:rPr>
        <w:t> </w:t>
      </w:r>
      <w:r>
        <w:rPr/>
        <w:t>performed</w:t>
      </w:r>
      <w:r>
        <w:rPr>
          <w:spacing w:val="-5"/>
        </w:rPr>
        <w:t> </w:t>
      </w:r>
      <w:r>
        <w:rPr/>
        <w:t>to</w:t>
      </w:r>
      <w:r>
        <w:rPr>
          <w:spacing w:val="-3"/>
        </w:rPr>
        <w:t> </w:t>
      </w:r>
      <w:r>
        <w:rPr/>
        <w:t>account</w:t>
      </w:r>
      <w:r>
        <w:rPr>
          <w:spacing w:val="-3"/>
        </w:rPr>
        <w:t> </w:t>
      </w:r>
      <w:r>
        <w:rPr/>
        <w:t>for</w:t>
      </w:r>
      <w:r>
        <w:rPr>
          <w:spacing w:val="-4"/>
        </w:rPr>
        <w:t> </w:t>
      </w:r>
      <w:r>
        <w:rPr/>
        <w:t>uncertainties</w:t>
      </w:r>
      <w:r>
        <w:rPr>
          <w:spacing w:val="-4"/>
        </w:rPr>
        <w:t> </w:t>
      </w:r>
      <w:r>
        <w:rPr/>
        <w:t>in</w:t>
      </w:r>
      <w:r>
        <w:rPr>
          <w:spacing w:val="-3"/>
        </w:rPr>
        <w:t> </w:t>
      </w:r>
      <w:r>
        <w:rPr/>
        <w:t>biological</w:t>
      </w:r>
      <w:r>
        <w:rPr>
          <w:spacing w:val="-4"/>
        </w:rPr>
        <w:t> </w:t>
      </w:r>
      <w:r>
        <w:rPr/>
        <w:t>and</w:t>
      </w:r>
      <w:r>
        <w:rPr>
          <w:spacing w:val="-3"/>
        </w:rPr>
        <w:t> </w:t>
      </w:r>
      <w:r>
        <w:rPr/>
        <w:t>economic</w:t>
      </w:r>
      <w:r>
        <w:rPr>
          <w:spacing w:val="-4"/>
        </w:rPr>
        <w:t> </w:t>
      </w:r>
      <w:r>
        <w:rPr/>
        <w:t>parameters. These analyses can help determine whether varying assumptions would alter conclusions about a control method's cost-effectiveness (Bicknell 1993).</w:t>
      </w:r>
    </w:p>
    <w:p>
      <w:pPr>
        <w:pStyle w:val="BodyText"/>
        <w:spacing w:before="119"/>
        <w:ind w:left="312" w:right="247"/>
      </w:pPr>
      <w:r>
        <w:rPr/>
        <w:t>The current study reviewed available literature on the cost-effectiveness of control methods for each of the four</w:t>
      </w:r>
      <w:r>
        <w:rPr>
          <w:spacing w:val="-3"/>
        </w:rPr>
        <w:t> </w:t>
      </w:r>
      <w:r>
        <w:rPr/>
        <w:t>pest</w:t>
      </w:r>
      <w:r>
        <w:rPr>
          <w:spacing w:val="-4"/>
        </w:rPr>
        <w:t> </w:t>
      </w:r>
      <w:r>
        <w:rPr/>
        <w:t>species.</w:t>
      </w:r>
      <w:r>
        <w:rPr>
          <w:spacing w:val="-4"/>
        </w:rPr>
        <w:t> </w:t>
      </w:r>
      <w:r>
        <w:rPr/>
        <w:t>The</w:t>
      </w:r>
      <w:r>
        <w:rPr>
          <w:spacing w:val="-5"/>
        </w:rPr>
        <w:t> </w:t>
      </w:r>
      <w:r>
        <w:rPr/>
        <w:t>aim was</w:t>
      </w:r>
      <w:r>
        <w:rPr>
          <w:spacing w:val="-3"/>
        </w:rPr>
        <w:t> </w:t>
      </w:r>
      <w:r>
        <w:rPr/>
        <w:t>to</w:t>
      </w:r>
      <w:r>
        <w:rPr>
          <w:spacing w:val="-5"/>
        </w:rPr>
        <w:t> </w:t>
      </w:r>
      <w:r>
        <w:rPr/>
        <w:t>provide</w:t>
      </w:r>
      <w:r>
        <w:rPr>
          <w:spacing w:val="-2"/>
        </w:rPr>
        <w:t> </w:t>
      </w:r>
      <w:r>
        <w:rPr/>
        <w:t>an</w:t>
      </w:r>
      <w:r>
        <w:rPr>
          <w:spacing w:val="-3"/>
        </w:rPr>
        <w:t> </w:t>
      </w:r>
      <w:r>
        <w:rPr/>
        <w:t>insight</w:t>
      </w:r>
      <w:r>
        <w:rPr>
          <w:spacing w:val="-2"/>
        </w:rPr>
        <w:t> </w:t>
      </w:r>
      <w:r>
        <w:rPr/>
        <w:t>into</w:t>
      </w:r>
      <w:r>
        <w:rPr>
          <w:spacing w:val="-5"/>
        </w:rPr>
        <w:t> </w:t>
      </w:r>
      <w:r>
        <w:rPr/>
        <w:t>the</w:t>
      </w:r>
      <w:r>
        <w:rPr>
          <w:spacing w:val="-4"/>
        </w:rPr>
        <w:t> </w:t>
      </w:r>
      <w:r>
        <w:rPr/>
        <w:t>relative</w:t>
      </w:r>
      <w:r>
        <w:rPr>
          <w:spacing w:val="-2"/>
        </w:rPr>
        <w:t> </w:t>
      </w:r>
      <w:r>
        <w:rPr/>
        <w:t>differences</w:t>
      </w:r>
      <w:r>
        <w:rPr>
          <w:spacing w:val="-1"/>
        </w:rPr>
        <w:t> </w:t>
      </w:r>
      <w:r>
        <w:rPr/>
        <w:t>in</w:t>
      </w:r>
      <w:r>
        <w:rPr>
          <w:spacing w:val="-2"/>
        </w:rPr>
        <w:t> </w:t>
      </w:r>
      <w:r>
        <w:rPr/>
        <w:t>the</w:t>
      </w:r>
      <w:r>
        <w:rPr>
          <w:spacing w:val="-4"/>
        </w:rPr>
        <w:t> </w:t>
      </w:r>
      <w:r>
        <w:rPr/>
        <w:t>cost-effectiveness</w:t>
      </w:r>
      <w:r>
        <w:rPr>
          <w:spacing w:val="-3"/>
        </w:rPr>
        <w:t> </w:t>
      </w:r>
      <w:r>
        <w:rPr/>
        <w:t>of each method, rather than to determine the actual costs for each approach.</w:t>
      </w:r>
    </w:p>
    <w:p>
      <w:pPr>
        <w:spacing w:after="0"/>
        <w:sectPr>
          <w:pgSz w:w="11910" w:h="16850"/>
          <w:pgMar w:header="0" w:footer="688" w:top="1060" w:bottom="880" w:left="820" w:right="980"/>
        </w:sectPr>
      </w:pPr>
    </w:p>
    <w:p>
      <w:pPr>
        <w:pStyle w:val="Heading2"/>
        <w:numPr>
          <w:ilvl w:val="0"/>
          <w:numId w:val="11"/>
        </w:numPr>
        <w:tabs>
          <w:tab w:pos="879" w:val="left" w:leader="none"/>
        </w:tabs>
        <w:spacing w:line="240" w:lineRule="auto" w:before="61" w:after="0"/>
        <w:ind w:left="879" w:right="0" w:hanging="567"/>
        <w:jc w:val="left"/>
      </w:pPr>
      <w:bookmarkStart w:name="_TOC_250076" w:id="19"/>
      <w:r>
        <w:rPr>
          <w:color w:val="001F5F"/>
        </w:rPr>
        <w:t>Summary</w:t>
      </w:r>
      <w:r>
        <w:rPr>
          <w:color w:val="001F5F"/>
          <w:spacing w:val="-14"/>
        </w:rPr>
        <w:t> </w:t>
      </w:r>
      <w:r>
        <w:rPr>
          <w:color w:val="001F5F"/>
        </w:rPr>
        <w:t>of</w:t>
      </w:r>
      <w:r>
        <w:rPr>
          <w:color w:val="001F5F"/>
          <w:spacing w:val="-13"/>
        </w:rPr>
        <w:t> </w:t>
      </w:r>
      <w:r>
        <w:rPr>
          <w:color w:val="001F5F"/>
        </w:rPr>
        <w:t>results</w:t>
      </w:r>
      <w:r>
        <w:rPr>
          <w:color w:val="001F5F"/>
          <w:spacing w:val="-10"/>
        </w:rPr>
        <w:t> </w:t>
      </w:r>
      <w:r>
        <w:rPr>
          <w:color w:val="001F5F"/>
        </w:rPr>
        <w:t>from</w:t>
      </w:r>
      <w:r>
        <w:rPr>
          <w:color w:val="001F5F"/>
          <w:spacing w:val="-12"/>
        </w:rPr>
        <w:t> </w:t>
      </w:r>
      <w:r>
        <w:rPr>
          <w:color w:val="001F5F"/>
        </w:rPr>
        <w:t>literature</w:t>
      </w:r>
      <w:r>
        <w:rPr>
          <w:color w:val="001F5F"/>
          <w:spacing w:val="-13"/>
        </w:rPr>
        <w:t> </w:t>
      </w:r>
      <w:bookmarkEnd w:id="19"/>
      <w:r>
        <w:rPr>
          <w:color w:val="001F5F"/>
          <w:spacing w:val="-2"/>
        </w:rPr>
        <w:t>searches</w:t>
      </w:r>
    </w:p>
    <w:p>
      <w:pPr>
        <w:pStyle w:val="BodyText"/>
        <w:spacing w:before="255"/>
        <w:rPr>
          <w:b/>
          <w:sz w:val="32"/>
        </w:rPr>
      </w:pPr>
    </w:p>
    <w:p>
      <w:pPr>
        <w:pStyle w:val="BodyText"/>
        <w:spacing w:before="1"/>
        <w:ind w:left="312" w:right="232"/>
      </w:pPr>
      <w:r>
        <w:rPr/>
        <w:t>After evaluating publications against the selection criteria, we reviewed 625 studies detailing control efforts for each of the four pest species and related topics (</w:t>
      </w:r>
      <w:hyperlink w:history="true" w:anchor="_bookmark0">
        <w:r>
          <w:rPr/>
          <w:t>Table 1</w:t>
        </w:r>
      </w:hyperlink>
      <w:r>
        <w:rPr/>
        <w:t>). However, only a small subset provided sufficient detail for inclusion in the CEA. Most studies describing control actions lacked key elements of experimental design, such as randomised treatments, control locations, or replication. While some studies included</w:t>
      </w:r>
      <w:r>
        <w:rPr>
          <w:spacing w:val="-3"/>
        </w:rPr>
        <w:t> </w:t>
      </w:r>
      <w:r>
        <w:rPr/>
        <w:t>before-and-after</w:t>
      </w:r>
      <w:r>
        <w:rPr>
          <w:spacing w:val="-2"/>
        </w:rPr>
        <w:t> </w:t>
      </w:r>
      <w:r>
        <w:rPr/>
        <w:t>measures,</w:t>
      </w:r>
      <w:r>
        <w:rPr>
          <w:spacing w:val="-5"/>
        </w:rPr>
        <w:t> </w:t>
      </w:r>
      <w:r>
        <w:rPr/>
        <w:t>they</w:t>
      </w:r>
      <w:r>
        <w:rPr>
          <w:spacing w:val="-4"/>
        </w:rPr>
        <w:t> </w:t>
      </w:r>
      <w:r>
        <w:rPr/>
        <w:t>typically</w:t>
      </w:r>
      <w:r>
        <w:rPr>
          <w:spacing w:val="-4"/>
        </w:rPr>
        <w:t> </w:t>
      </w:r>
      <w:r>
        <w:rPr/>
        <w:t>relied</w:t>
      </w:r>
      <w:r>
        <w:rPr>
          <w:spacing w:val="-4"/>
        </w:rPr>
        <w:t> </w:t>
      </w:r>
      <w:r>
        <w:rPr/>
        <w:t>on</w:t>
      </w:r>
      <w:r>
        <w:rPr>
          <w:spacing w:val="-4"/>
        </w:rPr>
        <w:t> </w:t>
      </w:r>
      <w:r>
        <w:rPr/>
        <w:t>activity</w:t>
      </w:r>
      <w:r>
        <w:rPr>
          <w:spacing w:val="-2"/>
        </w:rPr>
        <w:t> </w:t>
      </w:r>
      <w:r>
        <w:rPr/>
        <w:t>indices</w:t>
      </w:r>
      <w:r>
        <w:rPr>
          <w:spacing w:val="-4"/>
        </w:rPr>
        <w:t> </w:t>
      </w:r>
      <w:r>
        <w:rPr/>
        <w:t>or</w:t>
      </w:r>
      <w:r>
        <w:rPr>
          <w:spacing w:val="-5"/>
        </w:rPr>
        <w:t> </w:t>
      </w:r>
      <w:r>
        <w:rPr/>
        <w:t>relative</w:t>
      </w:r>
      <w:r>
        <w:rPr>
          <w:spacing w:val="-3"/>
        </w:rPr>
        <w:t> </w:t>
      </w:r>
      <w:r>
        <w:rPr/>
        <w:t>abundance</w:t>
      </w:r>
      <w:r>
        <w:rPr>
          <w:spacing w:val="-5"/>
        </w:rPr>
        <w:t> </w:t>
      </w:r>
      <w:r>
        <w:rPr/>
        <w:t>measures rather</w:t>
      </w:r>
      <w:r>
        <w:rPr>
          <w:spacing w:val="-3"/>
        </w:rPr>
        <w:t> </w:t>
      </w:r>
      <w:r>
        <w:rPr/>
        <w:t>than</w:t>
      </w:r>
      <w:r>
        <w:rPr>
          <w:spacing w:val="-2"/>
        </w:rPr>
        <w:t> </w:t>
      </w:r>
      <w:r>
        <w:rPr/>
        <w:t>actual</w:t>
      </w:r>
      <w:r>
        <w:rPr>
          <w:spacing w:val="-4"/>
        </w:rPr>
        <w:t> </w:t>
      </w:r>
      <w:r>
        <w:rPr/>
        <w:t>density</w:t>
      </w:r>
      <w:r>
        <w:rPr>
          <w:spacing w:val="-2"/>
        </w:rPr>
        <w:t> </w:t>
      </w:r>
      <w:r>
        <w:rPr/>
        <w:t>estimates.</w:t>
      </w:r>
      <w:r>
        <w:rPr>
          <w:spacing w:val="-3"/>
        </w:rPr>
        <w:t> </w:t>
      </w:r>
      <w:r>
        <w:rPr/>
        <w:t>They</w:t>
      </w:r>
      <w:r>
        <w:rPr>
          <w:spacing w:val="-2"/>
        </w:rPr>
        <w:t> </w:t>
      </w:r>
      <w:r>
        <w:rPr/>
        <w:t>rarely</w:t>
      </w:r>
      <w:r>
        <w:rPr>
          <w:spacing w:val="-2"/>
        </w:rPr>
        <w:t> </w:t>
      </w:r>
      <w:r>
        <w:rPr/>
        <w:t>documented</w:t>
      </w:r>
      <w:r>
        <w:rPr>
          <w:spacing w:val="-4"/>
        </w:rPr>
        <w:t> </w:t>
      </w:r>
      <w:r>
        <w:rPr/>
        <w:t>the</w:t>
      </w:r>
      <w:r>
        <w:rPr>
          <w:spacing w:val="-2"/>
        </w:rPr>
        <w:t> </w:t>
      </w:r>
      <w:r>
        <w:rPr/>
        <w:t>level</w:t>
      </w:r>
      <w:r>
        <w:rPr>
          <w:spacing w:val="-4"/>
        </w:rPr>
        <w:t> </w:t>
      </w:r>
      <w:r>
        <w:rPr/>
        <w:t>of</w:t>
      </w:r>
      <w:r>
        <w:rPr>
          <w:spacing w:val="-1"/>
        </w:rPr>
        <w:t> </w:t>
      </w:r>
      <w:r>
        <w:rPr/>
        <w:t>effort or cost</w:t>
      </w:r>
      <w:r>
        <w:rPr>
          <w:spacing w:val="-2"/>
        </w:rPr>
        <w:t> </w:t>
      </w:r>
      <w:r>
        <w:rPr/>
        <w:t>involved,</w:t>
      </w:r>
      <w:r>
        <w:rPr>
          <w:spacing w:val="-1"/>
        </w:rPr>
        <w:t> </w:t>
      </w:r>
      <w:r>
        <w:rPr/>
        <w:t>or</w:t>
      </w:r>
      <w:r>
        <w:rPr>
          <w:spacing w:val="-3"/>
        </w:rPr>
        <w:t> </w:t>
      </w:r>
      <w:r>
        <w:rPr/>
        <w:t>the</w:t>
      </w:r>
      <w:r>
        <w:rPr>
          <w:spacing w:val="-1"/>
        </w:rPr>
        <w:t> </w:t>
      </w:r>
      <w:r>
        <w:rPr/>
        <w:t>level of reduction needed to prevent or reverse the damage caused.</w:t>
      </w:r>
    </w:p>
    <w:p>
      <w:pPr>
        <w:pStyle w:val="BodyText"/>
        <w:spacing w:before="120"/>
        <w:ind w:left="312" w:right="162"/>
      </w:pPr>
      <w:r>
        <w:rPr/>
        <w:t>For foxes and rabbits, the few publications that adequately addressed control efficacy and reported on effort primarily</w:t>
      </w:r>
      <w:r>
        <w:rPr>
          <w:spacing w:val="-3"/>
        </w:rPr>
        <w:t> </w:t>
      </w:r>
      <w:r>
        <w:rPr/>
        <w:t>dated</w:t>
      </w:r>
      <w:r>
        <w:rPr>
          <w:spacing w:val="-4"/>
        </w:rPr>
        <w:t> </w:t>
      </w:r>
      <w:r>
        <w:rPr/>
        <w:t>back</w:t>
      </w:r>
      <w:r>
        <w:rPr>
          <w:spacing w:val="-2"/>
        </w:rPr>
        <w:t> </w:t>
      </w:r>
      <w:r>
        <w:rPr/>
        <w:t>to</w:t>
      </w:r>
      <w:r>
        <w:rPr>
          <w:spacing w:val="-2"/>
        </w:rPr>
        <w:t> </w:t>
      </w:r>
      <w:r>
        <w:rPr/>
        <w:t>the 1950s</w:t>
      </w:r>
      <w:r>
        <w:rPr>
          <w:spacing w:val="-1"/>
        </w:rPr>
        <w:t> </w:t>
      </w:r>
      <w:r>
        <w:rPr/>
        <w:t>and</w:t>
      </w:r>
      <w:r>
        <w:rPr>
          <w:spacing w:val="-2"/>
        </w:rPr>
        <w:t> </w:t>
      </w:r>
      <w:r>
        <w:rPr/>
        <w:t>60s.</w:t>
      </w:r>
      <w:r>
        <w:rPr>
          <w:spacing w:val="-4"/>
        </w:rPr>
        <w:t> </w:t>
      </w:r>
      <w:r>
        <w:rPr/>
        <w:t>Recent</w:t>
      </w:r>
      <w:r>
        <w:rPr>
          <w:spacing w:val="-2"/>
        </w:rPr>
        <w:t> </w:t>
      </w:r>
      <w:r>
        <w:rPr/>
        <w:t>developments,</w:t>
      </w:r>
      <w:r>
        <w:rPr>
          <w:spacing w:val="-4"/>
        </w:rPr>
        <w:t> </w:t>
      </w:r>
      <w:r>
        <w:rPr/>
        <w:t>such</w:t>
      </w:r>
      <w:r>
        <w:rPr>
          <w:spacing w:val="-4"/>
        </w:rPr>
        <w:t> </w:t>
      </w:r>
      <w:r>
        <w:rPr/>
        <w:t>as</w:t>
      </w:r>
      <w:r>
        <w:rPr>
          <w:spacing w:val="-1"/>
        </w:rPr>
        <w:t> </w:t>
      </w:r>
      <w:r>
        <w:rPr/>
        <w:t>PAPP</w:t>
      </w:r>
      <w:r>
        <w:rPr>
          <w:spacing w:val="-2"/>
        </w:rPr>
        <w:t> </w:t>
      </w:r>
      <w:r>
        <w:rPr/>
        <w:t>baits</w:t>
      </w:r>
      <w:r>
        <w:rPr>
          <w:spacing w:val="-3"/>
        </w:rPr>
        <w:t> </w:t>
      </w:r>
      <w:r>
        <w:rPr/>
        <w:t>for</w:t>
      </w:r>
      <w:r>
        <w:rPr>
          <w:spacing w:val="-4"/>
        </w:rPr>
        <w:t> </w:t>
      </w:r>
      <w:r>
        <w:rPr/>
        <w:t>foxes</w:t>
      </w:r>
      <w:r>
        <w:rPr>
          <w:spacing w:val="-3"/>
        </w:rPr>
        <w:t> </w:t>
      </w:r>
      <w:r>
        <w:rPr/>
        <w:t>and Dingoes </w:t>
      </w:r>
      <w:r>
        <w:rPr>
          <w:position w:val="1"/>
        </w:rPr>
        <w:t>and Wild Dogs or sodium nitrite (NaNO</w:t>
      </w:r>
      <w:r>
        <w:rPr>
          <w:sz w:val="13"/>
        </w:rPr>
        <w:t>2</w:t>
      </w:r>
      <w:r>
        <w:rPr>
          <w:position w:val="1"/>
        </w:rPr>
        <w:t>) for Feral Pigs, have focused on testing different bait materials and </w:t>
      </w:r>
      <w:r>
        <w:rPr/>
        <w:t>dosing rates in laboratory settings. Additionally, some studies referenced the use of these methods while discussing aspects of species biology, management, or environmental and agricultural impacts, including non-lethal effects.</w:t>
      </w:r>
    </w:p>
    <w:p>
      <w:pPr>
        <w:pStyle w:val="BodyText"/>
        <w:spacing w:before="121"/>
        <w:ind w:left="312" w:right="179"/>
      </w:pPr>
      <w:hyperlink w:history="true" w:anchor="_bookmark0">
        <w:r>
          <w:rPr/>
          <w:t>Table 1</w:t>
        </w:r>
      </w:hyperlink>
      <w:r>
        <w:rPr/>
        <w:t> summarises the number of publications included in the review for each pest species and control method. It also lists the number of publications addressing broader topics. The counts are presented as minimum</w:t>
      </w:r>
      <w:r>
        <w:rPr>
          <w:spacing w:val="-4"/>
        </w:rPr>
        <w:t> </w:t>
      </w:r>
      <w:r>
        <w:rPr/>
        <w:t>values</w:t>
      </w:r>
      <w:r>
        <w:rPr>
          <w:spacing w:val="-1"/>
        </w:rPr>
        <w:t> </w:t>
      </w:r>
      <w:r>
        <w:rPr/>
        <w:t>because</w:t>
      </w:r>
      <w:r>
        <w:rPr>
          <w:spacing w:val="-4"/>
        </w:rPr>
        <w:t> </w:t>
      </w:r>
      <w:r>
        <w:rPr/>
        <w:t>some</w:t>
      </w:r>
      <w:r>
        <w:rPr>
          <w:spacing w:val="-2"/>
        </w:rPr>
        <w:t> </w:t>
      </w:r>
      <w:r>
        <w:rPr/>
        <w:t>publications</w:t>
      </w:r>
      <w:r>
        <w:rPr>
          <w:spacing w:val="-3"/>
        </w:rPr>
        <w:t> </w:t>
      </w:r>
      <w:r>
        <w:rPr/>
        <w:t>addressed</w:t>
      </w:r>
      <w:r>
        <w:rPr>
          <w:spacing w:val="-5"/>
        </w:rPr>
        <w:t> </w:t>
      </w:r>
      <w:r>
        <w:rPr/>
        <w:t>multiple</w:t>
      </w:r>
      <w:r>
        <w:rPr>
          <w:spacing w:val="-4"/>
        </w:rPr>
        <w:t> </w:t>
      </w:r>
      <w:r>
        <w:rPr/>
        <w:t>pest</w:t>
      </w:r>
      <w:r>
        <w:rPr>
          <w:spacing w:val="-4"/>
        </w:rPr>
        <w:t> </w:t>
      </w:r>
      <w:r>
        <w:rPr/>
        <w:t>species.</w:t>
      </w:r>
      <w:r>
        <w:rPr>
          <w:spacing w:val="-4"/>
        </w:rPr>
        <w:t> </w:t>
      </w:r>
      <w:r>
        <w:rPr/>
        <w:t>For</w:t>
      </w:r>
      <w:r>
        <w:rPr>
          <w:spacing w:val="-4"/>
        </w:rPr>
        <w:t> </w:t>
      </w:r>
      <w:r>
        <w:rPr/>
        <w:t>instance,</w:t>
      </w:r>
      <w:r>
        <w:rPr>
          <w:spacing w:val="-4"/>
        </w:rPr>
        <w:t> </w:t>
      </w:r>
      <w:r>
        <w:rPr/>
        <w:t>broader</w:t>
      </w:r>
      <w:r>
        <w:rPr>
          <w:spacing w:val="-4"/>
        </w:rPr>
        <w:t> </w:t>
      </w:r>
      <w:r>
        <w:rPr/>
        <w:t>reviews of 1080 usage often included foxes and Dingoes or Wild Dogs. In such cases, publications were not double </w:t>
      </w:r>
      <w:r>
        <w:rPr>
          <w:spacing w:val="-2"/>
        </w:rPr>
        <w:t>counted.</w:t>
      </w:r>
    </w:p>
    <w:p>
      <w:pPr>
        <w:spacing w:before="199"/>
        <w:ind w:left="312" w:right="247" w:firstLine="0"/>
        <w:jc w:val="left"/>
        <w:rPr>
          <w:sz w:val="20"/>
        </w:rPr>
      </w:pPr>
      <w:bookmarkStart w:name="_bookmark0" w:id="20"/>
      <w:bookmarkEnd w:id="20"/>
      <w:r>
        <w:rPr/>
      </w:r>
      <w:r>
        <w:rPr>
          <w:b/>
          <w:color w:val="1F1546"/>
          <w:sz w:val="20"/>
        </w:rPr>
        <w:t>Table</w:t>
      </w:r>
      <w:r>
        <w:rPr>
          <w:b/>
          <w:color w:val="1F1546"/>
          <w:spacing w:val="-3"/>
          <w:sz w:val="20"/>
        </w:rPr>
        <w:t> </w:t>
      </w:r>
      <w:r>
        <w:rPr>
          <w:b/>
          <w:color w:val="1F1546"/>
          <w:sz w:val="20"/>
        </w:rPr>
        <w:t>1.</w:t>
      </w:r>
      <w:r>
        <w:rPr>
          <w:b/>
          <w:color w:val="1F1546"/>
          <w:spacing w:val="-4"/>
          <w:sz w:val="20"/>
        </w:rPr>
        <w:t> </w:t>
      </w:r>
      <w:r>
        <w:rPr>
          <w:b/>
          <w:color w:val="1F1546"/>
          <w:sz w:val="20"/>
        </w:rPr>
        <w:t>The</w:t>
      </w:r>
      <w:r>
        <w:rPr>
          <w:b/>
          <w:color w:val="1F1546"/>
          <w:spacing w:val="-4"/>
          <w:sz w:val="20"/>
        </w:rPr>
        <w:t> </w:t>
      </w:r>
      <w:r>
        <w:rPr>
          <w:b/>
          <w:color w:val="1F1546"/>
          <w:sz w:val="20"/>
        </w:rPr>
        <w:t>minimum</w:t>
      </w:r>
      <w:r>
        <w:rPr>
          <w:b/>
          <w:color w:val="1F1546"/>
          <w:spacing w:val="-4"/>
          <w:sz w:val="20"/>
        </w:rPr>
        <w:t> </w:t>
      </w:r>
      <w:r>
        <w:rPr>
          <w:b/>
          <w:color w:val="1F1546"/>
          <w:sz w:val="20"/>
        </w:rPr>
        <w:t>number</w:t>
      </w:r>
      <w:r>
        <w:rPr>
          <w:b/>
          <w:color w:val="1F1546"/>
          <w:spacing w:val="-5"/>
          <w:sz w:val="20"/>
        </w:rPr>
        <w:t> </w:t>
      </w:r>
      <w:r>
        <w:rPr>
          <w:b/>
          <w:color w:val="1F1546"/>
          <w:sz w:val="20"/>
        </w:rPr>
        <w:t>of</w:t>
      </w:r>
      <w:r>
        <w:rPr>
          <w:b/>
          <w:color w:val="1F1546"/>
          <w:spacing w:val="-2"/>
          <w:sz w:val="20"/>
        </w:rPr>
        <w:t> </w:t>
      </w:r>
      <w:r>
        <w:rPr>
          <w:b/>
          <w:color w:val="1F1546"/>
          <w:sz w:val="20"/>
        </w:rPr>
        <w:t>publications</w:t>
      </w:r>
      <w:r>
        <w:rPr>
          <w:b/>
          <w:color w:val="1F1546"/>
          <w:spacing w:val="-1"/>
          <w:sz w:val="20"/>
        </w:rPr>
        <w:t> </w:t>
      </w:r>
      <w:r>
        <w:rPr>
          <w:b/>
          <w:color w:val="1F1546"/>
          <w:sz w:val="20"/>
        </w:rPr>
        <w:t>reviewed</w:t>
      </w:r>
      <w:r>
        <w:rPr>
          <w:b/>
          <w:color w:val="1F1546"/>
          <w:spacing w:val="-4"/>
          <w:sz w:val="20"/>
        </w:rPr>
        <w:t> </w:t>
      </w:r>
      <w:r>
        <w:rPr>
          <w:b/>
          <w:color w:val="1F1546"/>
          <w:sz w:val="20"/>
        </w:rPr>
        <w:t>for</w:t>
      </w:r>
      <w:r>
        <w:rPr>
          <w:b/>
          <w:color w:val="1F1546"/>
          <w:spacing w:val="-4"/>
          <w:sz w:val="20"/>
        </w:rPr>
        <w:t> </w:t>
      </w:r>
      <w:r>
        <w:rPr>
          <w:b/>
          <w:color w:val="1F1546"/>
          <w:sz w:val="20"/>
        </w:rPr>
        <w:t>each</w:t>
      </w:r>
      <w:r>
        <w:rPr>
          <w:b/>
          <w:color w:val="1F1546"/>
          <w:spacing w:val="-3"/>
          <w:sz w:val="20"/>
        </w:rPr>
        <w:t> </w:t>
      </w:r>
      <w:r>
        <w:rPr>
          <w:b/>
          <w:color w:val="1F1546"/>
          <w:sz w:val="20"/>
        </w:rPr>
        <w:t>pest</w:t>
      </w:r>
      <w:r>
        <w:rPr>
          <w:b/>
          <w:color w:val="1F1546"/>
          <w:spacing w:val="-4"/>
          <w:sz w:val="20"/>
        </w:rPr>
        <w:t> </w:t>
      </w:r>
      <w:r>
        <w:rPr>
          <w:b/>
          <w:color w:val="1F1546"/>
          <w:sz w:val="20"/>
        </w:rPr>
        <w:t>species. </w:t>
      </w:r>
      <w:r>
        <w:rPr>
          <w:color w:val="1F1546"/>
          <w:sz w:val="20"/>
        </w:rPr>
        <w:t>Additional</w:t>
      </w:r>
      <w:r>
        <w:rPr>
          <w:color w:val="1F1546"/>
          <w:spacing w:val="-3"/>
          <w:sz w:val="20"/>
        </w:rPr>
        <w:t> </w:t>
      </w:r>
      <w:r>
        <w:rPr>
          <w:color w:val="1F1546"/>
          <w:sz w:val="20"/>
        </w:rPr>
        <w:t>publications had references to multiple species and were not counted to avoid double counting.</w:t>
      </w:r>
    </w:p>
    <w:p>
      <w:pPr>
        <w:pStyle w:val="BodyText"/>
        <w:spacing w:before="1"/>
        <w:rPr>
          <w:sz w:val="10"/>
        </w:rPr>
      </w:pPr>
    </w:p>
    <w:tbl>
      <w:tblPr>
        <w:tblW w:w="0" w:type="auto"/>
        <w:jc w:val="left"/>
        <w:tblInd w:w="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0"/>
        <w:gridCol w:w="5890"/>
        <w:gridCol w:w="1406"/>
      </w:tblGrid>
      <w:tr>
        <w:trPr>
          <w:trHeight w:val="580" w:hRule="atLeast"/>
        </w:trPr>
        <w:tc>
          <w:tcPr>
            <w:tcW w:w="1800" w:type="dxa"/>
            <w:shd w:val="clear" w:color="auto" w:fill="004B96"/>
          </w:tcPr>
          <w:p>
            <w:pPr>
              <w:pStyle w:val="TableParagraph"/>
              <w:spacing w:before="59"/>
              <w:ind w:left="108"/>
              <w:rPr>
                <w:b/>
                <w:sz w:val="20"/>
              </w:rPr>
            </w:pPr>
            <w:r>
              <w:rPr>
                <w:b/>
                <w:color w:val="FFFFFF"/>
                <w:sz w:val="20"/>
              </w:rPr>
              <w:t>Pest</w:t>
            </w:r>
            <w:r>
              <w:rPr>
                <w:b/>
                <w:color w:val="FFFFFF"/>
                <w:spacing w:val="-6"/>
                <w:sz w:val="20"/>
              </w:rPr>
              <w:t> </w:t>
            </w:r>
            <w:r>
              <w:rPr>
                <w:b/>
                <w:color w:val="FFFFFF"/>
                <w:spacing w:val="-2"/>
                <w:sz w:val="20"/>
              </w:rPr>
              <w:t>species</w:t>
            </w:r>
          </w:p>
        </w:tc>
        <w:tc>
          <w:tcPr>
            <w:tcW w:w="5890" w:type="dxa"/>
            <w:shd w:val="clear" w:color="auto" w:fill="004B96"/>
          </w:tcPr>
          <w:p>
            <w:pPr>
              <w:pStyle w:val="TableParagraph"/>
              <w:spacing w:before="59"/>
              <w:ind w:left="108"/>
              <w:rPr>
                <w:b/>
                <w:sz w:val="20"/>
              </w:rPr>
            </w:pPr>
            <w:r>
              <w:rPr>
                <w:b/>
                <w:color w:val="FFFFFF"/>
                <w:sz w:val="20"/>
              </w:rPr>
              <w:t>Review</w:t>
            </w:r>
            <w:r>
              <w:rPr>
                <w:b/>
                <w:color w:val="FFFFFF"/>
                <w:spacing w:val="-8"/>
                <w:sz w:val="20"/>
              </w:rPr>
              <w:t> </w:t>
            </w:r>
            <w:r>
              <w:rPr>
                <w:b/>
                <w:color w:val="FFFFFF"/>
                <w:spacing w:val="-2"/>
                <w:sz w:val="20"/>
              </w:rPr>
              <w:t>topic</w:t>
            </w:r>
          </w:p>
        </w:tc>
        <w:tc>
          <w:tcPr>
            <w:tcW w:w="1406" w:type="dxa"/>
            <w:shd w:val="clear" w:color="auto" w:fill="004B96"/>
          </w:tcPr>
          <w:p>
            <w:pPr>
              <w:pStyle w:val="TableParagraph"/>
              <w:spacing w:before="59"/>
              <w:ind w:left="274" w:hanging="166"/>
              <w:rPr>
                <w:b/>
                <w:sz w:val="20"/>
              </w:rPr>
            </w:pPr>
            <w:r>
              <w:rPr>
                <w:b/>
                <w:color w:val="FFFFFF"/>
                <w:spacing w:val="-2"/>
                <w:sz w:val="20"/>
              </w:rPr>
              <w:t>Publications reviewed</w:t>
            </w:r>
          </w:p>
        </w:tc>
      </w:tr>
      <w:tr>
        <w:trPr>
          <w:trHeight w:val="369" w:hRule="atLeast"/>
        </w:trPr>
        <w:tc>
          <w:tcPr>
            <w:tcW w:w="1800" w:type="dxa"/>
            <w:vMerge w:val="restart"/>
            <w:tcBorders>
              <w:bottom w:val="single" w:sz="4" w:space="0" w:color="000000"/>
            </w:tcBorders>
          </w:tcPr>
          <w:p>
            <w:pPr>
              <w:pStyle w:val="TableParagraph"/>
              <w:rPr>
                <w:sz w:val="20"/>
              </w:rPr>
            </w:pPr>
          </w:p>
          <w:p>
            <w:pPr>
              <w:pStyle w:val="TableParagraph"/>
              <w:rPr>
                <w:sz w:val="20"/>
              </w:rPr>
            </w:pPr>
          </w:p>
          <w:p>
            <w:pPr>
              <w:pStyle w:val="TableParagraph"/>
              <w:spacing w:before="147"/>
              <w:rPr>
                <w:sz w:val="20"/>
              </w:rPr>
            </w:pPr>
          </w:p>
          <w:p>
            <w:pPr>
              <w:pStyle w:val="TableParagraph"/>
              <w:ind w:left="108"/>
              <w:rPr>
                <w:sz w:val="20"/>
              </w:rPr>
            </w:pPr>
            <w:r>
              <w:rPr>
                <w:sz w:val="20"/>
              </w:rPr>
              <w:t>European</w:t>
            </w:r>
            <w:r>
              <w:rPr>
                <w:spacing w:val="-13"/>
                <w:sz w:val="20"/>
              </w:rPr>
              <w:t> </w:t>
            </w:r>
            <w:r>
              <w:rPr>
                <w:spacing w:val="-2"/>
                <w:sz w:val="20"/>
              </w:rPr>
              <w:t>Rabbit</w:t>
            </w:r>
          </w:p>
        </w:tc>
        <w:tc>
          <w:tcPr>
            <w:tcW w:w="5890" w:type="dxa"/>
            <w:tcBorders>
              <w:bottom w:val="single" w:sz="4" w:space="0" w:color="000000"/>
            </w:tcBorders>
            <w:shd w:val="clear" w:color="auto" w:fill="CCDBEA"/>
          </w:tcPr>
          <w:p>
            <w:pPr>
              <w:pStyle w:val="TableParagraph"/>
              <w:spacing w:before="79"/>
              <w:ind w:left="108"/>
              <w:rPr>
                <w:sz w:val="20"/>
              </w:rPr>
            </w:pPr>
            <w:r>
              <w:rPr>
                <w:sz w:val="20"/>
              </w:rPr>
              <w:t>1080</w:t>
            </w:r>
            <w:r>
              <w:rPr>
                <w:spacing w:val="-3"/>
                <w:sz w:val="20"/>
              </w:rPr>
              <w:t> </w:t>
            </w:r>
            <w:r>
              <w:rPr>
                <w:sz w:val="20"/>
              </w:rPr>
              <w:t>carrot</w:t>
            </w:r>
            <w:r>
              <w:rPr>
                <w:spacing w:val="-5"/>
                <w:sz w:val="20"/>
              </w:rPr>
              <w:t> </w:t>
            </w:r>
            <w:r>
              <w:rPr>
                <w:sz w:val="20"/>
              </w:rPr>
              <w:t>and</w:t>
            </w:r>
            <w:r>
              <w:rPr>
                <w:spacing w:val="-5"/>
                <w:sz w:val="20"/>
              </w:rPr>
              <w:t> </w:t>
            </w:r>
            <w:r>
              <w:rPr>
                <w:sz w:val="20"/>
              </w:rPr>
              <w:t>oat</w:t>
            </w:r>
            <w:r>
              <w:rPr>
                <w:spacing w:val="-4"/>
                <w:sz w:val="20"/>
              </w:rPr>
              <w:t> </w:t>
            </w:r>
            <w:r>
              <w:rPr>
                <w:spacing w:val="-2"/>
                <w:sz w:val="20"/>
              </w:rPr>
              <w:t>baiting</w:t>
            </w:r>
          </w:p>
        </w:tc>
        <w:tc>
          <w:tcPr>
            <w:tcW w:w="1406" w:type="dxa"/>
            <w:tcBorders>
              <w:bottom w:val="single" w:sz="4" w:space="0" w:color="000000"/>
            </w:tcBorders>
          </w:tcPr>
          <w:p>
            <w:pPr>
              <w:pStyle w:val="TableParagraph"/>
              <w:spacing w:before="79"/>
              <w:ind w:left="3" w:right="4"/>
              <w:jc w:val="center"/>
              <w:rPr>
                <w:sz w:val="20"/>
              </w:rPr>
            </w:pPr>
            <w:r>
              <w:rPr>
                <w:spacing w:val="-5"/>
                <w:sz w:val="20"/>
              </w:rPr>
              <w:t>16</w:t>
            </w:r>
          </w:p>
        </w:tc>
      </w:tr>
      <w:tr>
        <w:trPr>
          <w:trHeight w:val="369" w:hRule="atLeast"/>
        </w:trPr>
        <w:tc>
          <w:tcPr>
            <w:tcW w:w="1800" w:type="dxa"/>
            <w:vMerge/>
            <w:tcBorders>
              <w:top w:val="nil"/>
              <w:bottom w:val="single" w:sz="4" w:space="0" w:color="000000"/>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78"/>
              <w:ind w:left="108"/>
              <w:rPr>
                <w:sz w:val="20"/>
              </w:rPr>
            </w:pPr>
            <w:r>
              <w:rPr>
                <w:spacing w:val="-2"/>
                <w:sz w:val="20"/>
              </w:rPr>
              <w:t>Pindone</w:t>
            </w:r>
          </w:p>
        </w:tc>
        <w:tc>
          <w:tcPr>
            <w:tcW w:w="1406" w:type="dxa"/>
            <w:tcBorders>
              <w:top w:val="single" w:sz="4" w:space="0" w:color="000000"/>
              <w:bottom w:val="single" w:sz="4" w:space="0" w:color="000000"/>
            </w:tcBorders>
          </w:tcPr>
          <w:p>
            <w:pPr>
              <w:pStyle w:val="TableParagraph"/>
              <w:spacing w:before="78"/>
              <w:ind w:left="3" w:right="4"/>
              <w:jc w:val="center"/>
              <w:rPr>
                <w:sz w:val="20"/>
              </w:rPr>
            </w:pPr>
            <w:r>
              <w:rPr>
                <w:spacing w:val="-5"/>
                <w:sz w:val="20"/>
              </w:rPr>
              <w:t>11</w:t>
            </w:r>
          </w:p>
        </w:tc>
      </w:tr>
      <w:tr>
        <w:trPr>
          <w:trHeight w:val="369" w:hRule="atLeast"/>
        </w:trPr>
        <w:tc>
          <w:tcPr>
            <w:tcW w:w="1800" w:type="dxa"/>
            <w:vMerge/>
            <w:tcBorders>
              <w:top w:val="nil"/>
              <w:bottom w:val="single" w:sz="4" w:space="0" w:color="000000"/>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79"/>
              <w:ind w:left="108"/>
              <w:rPr>
                <w:sz w:val="20"/>
              </w:rPr>
            </w:pPr>
            <w:r>
              <w:rPr>
                <w:sz w:val="20"/>
              </w:rPr>
              <w:t>Warren</w:t>
            </w:r>
            <w:r>
              <w:rPr>
                <w:spacing w:val="-10"/>
                <w:sz w:val="20"/>
              </w:rPr>
              <w:t> </w:t>
            </w:r>
            <w:r>
              <w:rPr>
                <w:spacing w:val="-2"/>
                <w:sz w:val="20"/>
              </w:rPr>
              <w:t>ripping</w:t>
            </w:r>
          </w:p>
        </w:tc>
        <w:tc>
          <w:tcPr>
            <w:tcW w:w="1406" w:type="dxa"/>
            <w:tcBorders>
              <w:top w:val="single" w:sz="4" w:space="0" w:color="000000"/>
              <w:bottom w:val="single" w:sz="4" w:space="0" w:color="000000"/>
            </w:tcBorders>
          </w:tcPr>
          <w:p>
            <w:pPr>
              <w:pStyle w:val="TableParagraph"/>
              <w:spacing w:before="79"/>
              <w:ind w:left="3" w:right="4"/>
              <w:jc w:val="center"/>
              <w:rPr>
                <w:sz w:val="20"/>
              </w:rPr>
            </w:pPr>
            <w:r>
              <w:rPr>
                <w:spacing w:val="-5"/>
                <w:sz w:val="20"/>
              </w:rPr>
              <w:t>16</w:t>
            </w:r>
          </w:p>
        </w:tc>
      </w:tr>
      <w:tr>
        <w:trPr>
          <w:trHeight w:val="371" w:hRule="atLeast"/>
        </w:trPr>
        <w:tc>
          <w:tcPr>
            <w:tcW w:w="1800" w:type="dxa"/>
            <w:vMerge/>
            <w:tcBorders>
              <w:top w:val="nil"/>
              <w:bottom w:val="single" w:sz="4" w:space="0" w:color="000000"/>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81"/>
              <w:ind w:left="108"/>
              <w:rPr>
                <w:sz w:val="20"/>
              </w:rPr>
            </w:pPr>
            <w:r>
              <w:rPr>
                <w:spacing w:val="-2"/>
                <w:sz w:val="20"/>
              </w:rPr>
              <w:t>Fumigation</w:t>
            </w:r>
          </w:p>
        </w:tc>
        <w:tc>
          <w:tcPr>
            <w:tcW w:w="1406" w:type="dxa"/>
            <w:tcBorders>
              <w:top w:val="single" w:sz="4" w:space="0" w:color="000000"/>
              <w:bottom w:val="single" w:sz="4" w:space="0" w:color="000000"/>
            </w:tcBorders>
          </w:tcPr>
          <w:p>
            <w:pPr>
              <w:pStyle w:val="TableParagraph"/>
              <w:spacing w:before="81"/>
              <w:ind w:left="4" w:right="1"/>
              <w:jc w:val="center"/>
              <w:rPr>
                <w:sz w:val="20"/>
              </w:rPr>
            </w:pPr>
            <w:r>
              <w:rPr>
                <w:spacing w:val="-10"/>
                <w:sz w:val="20"/>
              </w:rPr>
              <w:t>9</w:t>
            </w:r>
          </w:p>
        </w:tc>
      </w:tr>
      <w:tr>
        <w:trPr>
          <w:trHeight w:val="369" w:hRule="atLeast"/>
        </w:trPr>
        <w:tc>
          <w:tcPr>
            <w:tcW w:w="1800" w:type="dxa"/>
            <w:vMerge/>
            <w:tcBorders>
              <w:top w:val="nil"/>
              <w:bottom w:val="single" w:sz="4" w:space="0" w:color="000000"/>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78"/>
              <w:ind w:left="108"/>
              <w:rPr>
                <w:sz w:val="20"/>
              </w:rPr>
            </w:pPr>
            <w:r>
              <w:rPr>
                <w:spacing w:val="-2"/>
                <w:sz w:val="20"/>
              </w:rPr>
              <w:t>Fencing</w:t>
            </w:r>
          </w:p>
        </w:tc>
        <w:tc>
          <w:tcPr>
            <w:tcW w:w="1406" w:type="dxa"/>
            <w:tcBorders>
              <w:top w:val="single" w:sz="4" w:space="0" w:color="000000"/>
              <w:bottom w:val="single" w:sz="4" w:space="0" w:color="000000"/>
            </w:tcBorders>
          </w:tcPr>
          <w:p>
            <w:pPr>
              <w:pStyle w:val="TableParagraph"/>
              <w:spacing w:before="78"/>
              <w:ind w:left="4" w:right="1"/>
              <w:jc w:val="center"/>
              <w:rPr>
                <w:sz w:val="20"/>
              </w:rPr>
            </w:pPr>
            <w:r>
              <w:rPr>
                <w:spacing w:val="-10"/>
                <w:sz w:val="20"/>
              </w:rPr>
              <w:t>8</w:t>
            </w:r>
          </w:p>
        </w:tc>
      </w:tr>
      <w:tr>
        <w:trPr>
          <w:trHeight w:val="369" w:hRule="atLeast"/>
        </w:trPr>
        <w:tc>
          <w:tcPr>
            <w:tcW w:w="1800" w:type="dxa"/>
            <w:vMerge w:val="restart"/>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8"/>
              <w:rPr>
                <w:sz w:val="20"/>
              </w:rPr>
            </w:pPr>
          </w:p>
          <w:p>
            <w:pPr>
              <w:pStyle w:val="TableParagraph"/>
              <w:ind w:left="108"/>
              <w:rPr>
                <w:sz w:val="20"/>
              </w:rPr>
            </w:pPr>
            <w:r>
              <w:rPr>
                <w:sz w:val="20"/>
              </w:rPr>
              <w:t>Feral</w:t>
            </w:r>
            <w:r>
              <w:rPr>
                <w:spacing w:val="-8"/>
                <w:sz w:val="20"/>
              </w:rPr>
              <w:t> </w:t>
            </w:r>
            <w:r>
              <w:rPr>
                <w:spacing w:val="-5"/>
                <w:sz w:val="20"/>
              </w:rPr>
              <w:t>Pig</w:t>
            </w:r>
          </w:p>
        </w:tc>
        <w:tc>
          <w:tcPr>
            <w:tcW w:w="5890" w:type="dxa"/>
            <w:tcBorders>
              <w:top w:val="single" w:sz="4" w:space="0" w:color="000000"/>
              <w:bottom w:val="single" w:sz="4" w:space="0" w:color="000000"/>
            </w:tcBorders>
            <w:shd w:val="clear" w:color="auto" w:fill="CCDBEA"/>
          </w:tcPr>
          <w:p>
            <w:pPr>
              <w:pStyle w:val="TableParagraph"/>
              <w:spacing w:before="78"/>
              <w:ind w:left="108"/>
              <w:rPr>
                <w:sz w:val="20"/>
              </w:rPr>
            </w:pPr>
            <w:r>
              <w:rPr>
                <w:spacing w:val="-2"/>
                <w:sz w:val="20"/>
              </w:rPr>
              <w:t>Trapping</w:t>
            </w:r>
          </w:p>
        </w:tc>
        <w:tc>
          <w:tcPr>
            <w:tcW w:w="1406" w:type="dxa"/>
            <w:tcBorders>
              <w:top w:val="single" w:sz="4" w:space="0" w:color="000000"/>
              <w:bottom w:val="single" w:sz="4" w:space="0" w:color="000000"/>
            </w:tcBorders>
          </w:tcPr>
          <w:p>
            <w:pPr>
              <w:pStyle w:val="TableParagraph"/>
              <w:spacing w:before="78"/>
              <w:ind w:left="3" w:right="4"/>
              <w:jc w:val="center"/>
              <w:rPr>
                <w:sz w:val="20"/>
              </w:rPr>
            </w:pPr>
            <w:r>
              <w:rPr>
                <w:spacing w:val="-5"/>
                <w:sz w:val="20"/>
              </w:rPr>
              <w:t>12</w:t>
            </w:r>
          </w:p>
        </w:tc>
      </w:tr>
      <w:tr>
        <w:trPr>
          <w:trHeight w:val="371" w:hRule="atLeast"/>
        </w:trPr>
        <w:tc>
          <w:tcPr>
            <w:tcW w:w="1800" w:type="dxa"/>
            <w:vMerge/>
            <w:tcBorders>
              <w:top w:val="nil"/>
              <w:bottom w:val="single" w:sz="4" w:space="0" w:color="000000"/>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81"/>
              <w:ind w:left="108"/>
              <w:rPr>
                <w:sz w:val="20"/>
              </w:rPr>
            </w:pPr>
            <w:r>
              <w:rPr>
                <w:sz w:val="20"/>
              </w:rPr>
              <w:t>Shooting</w:t>
            </w:r>
            <w:r>
              <w:rPr>
                <w:spacing w:val="-12"/>
                <w:sz w:val="20"/>
              </w:rPr>
              <w:t> </w:t>
            </w:r>
            <w:r>
              <w:rPr>
                <w:spacing w:val="-2"/>
                <w:sz w:val="20"/>
              </w:rPr>
              <w:t>(aerial)</w:t>
            </w:r>
          </w:p>
        </w:tc>
        <w:tc>
          <w:tcPr>
            <w:tcW w:w="1406" w:type="dxa"/>
            <w:tcBorders>
              <w:top w:val="single" w:sz="4" w:space="0" w:color="000000"/>
              <w:bottom w:val="single" w:sz="4" w:space="0" w:color="000000"/>
            </w:tcBorders>
          </w:tcPr>
          <w:p>
            <w:pPr>
              <w:pStyle w:val="TableParagraph"/>
              <w:spacing w:before="81"/>
              <w:ind w:left="3" w:right="4"/>
              <w:jc w:val="center"/>
              <w:rPr>
                <w:sz w:val="20"/>
              </w:rPr>
            </w:pPr>
            <w:r>
              <w:rPr>
                <w:spacing w:val="-5"/>
                <w:sz w:val="20"/>
              </w:rPr>
              <w:t>10</w:t>
            </w:r>
          </w:p>
        </w:tc>
      </w:tr>
      <w:tr>
        <w:trPr>
          <w:trHeight w:val="369" w:hRule="atLeast"/>
        </w:trPr>
        <w:tc>
          <w:tcPr>
            <w:tcW w:w="1800" w:type="dxa"/>
            <w:vMerge/>
            <w:tcBorders>
              <w:top w:val="nil"/>
              <w:bottom w:val="single" w:sz="4" w:space="0" w:color="000000"/>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78"/>
              <w:ind w:left="108"/>
              <w:rPr>
                <w:sz w:val="20"/>
              </w:rPr>
            </w:pPr>
            <w:r>
              <w:rPr>
                <w:spacing w:val="-2"/>
                <w:sz w:val="20"/>
              </w:rPr>
              <w:t>Hunting</w:t>
            </w:r>
          </w:p>
        </w:tc>
        <w:tc>
          <w:tcPr>
            <w:tcW w:w="1406" w:type="dxa"/>
            <w:tcBorders>
              <w:top w:val="single" w:sz="4" w:space="0" w:color="000000"/>
              <w:bottom w:val="single" w:sz="4" w:space="0" w:color="000000"/>
            </w:tcBorders>
          </w:tcPr>
          <w:p>
            <w:pPr>
              <w:pStyle w:val="TableParagraph"/>
              <w:spacing w:before="78"/>
              <w:ind w:left="4" w:right="1"/>
              <w:jc w:val="center"/>
              <w:rPr>
                <w:sz w:val="20"/>
              </w:rPr>
            </w:pPr>
            <w:r>
              <w:rPr>
                <w:spacing w:val="-10"/>
                <w:sz w:val="20"/>
              </w:rPr>
              <w:t>5</w:t>
            </w:r>
          </w:p>
        </w:tc>
      </w:tr>
      <w:tr>
        <w:trPr>
          <w:trHeight w:val="369" w:hRule="atLeast"/>
        </w:trPr>
        <w:tc>
          <w:tcPr>
            <w:tcW w:w="1800" w:type="dxa"/>
            <w:vMerge/>
            <w:tcBorders>
              <w:top w:val="nil"/>
              <w:bottom w:val="single" w:sz="4" w:space="0" w:color="000000"/>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78"/>
              <w:ind w:left="108"/>
              <w:rPr>
                <w:sz w:val="20"/>
              </w:rPr>
            </w:pPr>
            <w:r>
              <w:rPr>
                <w:sz w:val="20"/>
              </w:rPr>
              <w:t>Ground</w:t>
            </w:r>
            <w:r>
              <w:rPr>
                <w:spacing w:val="-8"/>
                <w:sz w:val="20"/>
              </w:rPr>
              <w:t> </w:t>
            </w:r>
            <w:r>
              <w:rPr>
                <w:sz w:val="20"/>
              </w:rPr>
              <w:t>baiting</w:t>
            </w:r>
            <w:r>
              <w:rPr>
                <w:spacing w:val="-5"/>
                <w:sz w:val="20"/>
              </w:rPr>
              <w:t> </w:t>
            </w:r>
            <w:r>
              <w:rPr>
                <w:sz w:val="20"/>
              </w:rPr>
              <w:t>–</w:t>
            </w:r>
            <w:r>
              <w:rPr>
                <w:spacing w:val="-5"/>
                <w:sz w:val="20"/>
              </w:rPr>
              <w:t> </w:t>
            </w:r>
            <w:r>
              <w:rPr>
                <w:spacing w:val="-2"/>
                <w:sz w:val="20"/>
              </w:rPr>
              <w:t>PIGOUT</w:t>
            </w:r>
          </w:p>
        </w:tc>
        <w:tc>
          <w:tcPr>
            <w:tcW w:w="1406" w:type="dxa"/>
            <w:tcBorders>
              <w:top w:val="single" w:sz="4" w:space="0" w:color="000000"/>
              <w:bottom w:val="single" w:sz="4" w:space="0" w:color="000000"/>
            </w:tcBorders>
          </w:tcPr>
          <w:p>
            <w:pPr>
              <w:pStyle w:val="TableParagraph"/>
              <w:spacing w:before="78"/>
              <w:ind w:left="3" w:right="4"/>
              <w:jc w:val="center"/>
              <w:rPr>
                <w:sz w:val="20"/>
              </w:rPr>
            </w:pPr>
            <w:r>
              <w:rPr>
                <w:spacing w:val="-5"/>
                <w:sz w:val="20"/>
              </w:rPr>
              <w:t>11</w:t>
            </w:r>
          </w:p>
        </w:tc>
      </w:tr>
      <w:tr>
        <w:trPr>
          <w:trHeight w:val="371" w:hRule="atLeast"/>
        </w:trPr>
        <w:tc>
          <w:tcPr>
            <w:tcW w:w="1800" w:type="dxa"/>
            <w:vMerge/>
            <w:tcBorders>
              <w:top w:val="nil"/>
              <w:bottom w:val="single" w:sz="4" w:space="0" w:color="000000"/>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81"/>
              <w:ind w:left="108"/>
              <w:rPr>
                <w:sz w:val="20"/>
              </w:rPr>
            </w:pPr>
            <w:r>
              <w:rPr>
                <w:sz w:val="20"/>
              </w:rPr>
              <w:t>Ground</w:t>
            </w:r>
            <w:r>
              <w:rPr>
                <w:spacing w:val="-8"/>
                <w:sz w:val="20"/>
              </w:rPr>
              <w:t> </w:t>
            </w:r>
            <w:r>
              <w:rPr>
                <w:sz w:val="20"/>
              </w:rPr>
              <w:t>baiting</w:t>
            </w:r>
            <w:r>
              <w:rPr>
                <w:spacing w:val="-5"/>
                <w:sz w:val="20"/>
              </w:rPr>
              <w:t> </w:t>
            </w:r>
            <w:r>
              <w:rPr>
                <w:sz w:val="20"/>
              </w:rPr>
              <w:t>–</w:t>
            </w:r>
            <w:r>
              <w:rPr>
                <w:spacing w:val="-5"/>
                <w:sz w:val="20"/>
              </w:rPr>
              <w:t> </w:t>
            </w:r>
            <w:r>
              <w:rPr>
                <w:spacing w:val="-2"/>
                <w:sz w:val="20"/>
              </w:rPr>
              <w:t>HOGGONE</w:t>
            </w:r>
          </w:p>
        </w:tc>
        <w:tc>
          <w:tcPr>
            <w:tcW w:w="1406" w:type="dxa"/>
            <w:tcBorders>
              <w:top w:val="single" w:sz="4" w:space="0" w:color="000000"/>
              <w:bottom w:val="single" w:sz="4" w:space="0" w:color="000000"/>
            </w:tcBorders>
          </w:tcPr>
          <w:p>
            <w:pPr>
              <w:pStyle w:val="TableParagraph"/>
              <w:spacing w:before="81"/>
              <w:ind w:left="3" w:right="4"/>
              <w:jc w:val="center"/>
              <w:rPr>
                <w:sz w:val="20"/>
              </w:rPr>
            </w:pPr>
            <w:r>
              <w:rPr>
                <w:spacing w:val="-5"/>
                <w:sz w:val="20"/>
              </w:rPr>
              <w:t>13</w:t>
            </w:r>
          </w:p>
        </w:tc>
      </w:tr>
      <w:tr>
        <w:trPr>
          <w:trHeight w:val="369" w:hRule="atLeast"/>
        </w:trPr>
        <w:tc>
          <w:tcPr>
            <w:tcW w:w="1800" w:type="dxa"/>
            <w:vMerge/>
            <w:tcBorders>
              <w:top w:val="nil"/>
              <w:bottom w:val="single" w:sz="4" w:space="0" w:color="000000"/>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78"/>
              <w:ind w:left="108"/>
              <w:rPr>
                <w:sz w:val="20"/>
              </w:rPr>
            </w:pPr>
            <w:r>
              <w:rPr>
                <w:sz w:val="20"/>
              </w:rPr>
              <w:t>Ground</w:t>
            </w:r>
            <w:r>
              <w:rPr>
                <w:spacing w:val="-12"/>
                <w:sz w:val="20"/>
              </w:rPr>
              <w:t> </w:t>
            </w:r>
            <w:r>
              <w:rPr>
                <w:spacing w:val="-2"/>
                <w:sz w:val="20"/>
              </w:rPr>
              <w:t>shooting</w:t>
            </w:r>
          </w:p>
        </w:tc>
        <w:tc>
          <w:tcPr>
            <w:tcW w:w="1406" w:type="dxa"/>
            <w:tcBorders>
              <w:top w:val="single" w:sz="4" w:space="0" w:color="000000"/>
              <w:bottom w:val="single" w:sz="4" w:space="0" w:color="000000"/>
            </w:tcBorders>
          </w:tcPr>
          <w:p>
            <w:pPr>
              <w:pStyle w:val="TableParagraph"/>
              <w:spacing w:before="78"/>
              <w:ind w:left="4" w:right="1"/>
              <w:jc w:val="center"/>
              <w:rPr>
                <w:sz w:val="20"/>
              </w:rPr>
            </w:pPr>
            <w:r>
              <w:rPr>
                <w:spacing w:val="-10"/>
                <w:sz w:val="20"/>
              </w:rPr>
              <w:t>1</w:t>
            </w:r>
          </w:p>
        </w:tc>
      </w:tr>
      <w:tr>
        <w:trPr>
          <w:trHeight w:val="369" w:hRule="atLeast"/>
        </w:trPr>
        <w:tc>
          <w:tcPr>
            <w:tcW w:w="1800" w:type="dxa"/>
            <w:vMerge/>
            <w:tcBorders>
              <w:top w:val="nil"/>
              <w:bottom w:val="single" w:sz="4" w:space="0" w:color="000000"/>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79"/>
              <w:ind w:left="108"/>
              <w:rPr>
                <w:sz w:val="20"/>
              </w:rPr>
            </w:pPr>
            <w:r>
              <w:rPr>
                <w:spacing w:val="-2"/>
                <w:sz w:val="20"/>
              </w:rPr>
              <w:t>Fencing</w:t>
            </w:r>
          </w:p>
        </w:tc>
        <w:tc>
          <w:tcPr>
            <w:tcW w:w="1406" w:type="dxa"/>
            <w:tcBorders>
              <w:top w:val="single" w:sz="4" w:space="0" w:color="000000"/>
              <w:bottom w:val="single" w:sz="4" w:space="0" w:color="000000"/>
            </w:tcBorders>
          </w:tcPr>
          <w:p>
            <w:pPr>
              <w:pStyle w:val="TableParagraph"/>
              <w:spacing w:before="79"/>
              <w:ind w:left="4" w:right="1"/>
              <w:jc w:val="center"/>
              <w:rPr>
                <w:sz w:val="20"/>
              </w:rPr>
            </w:pPr>
            <w:r>
              <w:rPr>
                <w:spacing w:val="-10"/>
                <w:sz w:val="20"/>
              </w:rPr>
              <w:t>8</w:t>
            </w:r>
          </w:p>
        </w:tc>
      </w:tr>
      <w:tr>
        <w:trPr>
          <w:trHeight w:val="371" w:hRule="atLeast"/>
        </w:trPr>
        <w:tc>
          <w:tcPr>
            <w:tcW w:w="1800" w:type="dxa"/>
            <w:vMerge/>
            <w:tcBorders>
              <w:top w:val="nil"/>
              <w:bottom w:val="single" w:sz="4" w:space="0" w:color="000000"/>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81"/>
              <w:ind w:left="108"/>
              <w:rPr>
                <w:sz w:val="20"/>
              </w:rPr>
            </w:pPr>
            <w:r>
              <w:rPr>
                <w:spacing w:val="-2"/>
                <w:sz w:val="20"/>
              </w:rPr>
              <w:t>Non-target</w:t>
            </w:r>
            <w:r>
              <w:rPr>
                <w:spacing w:val="5"/>
                <w:sz w:val="20"/>
              </w:rPr>
              <w:t> </w:t>
            </w:r>
            <w:r>
              <w:rPr>
                <w:spacing w:val="-2"/>
                <w:sz w:val="20"/>
              </w:rPr>
              <w:t>impacts</w:t>
            </w:r>
          </w:p>
        </w:tc>
        <w:tc>
          <w:tcPr>
            <w:tcW w:w="1406" w:type="dxa"/>
            <w:tcBorders>
              <w:top w:val="single" w:sz="4" w:space="0" w:color="000000"/>
              <w:bottom w:val="single" w:sz="4" w:space="0" w:color="000000"/>
            </w:tcBorders>
          </w:tcPr>
          <w:p>
            <w:pPr>
              <w:pStyle w:val="TableParagraph"/>
              <w:spacing w:before="81"/>
              <w:ind w:left="4" w:right="1"/>
              <w:jc w:val="center"/>
              <w:rPr>
                <w:sz w:val="20"/>
              </w:rPr>
            </w:pPr>
            <w:r>
              <w:rPr>
                <w:spacing w:val="-10"/>
                <w:sz w:val="20"/>
              </w:rPr>
              <w:t>8</w:t>
            </w:r>
          </w:p>
        </w:tc>
      </w:tr>
      <w:tr>
        <w:trPr>
          <w:trHeight w:val="369" w:hRule="atLeast"/>
        </w:trPr>
        <w:tc>
          <w:tcPr>
            <w:tcW w:w="1800" w:type="dxa"/>
            <w:vMerge w:val="restart"/>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8"/>
              <w:rPr>
                <w:sz w:val="20"/>
              </w:rPr>
            </w:pPr>
          </w:p>
          <w:p>
            <w:pPr>
              <w:pStyle w:val="TableParagraph"/>
              <w:ind w:left="108"/>
              <w:rPr>
                <w:sz w:val="20"/>
              </w:rPr>
            </w:pPr>
            <w:r>
              <w:rPr>
                <w:sz w:val="20"/>
              </w:rPr>
              <w:t>Red</w:t>
            </w:r>
            <w:r>
              <w:rPr>
                <w:spacing w:val="-7"/>
                <w:sz w:val="20"/>
              </w:rPr>
              <w:t> </w:t>
            </w:r>
            <w:r>
              <w:rPr>
                <w:spacing w:val="-5"/>
                <w:sz w:val="20"/>
              </w:rPr>
              <w:t>Fox</w:t>
            </w:r>
          </w:p>
        </w:tc>
        <w:tc>
          <w:tcPr>
            <w:tcW w:w="5890" w:type="dxa"/>
            <w:tcBorders>
              <w:top w:val="single" w:sz="4" w:space="0" w:color="000000"/>
              <w:bottom w:val="single" w:sz="4" w:space="0" w:color="000000"/>
            </w:tcBorders>
            <w:shd w:val="clear" w:color="auto" w:fill="CCDBEA"/>
          </w:tcPr>
          <w:p>
            <w:pPr>
              <w:pStyle w:val="TableParagraph"/>
              <w:spacing w:before="78"/>
              <w:ind w:left="108"/>
              <w:rPr>
                <w:sz w:val="20"/>
              </w:rPr>
            </w:pPr>
            <w:r>
              <w:rPr>
                <w:sz w:val="20"/>
              </w:rPr>
              <w:t>1080</w:t>
            </w:r>
            <w:r>
              <w:rPr>
                <w:spacing w:val="-10"/>
                <w:sz w:val="20"/>
              </w:rPr>
              <w:t> </w:t>
            </w:r>
            <w:r>
              <w:rPr>
                <w:sz w:val="20"/>
              </w:rPr>
              <w:t>ground-based</w:t>
            </w:r>
            <w:r>
              <w:rPr>
                <w:spacing w:val="-11"/>
                <w:sz w:val="20"/>
              </w:rPr>
              <w:t> </w:t>
            </w:r>
            <w:r>
              <w:rPr>
                <w:spacing w:val="-2"/>
                <w:sz w:val="20"/>
              </w:rPr>
              <w:t>baiting</w:t>
            </w:r>
          </w:p>
        </w:tc>
        <w:tc>
          <w:tcPr>
            <w:tcW w:w="1406" w:type="dxa"/>
            <w:tcBorders>
              <w:top w:val="single" w:sz="4" w:space="0" w:color="000000"/>
              <w:bottom w:val="single" w:sz="4" w:space="0" w:color="000000"/>
            </w:tcBorders>
          </w:tcPr>
          <w:p>
            <w:pPr>
              <w:pStyle w:val="TableParagraph"/>
              <w:spacing w:before="78"/>
              <w:ind w:left="3" w:right="4"/>
              <w:jc w:val="center"/>
              <w:rPr>
                <w:sz w:val="20"/>
              </w:rPr>
            </w:pPr>
            <w:r>
              <w:rPr>
                <w:spacing w:val="-5"/>
                <w:sz w:val="20"/>
              </w:rPr>
              <w:t>34</w:t>
            </w:r>
          </w:p>
        </w:tc>
      </w:tr>
      <w:tr>
        <w:trPr>
          <w:trHeight w:val="369" w:hRule="atLeast"/>
        </w:trPr>
        <w:tc>
          <w:tcPr>
            <w:tcW w:w="1800" w:type="dxa"/>
            <w:vMerge/>
            <w:tcBorders>
              <w:top w:val="nil"/>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78"/>
              <w:ind w:left="108"/>
              <w:rPr>
                <w:sz w:val="20"/>
              </w:rPr>
            </w:pPr>
            <w:r>
              <w:rPr>
                <w:sz w:val="20"/>
              </w:rPr>
              <w:t>PAPP</w:t>
            </w:r>
            <w:r>
              <w:rPr>
                <w:spacing w:val="-11"/>
                <w:sz w:val="20"/>
              </w:rPr>
              <w:t> </w:t>
            </w:r>
            <w:r>
              <w:rPr>
                <w:sz w:val="20"/>
              </w:rPr>
              <w:t>ground-based</w:t>
            </w:r>
            <w:r>
              <w:rPr>
                <w:spacing w:val="-11"/>
                <w:sz w:val="20"/>
              </w:rPr>
              <w:t> </w:t>
            </w:r>
            <w:r>
              <w:rPr>
                <w:spacing w:val="-2"/>
                <w:sz w:val="20"/>
              </w:rPr>
              <w:t>baiting</w:t>
            </w:r>
          </w:p>
        </w:tc>
        <w:tc>
          <w:tcPr>
            <w:tcW w:w="1406" w:type="dxa"/>
            <w:tcBorders>
              <w:top w:val="single" w:sz="4" w:space="0" w:color="000000"/>
              <w:bottom w:val="single" w:sz="4" w:space="0" w:color="000000"/>
            </w:tcBorders>
          </w:tcPr>
          <w:p>
            <w:pPr>
              <w:pStyle w:val="TableParagraph"/>
              <w:spacing w:before="78"/>
              <w:ind w:left="4" w:right="1"/>
              <w:jc w:val="center"/>
              <w:rPr>
                <w:sz w:val="20"/>
              </w:rPr>
            </w:pPr>
            <w:r>
              <w:rPr>
                <w:spacing w:val="-10"/>
                <w:sz w:val="20"/>
              </w:rPr>
              <w:t>8</w:t>
            </w:r>
          </w:p>
        </w:tc>
      </w:tr>
      <w:tr>
        <w:trPr>
          <w:trHeight w:val="371" w:hRule="atLeast"/>
        </w:trPr>
        <w:tc>
          <w:tcPr>
            <w:tcW w:w="1800" w:type="dxa"/>
            <w:vMerge/>
            <w:tcBorders>
              <w:top w:val="nil"/>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81"/>
              <w:ind w:left="108"/>
              <w:rPr>
                <w:sz w:val="20"/>
              </w:rPr>
            </w:pPr>
            <w:r>
              <w:rPr>
                <w:spacing w:val="-2"/>
                <w:sz w:val="20"/>
              </w:rPr>
              <w:t>Shooting</w:t>
            </w:r>
          </w:p>
        </w:tc>
        <w:tc>
          <w:tcPr>
            <w:tcW w:w="1406" w:type="dxa"/>
            <w:tcBorders>
              <w:top w:val="single" w:sz="4" w:space="0" w:color="000000"/>
              <w:bottom w:val="single" w:sz="4" w:space="0" w:color="000000"/>
            </w:tcBorders>
          </w:tcPr>
          <w:p>
            <w:pPr>
              <w:pStyle w:val="TableParagraph"/>
              <w:spacing w:before="81"/>
              <w:ind w:left="4" w:right="1"/>
              <w:jc w:val="center"/>
              <w:rPr>
                <w:sz w:val="20"/>
              </w:rPr>
            </w:pPr>
            <w:r>
              <w:rPr>
                <w:spacing w:val="-10"/>
                <w:sz w:val="20"/>
              </w:rPr>
              <w:t>9</w:t>
            </w:r>
          </w:p>
        </w:tc>
      </w:tr>
      <w:tr>
        <w:trPr>
          <w:trHeight w:val="369" w:hRule="atLeast"/>
        </w:trPr>
        <w:tc>
          <w:tcPr>
            <w:tcW w:w="1800" w:type="dxa"/>
            <w:vMerge/>
            <w:tcBorders>
              <w:top w:val="nil"/>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78"/>
              <w:ind w:left="108"/>
              <w:rPr>
                <w:sz w:val="20"/>
              </w:rPr>
            </w:pPr>
            <w:r>
              <w:rPr>
                <w:sz w:val="20"/>
              </w:rPr>
              <w:t>Den</w:t>
            </w:r>
            <w:r>
              <w:rPr>
                <w:spacing w:val="-8"/>
                <w:sz w:val="20"/>
              </w:rPr>
              <w:t> </w:t>
            </w:r>
            <w:r>
              <w:rPr>
                <w:spacing w:val="-2"/>
                <w:sz w:val="20"/>
              </w:rPr>
              <w:t>fumigation</w:t>
            </w:r>
          </w:p>
        </w:tc>
        <w:tc>
          <w:tcPr>
            <w:tcW w:w="1406" w:type="dxa"/>
            <w:tcBorders>
              <w:top w:val="single" w:sz="4" w:space="0" w:color="000000"/>
              <w:bottom w:val="single" w:sz="4" w:space="0" w:color="000000"/>
            </w:tcBorders>
          </w:tcPr>
          <w:p>
            <w:pPr>
              <w:pStyle w:val="TableParagraph"/>
              <w:spacing w:before="78"/>
              <w:ind w:left="4" w:right="1"/>
              <w:jc w:val="center"/>
              <w:rPr>
                <w:sz w:val="20"/>
              </w:rPr>
            </w:pPr>
            <w:r>
              <w:rPr>
                <w:spacing w:val="-10"/>
                <w:sz w:val="20"/>
              </w:rPr>
              <w:t>5</w:t>
            </w:r>
          </w:p>
        </w:tc>
      </w:tr>
      <w:tr>
        <w:trPr>
          <w:trHeight w:val="369" w:hRule="atLeast"/>
        </w:trPr>
        <w:tc>
          <w:tcPr>
            <w:tcW w:w="1800" w:type="dxa"/>
            <w:vMerge/>
            <w:tcBorders>
              <w:top w:val="nil"/>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78"/>
              <w:ind w:left="108"/>
              <w:rPr>
                <w:sz w:val="20"/>
              </w:rPr>
            </w:pPr>
            <w:r>
              <w:rPr>
                <w:sz w:val="20"/>
              </w:rPr>
              <w:t>Guardian</w:t>
            </w:r>
            <w:r>
              <w:rPr>
                <w:spacing w:val="-14"/>
                <w:sz w:val="20"/>
              </w:rPr>
              <w:t> </w:t>
            </w:r>
            <w:r>
              <w:rPr>
                <w:spacing w:val="-2"/>
                <w:sz w:val="20"/>
              </w:rPr>
              <w:t>animals</w:t>
            </w:r>
          </w:p>
        </w:tc>
        <w:tc>
          <w:tcPr>
            <w:tcW w:w="1406" w:type="dxa"/>
            <w:tcBorders>
              <w:top w:val="single" w:sz="4" w:space="0" w:color="000000"/>
              <w:bottom w:val="single" w:sz="4" w:space="0" w:color="000000"/>
            </w:tcBorders>
          </w:tcPr>
          <w:p>
            <w:pPr>
              <w:pStyle w:val="TableParagraph"/>
              <w:spacing w:before="78"/>
              <w:ind w:left="3" w:right="4"/>
              <w:jc w:val="center"/>
              <w:rPr>
                <w:sz w:val="20"/>
              </w:rPr>
            </w:pPr>
            <w:r>
              <w:rPr>
                <w:spacing w:val="-5"/>
                <w:sz w:val="20"/>
              </w:rPr>
              <w:t>18</w:t>
            </w:r>
          </w:p>
        </w:tc>
      </w:tr>
      <w:tr>
        <w:trPr>
          <w:trHeight w:val="371" w:hRule="atLeast"/>
        </w:trPr>
        <w:tc>
          <w:tcPr>
            <w:tcW w:w="1800" w:type="dxa"/>
            <w:vMerge/>
            <w:tcBorders>
              <w:top w:val="nil"/>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81"/>
              <w:ind w:left="108"/>
              <w:rPr>
                <w:sz w:val="20"/>
              </w:rPr>
            </w:pPr>
            <w:r>
              <w:rPr>
                <w:spacing w:val="-2"/>
                <w:sz w:val="20"/>
              </w:rPr>
              <w:t>Fencing</w:t>
            </w:r>
          </w:p>
        </w:tc>
        <w:tc>
          <w:tcPr>
            <w:tcW w:w="1406" w:type="dxa"/>
            <w:tcBorders>
              <w:top w:val="single" w:sz="4" w:space="0" w:color="000000"/>
              <w:bottom w:val="single" w:sz="4" w:space="0" w:color="000000"/>
            </w:tcBorders>
          </w:tcPr>
          <w:p>
            <w:pPr>
              <w:pStyle w:val="TableParagraph"/>
              <w:spacing w:before="81"/>
              <w:ind w:left="4" w:right="1"/>
              <w:jc w:val="center"/>
              <w:rPr>
                <w:sz w:val="20"/>
              </w:rPr>
            </w:pPr>
            <w:r>
              <w:rPr>
                <w:spacing w:val="-10"/>
                <w:sz w:val="20"/>
              </w:rPr>
              <w:t>5</w:t>
            </w:r>
          </w:p>
        </w:tc>
      </w:tr>
      <w:tr>
        <w:trPr>
          <w:trHeight w:val="369" w:hRule="atLeast"/>
        </w:trPr>
        <w:tc>
          <w:tcPr>
            <w:tcW w:w="1800" w:type="dxa"/>
            <w:vMerge/>
            <w:tcBorders>
              <w:top w:val="nil"/>
            </w:tcBorders>
          </w:tcPr>
          <w:p>
            <w:pPr>
              <w:rPr>
                <w:sz w:val="2"/>
                <w:szCs w:val="2"/>
              </w:rPr>
            </w:pPr>
          </w:p>
        </w:tc>
        <w:tc>
          <w:tcPr>
            <w:tcW w:w="5890" w:type="dxa"/>
            <w:tcBorders>
              <w:top w:val="single" w:sz="4" w:space="0" w:color="000000"/>
              <w:bottom w:val="single" w:sz="4" w:space="0" w:color="000000"/>
            </w:tcBorders>
            <w:shd w:val="clear" w:color="auto" w:fill="CCDBEA"/>
          </w:tcPr>
          <w:p>
            <w:pPr>
              <w:pStyle w:val="TableParagraph"/>
              <w:spacing w:before="78"/>
              <w:ind w:left="108"/>
              <w:rPr>
                <w:sz w:val="20"/>
              </w:rPr>
            </w:pPr>
            <w:r>
              <w:rPr>
                <w:sz w:val="20"/>
              </w:rPr>
              <w:t>Aversion</w:t>
            </w:r>
            <w:r>
              <w:rPr>
                <w:spacing w:val="-10"/>
                <w:sz w:val="20"/>
              </w:rPr>
              <w:t> </w:t>
            </w:r>
            <w:r>
              <w:rPr>
                <w:spacing w:val="-2"/>
                <w:sz w:val="20"/>
              </w:rPr>
              <w:t>devices</w:t>
            </w:r>
          </w:p>
        </w:tc>
        <w:tc>
          <w:tcPr>
            <w:tcW w:w="1406" w:type="dxa"/>
            <w:tcBorders>
              <w:top w:val="single" w:sz="4" w:space="0" w:color="000000"/>
              <w:bottom w:val="single" w:sz="4" w:space="0" w:color="000000"/>
            </w:tcBorders>
          </w:tcPr>
          <w:p>
            <w:pPr>
              <w:pStyle w:val="TableParagraph"/>
              <w:spacing w:before="78"/>
              <w:ind w:left="3" w:right="4"/>
              <w:jc w:val="center"/>
              <w:rPr>
                <w:sz w:val="20"/>
              </w:rPr>
            </w:pPr>
            <w:r>
              <w:rPr>
                <w:spacing w:val="-5"/>
                <w:sz w:val="20"/>
              </w:rPr>
              <w:t>10</w:t>
            </w:r>
          </w:p>
        </w:tc>
      </w:tr>
    </w:tbl>
    <w:p>
      <w:pPr>
        <w:spacing w:after="0"/>
        <w:jc w:val="center"/>
        <w:rPr>
          <w:sz w:val="20"/>
        </w:rPr>
        <w:sectPr>
          <w:pgSz w:w="11910" w:h="16850"/>
          <w:pgMar w:header="0" w:footer="688" w:top="1140" w:bottom="880" w:left="820" w:right="980"/>
        </w:sectPr>
      </w:pPr>
    </w:p>
    <w:p>
      <w:pPr>
        <w:pStyle w:val="BodyText"/>
        <w:spacing w:before="4"/>
        <w:rPr>
          <w:sz w:val="2"/>
        </w:rPr>
      </w:pPr>
    </w:p>
    <w:tbl>
      <w:tblPr>
        <w:tblW w:w="0" w:type="auto"/>
        <w:jc w:val="left"/>
        <w:tblInd w:w="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5"/>
        <w:gridCol w:w="5891"/>
        <w:gridCol w:w="1407"/>
      </w:tblGrid>
      <w:tr>
        <w:trPr>
          <w:trHeight w:val="581" w:hRule="atLeast"/>
        </w:trPr>
        <w:tc>
          <w:tcPr>
            <w:tcW w:w="1815" w:type="dxa"/>
            <w:shd w:val="clear" w:color="auto" w:fill="004B96"/>
          </w:tcPr>
          <w:p>
            <w:pPr>
              <w:pStyle w:val="TableParagraph"/>
              <w:spacing w:before="59"/>
              <w:ind w:left="122"/>
              <w:rPr>
                <w:b/>
                <w:sz w:val="20"/>
              </w:rPr>
            </w:pPr>
            <w:r>
              <w:rPr>
                <w:b/>
                <w:color w:val="FFFFFF"/>
                <w:sz w:val="20"/>
              </w:rPr>
              <w:t>Pest</w:t>
            </w:r>
            <w:r>
              <w:rPr>
                <w:b/>
                <w:color w:val="FFFFFF"/>
                <w:spacing w:val="-6"/>
                <w:sz w:val="20"/>
              </w:rPr>
              <w:t> </w:t>
            </w:r>
            <w:r>
              <w:rPr>
                <w:b/>
                <w:color w:val="FFFFFF"/>
                <w:spacing w:val="-2"/>
                <w:sz w:val="20"/>
              </w:rPr>
              <w:t>species</w:t>
            </w:r>
          </w:p>
        </w:tc>
        <w:tc>
          <w:tcPr>
            <w:tcW w:w="5891" w:type="dxa"/>
            <w:tcBorders>
              <w:bottom w:val="single" w:sz="4" w:space="0" w:color="000000"/>
            </w:tcBorders>
            <w:shd w:val="clear" w:color="auto" w:fill="004B96"/>
          </w:tcPr>
          <w:p>
            <w:pPr>
              <w:pStyle w:val="TableParagraph"/>
              <w:spacing w:before="59"/>
              <w:ind w:left="107"/>
              <w:rPr>
                <w:b/>
                <w:sz w:val="20"/>
              </w:rPr>
            </w:pPr>
            <w:r>
              <w:rPr>
                <w:b/>
                <w:color w:val="FFFFFF"/>
                <w:sz w:val="20"/>
              </w:rPr>
              <w:t>Review</w:t>
            </w:r>
            <w:r>
              <w:rPr>
                <w:b/>
                <w:color w:val="FFFFFF"/>
                <w:spacing w:val="-8"/>
                <w:sz w:val="20"/>
              </w:rPr>
              <w:t> </w:t>
            </w:r>
            <w:r>
              <w:rPr>
                <w:b/>
                <w:color w:val="FFFFFF"/>
                <w:spacing w:val="-2"/>
                <w:sz w:val="20"/>
              </w:rPr>
              <w:t>topic</w:t>
            </w:r>
          </w:p>
        </w:tc>
        <w:tc>
          <w:tcPr>
            <w:tcW w:w="1407" w:type="dxa"/>
            <w:tcBorders>
              <w:bottom w:val="single" w:sz="4" w:space="0" w:color="000000"/>
            </w:tcBorders>
            <w:shd w:val="clear" w:color="auto" w:fill="004B96"/>
          </w:tcPr>
          <w:p>
            <w:pPr>
              <w:pStyle w:val="TableParagraph"/>
              <w:spacing w:before="59"/>
              <w:ind w:left="272" w:hanging="166"/>
              <w:rPr>
                <w:b/>
                <w:sz w:val="20"/>
              </w:rPr>
            </w:pPr>
            <w:r>
              <w:rPr>
                <w:b/>
                <w:color w:val="FFFFFF"/>
                <w:spacing w:val="-2"/>
                <w:sz w:val="20"/>
              </w:rPr>
              <w:t>Publications reviewed</w:t>
            </w:r>
          </w:p>
        </w:tc>
      </w:tr>
      <w:tr>
        <w:trPr>
          <w:trHeight w:val="369" w:hRule="atLeast"/>
        </w:trPr>
        <w:tc>
          <w:tcPr>
            <w:tcW w:w="1815" w:type="dxa"/>
            <w:vMerge w:val="restart"/>
            <w:tcBorders>
              <w:bottom w:val="single" w:sz="4" w:space="0" w:color="000000"/>
            </w:tcBorders>
          </w:tcPr>
          <w:p>
            <w:pPr>
              <w:pStyle w:val="TableParagraph"/>
              <w:rPr>
                <w:rFonts w:ascii="Times New Roman"/>
                <w:sz w:val="18"/>
              </w:rPr>
            </w:pPr>
          </w:p>
        </w:tc>
        <w:tc>
          <w:tcPr>
            <w:tcW w:w="5891" w:type="dxa"/>
            <w:tcBorders>
              <w:top w:val="single" w:sz="4" w:space="0" w:color="000000"/>
              <w:bottom w:val="single" w:sz="4" w:space="0" w:color="000000"/>
            </w:tcBorders>
            <w:shd w:val="clear" w:color="auto" w:fill="CCDBEA"/>
          </w:tcPr>
          <w:p>
            <w:pPr>
              <w:pStyle w:val="TableParagraph"/>
              <w:spacing w:before="78"/>
              <w:ind w:left="107"/>
              <w:rPr>
                <w:sz w:val="20"/>
              </w:rPr>
            </w:pPr>
            <w:r>
              <w:rPr>
                <w:sz w:val="20"/>
              </w:rPr>
              <w:t>Trapping</w:t>
            </w:r>
            <w:r>
              <w:rPr>
                <w:spacing w:val="-11"/>
                <w:sz w:val="20"/>
              </w:rPr>
              <w:t> </w:t>
            </w:r>
            <w:r>
              <w:rPr>
                <w:sz w:val="20"/>
              </w:rPr>
              <w:t>(foothold</w:t>
            </w:r>
            <w:r>
              <w:rPr>
                <w:spacing w:val="-9"/>
                <w:sz w:val="20"/>
              </w:rPr>
              <w:t> </w:t>
            </w:r>
            <w:r>
              <w:rPr>
                <w:sz w:val="20"/>
              </w:rPr>
              <w:t>and</w:t>
            </w:r>
            <w:r>
              <w:rPr>
                <w:spacing w:val="-10"/>
                <w:sz w:val="20"/>
              </w:rPr>
              <w:t> </w:t>
            </w:r>
            <w:r>
              <w:rPr>
                <w:spacing w:val="-2"/>
                <w:sz w:val="20"/>
              </w:rPr>
              <w:t>cage)</w:t>
            </w:r>
          </w:p>
        </w:tc>
        <w:tc>
          <w:tcPr>
            <w:tcW w:w="1407" w:type="dxa"/>
            <w:tcBorders>
              <w:top w:val="single" w:sz="4" w:space="0" w:color="000000"/>
              <w:bottom w:val="single" w:sz="4" w:space="0" w:color="000000"/>
            </w:tcBorders>
          </w:tcPr>
          <w:p>
            <w:pPr>
              <w:pStyle w:val="TableParagraph"/>
              <w:spacing w:before="78"/>
              <w:ind w:right="3"/>
              <w:jc w:val="center"/>
              <w:rPr>
                <w:sz w:val="20"/>
              </w:rPr>
            </w:pPr>
            <w:r>
              <w:rPr>
                <w:spacing w:val="-5"/>
                <w:sz w:val="20"/>
              </w:rPr>
              <w:t>17</w:t>
            </w:r>
          </w:p>
        </w:tc>
      </w:tr>
      <w:tr>
        <w:trPr>
          <w:trHeight w:val="371" w:hRule="atLeast"/>
        </w:trPr>
        <w:tc>
          <w:tcPr>
            <w:tcW w:w="1815" w:type="dxa"/>
            <w:vMerge/>
            <w:tcBorders>
              <w:top w:val="nil"/>
              <w:bottom w:val="single" w:sz="4" w:space="0" w:color="000000"/>
            </w:tcBorders>
          </w:tcPr>
          <w:p>
            <w:pPr>
              <w:rPr>
                <w:sz w:val="2"/>
                <w:szCs w:val="2"/>
              </w:rPr>
            </w:pPr>
          </w:p>
        </w:tc>
        <w:tc>
          <w:tcPr>
            <w:tcW w:w="5891" w:type="dxa"/>
            <w:tcBorders>
              <w:top w:val="single" w:sz="4" w:space="0" w:color="000000"/>
              <w:bottom w:val="single" w:sz="4" w:space="0" w:color="000000"/>
            </w:tcBorders>
            <w:shd w:val="clear" w:color="auto" w:fill="CCDBEA"/>
          </w:tcPr>
          <w:p>
            <w:pPr>
              <w:pStyle w:val="TableParagraph"/>
              <w:spacing w:before="81"/>
              <w:ind w:left="107"/>
              <w:rPr>
                <w:sz w:val="20"/>
              </w:rPr>
            </w:pPr>
            <w:r>
              <w:rPr>
                <w:sz w:val="20"/>
              </w:rPr>
              <w:t>Canid</w:t>
            </w:r>
            <w:r>
              <w:rPr>
                <w:spacing w:val="-8"/>
                <w:sz w:val="20"/>
              </w:rPr>
              <w:t> </w:t>
            </w:r>
            <w:r>
              <w:rPr>
                <w:sz w:val="20"/>
              </w:rPr>
              <w:t>Pest</w:t>
            </w:r>
            <w:r>
              <w:rPr>
                <w:spacing w:val="-7"/>
                <w:sz w:val="20"/>
              </w:rPr>
              <w:t> </w:t>
            </w:r>
            <w:r>
              <w:rPr>
                <w:spacing w:val="-2"/>
                <w:sz w:val="20"/>
              </w:rPr>
              <w:t>Ejector</w:t>
            </w:r>
          </w:p>
        </w:tc>
        <w:tc>
          <w:tcPr>
            <w:tcW w:w="1407" w:type="dxa"/>
            <w:tcBorders>
              <w:top w:val="single" w:sz="4" w:space="0" w:color="000000"/>
              <w:bottom w:val="single" w:sz="4" w:space="0" w:color="000000"/>
            </w:tcBorders>
          </w:tcPr>
          <w:p>
            <w:pPr>
              <w:pStyle w:val="TableParagraph"/>
              <w:spacing w:before="81"/>
              <w:ind w:right="3"/>
              <w:jc w:val="center"/>
              <w:rPr>
                <w:sz w:val="20"/>
              </w:rPr>
            </w:pPr>
            <w:r>
              <w:rPr>
                <w:spacing w:val="-5"/>
                <w:sz w:val="20"/>
              </w:rPr>
              <w:t>15</w:t>
            </w:r>
          </w:p>
        </w:tc>
      </w:tr>
      <w:tr>
        <w:trPr>
          <w:trHeight w:val="369" w:hRule="atLeast"/>
        </w:trPr>
        <w:tc>
          <w:tcPr>
            <w:tcW w:w="1815" w:type="dxa"/>
            <w:vMerge w:val="restart"/>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17"/>
              <w:rPr>
                <w:sz w:val="20"/>
              </w:rPr>
            </w:pPr>
          </w:p>
          <w:p>
            <w:pPr>
              <w:pStyle w:val="TableParagraph"/>
              <w:spacing w:before="1"/>
              <w:ind w:left="122" w:right="211"/>
              <w:rPr>
                <w:sz w:val="20"/>
              </w:rPr>
            </w:pPr>
            <w:r>
              <w:rPr>
                <w:sz w:val="20"/>
              </w:rPr>
              <w:t>Dingo</w:t>
            </w:r>
            <w:r>
              <w:rPr>
                <w:spacing w:val="-14"/>
                <w:sz w:val="20"/>
              </w:rPr>
              <w:t> </w:t>
            </w:r>
            <w:r>
              <w:rPr>
                <w:sz w:val="20"/>
              </w:rPr>
              <w:t>and</w:t>
            </w:r>
            <w:r>
              <w:rPr>
                <w:spacing w:val="-14"/>
                <w:sz w:val="20"/>
              </w:rPr>
              <w:t> </w:t>
            </w:r>
            <w:r>
              <w:rPr>
                <w:sz w:val="20"/>
              </w:rPr>
              <w:t>Wild </w:t>
            </w:r>
            <w:r>
              <w:rPr>
                <w:spacing w:val="-4"/>
                <w:sz w:val="20"/>
              </w:rPr>
              <w:t>Dog</w:t>
            </w:r>
          </w:p>
        </w:tc>
        <w:tc>
          <w:tcPr>
            <w:tcW w:w="5891" w:type="dxa"/>
            <w:tcBorders>
              <w:top w:val="single" w:sz="4" w:space="0" w:color="000000"/>
              <w:bottom w:val="single" w:sz="4" w:space="0" w:color="000000"/>
            </w:tcBorders>
            <w:shd w:val="clear" w:color="auto" w:fill="CCDBEA"/>
          </w:tcPr>
          <w:p>
            <w:pPr>
              <w:pStyle w:val="TableParagraph"/>
              <w:spacing w:before="78"/>
              <w:ind w:left="107"/>
              <w:rPr>
                <w:sz w:val="20"/>
              </w:rPr>
            </w:pPr>
            <w:r>
              <w:rPr>
                <w:sz w:val="20"/>
              </w:rPr>
              <w:t>1080</w:t>
            </w:r>
            <w:r>
              <w:rPr>
                <w:spacing w:val="-10"/>
                <w:sz w:val="20"/>
              </w:rPr>
              <w:t> </w:t>
            </w:r>
            <w:r>
              <w:rPr>
                <w:sz w:val="20"/>
              </w:rPr>
              <w:t>ground-based</w:t>
            </w:r>
            <w:r>
              <w:rPr>
                <w:spacing w:val="-12"/>
                <w:sz w:val="20"/>
              </w:rPr>
              <w:t> </w:t>
            </w:r>
            <w:r>
              <w:rPr>
                <w:spacing w:val="-2"/>
                <w:sz w:val="20"/>
              </w:rPr>
              <w:t>baiting</w:t>
            </w:r>
          </w:p>
        </w:tc>
        <w:tc>
          <w:tcPr>
            <w:tcW w:w="1407" w:type="dxa"/>
            <w:tcBorders>
              <w:top w:val="single" w:sz="4" w:space="0" w:color="000000"/>
              <w:bottom w:val="single" w:sz="4" w:space="0" w:color="000000"/>
            </w:tcBorders>
          </w:tcPr>
          <w:p>
            <w:pPr>
              <w:pStyle w:val="TableParagraph"/>
              <w:spacing w:before="78"/>
              <w:ind w:right="3"/>
              <w:jc w:val="center"/>
              <w:rPr>
                <w:sz w:val="20"/>
              </w:rPr>
            </w:pPr>
            <w:r>
              <w:rPr>
                <w:spacing w:val="-5"/>
                <w:sz w:val="20"/>
              </w:rPr>
              <w:t>11</w:t>
            </w:r>
          </w:p>
        </w:tc>
      </w:tr>
      <w:tr>
        <w:trPr>
          <w:trHeight w:val="369" w:hRule="atLeast"/>
        </w:trPr>
        <w:tc>
          <w:tcPr>
            <w:tcW w:w="1815" w:type="dxa"/>
            <w:vMerge/>
            <w:tcBorders>
              <w:top w:val="nil"/>
              <w:bottom w:val="single" w:sz="4" w:space="0" w:color="000000"/>
            </w:tcBorders>
          </w:tcPr>
          <w:p>
            <w:pPr>
              <w:rPr>
                <w:sz w:val="2"/>
                <w:szCs w:val="2"/>
              </w:rPr>
            </w:pPr>
          </w:p>
        </w:tc>
        <w:tc>
          <w:tcPr>
            <w:tcW w:w="5891" w:type="dxa"/>
            <w:tcBorders>
              <w:top w:val="single" w:sz="4" w:space="0" w:color="000000"/>
              <w:bottom w:val="single" w:sz="4" w:space="0" w:color="000000"/>
            </w:tcBorders>
            <w:shd w:val="clear" w:color="auto" w:fill="CCDBEA"/>
          </w:tcPr>
          <w:p>
            <w:pPr>
              <w:pStyle w:val="TableParagraph"/>
              <w:spacing w:before="78"/>
              <w:ind w:left="107"/>
              <w:rPr>
                <w:sz w:val="20"/>
              </w:rPr>
            </w:pPr>
            <w:r>
              <w:rPr>
                <w:spacing w:val="-4"/>
                <w:sz w:val="20"/>
              </w:rPr>
              <w:t>PAPP</w:t>
            </w:r>
          </w:p>
        </w:tc>
        <w:tc>
          <w:tcPr>
            <w:tcW w:w="1407" w:type="dxa"/>
            <w:tcBorders>
              <w:top w:val="single" w:sz="4" w:space="0" w:color="000000"/>
              <w:bottom w:val="single" w:sz="4" w:space="0" w:color="000000"/>
            </w:tcBorders>
          </w:tcPr>
          <w:p>
            <w:pPr>
              <w:pStyle w:val="TableParagraph"/>
              <w:spacing w:before="78"/>
              <w:ind w:left="3" w:right="3"/>
              <w:jc w:val="center"/>
              <w:rPr>
                <w:sz w:val="20"/>
              </w:rPr>
            </w:pPr>
            <w:r>
              <w:rPr>
                <w:spacing w:val="-10"/>
                <w:sz w:val="20"/>
              </w:rPr>
              <w:t>5</w:t>
            </w:r>
          </w:p>
        </w:tc>
      </w:tr>
      <w:tr>
        <w:trPr>
          <w:trHeight w:val="371" w:hRule="atLeast"/>
        </w:trPr>
        <w:tc>
          <w:tcPr>
            <w:tcW w:w="1815" w:type="dxa"/>
            <w:vMerge/>
            <w:tcBorders>
              <w:top w:val="nil"/>
              <w:bottom w:val="single" w:sz="4" w:space="0" w:color="000000"/>
            </w:tcBorders>
          </w:tcPr>
          <w:p>
            <w:pPr>
              <w:rPr>
                <w:sz w:val="2"/>
                <w:szCs w:val="2"/>
              </w:rPr>
            </w:pPr>
          </w:p>
        </w:tc>
        <w:tc>
          <w:tcPr>
            <w:tcW w:w="5891" w:type="dxa"/>
            <w:tcBorders>
              <w:top w:val="single" w:sz="4" w:space="0" w:color="000000"/>
              <w:bottom w:val="single" w:sz="4" w:space="0" w:color="000000"/>
            </w:tcBorders>
            <w:shd w:val="clear" w:color="auto" w:fill="CCDBEA"/>
          </w:tcPr>
          <w:p>
            <w:pPr>
              <w:pStyle w:val="TableParagraph"/>
              <w:spacing w:before="81"/>
              <w:ind w:left="107"/>
              <w:rPr>
                <w:sz w:val="20"/>
              </w:rPr>
            </w:pPr>
            <w:r>
              <w:rPr>
                <w:sz w:val="20"/>
              </w:rPr>
              <w:t>Aerial</w:t>
            </w:r>
            <w:r>
              <w:rPr>
                <w:spacing w:val="-6"/>
                <w:sz w:val="20"/>
              </w:rPr>
              <w:t> </w:t>
            </w:r>
            <w:r>
              <w:rPr>
                <w:sz w:val="20"/>
              </w:rPr>
              <w:t>baiting</w:t>
            </w:r>
            <w:r>
              <w:rPr>
                <w:spacing w:val="-6"/>
                <w:sz w:val="20"/>
              </w:rPr>
              <w:t> </w:t>
            </w:r>
            <w:r>
              <w:rPr>
                <w:sz w:val="20"/>
              </w:rPr>
              <w:t>–</w:t>
            </w:r>
            <w:r>
              <w:rPr>
                <w:spacing w:val="-6"/>
                <w:sz w:val="20"/>
              </w:rPr>
              <w:t> </w:t>
            </w:r>
            <w:r>
              <w:rPr>
                <w:spacing w:val="-4"/>
                <w:sz w:val="20"/>
              </w:rPr>
              <w:t>1080</w:t>
            </w:r>
          </w:p>
        </w:tc>
        <w:tc>
          <w:tcPr>
            <w:tcW w:w="1407" w:type="dxa"/>
            <w:tcBorders>
              <w:top w:val="single" w:sz="4" w:space="0" w:color="000000"/>
              <w:bottom w:val="single" w:sz="4" w:space="0" w:color="000000"/>
            </w:tcBorders>
          </w:tcPr>
          <w:p>
            <w:pPr>
              <w:pStyle w:val="TableParagraph"/>
              <w:spacing w:before="81"/>
              <w:ind w:left="3" w:right="3"/>
              <w:jc w:val="center"/>
              <w:rPr>
                <w:sz w:val="20"/>
              </w:rPr>
            </w:pPr>
            <w:r>
              <w:rPr>
                <w:spacing w:val="-10"/>
                <w:sz w:val="20"/>
              </w:rPr>
              <w:t>8</w:t>
            </w:r>
          </w:p>
        </w:tc>
      </w:tr>
      <w:tr>
        <w:trPr>
          <w:trHeight w:val="369" w:hRule="atLeast"/>
        </w:trPr>
        <w:tc>
          <w:tcPr>
            <w:tcW w:w="1815" w:type="dxa"/>
            <w:vMerge/>
            <w:tcBorders>
              <w:top w:val="nil"/>
              <w:bottom w:val="single" w:sz="4" w:space="0" w:color="000000"/>
            </w:tcBorders>
          </w:tcPr>
          <w:p>
            <w:pPr>
              <w:rPr>
                <w:sz w:val="2"/>
                <w:szCs w:val="2"/>
              </w:rPr>
            </w:pPr>
          </w:p>
        </w:tc>
        <w:tc>
          <w:tcPr>
            <w:tcW w:w="5891" w:type="dxa"/>
            <w:tcBorders>
              <w:top w:val="single" w:sz="4" w:space="0" w:color="000000"/>
              <w:bottom w:val="single" w:sz="4" w:space="0" w:color="000000"/>
            </w:tcBorders>
            <w:shd w:val="clear" w:color="auto" w:fill="CCDBEA"/>
          </w:tcPr>
          <w:p>
            <w:pPr>
              <w:pStyle w:val="TableParagraph"/>
              <w:spacing w:before="78"/>
              <w:ind w:left="107"/>
              <w:rPr>
                <w:sz w:val="20"/>
              </w:rPr>
            </w:pPr>
            <w:r>
              <w:rPr>
                <w:spacing w:val="-2"/>
                <w:sz w:val="20"/>
              </w:rPr>
              <w:t>Shooting</w:t>
            </w:r>
          </w:p>
        </w:tc>
        <w:tc>
          <w:tcPr>
            <w:tcW w:w="1407" w:type="dxa"/>
            <w:tcBorders>
              <w:top w:val="single" w:sz="4" w:space="0" w:color="000000"/>
              <w:bottom w:val="single" w:sz="4" w:space="0" w:color="000000"/>
            </w:tcBorders>
          </w:tcPr>
          <w:p>
            <w:pPr>
              <w:pStyle w:val="TableParagraph"/>
              <w:spacing w:before="78"/>
              <w:ind w:left="3" w:right="3"/>
              <w:jc w:val="center"/>
              <w:rPr>
                <w:sz w:val="20"/>
              </w:rPr>
            </w:pPr>
            <w:r>
              <w:rPr>
                <w:spacing w:val="-10"/>
                <w:sz w:val="20"/>
              </w:rPr>
              <w:t>5</w:t>
            </w:r>
          </w:p>
        </w:tc>
      </w:tr>
      <w:tr>
        <w:trPr>
          <w:trHeight w:val="599" w:hRule="atLeast"/>
        </w:trPr>
        <w:tc>
          <w:tcPr>
            <w:tcW w:w="1815" w:type="dxa"/>
            <w:vMerge/>
            <w:tcBorders>
              <w:top w:val="nil"/>
              <w:bottom w:val="single" w:sz="4" w:space="0" w:color="000000"/>
            </w:tcBorders>
          </w:tcPr>
          <w:p>
            <w:pPr>
              <w:rPr>
                <w:sz w:val="2"/>
                <w:szCs w:val="2"/>
              </w:rPr>
            </w:pPr>
          </w:p>
        </w:tc>
        <w:tc>
          <w:tcPr>
            <w:tcW w:w="5891" w:type="dxa"/>
            <w:tcBorders>
              <w:top w:val="single" w:sz="4" w:space="0" w:color="000000"/>
              <w:bottom w:val="single" w:sz="4" w:space="0" w:color="000000"/>
            </w:tcBorders>
            <w:shd w:val="clear" w:color="auto" w:fill="CCDBEA"/>
          </w:tcPr>
          <w:p>
            <w:pPr>
              <w:pStyle w:val="TableParagraph"/>
              <w:spacing w:before="78"/>
              <w:ind w:left="107" w:right="173"/>
              <w:rPr>
                <w:sz w:val="20"/>
              </w:rPr>
            </w:pPr>
            <w:r>
              <w:rPr>
                <w:sz w:val="20"/>
              </w:rPr>
              <w:t>Guardian</w:t>
            </w:r>
            <w:r>
              <w:rPr>
                <w:spacing w:val="-7"/>
                <w:sz w:val="20"/>
              </w:rPr>
              <w:t> </w:t>
            </w:r>
            <w:r>
              <w:rPr>
                <w:sz w:val="20"/>
              </w:rPr>
              <w:t>animals</w:t>
            </w:r>
            <w:r>
              <w:rPr>
                <w:spacing w:val="-6"/>
                <w:sz w:val="20"/>
              </w:rPr>
              <w:t> </w:t>
            </w:r>
            <w:r>
              <w:rPr>
                <w:sz w:val="20"/>
              </w:rPr>
              <w:t>(Livestock</w:t>
            </w:r>
            <w:r>
              <w:rPr>
                <w:spacing w:val="-6"/>
                <w:sz w:val="20"/>
              </w:rPr>
              <w:t> </w:t>
            </w:r>
            <w:r>
              <w:rPr>
                <w:sz w:val="20"/>
              </w:rPr>
              <w:t>Guardian</w:t>
            </w:r>
            <w:r>
              <w:rPr>
                <w:spacing w:val="-6"/>
                <w:sz w:val="20"/>
              </w:rPr>
              <w:t> </w:t>
            </w:r>
            <w:r>
              <w:rPr>
                <w:sz w:val="20"/>
              </w:rPr>
              <w:t>Dog</w:t>
            </w:r>
            <w:r>
              <w:rPr>
                <w:spacing w:val="-7"/>
                <w:sz w:val="20"/>
              </w:rPr>
              <w:t> </w:t>
            </w:r>
            <w:r>
              <w:rPr>
                <w:sz w:val="20"/>
              </w:rPr>
              <w:t>(LGD),</w:t>
            </w:r>
            <w:r>
              <w:rPr>
                <w:spacing w:val="-7"/>
                <w:sz w:val="20"/>
              </w:rPr>
              <w:t> </w:t>
            </w:r>
            <w:r>
              <w:rPr>
                <w:sz w:val="20"/>
              </w:rPr>
              <w:t>Llama, Alpaca, Donkey)</w:t>
            </w:r>
          </w:p>
        </w:tc>
        <w:tc>
          <w:tcPr>
            <w:tcW w:w="1407" w:type="dxa"/>
            <w:tcBorders>
              <w:top w:val="single" w:sz="4" w:space="0" w:color="000000"/>
              <w:bottom w:val="single" w:sz="4" w:space="0" w:color="000000"/>
            </w:tcBorders>
          </w:tcPr>
          <w:p>
            <w:pPr>
              <w:pStyle w:val="TableParagraph"/>
              <w:spacing w:before="194"/>
              <w:ind w:right="3"/>
              <w:jc w:val="center"/>
              <w:rPr>
                <w:sz w:val="20"/>
              </w:rPr>
            </w:pPr>
            <w:r>
              <w:rPr>
                <w:spacing w:val="-5"/>
                <w:sz w:val="20"/>
              </w:rPr>
              <w:t>18</w:t>
            </w:r>
          </w:p>
        </w:tc>
      </w:tr>
      <w:tr>
        <w:trPr>
          <w:trHeight w:val="371" w:hRule="atLeast"/>
        </w:trPr>
        <w:tc>
          <w:tcPr>
            <w:tcW w:w="1815" w:type="dxa"/>
            <w:vMerge/>
            <w:tcBorders>
              <w:top w:val="nil"/>
              <w:bottom w:val="single" w:sz="4" w:space="0" w:color="000000"/>
            </w:tcBorders>
          </w:tcPr>
          <w:p>
            <w:pPr>
              <w:rPr>
                <w:sz w:val="2"/>
                <w:szCs w:val="2"/>
              </w:rPr>
            </w:pPr>
          </w:p>
        </w:tc>
        <w:tc>
          <w:tcPr>
            <w:tcW w:w="5891" w:type="dxa"/>
            <w:tcBorders>
              <w:top w:val="single" w:sz="4" w:space="0" w:color="000000"/>
              <w:bottom w:val="single" w:sz="4" w:space="0" w:color="000000"/>
            </w:tcBorders>
            <w:shd w:val="clear" w:color="auto" w:fill="CCDBEA"/>
          </w:tcPr>
          <w:p>
            <w:pPr>
              <w:pStyle w:val="TableParagraph"/>
              <w:spacing w:before="78"/>
              <w:ind w:left="107"/>
              <w:rPr>
                <w:sz w:val="20"/>
              </w:rPr>
            </w:pPr>
            <w:r>
              <w:rPr>
                <w:spacing w:val="-2"/>
                <w:sz w:val="20"/>
              </w:rPr>
              <w:t>Fencing</w:t>
            </w:r>
          </w:p>
        </w:tc>
        <w:tc>
          <w:tcPr>
            <w:tcW w:w="1407" w:type="dxa"/>
            <w:tcBorders>
              <w:top w:val="single" w:sz="4" w:space="0" w:color="000000"/>
              <w:bottom w:val="single" w:sz="4" w:space="0" w:color="000000"/>
            </w:tcBorders>
          </w:tcPr>
          <w:p>
            <w:pPr>
              <w:pStyle w:val="TableParagraph"/>
              <w:spacing w:before="78"/>
              <w:ind w:right="3"/>
              <w:jc w:val="center"/>
              <w:rPr>
                <w:sz w:val="20"/>
              </w:rPr>
            </w:pPr>
            <w:r>
              <w:rPr>
                <w:spacing w:val="-5"/>
                <w:sz w:val="20"/>
              </w:rPr>
              <w:t>23</w:t>
            </w:r>
          </w:p>
        </w:tc>
      </w:tr>
      <w:tr>
        <w:trPr>
          <w:trHeight w:val="369" w:hRule="atLeast"/>
        </w:trPr>
        <w:tc>
          <w:tcPr>
            <w:tcW w:w="1815" w:type="dxa"/>
            <w:vMerge/>
            <w:tcBorders>
              <w:top w:val="nil"/>
              <w:bottom w:val="single" w:sz="4" w:space="0" w:color="000000"/>
            </w:tcBorders>
          </w:tcPr>
          <w:p>
            <w:pPr>
              <w:rPr>
                <w:sz w:val="2"/>
                <w:szCs w:val="2"/>
              </w:rPr>
            </w:pPr>
          </w:p>
        </w:tc>
        <w:tc>
          <w:tcPr>
            <w:tcW w:w="5891" w:type="dxa"/>
            <w:tcBorders>
              <w:top w:val="single" w:sz="4" w:space="0" w:color="000000"/>
              <w:bottom w:val="single" w:sz="4" w:space="0" w:color="000000"/>
            </w:tcBorders>
            <w:shd w:val="clear" w:color="auto" w:fill="CCDBEA"/>
          </w:tcPr>
          <w:p>
            <w:pPr>
              <w:pStyle w:val="TableParagraph"/>
              <w:spacing w:before="79"/>
              <w:ind w:left="107"/>
              <w:rPr>
                <w:sz w:val="20"/>
              </w:rPr>
            </w:pPr>
            <w:r>
              <w:rPr>
                <w:spacing w:val="-2"/>
                <w:sz w:val="20"/>
              </w:rPr>
              <w:t>Trapping</w:t>
            </w:r>
          </w:p>
        </w:tc>
        <w:tc>
          <w:tcPr>
            <w:tcW w:w="1407" w:type="dxa"/>
            <w:tcBorders>
              <w:top w:val="single" w:sz="4" w:space="0" w:color="000000"/>
              <w:bottom w:val="single" w:sz="4" w:space="0" w:color="000000"/>
            </w:tcBorders>
          </w:tcPr>
          <w:p>
            <w:pPr>
              <w:pStyle w:val="TableParagraph"/>
              <w:spacing w:before="79"/>
              <w:ind w:right="3"/>
              <w:jc w:val="center"/>
              <w:rPr>
                <w:sz w:val="20"/>
              </w:rPr>
            </w:pPr>
            <w:r>
              <w:rPr>
                <w:spacing w:val="-5"/>
                <w:sz w:val="20"/>
              </w:rPr>
              <w:t>18</w:t>
            </w:r>
          </w:p>
        </w:tc>
      </w:tr>
      <w:tr>
        <w:trPr>
          <w:trHeight w:val="369" w:hRule="atLeast"/>
        </w:trPr>
        <w:tc>
          <w:tcPr>
            <w:tcW w:w="1815" w:type="dxa"/>
            <w:vMerge/>
            <w:tcBorders>
              <w:top w:val="nil"/>
              <w:bottom w:val="single" w:sz="4" w:space="0" w:color="000000"/>
            </w:tcBorders>
          </w:tcPr>
          <w:p>
            <w:pPr>
              <w:rPr>
                <w:sz w:val="2"/>
                <w:szCs w:val="2"/>
              </w:rPr>
            </w:pPr>
          </w:p>
        </w:tc>
        <w:tc>
          <w:tcPr>
            <w:tcW w:w="5891" w:type="dxa"/>
            <w:tcBorders>
              <w:top w:val="single" w:sz="4" w:space="0" w:color="000000"/>
              <w:bottom w:val="single" w:sz="4" w:space="0" w:color="000000"/>
            </w:tcBorders>
            <w:shd w:val="clear" w:color="auto" w:fill="CCDBEA"/>
          </w:tcPr>
          <w:p>
            <w:pPr>
              <w:pStyle w:val="TableParagraph"/>
              <w:spacing w:before="78"/>
              <w:ind w:left="107"/>
              <w:rPr>
                <w:sz w:val="20"/>
              </w:rPr>
            </w:pPr>
            <w:r>
              <w:rPr>
                <w:sz w:val="20"/>
              </w:rPr>
              <w:t>Canid</w:t>
            </w:r>
            <w:r>
              <w:rPr>
                <w:spacing w:val="-8"/>
                <w:sz w:val="20"/>
              </w:rPr>
              <w:t> </w:t>
            </w:r>
            <w:r>
              <w:rPr>
                <w:sz w:val="20"/>
              </w:rPr>
              <w:t>Pest</w:t>
            </w:r>
            <w:r>
              <w:rPr>
                <w:spacing w:val="-7"/>
                <w:sz w:val="20"/>
              </w:rPr>
              <w:t> </w:t>
            </w:r>
            <w:r>
              <w:rPr>
                <w:spacing w:val="-2"/>
                <w:sz w:val="20"/>
              </w:rPr>
              <w:t>Ejector</w:t>
            </w:r>
          </w:p>
        </w:tc>
        <w:tc>
          <w:tcPr>
            <w:tcW w:w="1407" w:type="dxa"/>
            <w:tcBorders>
              <w:top w:val="single" w:sz="4" w:space="0" w:color="000000"/>
              <w:bottom w:val="single" w:sz="4" w:space="0" w:color="000000"/>
            </w:tcBorders>
          </w:tcPr>
          <w:p>
            <w:pPr>
              <w:pStyle w:val="TableParagraph"/>
              <w:spacing w:before="78"/>
              <w:ind w:right="3"/>
              <w:jc w:val="center"/>
              <w:rPr>
                <w:sz w:val="20"/>
              </w:rPr>
            </w:pPr>
            <w:r>
              <w:rPr>
                <w:spacing w:val="-5"/>
                <w:sz w:val="20"/>
              </w:rPr>
              <w:t>10</w:t>
            </w:r>
          </w:p>
        </w:tc>
      </w:tr>
      <w:tr>
        <w:trPr>
          <w:trHeight w:val="371" w:hRule="atLeast"/>
        </w:trPr>
        <w:tc>
          <w:tcPr>
            <w:tcW w:w="1815" w:type="dxa"/>
            <w:vMerge/>
            <w:tcBorders>
              <w:top w:val="nil"/>
              <w:bottom w:val="single" w:sz="4" w:space="0" w:color="000000"/>
            </w:tcBorders>
          </w:tcPr>
          <w:p>
            <w:pPr>
              <w:rPr>
                <w:sz w:val="2"/>
                <w:szCs w:val="2"/>
              </w:rPr>
            </w:pPr>
          </w:p>
        </w:tc>
        <w:tc>
          <w:tcPr>
            <w:tcW w:w="5891" w:type="dxa"/>
            <w:tcBorders>
              <w:top w:val="single" w:sz="4" w:space="0" w:color="000000"/>
              <w:bottom w:val="single" w:sz="4" w:space="0" w:color="000000"/>
            </w:tcBorders>
            <w:shd w:val="clear" w:color="auto" w:fill="CCDBEA"/>
          </w:tcPr>
          <w:p>
            <w:pPr>
              <w:pStyle w:val="TableParagraph"/>
              <w:spacing w:before="78"/>
              <w:ind w:left="107"/>
              <w:rPr>
                <w:sz w:val="20"/>
              </w:rPr>
            </w:pPr>
            <w:r>
              <w:rPr>
                <w:sz w:val="20"/>
              </w:rPr>
              <w:t>Aversion</w:t>
            </w:r>
            <w:r>
              <w:rPr>
                <w:spacing w:val="-10"/>
                <w:sz w:val="20"/>
              </w:rPr>
              <w:t> </w:t>
            </w:r>
            <w:r>
              <w:rPr>
                <w:spacing w:val="-2"/>
                <w:sz w:val="20"/>
              </w:rPr>
              <w:t>devices</w:t>
            </w:r>
          </w:p>
        </w:tc>
        <w:tc>
          <w:tcPr>
            <w:tcW w:w="1407" w:type="dxa"/>
            <w:tcBorders>
              <w:top w:val="single" w:sz="4" w:space="0" w:color="000000"/>
              <w:bottom w:val="single" w:sz="4" w:space="0" w:color="000000"/>
            </w:tcBorders>
          </w:tcPr>
          <w:p>
            <w:pPr>
              <w:pStyle w:val="TableParagraph"/>
              <w:spacing w:before="78"/>
              <w:ind w:left="3" w:right="3"/>
              <w:jc w:val="center"/>
              <w:rPr>
                <w:sz w:val="20"/>
              </w:rPr>
            </w:pPr>
            <w:r>
              <w:rPr>
                <w:spacing w:val="-10"/>
                <w:sz w:val="20"/>
              </w:rPr>
              <w:t>8</w:t>
            </w:r>
          </w:p>
        </w:tc>
      </w:tr>
      <w:tr>
        <w:trPr>
          <w:trHeight w:val="599" w:hRule="atLeast"/>
        </w:trPr>
        <w:tc>
          <w:tcPr>
            <w:tcW w:w="1815" w:type="dxa"/>
            <w:tcBorders>
              <w:top w:val="single" w:sz="4" w:space="0" w:color="000000"/>
              <w:bottom w:val="single" w:sz="4" w:space="0" w:color="000000"/>
            </w:tcBorders>
          </w:tcPr>
          <w:p>
            <w:pPr>
              <w:pStyle w:val="TableParagraph"/>
              <w:spacing w:before="78"/>
              <w:ind w:left="122"/>
              <w:rPr>
                <w:sz w:val="20"/>
              </w:rPr>
            </w:pPr>
            <w:r>
              <w:rPr>
                <w:spacing w:val="-2"/>
                <w:sz w:val="20"/>
              </w:rPr>
              <w:t>Reviews</w:t>
            </w:r>
          </w:p>
        </w:tc>
        <w:tc>
          <w:tcPr>
            <w:tcW w:w="5891" w:type="dxa"/>
            <w:tcBorders>
              <w:top w:val="single" w:sz="4" w:space="0" w:color="000000"/>
              <w:bottom w:val="single" w:sz="4" w:space="0" w:color="000000"/>
            </w:tcBorders>
            <w:shd w:val="clear" w:color="auto" w:fill="CCDBEA"/>
          </w:tcPr>
          <w:p>
            <w:pPr>
              <w:pStyle w:val="TableParagraph"/>
              <w:spacing w:before="78"/>
              <w:ind w:left="107" w:right="173"/>
              <w:rPr>
                <w:sz w:val="20"/>
              </w:rPr>
            </w:pPr>
            <w:r>
              <w:rPr>
                <w:sz w:val="20"/>
              </w:rPr>
              <w:t>Reviews</w:t>
            </w:r>
            <w:r>
              <w:rPr>
                <w:spacing w:val="-5"/>
                <w:sz w:val="20"/>
              </w:rPr>
              <w:t> </w:t>
            </w:r>
            <w:r>
              <w:rPr>
                <w:sz w:val="20"/>
              </w:rPr>
              <w:t>of</w:t>
            </w:r>
            <w:r>
              <w:rPr>
                <w:spacing w:val="-5"/>
                <w:sz w:val="20"/>
              </w:rPr>
              <w:t> </w:t>
            </w:r>
            <w:r>
              <w:rPr>
                <w:sz w:val="20"/>
              </w:rPr>
              <w:t>the</w:t>
            </w:r>
            <w:r>
              <w:rPr>
                <w:spacing w:val="-6"/>
                <w:sz w:val="20"/>
              </w:rPr>
              <w:t> </w:t>
            </w:r>
            <w:r>
              <w:rPr>
                <w:sz w:val="20"/>
              </w:rPr>
              <w:t>use</w:t>
            </w:r>
            <w:r>
              <w:rPr>
                <w:spacing w:val="-4"/>
                <w:sz w:val="20"/>
              </w:rPr>
              <w:t> </w:t>
            </w:r>
            <w:r>
              <w:rPr>
                <w:sz w:val="20"/>
              </w:rPr>
              <w:t>of</w:t>
            </w:r>
            <w:r>
              <w:rPr>
                <w:spacing w:val="-5"/>
                <w:sz w:val="20"/>
              </w:rPr>
              <w:t> </w:t>
            </w:r>
            <w:r>
              <w:rPr>
                <w:sz w:val="20"/>
              </w:rPr>
              <w:t>pesticides</w:t>
            </w:r>
            <w:r>
              <w:rPr>
                <w:spacing w:val="-4"/>
                <w:sz w:val="20"/>
              </w:rPr>
              <w:t> </w:t>
            </w:r>
            <w:r>
              <w:rPr>
                <w:sz w:val="20"/>
              </w:rPr>
              <w:t>for</w:t>
            </w:r>
            <w:r>
              <w:rPr>
                <w:spacing w:val="-5"/>
                <w:sz w:val="20"/>
              </w:rPr>
              <w:t> </w:t>
            </w:r>
            <w:r>
              <w:rPr>
                <w:sz w:val="20"/>
              </w:rPr>
              <w:t>conservation</w:t>
            </w:r>
            <w:r>
              <w:rPr>
                <w:spacing w:val="-6"/>
                <w:sz w:val="20"/>
              </w:rPr>
              <w:t> </w:t>
            </w:r>
            <w:r>
              <w:rPr>
                <w:sz w:val="20"/>
              </w:rPr>
              <w:t>and</w:t>
            </w:r>
            <w:r>
              <w:rPr>
                <w:spacing w:val="-5"/>
                <w:sz w:val="20"/>
              </w:rPr>
              <w:t> </w:t>
            </w:r>
            <w:r>
              <w:rPr>
                <w:sz w:val="20"/>
              </w:rPr>
              <w:t>pest control in Australia</w:t>
            </w:r>
          </w:p>
        </w:tc>
        <w:tc>
          <w:tcPr>
            <w:tcW w:w="1407" w:type="dxa"/>
            <w:tcBorders>
              <w:top w:val="single" w:sz="4" w:space="0" w:color="000000"/>
              <w:bottom w:val="single" w:sz="4" w:space="0" w:color="000000"/>
            </w:tcBorders>
          </w:tcPr>
          <w:p>
            <w:pPr>
              <w:pStyle w:val="TableParagraph"/>
              <w:spacing w:before="194"/>
              <w:ind w:right="3"/>
              <w:jc w:val="center"/>
              <w:rPr>
                <w:sz w:val="20"/>
              </w:rPr>
            </w:pPr>
            <w:r>
              <w:rPr>
                <w:spacing w:val="-5"/>
                <w:sz w:val="20"/>
              </w:rPr>
              <w:t>21</w:t>
            </w:r>
          </w:p>
        </w:tc>
      </w:tr>
      <w:tr>
        <w:trPr>
          <w:trHeight w:val="830" w:hRule="atLeast"/>
        </w:trPr>
        <w:tc>
          <w:tcPr>
            <w:tcW w:w="1815" w:type="dxa"/>
            <w:tcBorders>
              <w:top w:val="single" w:sz="4" w:space="0" w:color="000000"/>
              <w:bottom w:val="single" w:sz="4" w:space="0" w:color="000000"/>
            </w:tcBorders>
          </w:tcPr>
          <w:p>
            <w:pPr>
              <w:pStyle w:val="TableParagraph"/>
              <w:spacing w:before="78"/>
              <w:ind w:left="122" w:right="211"/>
              <w:rPr>
                <w:sz w:val="20"/>
              </w:rPr>
            </w:pPr>
            <w:r>
              <w:rPr>
                <w:sz w:val="20"/>
              </w:rPr>
              <w:t>Social and </w:t>
            </w:r>
            <w:r>
              <w:rPr>
                <w:spacing w:val="-2"/>
                <w:sz w:val="20"/>
              </w:rPr>
              <w:t>cultural considerations</w:t>
            </w:r>
          </w:p>
        </w:tc>
        <w:tc>
          <w:tcPr>
            <w:tcW w:w="5891" w:type="dxa"/>
            <w:tcBorders>
              <w:top w:val="single" w:sz="4" w:space="0" w:color="000000"/>
              <w:bottom w:val="single" w:sz="4" w:space="0" w:color="000000"/>
            </w:tcBorders>
            <w:shd w:val="clear" w:color="auto" w:fill="CCDBEA"/>
          </w:tcPr>
          <w:p>
            <w:pPr>
              <w:pStyle w:val="TableParagraph"/>
              <w:spacing w:before="78"/>
              <w:ind w:left="107"/>
              <w:rPr>
                <w:sz w:val="20"/>
              </w:rPr>
            </w:pPr>
            <w:r>
              <w:rPr>
                <w:sz w:val="20"/>
              </w:rPr>
              <w:t>Papers</w:t>
            </w:r>
            <w:r>
              <w:rPr>
                <w:spacing w:val="-4"/>
                <w:sz w:val="20"/>
              </w:rPr>
              <w:t> </w:t>
            </w:r>
            <w:r>
              <w:rPr>
                <w:sz w:val="20"/>
              </w:rPr>
              <w:t>detailing</w:t>
            </w:r>
            <w:r>
              <w:rPr>
                <w:spacing w:val="-6"/>
                <w:sz w:val="20"/>
              </w:rPr>
              <w:t> </w:t>
            </w:r>
            <w:r>
              <w:rPr>
                <w:sz w:val="20"/>
              </w:rPr>
              <w:t>the</w:t>
            </w:r>
            <w:r>
              <w:rPr>
                <w:spacing w:val="-6"/>
                <w:sz w:val="20"/>
              </w:rPr>
              <w:t> </w:t>
            </w:r>
            <w:r>
              <w:rPr>
                <w:sz w:val="20"/>
              </w:rPr>
              <w:t>social</w:t>
            </w:r>
            <w:r>
              <w:rPr>
                <w:spacing w:val="-5"/>
                <w:sz w:val="20"/>
              </w:rPr>
              <w:t> </w:t>
            </w:r>
            <w:r>
              <w:rPr>
                <w:sz w:val="20"/>
              </w:rPr>
              <w:t>and</w:t>
            </w:r>
            <w:r>
              <w:rPr>
                <w:spacing w:val="-6"/>
                <w:sz w:val="20"/>
              </w:rPr>
              <w:t> </w:t>
            </w:r>
            <w:r>
              <w:rPr>
                <w:sz w:val="20"/>
              </w:rPr>
              <w:t>cultural</w:t>
            </w:r>
            <w:r>
              <w:rPr>
                <w:spacing w:val="-5"/>
                <w:sz w:val="20"/>
              </w:rPr>
              <w:t> </w:t>
            </w:r>
            <w:r>
              <w:rPr>
                <w:sz w:val="20"/>
              </w:rPr>
              <w:t>impact</w:t>
            </w:r>
            <w:r>
              <w:rPr>
                <w:spacing w:val="-6"/>
                <w:sz w:val="20"/>
              </w:rPr>
              <w:t> </w:t>
            </w:r>
            <w:r>
              <w:rPr>
                <w:sz w:val="20"/>
              </w:rPr>
              <w:t>of</w:t>
            </w:r>
            <w:r>
              <w:rPr>
                <w:spacing w:val="-4"/>
                <w:sz w:val="20"/>
              </w:rPr>
              <w:t> </w:t>
            </w:r>
            <w:r>
              <w:rPr>
                <w:sz w:val="20"/>
              </w:rPr>
              <w:t>pest</w:t>
            </w:r>
            <w:r>
              <w:rPr>
                <w:spacing w:val="-4"/>
                <w:sz w:val="20"/>
              </w:rPr>
              <w:t> </w:t>
            </w:r>
            <w:r>
              <w:rPr>
                <w:sz w:val="20"/>
              </w:rPr>
              <w:t>control</w:t>
            </w:r>
            <w:r>
              <w:rPr>
                <w:spacing w:val="-5"/>
                <w:sz w:val="20"/>
              </w:rPr>
              <w:t> </w:t>
            </w:r>
            <w:r>
              <w:rPr>
                <w:sz w:val="20"/>
              </w:rPr>
              <w:t>in </w:t>
            </w:r>
            <w:r>
              <w:rPr>
                <w:spacing w:val="-2"/>
                <w:sz w:val="20"/>
              </w:rPr>
              <w:t>Australia</w:t>
            </w:r>
          </w:p>
        </w:tc>
        <w:tc>
          <w:tcPr>
            <w:tcW w:w="1407" w:type="dxa"/>
            <w:tcBorders>
              <w:top w:val="single" w:sz="4" w:space="0" w:color="000000"/>
              <w:bottom w:val="single" w:sz="4" w:space="0" w:color="000000"/>
            </w:tcBorders>
          </w:tcPr>
          <w:p>
            <w:pPr>
              <w:pStyle w:val="TableParagraph"/>
              <w:spacing w:before="79"/>
              <w:rPr>
                <w:sz w:val="20"/>
              </w:rPr>
            </w:pPr>
          </w:p>
          <w:p>
            <w:pPr>
              <w:pStyle w:val="TableParagraph"/>
              <w:ind w:right="3"/>
              <w:jc w:val="center"/>
              <w:rPr>
                <w:sz w:val="20"/>
              </w:rPr>
            </w:pPr>
            <w:r>
              <w:rPr>
                <w:spacing w:val="-5"/>
                <w:sz w:val="20"/>
              </w:rPr>
              <w:t>17</w:t>
            </w:r>
          </w:p>
        </w:tc>
      </w:tr>
      <w:tr>
        <w:trPr>
          <w:trHeight w:val="599" w:hRule="atLeast"/>
        </w:trPr>
        <w:tc>
          <w:tcPr>
            <w:tcW w:w="1815" w:type="dxa"/>
            <w:tcBorders>
              <w:top w:val="single" w:sz="4" w:space="0" w:color="000000"/>
              <w:bottom w:val="single" w:sz="4" w:space="0" w:color="000000"/>
            </w:tcBorders>
          </w:tcPr>
          <w:p>
            <w:pPr>
              <w:pStyle w:val="TableParagraph"/>
              <w:spacing w:before="78"/>
              <w:ind w:left="122"/>
              <w:rPr>
                <w:sz w:val="20"/>
              </w:rPr>
            </w:pPr>
            <w:r>
              <w:rPr>
                <w:spacing w:val="-2"/>
                <w:sz w:val="20"/>
              </w:rPr>
              <w:t>Environmental impacts</w:t>
            </w:r>
          </w:p>
        </w:tc>
        <w:tc>
          <w:tcPr>
            <w:tcW w:w="5891" w:type="dxa"/>
            <w:tcBorders>
              <w:top w:val="single" w:sz="4" w:space="0" w:color="000000"/>
              <w:bottom w:val="single" w:sz="4" w:space="0" w:color="000000"/>
            </w:tcBorders>
            <w:shd w:val="clear" w:color="auto" w:fill="CCDBEA"/>
          </w:tcPr>
          <w:p>
            <w:pPr>
              <w:pStyle w:val="TableParagraph"/>
              <w:spacing w:before="78"/>
              <w:ind w:left="107" w:right="173"/>
              <w:rPr>
                <w:sz w:val="20"/>
              </w:rPr>
            </w:pPr>
            <w:r>
              <w:rPr>
                <w:sz w:val="20"/>
              </w:rPr>
              <w:t>Papers</w:t>
            </w:r>
            <w:r>
              <w:rPr>
                <w:spacing w:val="-4"/>
                <w:sz w:val="20"/>
              </w:rPr>
              <w:t> </w:t>
            </w:r>
            <w:r>
              <w:rPr>
                <w:sz w:val="20"/>
              </w:rPr>
              <w:t>describing</w:t>
            </w:r>
            <w:r>
              <w:rPr>
                <w:spacing w:val="-5"/>
                <w:sz w:val="20"/>
              </w:rPr>
              <w:t> </w:t>
            </w:r>
            <w:r>
              <w:rPr>
                <w:sz w:val="20"/>
              </w:rPr>
              <w:t>effects</w:t>
            </w:r>
            <w:r>
              <w:rPr>
                <w:spacing w:val="-5"/>
                <w:sz w:val="20"/>
              </w:rPr>
              <w:t> </w:t>
            </w:r>
            <w:r>
              <w:rPr>
                <w:sz w:val="20"/>
              </w:rPr>
              <w:t>of</w:t>
            </w:r>
            <w:r>
              <w:rPr>
                <w:spacing w:val="-5"/>
                <w:sz w:val="20"/>
              </w:rPr>
              <w:t> </w:t>
            </w:r>
            <w:r>
              <w:rPr>
                <w:sz w:val="20"/>
              </w:rPr>
              <w:t>a</w:t>
            </w:r>
            <w:r>
              <w:rPr>
                <w:spacing w:val="-6"/>
                <w:sz w:val="20"/>
              </w:rPr>
              <w:t> </w:t>
            </w:r>
            <w:r>
              <w:rPr>
                <w:sz w:val="20"/>
              </w:rPr>
              <w:t>control</w:t>
            </w:r>
            <w:r>
              <w:rPr>
                <w:spacing w:val="-5"/>
                <w:sz w:val="20"/>
              </w:rPr>
              <w:t> </w:t>
            </w:r>
            <w:r>
              <w:rPr>
                <w:sz w:val="20"/>
              </w:rPr>
              <w:t>method,</w:t>
            </w:r>
            <w:r>
              <w:rPr>
                <w:spacing w:val="-4"/>
                <w:sz w:val="20"/>
              </w:rPr>
              <w:t> </w:t>
            </w:r>
            <w:r>
              <w:rPr>
                <w:sz w:val="20"/>
              </w:rPr>
              <w:t>or</w:t>
            </w:r>
            <w:r>
              <w:rPr>
                <w:spacing w:val="-5"/>
                <w:sz w:val="20"/>
              </w:rPr>
              <w:t> </w:t>
            </w:r>
            <w:r>
              <w:rPr>
                <w:sz w:val="20"/>
              </w:rPr>
              <w:t>fate</w:t>
            </w:r>
            <w:r>
              <w:rPr>
                <w:spacing w:val="-5"/>
                <w:sz w:val="20"/>
              </w:rPr>
              <w:t> </w:t>
            </w:r>
            <w:r>
              <w:rPr>
                <w:sz w:val="20"/>
              </w:rPr>
              <w:t>of</w:t>
            </w:r>
            <w:r>
              <w:rPr>
                <w:spacing w:val="-5"/>
                <w:sz w:val="20"/>
              </w:rPr>
              <w:t> </w:t>
            </w:r>
            <w:r>
              <w:rPr>
                <w:sz w:val="20"/>
              </w:rPr>
              <w:t>an active pesticide, in natural environments (water, soil, air)</w:t>
            </w:r>
          </w:p>
        </w:tc>
        <w:tc>
          <w:tcPr>
            <w:tcW w:w="1407" w:type="dxa"/>
            <w:tcBorders>
              <w:top w:val="single" w:sz="4" w:space="0" w:color="000000"/>
              <w:bottom w:val="single" w:sz="4" w:space="0" w:color="000000"/>
            </w:tcBorders>
          </w:tcPr>
          <w:p>
            <w:pPr>
              <w:pStyle w:val="TableParagraph"/>
              <w:spacing w:before="194"/>
              <w:ind w:right="3"/>
              <w:jc w:val="center"/>
              <w:rPr>
                <w:sz w:val="20"/>
              </w:rPr>
            </w:pPr>
            <w:r>
              <w:rPr>
                <w:spacing w:val="-5"/>
                <w:sz w:val="20"/>
              </w:rPr>
              <w:t>26</w:t>
            </w:r>
          </w:p>
        </w:tc>
      </w:tr>
      <w:tr>
        <w:trPr>
          <w:trHeight w:val="369" w:hRule="atLeast"/>
        </w:trPr>
        <w:tc>
          <w:tcPr>
            <w:tcW w:w="1815" w:type="dxa"/>
            <w:tcBorders>
              <w:top w:val="single" w:sz="4" w:space="0" w:color="000000"/>
              <w:bottom w:val="single" w:sz="4" w:space="0" w:color="000000"/>
            </w:tcBorders>
          </w:tcPr>
          <w:p>
            <w:pPr>
              <w:pStyle w:val="TableParagraph"/>
              <w:spacing w:before="78"/>
              <w:ind w:left="122"/>
              <w:rPr>
                <w:sz w:val="20"/>
              </w:rPr>
            </w:pPr>
            <w:r>
              <w:rPr>
                <w:spacing w:val="-2"/>
                <w:sz w:val="20"/>
              </w:rPr>
              <w:t>Humaneness</w:t>
            </w:r>
          </w:p>
        </w:tc>
        <w:tc>
          <w:tcPr>
            <w:tcW w:w="5891" w:type="dxa"/>
            <w:tcBorders>
              <w:top w:val="single" w:sz="4" w:space="0" w:color="000000"/>
              <w:bottom w:val="single" w:sz="4" w:space="0" w:color="000000"/>
            </w:tcBorders>
            <w:shd w:val="clear" w:color="auto" w:fill="CCDBEA"/>
          </w:tcPr>
          <w:p>
            <w:pPr>
              <w:pStyle w:val="TableParagraph"/>
              <w:spacing w:before="78"/>
              <w:ind w:left="107"/>
              <w:rPr>
                <w:sz w:val="20"/>
              </w:rPr>
            </w:pPr>
            <w:r>
              <w:rPr>
                <w:sz w:val="20"/>
              </w:rPr>
              <w:t>Across</w:t>
            </w:r>
            <w:r>
              <w:rPr>
                <w:spacing w:val="-7"/>
                <w:sz w:val="20"/>
              </w:rPr>
              <w:t> </w:t>
            </w:r>
            <w:r>
              <w:rPr>
                <w:sz w:val="20"/>
              </w:rPr>
              <w:t>all</w:t>
            </w:r>
            <w:r>
              <w:rPr>
                <w:spacing w:val="-6"/>
                <w:sz w:val="20"/>
              </w:rPr>
              <w:t> </w:t>
            </w:r>
            <w:r>
              <w:rPr>
                <w:sz w:val="20"/>
              </w:rPr>
              <w:t>four</w:t>
            </w:r>
            <w:r>
              <w:rPr>
                <w:spacing w:val="-7"/>
                <w:sz w:val="20"/>
              </w:rPr>
              <w:t> </w:t>
            </w:r>
            <w:r>
              <w:rPr>
                <w:sz w:val="20"/>
              </w:rPr>
              <w:t>pest</w:t>
            </w:r>
            <w:r>
              <w:rPr>
                <w:spacing w:val="-7"/>
                <w:sz w:val="20"/>
              </w:rPr>
              <w:t> </w:t>
            </w:r>
            <w:r>
              <w:rPr>
                <w:sz w:val="20"/>
              </w:rPr>
              <w:t>species</w:t>
            </w:r>
            <w:r>
              <w:rPr>
                <w:spacing w:val="-6"/>
                <w:sz w:val="20"/>
              </w:rPr>
              <w:t> </w:t>
            </w:r>
            <w:r>
              <w:rPr>
                <w:sz w:val="20"/>
              </w:rPr>
              <w:t>and</w:t>
            </w:r>
            <w:r>
              <w:rPr>
                <w:spacing w:val="-6"/>
                <w:sz w:val="20"/>
              </w:rPr>
              <w:t> </w:t>
            </w:r>
            <w:r>
              <w:rPr>
                <w:sz w:val="20"/>
              </w:rPr>
              <w:t>general</w:t>
            </w:r>
            <w:r>
              <w:rPr>
                <w:spacing w:val="-5"/>
                <w:sz w:val="20"/>
              </w:rPr>
              <w:t> </w:t>
            </w:r>
            <w:r>
              <w:rPr>
                <w:sz w:val="20"/>
              </w:rPr>
              <w:t>ethical</w:t>
            </w:r>
            <w:r>
              <w:rPr>
                <w:spacing w:val="-6"/>
                <w:sz w:val="20"/>
              </w:rPr>
              <w:t> </w:t>
            </w:r>
            <w:r>
              <w:rPr>
                <w:spacing w:val="-2"/>
                <w:sz w:val="20"/>
              </w:rPr>
              <w:t>considerations</w:t>
            </w:r>
          </w:p>
        </w:tc>
        <w:tc>
          <w:tcPr>
            <w:tcW w:w="1407" w:type="dxa"/>
            <w:tcBorders>
              <w:top w:val="single" w:sz="4" w:space="0" w:color="000000"/>
              <w:bottom w:val="single" w:sz="4" w:space="0" w:color="000000"/>
            </w:tcBorders>
          </w:tcPr>
          <w:p>
            <w:pPr>
              <w:pStyle w:val="TableParagraph"/>
              <w:spacing w:before="78"/>
              <w:ind w:right="3"/>
              <w:jc w:val="center"/>
              <w:rPr>
                <w:sz w:val="20"/>
              </w:rPr>
            </w:pPr>
            <w:r>
              <w:rPr>
                <w:spacing w:val="-5"/>
                <w:sz w:val="20"/>
              </w:rPr>
              <w:t>38</w:t>
            </w:r>
          </w:p>
        </w:tc>
      </w:tr>
      <w:tr>
        <w:trPr>
          <w:trHeight w:val="600" w:hRule="atLeast"/>
        </w:trPr>
        <w:tc>
          <w:tcPr>
            <w:tcW w:w="1815" w:type="dxa"/>
            <w:tcBorders>
              <w:top w:val="single" w:sz="4" w:space="0" w:color="000000"/>
              <w:bottom w:val="single" w:sz="4" w:space="0" w:color="000000"/>
            </w:tcBorders>
          </w:tcPr>
          <w:p>
            <w:pPr>
              <w:pStyle w:val="TableParagraph"/>
              <w:spacing w:before="79"/>
              <w:ind w:left="122"/>
              <w:rPr>
                <w:sz w:val="20"/>
              </w:rPr>
            </w:pPr>
            <w:r>
              <w:rPr>
                <w:spacing w:val="-2"/>
                <w:sz w:val="20"/>
              </w:rPr>
              <w:t>Non-lethal</w:t>
            </w:r>
            <w:r>
              <w:rPr>
                <w:spacing w:val="4"/>
                <w:sz w:val="20"/>
              </w:rPr>
              <w:t> </w:t>
            </w:r>
            <w:r>
              <w:rPr>
                <w:spacing w:val="-2"/>
                <w:sz w:val="20"/>
              </w:rPr>
              <w:t>control</w:t>
            </w:r>
          </w:p>
        </w:tc>
        <w:tc>
          <w:tcPr>
            <w:tcW w:w="5891" w:type="dxa"/>
            <w:tcBorders>
              <w:top w:val="single" w:sz="4" w:space="0" w:color="000000"/>
              <w:bottom w:val="single" w:sz="4" w:space="0" w:color="000000"/>
            </w:tcBorders>
            <w:shd w:val="clear" w:color="auto" w:fill="CCDBEA"/>
          </w:tcPr>
          <w:p>
            <w:pPr>
              <w:pStyle w:val="TableParagraph"/>
              <w:spacing w:before="79"/>
              <w:ind w:left="107"/>
              <w:rPr>
                <w:sz w:val="20"/>
              </w:rPr>
            </w:pPr>
            <w:r>
              <w:rPr>
                <w:sz w:val="20"/>
              </w:rPr>
              <w:t>Publications</w:t>
            </w:r>
            <w:r>
              <w:rPr>
                <w:spacing w:val="-6"/>
                <w:sz w:val="20"/>
              </w:rPr>
              <w:t> </w:t>
            </w:r>
            <w:r>
              <w:rPr>
                <w:sz w:val="20"/>
              </w:rPr>
              <w:t>reviewing</w:t>
            </w:r>
            <w:r>
              <w:rPr>
                <w:spacing w:val="-7"/>
                <w:sz w:val="20"/>
              </w:rPr>
              <w:t> </w:t>
            </w:r>
            <w:r>
              <w:rPr>
                <w:sz w:val="20"/>
              </w:rPr>
              <w:t>or</w:t>
            </w:r>
            <w:r>
              <w:rPr>
                <w:spacing w:val="-6"/>
                <w:sz w:val="20"/>
              </w:rPr>
              <w:t> </w:t>
            </w:r>
            <w:r>
              <w:rPr>
                <w:sz w:val="20"/>
              </w:rPr>
              <w:t>reporting</w:t>
            </w:r>
            <w:r>
              <w:rPr>
                <w:spacing w:val="-7"/>
                <w:sz w:val="20"/>
              </w:rPr>
              <w:t> </w:t>
            </w:r>
            <w:r>
              <w:rPr>
                <w:sz w:val="20"/>
              </w:rPr>
              <w:t>general</w:t>
            </w:r>
            <w:r>
              <w:rPr>
                <w:spacing w:val="-8"/>
                <w:sz w:val="20"/>
              </w:rPr>
              <w:t> </w:t>
            </w:r>
            <w:r>
              <w:rPr>
                <w:sz w:val="20"/>
              </w:rPr>
              <w:t>non-lethal</w:t>
            </w:r>
            <w:r>
              <w:rPr>
                <w:spacing w:val="-8"/>
                <w:sz w:val="20"/>
              </w:rPr>
              <w:t> </w:t>
            </w:r>
            <w:r>
              <w:rPr>
                <w:sz w:val="20"/>
              </w:rPr>
              <w:t>control approaches but not quantifying outcomes</w:t>
            </w:r>
          </w:p>
        </w:tc>
        <w:tc>
          <w:tcPr>
            <w:tcW w:w="1407" w:type="dxa"/>
            <w:tcBorders>
              <w:top w:val="single" w:sz="4" w:space="0" w:color="000000"/>
              <w:bottom w:val="single" w:sz="4" w:space="0" w:color="000000"/>
            </w:tcBorders>
          </w:tcPr>
          <w:p>
            <w:pPr>
              <w:pStyle w:val="TableParagraph"/>
              <w:spacing w:before="194"/>
              <w:ind w:right="3"/>
              <w:jc w:val="center"/>
              <w:rPr>
                <w:sz w:val="20"/>
              </w:rPr>
            </w:pPr>
            <w:r>
              <w:rPr>
                <w:spacing w:val="-5"/>
                <w:sz w:val="20"/>
              </w:rPr>
              <w:t>36</w:t>
            </w:r>
          </w:p>
        </w:tc>
      </w:tr>
      <w:tr>
        <w:trPr>
          <w:trHeight w:val="599" w:hRule="atLeast"/>
        </w:trPr>
        <w:tc>
          <w:tcPr>
            <w:tcW w:w="1815" w:type="dxa"/>
            <w:tcBorders>
              <w:top w:val="single" w:sz="4" w:space="0" w:color="000000"/>
              <w:bottom w:val="single" w:sz="4" w:space="0" w:color="000000"/>
            </w:tcBorders>
          </w:tcPr>
          <w:p>
            <w:pPr>
              <w:pStyle w:val="TableParagraph"/>
              <w:spacing w:line="242" w:lineRule="auto" w:before="78"/>
              <w:ind w:left="122" w:right="211"/>
              <w:rPr>
                <w:sz w:val="20"/>
              </w:rPr>
            </w:pPr>
            <w:r>
              <w:rPr>
                <w:spacing w:val="-2"/>
                <w:sz w:val="20"/>
              </w:rPr>
              <w:t>Non-target impact</w:t>
            </w:r>
          </w:p>
        </w:tc>
        <w:tc>
          <w:tcPr>
            <w:tcW w:w="5891" w:type="dxa"/>
            <w:tcBorders>
              <w:top w:val="single" w:sz="4" w:space="0" w:color="000000"/>
              <w:bottom w:val="single" w:sz="4" w:space="0" w:color="000000"/>
            </w:tcBorders>
            <w:shd w:val="clear" w:color="auto" w:fill="CCDBEA"/>
          </w:tcPr>
          <w:p>
            <w:pPr>
              <w:pStyle w:val="TableParagraph"/>
              <w:spacing w:before="78"/>
              <w:ind w:left="107"/>
              <w:rPr>
                <w:sz w:val="20"/>
              </w:rPr>
            </w:pPr>
            <w:r>
              <w:rPr>
                <w:sz w:val="20"/>
              </w:rPr>
              <w:t>Clinical</w:t>
            </w:r>
            <w:r>
              <w:rPr>
                <w:spacing w:val="-9"/>
                <w:sz w:val="20"/>
              </w:rPr>
              <w:t> </w:t>
            </w:r>
            <w:r>
              <w:rPr>
                <w:sz w:val="20"/>
              </w:rPr>
              <w:t>or</w:t>
            </w:r>
            <w:r>
              <w:rPr>
                <w:spacing w:val="-6"/>
                <w:sz w:val="20"/>
              </w:rPr>
              <w:t> </w:t>
            </w:r>
            <w:r>
              <w:rPr>
                <w:sz w:val="20"/>
              </w:rPr>
              <w:t>laboratory</w:t>
            </w:r>
            <w:r>
              <w:rPr>
                <w:spacing w:val="-6"/>
                <w:sz w:val="20"/>
              </w:rPr>
              <w:t> </w:t>
            </w:r>
            <w:r>
              <w:rPr>
                <w:sz w:val="20"/>
              </w:rPr>
              <w:t>trials,</w:t>
            </w:r>
            <w:r>
              <w:rPr>
                <w:spacing w:val="-6"/>
                <w:sz w:val="20"/>
              </w:rPr>
              <w:t> </w:t>
            </w:r>
            <w:r>
              <w:rPr>
                <w:sz w:val="20"/>
              </w:rPr>
              <w:t>field</w:t>
            </w:r>
            <w:r>
              <w:rPr>
                <w:spacing w:val="-8"/>
                <w:sz w:val="20"/>
              </w:rPr>
              <w:t> </w:t>
            </w:r>
            <w:r>
              <w:rPr>
                <w:sz w:val="20"/>
              </w:rPr>
              <w:t>assessments,</w:t>
            </w:r>
            <w:r>
              <w:rPr>
                <w:spacing w:val="-8"/>
                <w:sz w:val="20"/>
              </w:rPr>
              <w:t> </w:t>
            </w:r>
            <w:r>
              <w:rPr>
                <w:spacing w:val="-2"/>
                <w:sz w:val="20"/>
              </w:rPr>
              <w:t>reviews</w:t>
            </w:r>
          </w:p>
        </w:tc>
        <w:tc>
          <w:tcPr>
            <w:tcW w:w="1407" w:type="dxa"/>
            <w:tcBorders>
              <w:top w:val="single" w:sz="4" w:space="0" w:color="000000"/>
              <w:bottom w:val="single" w:sz="4" w:space="0" w:color="000000"/>
            </w:tcBorders>
          </w:tcPr>
          <w:p>
            <w:pPr>
              <w:pStyle w:val="TableParagraph"/>
              <w:spacing w:before="194"/>
              <w:ind w:right="3"/>
              <w:jc w:val="center"/>
              <w:rPr>
                <w:sz w:val="20"/>
              </w:rPr>
            </w:pPr>
            <w:r>
              <w:rPr>
                <w:spacing w:val="-5"/>
                <w:sz w:val="20"/>
              </w:rPr>
              <w:t>78</w:t>
            </w:r>
          </w:p>
        </w:tc>
      </w:tr>
      <w:tr>
        <w:trPr>
          <w:trHeight w:val="371" w:hRule="atLeast"/>
        </w:trPr>
        <w:tc>
          <w:tcPr>
            <w:tcW w:w="1815" w:type="dxa"/>
            <w:tcBorders>
              <w:top w:val="single" w:sz="4" w:space="0" w:color="000000"/>
              <w:bottom w:val="single" w:sz="4" w:space="0" w:color="000000"/>
            </w:tcBorders>
          </w:tcPr>
          <w:p>
            <w:pPr>
              <w:pStyle w:val="TableParagraph"/>
              <w:spacing w:before="81"/>
              <w:ind w:left="122"/>
              <w:rPr>
                <w:sz w:val="20"/>
              </w:rPr>
            </w:pPr>
            <w:r>
              <w:rPr>
                <w:spacing w:val="-2"/>
                <w:sz w:val="20"/>
              </w:rPr>
              <w:t>Biomarking</w:t>
            </w:r>
          </w:p>
        </w:tc>
        <w:tc>
          <w:tcPr>
            <w:tcW w:w="5891" w:type="dxa"/>
            <w:tcBorders>
              <w:top w:val="single" w:sz="4" w:space="0" w:color="000000"/>
              <w:bottom w:val="single" w:sz="4" w:space="0" w:color="000000"/>
            </w:tcBorders>
            <w:shd w:val="clear" w:color="auto" w:fill="CCDBEA"/>
          </w:tcPr>
          <w:p>
            <w:pPr>
              <w:pStyle w:val="TableParagraph"/>
              <w:spacing w:before="81"/>
              <w:ind w:left="107"/>
              <w:rPr>
                <w:sz w:val="20"/>
              </w:rPr>
            </w:pPr>
            <w:r>
              <w:rPr>
                <w:sz w:val="20"/>
              </w:rPr>
              <w:t>Use</w:t>
            </w:r>
            <w:r>
              <w:rPr>
                <w:spacing w:val="-7"/>
                <w:sz w:val="20"/>
              </w:rPr>
              <w:t> </w:t>
            </w:r>
            <w:r>
              <w:rPr>
                <w:sz w:val="20"/>
              </w:rPr>
              <w:t>of</w:t>
            </w:r>
            <w:r>
              <w:rPr>
                <w:spacing w:val="-6"/>
                <w:sz w:val="20"/>
              </w:rPr>
              <w:t> </w:t>
            </w:r>
            <w:r>
              <w:rPr>
                <w:sz w:val="20"/>
              </w:rPr>
              <w:t>chemicals</w:t>
            </w:r>
            <w:r>
              <w:rPr>
                <w:spacing w:val="-5"/>
                <w:sz w:val="20"/>
              </w:rPr>
              <w:t> </w:t>
            </w:r>
            <w:r>
              <w:rPr>
                <w:sz w:val="20"/>
              </w:rPr>
              <w:t>to</w:t>
            </w:r>
            <w:r>
              <w:rPr>
                <w:spacing w:val="-6"/>
                <w:sz w:val="20"/>
              </w:rPr>
              <w:t> </w:t>
            </w:r>
            <w:r>
              <w:rPr>
                <w:sz w:val="20"/>
              </w:rPr>
              <w:t>deter</w:t>
            </w:r>
            <w:r>
              <w:rPr>
                <w:spacing w:val="-6"/>
                <w:sz w:val="20"/>
              </w:rPr>
              <w:t> </w:t>
            </w:r>
            <w:r>
              <w:rPr>
                <w:sz w:val="20"/>
              </w:rPr>
              <w:t>or</w:t>
            </w:r>
            <w:r>
              <w:rPr>
                <w:spacing w:val="-5"/>
                <w:sz w:val="20"/>
              </w:rPr>
              <w:t> </w:t>
            </w:r>
            <w:r>
              <w:rPr>
                <w:sz w:val="20"/>
              </w:rPr>
              <w:t>change</w:t>
            </w:r>
            <w:r>
              <w:rPr>
                <w:spacing w:val="-5"/>
                <w:sz w:val="20"/>
              </w:rPr>
              <w:t> </w:t>
            </w:r>
            <w:r>
              <w:rPr>
                <w:sz w:val="20"/>
              </w:rPr>
              <w:t>animal</w:t>
            </w:r>
            <w:r>
              <w:rPr>
                <w:spacing w:val="-7"/>
                <w:sz w:val="20"/>
              </w:rPr>
              <w:t> </w:t>
            </w:r>
            <w:r>
              <w:rPr>
                <w:spacing w:val="-2"/>
                <w:sz w:val="20"/>
              </w:rPr>
              <w:t>behaviour</w:t>
            </w:r>
          </w:p>
        </w:tc>
        <w:tc>
          <w:tcPr>
            <w:tcW w:w="1407" w:type="dxa"/>
            <w:tcBorders>
              <w:top w:val="single" w:sz="4" w:space="0" w:color="000000"/>
              <w:bottom w:val="single" w:sz="4" w:space="0" w:color="000000"/>
            </w:tcBorders>
          </w:tcPr>
          <w:p>
            <w:pPr>
              <w:pStyle w:val="TableParagraph"/>
              <w:spacing w:before="81"/>
              <w:ind w:left="3" w:right="3"/>
              <w:jc w:val="center"/>
              <w:rPr>
                <w:sz w:val="20"/>
              </w:rPr>
            </w:pPr>
            <w:r>
              <w:rPr>
                <w:spacing w:val="-10"/>
                <w:sz w:val="20"/>
              </w:rPr>
              <w:t>6</w:t>
            </w:r>
          </w:p>
        </w:tc>
      </w:tr>
      <w:tr>
        <w:trPr>
          <w:trHeight w:val="830" w:hRule="atLeast"/>
        </w:trPr>
        <w:tc>
          <w:tcPr>
            <w:tcW w:w="1815" w:type="dxa"/>
            <w:tcBorders>
              <w:top w:val="single" w:sz="4" w:space="0" w:color="000000"/>
              <w:bottom w:val="single" w:sz="4" w:space="0" w:color="000000"/>
            </w:tcBorders>
          </w:tcPr>
          <w:p>
            <w:pPr>
              <w:pStyle w:val="TableParagraph"/>
              <w:spacing w:before="78"/>
              <w:ind w:left="122" w:right="446"/>
              <w:jc w:val="both"/>
              <w:rPr>
                <w:sz w:val="20"/>
              </w:rPr>
            </w:pPr>
            <w:r>
              <w:rPr>
                <w:spacing w:val="-2"/>
                <w:sz w:val="20"/>
              </w:rPr>
              <w:t>Cost-effective </w:t>
            </w:r>
            <w:r>
              <w:rPr>
                <w:sz w:val="20"/>
              </w:rPr>
              <w:t>modelling</w:t>
            </w:r>
            <w:r>
              <w:rPr>
                <w:spacing w:val="-14"/>
                <w:sz w:val="20"/>
              </w:rPr>
              <w:t> </w:t>
            </w:r>
            <w:r>
              <w:rPr>
                <w:sz w:val="20"/>
              </w:rPr>
              <w:t>and </w:t>
            </w:r>
            <w:r>
              <w:rPr>
                <w:spacing w:val="-2"/>
                <w:sz w:val="20"/>
              </w:rPr>
              <w:t>assessment</w:t>
            </w:r>
          </w:p>
        </w:tc>
        <w:tc>
          <w:tcPr>
            <w:tcW w:w="5891" w:type="dxa"/>
            <w:tcBorders>
              <w:top w:val="single" w:sz="4" w:space="0" w:color="000000"/>
              <w:bottom w:val="single" w:sz="4" w:space="0" w:color="000000"/>
            </w:tcBorders>
            <w:shd w:val="clear" w:color="auto" w:fill="CCDBEA"/>
          </w:tcPr>
          <w:p>
            <w:pPr>
              <w:pStyle w:val="TableParagraph"/>
              <w:spacing w:before="78"/>
              <w:ind w:left="107" w:right="173"/>
              <w:rPr>
                <w:sz w:val="20"/>
              </w:rPr>
            </w:pPr>
            <w:r>
              <w:rPr>
                <w:sz w:val="20"/>
              </w:rPr>
              <w:t>Papers related to pest animals in Australia and where appropriate</w:t>
            </w:r>
            <w:r>
              <w:rPr>
                <w:spacing w:val="-7"/>
                <w:sz w:val="20"/>
              </w:rPr>
              <w:t> </w:t>
            </w:r>
            <w:r>
              <w:rPr>
                <w:sz w:val="20"/>
              </w:rPr>
              <w:t>papers</w:t>
            </w:r>
            <w:r>
              <w:rPr>
                <w:spacing w:val="-6"/>
                <w:sz w:val="20"/>
              </w:rPr>
              <w:t> </w:t>
            </w:r>
            <w:r>
              <w:rPr>
                <w:sz w:val="20"/>
              </w:rPr>
              <w:t>that</w:t>
            </w:r>
            <w:r>
              <w:rPr>
                <w:spacing w:val="-7"/>
                <w:sz w:val="20"/>
              </w:rPr>
              <w:t> </w:t>
            </w:r>
            <w:r>
              <w:rPr>
                <w:sz w:val="20"/>
              </w:rPr>
              <w:t>have</w:t>
            </w:r>
            <w:r>
              <w:rPr>
                <w:spacing w:val="-7"/>
                <w:sz w:val="20"/>
              </w:rPr>
              <w:t> </w:t>
            </w:r>
            <w:r>
              <w:rPr>
                <w:sz w:val="20"/>
              </w:rPr>
              <w:t>modelled</w:t>
            </w:r>
            <w:r>
              <w:rPr>
                <w:spacing w:val="-7"/>
                <w:sz w:val="20"/>
              </w:rPr>
              <w:t> </w:t>
            </w:r>
            <w:r>
              <w:rPr>
                <w:sz w:val="20"/>
              </w:rPr>
              <w:t>cost-effectiveness</w:t>
            </w:r>
            <w:r>
              <w:rPr>
                <w:spacing w:val="-6"/>
                <w:sz w:val="20"/>
              </w:rPr>
              <w:t> </w:t>
            </w:r>
            <w:r>
              <w:rPr>
                <w:sz w:val="20"/>
              </w:rPr>
              <w:t>in pest animal operations</w:t>
            </w:r>
          </w:p>
        </w:tc>
        <w:tc>
          <w:tcPr>
            <w:tcW w:w="1407" w:type="dxa"/>
            <w:tcBorders>
              <w:top w:val="single" w:sz="4" w:space="0" w:color="000000"/>
              <w:bottom w:val="single" w:sz="4" w:space="0" w:color="000000"/>
            </w:tcBorders>
          </w:tcPr>
          <w:p>
            <w:pPr>
              <w:pStyle w:val="TableParagraph"/>
              <w:spacing w:before="79"/>
              <w:rPr>
                <w:sz w:val="20"/>
              </w:rPr>
            </w:pPr>
          </w:p>
          <w:p>
            <w:pPr>
              <w:pStyle w:val="TableParagraph"/>
              <w:ind w:right="3"/>
              <w:jc w:val="center"/>
              <w:rPr>
                <w:sz w:val="20"/>
              </w:rPr>
            </w:pPr>
            <w:r>
              <w:rPr>
                <w:spacing w:val="-5"/>
                <w:sz w:val="20"/>
              </w:rPr>
              <w:t>39</w:t>
            </w:r>
          </w:p>
        </w:tc>
      </w:tr>
      <w:tr>
        <w:trPr>
          <w:trHeight w:val="599" w:hRule="atLeast"/>
        </w:trPr>
        <w:tc>
          <w:tcPr>
            <w:tcW w:w="1815" w:type="dxa"/>
            <w:tcBorders>
              <w:top w:val="single" w:sz="4" w:space="0" w:color="000000"/>
              <w:bottom w:val="single" w:sz="4" w:space="0" w:color="000000"/>
            </w:tcBorders>
          </w:tcPr>
          <w:p>
            <w:pPr>
              <w:pStyle w:val="TableParagraph"/>
              <w:spacing w:before="78"/>
              <w:ind w:left="122" w:right="211"/>
              <w:rPr>
                <w:sz w:val="20"/>
              </w:rPr>
            </w:pPr>
            <w:r>
              <w:rPr>
                <w:spacing w:val="-2"/>
                <w:sz w:val="20"/>
              </w:rPr>
              <w:t>Population ecology</w:t>
            </w:r>
          </w:p>
        </w:tc>
        <w:tc>
          <w:tcPr>
            <w:tcW w:w="5891" w:type="dxa"/>
            <w:tcBorders>
              <w:top w:val="single" w:sz="4" w:space="0" w:color="000000"/>
              <w:bottom w:val="single" w:sz="4" w:space="0" w:color="000000"/>
            </w:tcBorders>
            <w:shd w:val="clear" w:color="auto" w:fill="CCDBEA"/>
          </w:tcPr>
          <w:p>
            <w:pPr>
              <w:pStyle w:val="TableParagraph"/>
              <w:spacing w:before="78"/>
              <w:ind w:left="107" w:right="173"/>
              <w:rPr>
                <w:sz w:val="20"/>
              </w:rPr>
            </w:pPr>
            <w:r>
              <w:rPr>
                <w:sz w:val="20"/>
              </w:rPr>
              <w:t>Papers</w:t>
            </w:r>
            <w:r>
              <w:rPr>
                <w:spacing w:val="-5"/>
                <w:sz w:val="20"/>
              </w:rPr>
              <w:t> </w:t>
            </w:r>
            <w:r>
              <w:rPr>
                <w:sz w:val="20"/>
              </w:rPr>
              <w:t>that</w:t>
            </w:r>
            <w:r>
              <w:rPr>
                <w:spacing w:val="-7"/>
                <w:sz w:val="20"/>
              </w:rPr>
              <w:t> </w:t>
            </w:r>
            <w:r>
              <w:rPr>
                <w:sz w:val="20"/>
              </w:rPr>
              <w:t>relate</w:t>
            </w:r>
            <w:r>
              <w:rPr>
                <w:spacing w:val="-7"/>
                <w:sz w:val="20"/>
              </w:rPr>
              <w:t> </w:t>
            </w:r>
            <w:r>
              <w:rPr>
                <w:sz w:val="20"/>
              </w:rPr>
              <w:t>population</w:t>
            </w:r>
            <w:r>
              <w:rPr>
                <w:spacing w:val="-7"/>
                <w:sz w:val="20"/>
              </w:rPr>
              <w:t> </w:t>
            </w:r>
            <w:r>
              <w:rPr>
                <w:sz w:val="20"/>
              </w:rPr>
              <w:t>ecology</w:t>
            </w:r>
            <w:r>
              <w:rPr>
                <w:spacing w:val="-6"/>
                <w:sz w:val="20"/>
              </w:rPr>
              <w:t> </w:t>
            </w:r>
            <w:r>
              <w:rPr>
                <w:sz w:val="20"/>
              </w:rPr>
              <w:t>to</w:t>
            </w:r>
            <w:r>
              <w:rPr>
                <w:spacing w:val="-5"/>
                <w:sz w:val="20"/>
              </w:rPr>
              <w:t> </w:t>
            </w:r>
            <w:r>
              <w:rPr>
                <w:sz w:val="20"/>
              </w:rPr>
              <w:t>the</w:t>
            </w:r>
            <w:r>
              <w:rPr>
                <w:spacing w:val="-5"/>
                <w:sz w:val="20"/>
              </w:rPr>
              <w:t> </w:t>
            </w:r>
            <w:r>
              <w:rPr>
                <w:sz w:val="20"/>
              </w:rPr>
              <w:t>management</w:t>
            </w:r>
            <w:r>
              <w:rPr>
                <w:spacing w:val="-7"/>
                <w:sz w:val="20"/>
              </w:rPr>
              <w:t> </w:t>
            </w:r>
            <w:r>
              <w:rPr>
                <w:sz w:val="20"/>
              </w:rPr>
              <w:t>of pest species in Australia</w:t>
            </w:r>
          </w:p>
        </w:tc>
        <w:tc>
          <w:tcPr>
            <w:tcW w:w="1407" w:type="dxa"/>
            <w:tcBorders>
              <w:top w:val="single" w:sz="4" w:space="0" w:color="000000"/>
              <w:bottom w:val="single" w:sz="4" w:space="0" w:color="000000"/>
            </w:tcBorders>
          </w:tcPr>
          <w:p>
            <w:pPr>
              <w:pStyle w:val="TableParagraph"/>
              <w:spacing w:before="194"/>
              <w:ind w:left="3" w:right="3"/>
              <w:jc w:val="center"/>
              <w:rPr>
                <w:sz w:val="20"/>
              </w:rPr>
            </w:pPr>
            <w:r>
              <w:rPr>
                <w:spacing w:val="-10"/>
                <w:sz w:val="20"/>
              </w:rPr>
              <w:t>9</w:t>
            </w:r>
          </w:p>
        </w:tc>
      </w:tr>
      <w:tr>
        <w:trPr>
          <w:trHeight w:val="1060" w:hRule="atLeast"/>
        </w:trPr>
        <w:tc>
          <w:tcPr>
            <w:tcW w:w="1815" w:type="dxa"/>
            <w:tcBorders>
              <w:top w:val="single" w:sz="4" w:space="0" w:color="000000"/>
              <w:bottom w:val="single" w:sz="4" w:space="0" w:color="000000"/>
            </w:tcBorders>
          </w:tcPr>
          <w:p>
            <w:pPr>
              <w:pStyle w:val="TableParagraph"/>
              <w:spacing w:before="78"/>
              <w:ind w:left="122" w:right="211"/>
              <w:rPr>
                <w:b/>
                <w:sz w:val="20"/>
              </w:rPr>
            </w:pPr>
            <w:r>
              <w:rPr>
                <w:b/>
                <w:spacing w:val="-2"/>
                <w:sz w:val="20"/>
              </w:rPr>
              <w:t>Total publications </w:t>
            </w:r>
            <w:r>
              <w:rPr>
                <w:b/>
                <w:sz w:val="20"/>
              </w:rPr>
              <w:t>included</w:t>
            </w:r>
            <w:r>
              <w:rPr>
                <w:b/>
                <w:spacing w:val="-14"/>
                <w:sz w:val="20"/>
              </w:rPr>
              <w:t> </w:t>
            </w:r>
            <w:r>
              <w:rPr>
                <w:b/>
                <w:sz w:val="20"/>
              </w:rPr>
              <w:t>in</w:t>
            </w:r>
            <w:r>
              <w:rPr>
                <w:b/>
                <w:spacing w:val="-14"/>
                <w:sz w:val="20"/>
              </w:rPr>
              <w:t> </w:t>
            </w:r>
            <w:r>
              <w:rPr>
                <w:b/>
                <w:sz w:val="20"/>
              </w:rPr>
              <w:t>the </w:t>
            </w:r>
            <w:r>
              <w:rPr>
                <w:b/>
                <w:spacing w:val="-2"/>
                <w:sz w:val="20"/>
              </w:rPr>
              <w:t>review</w:t>
            </w:r>
          </w:p>
        </w:tc>
        <w:tc>
          <w:tcPr>
            <w:tcW w:w="5891" w:type="dxa"/>
            <w:tcBorders>
              <w:top w:val="single" w:sz="4" w:space="0" w:color="000000"/>
              <w:bottom w:val="single" w:sz="4" w:space="0" w:color="000000"/>
            </w:tcBorders>
            <w:shd w:val="clear" w:color="auto" w:fill="CCDBEA"/>
          </w:tcPr>
          <w:p>
            <w:pPr>
              <w:pStyle w:val="TableParagraph"/>
              <w:rPr>
                <w:rFonts w:ascii="Times New Roman"/>
                <w:sz w:val="18"/>
              </w:rPr>
            </w:pPr>
          </w:p>
        </w:tc>
        <w:tc>
          <w:tcPr>
            <w:tcW w:w="1407" w:type="dxa"/>
            <w:tcBorders>
              <w:top w:val="single" w:sz="4" w:space="0" w:color="000000"/>
              <w:bottom w:val="single" w:sz="4" w:space="0" w:color="000000"/>
            </w:tcBorders>
          </w:tcPr>
          <w:p>
            <w:pPr>
              <w:pStyle w:val="TableParagraph"/>
              <w:spacing w:before="194"/>
              <w:rPr>
                <w:sz w:val="20"/>
              </w:rPr>
            </w:pPr>
          </w:p>
          <w:p>
            <w:pPr>
              <w:pStyle w:val="TableParagraph"/>
              <w:ind w:right="3"/>
              <w:jc w:val="center"/>
              <w:rPr>
                <w:b/>
                <w:sz w:val="20"/>
              </w:rPr>
            </w:pPr>
            <w:r>
              <w:rPr>
                <w:b/>
                <w:spacing w:val="-5"/>
                <w:sz w:val="20"/>
              </w:rPr>
              <w:t>625</w:t>
            </w:r>
          </w:p>
        </w:tc>
      </w:tr>
    </w:tbl>
    <w:p>
      <w:pPr>
        <w:spacing w:after="0"/>
        <w:jc w:val="center"/>
        <w:rPr>
          <w:sz w:val="20"/>
        </w:rPr>
        <w:sectPr>
          <w:pgSz w:w="11910" w:h="16850"/>
          <w:pgMar w:header="0" w:footer="688" w:top="1100" w:bottom="880" w:left="820" w:right="980"/>
        </w:sectPr>
      </w:pPr>
    </w:p>
    <w:p>
      <w:pPr>
        <w:pStyle w:val="Heading2"/>
        <w:numPr>
          <w:ilvl w:val="0"/>
          <w:numId w:val="11"/>
        </w:numPr>
        <w:tabs>
          <w:tab w:pos="879" w:val="left" w:leader="none"/>
        </w:tabs>
        <w:spacing w:line="240" w:lineRule="auto" w:before="61" w:after="0"/>
        <w:ind w:left="879" w:right="0" w:hanging="567"/>
        <w:jc w:val="left"/>
      </w:pPr>
      <w:bookmarkStart w:name="_TOC_250075" w:id="21"/>
      <w:r>
        <w:rPr>
          <w:color w:val="001F5F"/>
        </w:rPr>
        <w:t>A</w:t>
      </w:r>
      <w:r>
        <w:rPr>
          <w:color w:val="001F5F"/>
          <w:spacing w:val="-8"/>
        </w:rPr>
        <w:t> </w:t>
      </w:r>
      <w:r>
        <w:rPr>
          <w:color w:val="001F5F"/>
        </w:rPr>
        <w:t>brief</w:t>
      </w:r>
      <w:r>
        <w:rPr>
          <w:color w:val="001F5F"/>
          <w:spacing w:val="-5"/>
        </w:rPr>
        <w:t> </w:t>
      </w:r>
      <w:r>
        <w:rPr>
          <w:color w:val="001F5F"/>
        </w:rPr>
        <w:t>description</w:t>
      </w:r>
      <w:r>
        <w:rPr>
          <w:color w:val="001F5F"/>
          <w:spacing w:val="-8"/>
        </w:rPr>
        <w:t> </w:t>
      </w:r>
      <w:r>
        <w:rPr>
          <w:color w:val="001F5F"/>
        </w:rPr>
        <w:t>of</w:t>
      </w:r>
      <w:r>
        <w:rPr>
          <w:color w:val="001F5F"/>
          <w:spacing w:val="-8"/>
        </w:rPr>
        <w:t> </w:t>
      </w:r>
      <w:r>
        <w:rPr>
          <w:color w:val="001F5F"/>
        </w:rPr>
        <w:t>the</w:t>
      </w:r>
      <w:r>
        <w:rPr>
          <w:color w:val="001F5F"/>
          <w:spacing w:val="-7"/>
        </w:rPr>
        <w:t> </w:t>
      </w:r>
      <w:r>
        <w:rPr>
          <w:color w:val="001F5F"/>
        </w:rPr>
        <w:t>pest</w:t>
      </w:r>
      <w:r>
        <w:rPr>
          <w:color w:val="001F5F"/>
          <w:spacing w:val="-7"/>
        </w:rPr>
        <w:t> </w:t>
      </w:r>
      <w:bookmarkEnd w:id="21"/>
      <w:r>
        <w:rPr>
          <w:color w:val="001F5F"/>
          <w:spacing w:val="-2"/>
        </w:rPr>
        <w:t>species</w:t>
      </w:r>
    </w:p>
    <w:p>
      <w:pPr>
        <w:pStyle w:val="BodyText"/>
        <w:spacing w:before="255"/>
        <w:rPr>
          <w:b/>
          <w:sz w:val="32"/>
        </w:rPr>
      </w:pPr>
    </w:p>
    <w:p>
      <w:pPr>
        <w:pStyle w:val="BodyText"/>
        <w:spacing w:before="1"/>
        <w:ind w:left="312" w:right="224"/>
      </w:pPr>
      <w:r>
        <w:rPr/>
        <w:t>There</w:t>
      </w:r>
      <w:r>
        <w:rPr>
          <w:spacing w:val="-1"/>
        </w:rPr>
        <w:t> </w:t>
      </w:r>
      <w:r>
        <w:rPr/>
        <w:t>is a</w:t>
      </w:r>
      <w:r>
        <w:rPr>
          <w:spacing w:val="-1"/>
        </w:rPr>
        <w:t> </w:t>
      </w:r>
      <w:r>
        <w:rPr/>
        <w:t>significant body of</w:t>
      </w:r>
      <w:r>
        <w:rPr>
          <w:spacing w:val="-1"/>
        </w:rPr>
        <w:t> </w:t>
      </w:r>
      <w:r>
        <w:rPr/>
        <w:t>literature</w:t>
      </w:r>
      <w:r>
        <w:rPr>
          <w:spacing w:val="-1"/>
        </w:rPr>
        <w:t> </w:t>
      </w:r>
      <w:r>
        <w:rPr/>
        <w:t>that details the environmental and</w:t>
      </w:r>
      <w:r>
        <w:rPr>
          <w:spacing w:val="-1"/>
        </w:rPr>
        <w:t> </w:t>
      </w:r>
      <w:r>
        <w:rPr/>
        <w:t>agricultural impacts of</w:t>
      </w:r>
      <w:r>
        <w:rPr>
          <w:spacing w:val="-1"/>
        </w:rPr>
        <w:t> </w:t>
      </w:r>
      <w:r>
        <w:rPr/>
        <w:t>all four pest species</w:t>
      </w:r>
      <w:r>
        <w:rPr>
          <w:spacing w:val="-2"/>
        </w:rPr>
        <w:t> </w:t>
      </w:r>
      <w:r>
        <w:rPr/>
        <w:t>in</w:t>
      </w:r>
      <w:r>
        <w:rPr>
          <w:spacing w:val="-3"/>
        </w:rPr>
        <w:t> </w:t>
      </w:r>
      <w:r>
        <w:rPr/>
        <w:t>Victoria</w:t>
      </w:r>
      <w:r>
        <w:rPr>
          <w:spacing w:val="-2"/>
        </w:rPr>
        <w:t> </w:t>
      </w:r>
      <w:r>
        <w:rPr/>
        <w:t>and</w:t>
      </w:r>
      <w:r>
        <w:rPr>
          <w:spacing w:val="-3"/>
        </w:rPr>
        <w:t> </w:t>
      </w:r>
      <w:r>
        <w:rPr/>
        <w:t>more</w:t>
      </w:r>
      <w:r>
        <w:rPr>
          <w:spacing w:val="-3"/>
        </w:rPr>
        <w:t> </w:t>
      </w:r>
      <w:r>
        <w:rPr/>
        <w:t>widely</w:t>
      </w:r>
      <w:r>
        <w:rPr>
          <w:spacing w:val="-1"/>
        </w:rPr>
        <w:t> </w:t>
      </w:r>
      <w:r>
        <w:rPr/>
        <w:t>in</w:t>
      </w:r>
      <w:r>
        <w:rPr>
          <w:spacing w:val="-2"/>
        </w:rPr>
        <w:t> </w:t>
      </w:r>
      <w:r>
        <w:rPr/>
        <w:t>Australia.</w:t>
      </w:r>
      <w:r>
        <w:rPr>
          <w:spacing w:val="-3"/>
        </w:rPr>
        <w:t> </w:t>
      </w:r>
      <w:r>
        <w:rPr/>
        <w:t>We</w:t>
      </w:r>
      <w:r>
        <w:rPr>
          <w:spacing w:val="-3"/>
        </w:rPr>
        <w:t> </w:t>
      </w:r>
      <w:r>
        <w:rPr/>
        <w:t>do</w:t>
      </w:r>
      <w:r>
        <w:rPr>
          <w:spacing w:val="-3"/>
        </w:rPr>
        <w:t> </w:t>
      </w:r>
      <w:r>
        <w:rPr/>
        <w:t>not</w:t>
      </w:r>
      <w:r>
        <w:rPr>
          <w:spacing w:val="-2"/>
        </w:rPr>
        <w:t> </w:t>
      </w:r>
      <w:r>
        <w:rPr/>
        <w:t>present</w:t>
      </w:r>
      <w:r>
        <w:rPr>
          <w:spacing w:val="-2"/>
        </w:rPr>
        <w:t> </w:t>
      </w:r>
      <w:r>
        <w:rPr/>
        <w:t>a</w:t>
      </w:r>
      <w:r>
        <w:rPr>
          <w:spacing w:val="-4"/>
        </w:rPr>
        <w:t> </w:t>
      </w:r>
      <w:r>
        <w:rPr/>
        <w:t>comprehensive</w:t>
      </w:r>
      <w:r>
        <w:rPr>
          <w:spacing w:val="-3"/>
        </w:rPr>
        <w:t> </w:t>
      </w:r>
      <w:r>
        <w:rPr/>
        <w:t>review of</w:t>
      </w:r>
      <w:r>
        <w:rPr>
          <w:spacing w:val="-3"/>
        </w:rPr>
        <w:t> </w:t>
      </w:r>
      <w:r>
        <w:rPr/>
        <w:t>each</w:t>
      </w:r>
      <w:r>
        <w:rPr>
          <w:spacing w:val="-3"/>
        </w:rPr>
        <w:t> </w:t>
      </w:r>
      <w:r>
        <w:rPr/>
        <w:t>species and their impacts, because that is outside the scope of this review. However, we provide a brief description of each of the four pest species as background.</w:t>
      </w:r>
    </w:p>
    <w:p>
      <w:pPr>
        <w:pStyle w:val="BodyText"/>
        <w:spacing w:before="154"/>
      </w:pPr>
    </w:p>
    <w:p>
      <w:pPr>
        <w:pStyle w:val="Heading3"/>
        <w:numPr>
          <w:ilvl w:val="1"/>
          <w:numId w:val="11"/>
        </w:numPr>
        <w:tabs>
          <w:tab w:pos="889" w:val="left" w:leader="none"/>
        </w:tabs>
        <w:spacing w:line="240" w:lineRule="auto" w:before="0" w:after="0"/>
        <w:ind w:left="889" w:right="0" w:hanging="577"/>
        <w:jc w:val="left"/>
      </w:pPr>
      <w:bookmarkStart w:name="_TOC_250074" w:id="22"/>
      <w:r>
        <w:rPr>
          <w:color w:val="2D1E66"/>
        </w:rPr>
        <w:t>European</w:t>
      </w:r>
      <w:r>
        <w:rPr>
          <w:color w:val="2D1E66"/>
          <w:spacing w:val="-4"/>
        </w:rPr>
        <w:t> </w:t>
      </w:r>
      <w:bookmarkEnd w:id="22"/>
      <w:r>
        <w:rPr>
          <w:color w:val="2D1E66"/>
          <w:spacing w:val="-2"/>
        </w:rPr>
        <w:t>Rabbits</w:t>
      </w:r>
    </w:p>
    <w:p>
      <w:pPr>
        <w:pStyle w:val="BodyText"/>
        <w:spacing w:before="112"/>
        <w:ind w:left="312" w:right="179"/>
      </w:pPr>
      <w:r>
        <w:rPr/>
        <w:t>European Rabbits were first unintentionally introduced to Australia in 1788 with the First Fleet, and then deliberately released in the 1800s for hunting. They quickly spread across the continent and are now considered Australia’s most widespread and destructive environmental and agricultural pest. Agriculture losses from reduced crop and pasture yields, seedling loss, and feed competition are estimated at $197 million annually</w:t>
      </w:r>
      <w:hyperlink w:history="true" w:anchor="_bookmark1">
        <w:r>
          <w:rPr>
            <w:position w:val="6"/>
            <w:sz w:val="13"/>
          </w:rPr>
          <w:t>1</w:t>
        </w:r>
      </w:hyperlink>
      <w:r>
        <w:rPr>
          <w:spacing w:val="23"/>
          <w:position w:val="6"/>
          <w:sz w:val="13"/>
        </w:rPr>
        <w:t> </w:t>
      </w:r>
      <w:r>
        <w:rPr/>
        <w:t>(Hafi et al. 2023). Rabbits threaten at least 73 species of fauna in Australia, including 44 birds, 20 mammals, six reptiles, one invertebrate, one</w:t>
      </w:r>
      <w:r>
        <w:rPr>
          <w:spacing w:val="-1"/>
        </w:rPr>
        <w:t> </w:t>
      </w:r>
      <w:r>
        <w:rPr/>
        <w:t>fish, and</w:t>
      </w:r>
      <w:r>
        <w:rPr>
          <w:spacing w:val="-1"/>
        </w:rPr>
        <w:t> </w:t>
      </w:r>
      <w:r>
        <w:rPr/>
        <w:t>one amphibian, as well</w:t>
      </w:r>
      <w:r>
        <w:rPr>
          <w:spacing w:val="-1"/>
        </w:rPr>
        <w:t> </w:t>
      </w:r>
      <w:r>
        <w:rPr/>
        <w:t>as 260 plant species and</w:t>
      </w:r>
      <w:r>
        <w:rPr>
          <w:spacing w:val="-2"/>
        </w:rPr>
        <w:t> </w:t>
      </w:r>
      <w:r>
        <w:rPr/>
        <w:t>nine</w:t>
      </w:r>
      <w:r>
        <w:rPr>
          <w:spacing w:val="-4"/>
        </w:rPr>
        <w:t> </w:t>
      </w:r>
      <w:r>
        <w:rPr/>
        <w:t>ecological</w:t>
      </w:r>
      <w:r>
        <w:rPr>
          <w:spacing w:val="-5"/>
        </w:rPr>
        <w:t> </w:t>
      </w:r>
      <w:r>
        <w:rPr/>
        <w:t>communities</w:t>
      </w:r>
      <w:r>
        <w:rPr>
          <w:spacing w:val="-1"/>
        </w:rPr>
        <w:t> </w:t>
      </w:r>
      <w:r>
        <w:rPr/>
        <w:t>(Commonwealth</w:t>
      </w:r>
      <w:r>
        <w:rPr>
          <w:spacing w:val="-2"/>
        </w:rPr>
        <w:t> </w:t>
      </w:r>
      <w:r>
        <w:rPr/>
        <w:t>of</w:t>
      </w:r>
      <w:r>
        <w:rPr>
          <w:spacing w:val="-2"/>
        </w:rPr>
        <w:t> </w:t>
      </w:r>
      <w:r>
        <w:rPr/>
        <w:t>Australia</w:t>
      </w:r>
      <w:r>
        <w:rPr>
          <w:spacing w:val="-4"/>
        </w:rPr>
        <w:t> </w:t>
      </w:r>
      <w:r>
        <w:rPr/>
        <w:t>2021).</w:t>
      </w:r>
      <w:r>
        <w:rPr>
          <w:spacing w:val="-4"/>
        </w:rPr>
        <w:t> </w:t>
      </w:r>
      <w:r>
        <w:rPr/>
        <w:t>Impacts</w:t>
      </w:r>
      <w:r>
        <w:rPr>
          <w:spacing w:val="-3"/>
        </w:rPr>
        <w:t> </w:t>
      </w:r>
      <w:r>
        <w:rPr/>
        <w:t>from</w:t>
      </w:r>
      <w:r>
        <w:rPr>
          <w:spacing w:val="-3"/>
        </w:rPr>
        <w:t> </w:t>
      </w:r>
      <w:r>
        <w:rPr/>
        <w:t>grazing,</w:t>
      </w:r>
      <w:r>
        <w:rPr>
          <w:spacing w:val="-4"/>
        </w:rPr>
        <w:t> </w:t>
      </w:r>
      <w:r>
        <w:rPr/>
        <w:t>competition,</w:t>
      </w:r>
      <w:r>
        <w:rPr>
          <w:spacing w:val="-4"/>
        </w:rPr>
        <w:t> </w:t>
      </w:r>
      <w:r>
        <w:rPr/>
        <w:t>and land degradation are formally recognised as key threatening processes under the </w:t>
      </w:r>
      <w:r>
        <w:rPr>
          <w:i/>
        </w:rPr>
        <w:t>Environmental Protection</w:t>
      </w:r>
      <w:r>
        <w:rPr>
          <w:i/>
        </w:rPr>
        <w:t> and Biodiversity Conservation Act of 1999 </w:t>
      </w:r>
      <w:r>
        <w:rPr/>
        <w:t>(EPBC Act) and are listed as potentially threatening processes under the Flora and Fauna Guarantee Act, 1988 (DELWP 2023). Indirect impacts are also recognised as threats, such as serving as a supplementary food source for predators that then increase predation on endangered small mammals and birds (Norbury and McGlinchy 1996; Fleming and Ballard 2019).</w:t>
      </w:r>
    </w:p>
    <w:p>
      <w:pPr>
        <w:pStyle w:val="BodyText"/>
        <w:spacing w:before="121"/>
        <w:ind w:left="312" w:right="247"/>
      </w:pPr>
      <w:r>
        <w:rPr/>
        <w:t>In Victoria, rabbits are widespread, with higher densities in central and western regions and lower densities in forested eastern areas. Even at moderate to low densities, rabbits can cause significant environmental damage. A study in southeastern Australia found that regeneration dropped sharply as rabbit densities neared five per hectare, and regeneration was nearly absent at sites with 10 rabbits per hectare (Cooke, Jones, and Gong 2010). Another study in the southeast observed that regeneration of a rabbit-sensitive shrub</w:t>
      </w:r>
      <w:r>
        <w:rPr>
          <w:spacing w:val="-4"/>
        </w:rPr>
        <w:t> </w:t>
      </w:r>
      <w:r>
        <w:rPr/>
        <w:t>increased</w:t>
      </w:r>
      <w:r>
        <w:rPr>
          <w:spacing w:val="-3"/>
        </w:rPr>
        <w:t> </w:t>
      </w:r>
      <w:r>
        <w:rPr/>
        <w:t>in</w:t>
      </w:r>
      <w:r>
        <w:rPr>
          <w:spacing w:val="-2"/>
        </w:rPr>
        <w:t> </w:t>
      </w:r>
      <w:r>
        <w:rPr/>
        <w:t>areas</w:t>
      </w:r>
      <w:r>
        <w:rPr>
          <w:spacing w:val="-3"/>
        </w:rPr>
        <w:t> </w:t>
      </w:r>
      <w:r>
        <w:rPr/>
        <w:t>where</w:t>
      </w:r>
      <w:r>
        <w:rPr>
          <w:spacing w:val="-4"/>
        </w:rPr>
        <w:t> </w:t>
      </w:r>
      <w:r>
        <w:rPr/>
        <w:t>rabbit</w:t>
      </w:r>
      <w:r>
        <w:rPr>
          <w:spacing w:val="-2"/>
        </w:rPr>
        <w:t> </w:t>
      </w:r>
      <w:r>
        <w:rPr/>
        <w:t>densities</w:t>
      </w:r>
      <w:r>
        <w:rPr>
          <w:spacing w:val="-3"/>
        </w:rPr>
        <w:t> </w:t>
      </w:r>
      <w:r>
        <w:rPr/>
        <w:t>were</w:t>
      </w:r>
      <w:r>
        <w:rPr>
          <w:spacing w:val="-4"/>
        </w:rPr>
        <w:t> </w:t>
      </w:r>
      <w:r>
        <w:rPr/>
        <w:t>reduced</w:t>
      </w:r>
      <w:r>
        <w:rPr>
          <w:spacing w:val="-2"/>
        </w:rPr>
        <w:t> </w:t>
      </w:r>
      <w:r>
        <w:rPr/>
        <w:t>by</w:t>
      </w:r>
      <w:r>
        <w:rPr>
          <w:spacing w:val="-3"/>
        </w:rPr>
        <w:t> </w:t>
      </w:r>
      <w:r>
        <w:rPr/>
        <w:t>about</w:t>
      </w:r>
      <w:r>
        <w:rPr>
          <w:spacing w:val="-2"/>
        </w:rPr>
        <w:t> </w:t>
      </w:r>
      <w:r>
        <w:rPr/>
        <w:t>90%,</w:t>
      </w:r>
      <w:r>
        <w:rPr>
          <w:spacing w:val="-1"/>
        </w:rPr>
        <w:t> </w:t>
      </w:r>
      <w:r>
        <w:rPr/>
        <w:t>to</w:t>
      </w:r>
      <w:r>
        <w:rPr>
          <w:spacing w:val="-3"/>
        </w:rPr>
        <w:t> </w:t>
      </w:r>
      <w:r>
        <w:rPr/>
        <w:t>0.4</w:t>
      </w:r>
      <w:r>
        <w:rPr>
          <w:spacing w:val="-4"/>
        </w:rPr>
        <w:t> </w:t>
      </w:r>
      <w:r>
        <w:rPr/>
        <w:t>rabbits</w:t>
      </w:r>
      <w:r>
        <w:rPr>
          <w:spacing w:val="-3"/>
        </w:rPr>
        <w:t> </w:t>
      </w:r>
      <w:r>
        <w:rPr/>
        <w:t>per</w:t>
      </w:r>
      <w:r>
        <w:rPr>
          <w:spacing w:val="-1"/>
        </w:rPr>
        <w:t> </w:t>
      </w:r>
      <w:r>
        <w:rPr/>
        <w:t>hectare (Bird et al. 2012).</w:t>
      </w:r>
    </w:p>
    <w:p>
      <w:pPr>
        <w:pStyle w:val="BodyText"/>
        <w:spacing w:before="120"/>
        <w:ind w:left="312" w:right="179"/>
      </w:pPr>
      <w:r>
        <w:rPr/>
        <w:t>Land managers currently have several tools for controlling rabbit populations, including poison baiting with sodium</w:t>
      </w:r>
      <w:r>
        <w:rPr>
          <w:spacing w:val="-4"/>
        </w:rPr>
        <w:t> </w:t>
      </w:r>
      <w:r>
        <w:rPr/>
        <w:t>fluoroacetate</w:t>
      </w:r>
      <w:r>
        <w:rPr>
          <w:spacing w:val="-4"/>
        </w:rPr>
        <w:t> </w:t>
      </w:r>
      <w:r>
        <w:rPr/>
        <w:t>(1080)</w:t>
      </w:r>
      <w:r>
        <w:rPr>
          <w:spacing w:val="-3"/>
        </w:rPr>
        <w:t> </w:t>
      </w:r>
      <w:r>
        <w:rPr/>
        <w:t>and</w:t>
      </w:r>
      <w:r>
        <w:rPr>
          <w:spacing w:val="-2"/>
        </w:rPr>
        <w:t> </w:t>
      </w:r>
      <w:r>
        <w:rPr/>
        <w:t>Pindone® (a</w:t>
      </w:r>
      <w:r>
        <w:rPr>
          <w:spacing w:val="-4"/>
        </w:rPr>
        <w:t> </w:t>
      </w:r>
      <w:r>
        <w:rPr/>
        <w:t>first-generation</w:t>
      </w:r>
      <w:r>
        <w:rPr>
          <w:spacing w:val="-4"/>
        </w:rPr>
        <w:t> </w:t>
      </w:r>
      <w:r>
        <w:rPr/>
        <w:t>(multi-dose)</w:t>
      </w:r>
      <w:r>
        <w:rPr>
          <w:spacing w:val="-4"/>
        </w:rPr>
        <w:t> </w:t>
      </w:r>
      <w:r>
        <w:rPr/>
        <w:t>anticoagulant).</w:t>
      </w:r>
      <w:r>
        <w:rPr>
          <w:spacing w:val="-2"/>
        </w:rPr>
        <w:t> </w:t>
      </w:r>
      <w:r>
        <w:rPr/>
        <w:t>Warren</w:t>
      </w:r>
      <w:r>
        <w:rPr>
          <w:spacing w:val="-3"/>
        </w:rPr>
        <w:t> </w:t>
      </w:r>
      <w:r>
        <w:rPr/>
        <w:t>fumigation using toxic gases to kill rabbits within warrens, either by generating the gas inside the burrow and allowing it to diffuse throughout (diffusion fumigation) or by forcing it into the warren under pressure (pressure fumigation) (Williams et al. 1995). Fumigation use either aluminium phosphide tablets, which liberate phosphine on exposure to atmospheric or soil moisture or chloropicrin gas generated from a liquid</w:t>
      </w:r>
      <w:r>
        <w:rPr/>
        <w:t> formulation and forced into a warren under pressure from a pump. Warren ripping which aims to destroy the warren and prevent re-invasion, not to kill large numbers of rabbits. Biological control through the rabbit haemorrhagic</w:t>
      </w:r>
      <w:r>
        <w:rPr>
          <w:spacing w:val="-4"/>
        </w:rPr>
        <w:t> </w:t>
      </w:r>
      <w:r>
        <w:rPr/>
        <w:t>disease</w:t>
      </w:r>
      <w:r>
        <w:rPr>
          <w:spacing w:val="-5"/>
        </w:rPr>
        <w:t> </w:t>
      </w:r>
      <w:r>
        <w:rPr/>
        <w:t>virus</w:t>
      </w:r>
      <w:r>
        <w:rPr>
          <w:spacing w:val="-2"/>
        </w:rPr>
        <w:t> </w:t>
      </w:r>
      <w:r>
        <w:rPr/>
        <w:t>(RHDV)</w:t>
      </w:r>
      <w:r>
        <w:rPr>
          <w:spacing w:val="-1"/>
        </w:rPr>
        <w:t> </w:t>
      </w:r>
      <w:r>
        <w:rPr/>
        <w:t>is</w:t>
      </w:r>
      <w:r>
        <w:rPr>
          <w:spacing w:val="-2"/>
        </w:rPr>
        <w:t> </w:t>
      </w:r>
      <w:r>
        <w:rPr/>
        <w:t>also</w:t>
      </w:r>
      <w:r>
        <w:rPr>
          <w:spacing w:val="-3"/>
        </w:rPr>
        <w:t> </w:t>
      </w:r>
      <w:r>
        <w:rPr/>
        <w:t>available.</w:t>
      </w:r>
      <w:r>
        <w:rPr>
          <w:spacing w:val="-1"/>
        </w:rPr>
        <w:t> </w:t>
      </w:r>
      <w:r>
        <w:rPr/>
        <w:t>RHD</w:t>
      </w:r>
      <w:r>
        <w:rPr>
          <w:spacing w:val="-5"/>
        </w:rPr>
        <w:t> </w:t>
      </w:r>
      <w:r>
        <w:rPr/>
        <w:t>is</w:t>
      </w:r>
      <w:r>
        <w:rPr>
          <w:spacing w:val="-4"/>
        </w:rPr>
        <w:t> </w:t>
      </w:r>
      <w:r>
        <w:rPr/>
        <w:t>a</w:t>
      </w:r>
      <w:r>
        <w:rPr>
          <w:spacing w:val="-3"/>
        </w:rPr>
        <w:t> </w:t>
      </w:r>
      <w:r>
        <w:rPr/>
        <w:t>severe</w:t>
      </w:r>
      <w:r>
        <w:rPr>
          <w:spacing w:val="-5"/>
        </w:rPr>
        <w:t> </w:t>
      </w:r>
      <w:r>
        <w:rPr/>
        <w:t>illness</w:t>
      </w:r>
      <w:r>
        <w:rPr>
          <w:spacing w:val="-4"/>
        </w:rPr>
        <w:t> </w:t>
      </w:r>
      <w:r>
        <w:rPr/>
        <w:t>affecting</w:t>
      </w:r>
      <w:r>
        <w:rPr>
          <w:spacing w:val="-3"/>
        </w:rPr>
        <w:t> </w:t>
      </w:r>
      <w:r>
        <w:rPr/>
        <w:t>European</w:t>
      </w:r>
      <w:r>
        <w:rPr>
          <w:spacing w:val="-5"/>
        </w:rPr>
        <w:t> </w:t>
      </w:r>
      <w:r>
        <w:rPr/>
        <w:t>rabbits</w:t>
      </w:r>
      <w:r>
        <w:rPr>
          <w:spacing w:val="-4"/>
        </w:rPr>
        <w:t> </w:t>
      </w:r>
      <w:r>
        <w:rPr/>
        <w:t>and is caused by the rabbit haemorrhagic disease virus (RHDV), a calicivirus belonging to the Lagovirus genus (Cooke and Fenner 2002). Other methods include habitat removal, and exclusion fencing. Additional methods like shooting, trapping, and ferreting are available, but are generally ineffective for broad-scale </w:t>
      </w:r>
      <w:r>
        <w:rPr>
          <w:spacing w:val="-2"/>
        </w:rPr>
        <w:t>control.</w:t>
      </w:r>
    </w:p>
    <w:p>
      <w:pPr>
        <w:pStyle w:val="BodyText"/>
        <w:spacing w:before="121"/>
        <w:ind w:left="312" w:right="699"/>
      </w:pPr>
      <w:r>
        <w:rPr/>
        <w:t>For detailed guidance on using these tools, visit the Agriculture Victoria website </w:t>
      </w:r>
      <w:r>
        <w:rPr>
          <w:spacing w:val="-2"/>
        </w:rPr>
        <w:t>(</w:t>
      </w:r>
      <w:hyperlink r:id="rId21">
        <w:r>
          <w:rPr>
            <w:color w:val="0000FF"/>
            <w:spacing w:val="-2"/>
            <w:u w:val="single" w:color="0000FF"/>
          </w:rPr>
          <w:t>https://agriculture.vic.gov.au/biosecurity/pest-animals/invasive-animal-management/integrated-rabbit-</w:t>
        </w:r>
      </w:hyperlink>
      <w:r>
        <w:rPr>
          <w:color w:val="0000FF"/>
          <w:spacing w:val="-2"/>
          <w:u w:val="none"/>
        </w:rPr>
        <w:t> </w:t>
      </w:r>
      <w:hyperlink r:id="rId21">
        <w:r>
          <w:rPr>
            <w:color w:val="0000FF"/>
            <w:u w:val="single" w:color="0000FF"/>
          </w:rPr>
          <w:t>control</w:t>
        </w:r>
      </w:hyperlink>
      <w:r>
        <w:rPr>
          <w:u w:val="none"/>
        </w:rPr>
        <w:t>)</w:t>
      </w:r>
      <w:r>
        <w:rPr>
          <w:spacing w:val="-3"/>
          <w:u w:val="none"/>
        </w:rPr>
        <w:t> </w:t>
      </w:r>
      <w:r>
        <w:rPr>
          <w:u w:val="none"/>
        </w:rPr>
        <w:t>and</w:t>
      </w:r>
      <w:r>
        <w:rPr>
          <w:spacing w:val="-5"/>
          <w:u w:val="none"/>
        </w:rPr>
        <w:t> </w:t>
      </w:r>
      <w:r>
        <w:rPr>
          <w:u w:val="none"/>
        </w:rPr>
        <w:t>the</w:t>
      </w:r>
      <w:r>
        <w:rPr>
          <w:spacing w:val="-5"/>
          <w:u w:val="none"/>
        </w:rPr>
        <w:t> </w:t>
      </w:r>
      <w:r>
        <w:rPr>
          <w:u w:val="none"/>
        </w:rPr>
        <w:t>Centre</w:t>
      </w:r>
      <w:r>
        <w:rPr>
          <w:spacing w:val="-2"/>
          <w:u w:val="none"/>
        </w:rPr>
        <w:t> </w:t>
      </w:r>
      <w:r>
        <w:rPr>
          <w:u w:val="none"/>
        </w:rPr>
        <w:t>for</w:t>
      </w:r>
      <w:r>
        <w:rPr>
          <w:spacing w:val="-3"/>
          <w:u w:val="none"/>
        </w:rPr>
        <w:t> </w:t>
      </w:r>
      <w:r>
        <w:rPr>
          <w:u w:val="none"/>
        </w:rPr>
        <w:t>Invasive</w:t>
      </w:r>
      <w:r>
        <w:rPr>
          <w:spacing w:val="-4"/>
          <w:u w:val="none"/>
        </w:rPr>
        <w:t> </w:t>
      </w:r>
      <w:r>
        <w:rPr>
          <w:u w:val="none"/>
        </w:rPr>
        <w:t>Species</w:t>
      </w:r>
      <w:r>
        <w:rPr>
          <w:spacing w:val="-3"/>
          <w:u w:val="none"/>
        </w:rPr>
        <w:t> </w:t>
      </w:r>
      <w:r>
        <w:rPr>
          <w:u w:val="none"/>
        </w:rPr>
        <w:t>Solutions</w:t>
      </w:r>
      <w:r>
        <w:rPr>
          <w:spacing w:val="-3"/>
          <w:u w:val="none"/>
        </w:rPr>
        <w:t> </w:t>
      </w:r>
      <w:r>
        <w:rPr>
          <w:u w:val="none"/>
        </w:rPr>
        <w:t>PestSmart</w:t>
      </w:r>
      <w:r>
        <w:rPr>
          <w:spacing w:val="-4"/>
          <w:u w:val="none"/>
        </w:rPr>
        <w:t> </w:t>
      </w:r>
      <w:r>
        <w:rPr>
          <w:u w:val="none"/>
        </w:rPr>
        <w:t>website</w:t>
      </w:r>
      <w:r>
        <w:rPr>
          <w:spacing w:val="-4"/>
          <w:u w:val="none"/>
        </w:rPr>
        <w:t> </w:t>
      </w:r>
      <w:r>
        <w:rPr>
          <w:u w:val="none"/>
        </w:rPr>
        <w:t>(</w:t>
      </w:r>
      <w:hyperlink r:id="rId22">
        <w:r>
          <w:rPr>
            <w:color w:val="0000FF"/>
            <w:u w:val="single" w:color="0000FF"/>
          </w:rPr>
          <w:t>https://pestsmart.org.au/wp-</w:t>
        </w:r>
      </w:hyperlink>
      <w:r>
        <w:rPr>
          <w:color w:val="0000FF"/>
          <w:u w:val="none"/>
        </w:rPr>
        <w:t> </w:t>
      </w:r>
      <w:hyperlink r:id="rId22">
        <w:r>
          <w:rPr>
            <w:color w:val="0000FF"/>
            <w:spacing w:val="-2"/>
            <w:u w:val="single" w:color="0000FF"/>
          </w:rPr>
          <w:t>content/uploads/sites/3/2020/09/CISS-Glovebox-Guide-Rabbit-web.pdf</w:t>
        </w:r>
      </w:hyperlink>
      <w:r>
        <w:rPr>
          <w:spacing w:val="-2"/>
          <w:u w:val="none"/>
        </w:rPr>
        <w:t>).</w:t>
      </w:r>
    </w:p>
    <w:p>
      <w:pPr>
        <w:pStyle w:val="BodyText"/>
        <w:spacing w:before="109"/>
        <w:rPr>
          <w:sz w:val="24"/>
        </w:rPr>
      </w:pPr>
    </w:p>
    <w:p>
      <w:pPr>
        <w:pStyle w:val="Heading3"/>
        <w:numPr>
          <w:ilvl w:val="1"/>
          <w:numId w:val="11"/>
        </w:numPr>
        <w:tabs>
          <w:tab w:pos="889" w:val="left" w:leader="none"/>
        </w:tabs>
        <w:spacing w:line="240" w:lineRule="auto" w:before="0" w:after="0"/>
        <w:ind w:left="889" w:right="0" w:hanging="577"/>
        <w:jc w:val="left"/>
      </w:pPr>
      <w:bookmarkStart w:name="_TOC_250073" w:id="23"/>
      <w:r>
        <w:rPr>
          <w:color w:val="2D1E66"/>
        </w:rPr>
        <w:t>Feral</w:t>
      </w:r>
      <w:r>
        <w:rPr>
          <w:color w:val="2D1E66"/>
          <w:spacing w:val="-2"/>
        </w:rPr>
        <w:t> </w:t>
      </w:r>
      <w:bookmarkEnd w:id="23"/>
      <w:r>
        <w:rPr>
          <w:color w:val="2D1E66"/>
          <w:spacing w:val="-4"/>
        </w:rPr>
        <w:t>Pigs</w:t>
      </w:r>
    </w:p>
    <w:p>
      <w:pPr>
        <w:pStyle w:val="BodyText"/>
        <w:spacing w:before="112"/>
        <w:ind w:left="312"/>
      </w:pPr>
      <w:r>
        <w:rPr/>
        <w:t>Feral</w:t>
      </w:r>
      <w:r>
        <w:rPr>
          <w:spacing w:val="-1"/>
        </w:rPr>
        <w:t> </w:t>
      </w:r>
      <w:r>
        <w:rPr/>
        <w:t>Pigs have been</w:t>
      </w:r>
      <w:r>
        <w:rPr>
          <w:spacing w:val="-2"/>
        </w:rPr>
        <w:t> </w:t>
      </w:r>
      <w:r>
        <w:rPr/>
        <w:t>present</w:t>
      </w:r>
      <w:r>
        <w:rPr>
          <w:spacing w:val="-2"/>
        </w:rPr>
        <w:t> </w:t>
      </w:r>
      <w:r>
        <w:rPr/>
        <w:t>in</w:t>
      </w:r>
      <w:r>
        <w:rPr>
          <w:spacing w:val="-2"/>
        </w:rPr>
        <w:t> </w:t>
      </w:r>
      <w:r>
        <w:rPr/>
        <w:t>Australia</w:t>
      </w:r>
      <w:r>
        <w:rPr>
          <w:spacing w:val="-2"/>
        </w:rPr>
        <w:t> </w:t>
      </w:r>
      <w:r>
        <w:rPr/>
        <w:t>since</w:t>
      </w:r>
      <w:r>
        <w:rPr>
          <w:spacing w:val="-2"/>
        </w:rPr>
        <w:t> </w:t>
      </w:r>
      <w:r>
        <w:rPr/>
        <w:t>early</w:t>
      </w:r>
      <w:r>
        <w:rPr>
          <w:spacing w:val="-1"/>
        </w:rPr>
        <w:t> </w:t>
      </w:r>
      <w:r>
        <w:rPr/>
        <w:t>European</w:t>
      </w:r>
      <w:r>
        <w:rPr>
          <w:spacing w:val="-3"/>
        </w:rPr>
        <w:t> </w:t>
      </w:r>
      <w:r>
        <w:rPr/>
        <w:t>settlement. They initially</w:t>
      </w:r>
      <w:r>
        <w:rPr>
          <w:spacing w:val="-1"/>
        </w:rPr>
        <w:t> </w:t>
      </w:r>
      <w:r>
        <w:rPr/>
        <w:t>concentrated</w:t>
      </w:r>
      <w:r>
        <w:rPr>
          <w:spacing w:val="-2"/>
        </w:rPr>
        <w:t> </w:t>
      </w:r>
      <w:r>
        <w:rPr/>
        <w:t>near settlement areas but have since spread across 45% of the mainland and are now found in all states and territories. Feral Pigs rank among Australia’s most damaging pest species due to their extensive impact on agriculture,</w:t>
      </w:r>
      <w:r>
        <w:rPr>
          <w:spacing w:val="-3"/>
        </w:rPr>
        <w:t> </w:t>
      </w:r>
      <w:r>
        <w:rPr/>
        <w:t>the</w:t>
      </w:r>
      <w:r>
        <w:rPr>
          <w:spacing w:val="-4"/>
        </w:rPr>
        <w:t> </w:t>
      </w:r>
      <w:r>
        <w:rPr/>
        <w:t>environment,</w:t>
      </w:r>
      <w:r>
        <w:rPr>
          <w:spacing w:val="-5"/>
        </w:rPr>
        <w:t> </w:t>
      </w:r>
      <w:r>
        <w:rPr/>
        <w:t>and</w:t>
      </w:r>
      <w:r>
        <w:rPr>
          <w:spacing w:val="-5"/>
        </w:rPr>
        <w:t> </w:t>
      </w:r>
      <w:r>
        <w:rPr/>
        <w:t>their</w:t>
      </w:r>
      <w:r>
        <w:rPr>
          <w:spacing w:val="-4"/>
        </w:rPr>
        <w:t> </w:t>
      </w:r>
      <w:r>
        <w:rPr/>
        <w:t>ability</w:t>
      </w:r>
      <w:r>
        <w:rPr>
          <w:spacing w:val="-4"/>
        </w:rPr>
        <w:t> </w:t>
      </w:r>
      <w:r>
        <w:rPr/>
        <w:t>to</w:t>
      </w:r>
      <w:r>
        <w:rPr>
          <w:spacing w:val="-5"/>
        </w:rPr>
        <w:t> </w:t>
      </w:r>
      <w:r>
        <w:rPr/>
        <w:t>spread</w:t>
      </w:r>
      <w:r>
        <w:rPr>
          <w:spacing w:val="-3"/>
        </w:rPr>
        <w:t> </w:t>
      </w:r>
      <w:r>
        <w:rPr/>
        <w:t>diseases</w:t>
      </w:r>
      <w:r>
        <w:rPr>
          <w:spacing w:val="-4"/>
        </w:rPr>
        <w:t> </w:t>
      </w:r>
      <w:r>
        <w:rPr/>
        <w:t>that</w:t>
      </w:r>
      <w:r>
        <w:rPr>
          <w:spacing w:val="-3"/>
        </w:rPr>
        <w:t> </w:t>
      </w:r>
      <w:r>
        <w:rPr/>
        <w:t>threaten</w:t>
      </w:r>
      <w:r>
        <w:rPr>
          <w:spacing w:val="-4"/>
        </w:rPr>
        <w:t> </w:t>
      </w:r>
      <w:r>
        <w:rPr/>
        <w:t>human,</w:t>
      </w:r>
      <w:r>
        <w:rPr>
          <w:spacing w:val="-3"/>
        </w:rPr>
        <w:t> </w:t>
      </w:r>
      <w:r>
        <w:rPr/>
        <w:t>wildlife,</w:t>
      </w:r>
      <w:r>
        <w:rPr>
          <w:spacing w:val="-5"/>
        </w:rPr>
        <w:t> </w:t>
      </w:r>
      <w:r>
        <w:rPr/>
        <w:t>and</w:t>
      </w:r>
      <w:r>
        <w:rPr>
          <w:spacing w:val="-4"/>
        </w:rPr>
        <w:t> </w:t>
      </w:r>
      <w:r>
        <w:rPr/>
        <w:t>livestock health. They are estimated to cost the Australian agricultural sector $153 million per year (Hafi et al. 2023)</w:t>
      </w:r>
    </w:p>
    <w:p>
      <w:pPr>
        <w:pStyle w:val="BodyText"/>
        <w:rPr>
          <w:sz w:val="19"/>
        </w:rPr>
      </w:pPr>
      <w:r>
        <w:rPr/>
        <mc:AlternateContent>
          <mc:Choice Requires="wps">
            <w:drawing>
              <wp:anchor distT="0" distB="0" distL="0" distR="0" allowOverlap="1" layoutInCell="1" locked="0" behindDoc="1" simplePos="0" relativeHeight="487602688">
                <wp:simplePos x="0" y="0"/>
                <wp:positionH relativeFrom="page">
                  <wp:posOffset>719327</wp:posOffset>
                </wp:positionH>
                <wp:positionV relativeFrom="paragraph">
                  <wp:posOffset>154071</wp:posOffset>
                </wp:positionV>
                <wp:extent cx="1829435" cy="635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2.131582pt;width:144.050pt;height:.47998pt;mso-position-horizontal-relative:page;mso-position-vertical-relative:paragraph;z-index:-15713792;mso-wrap-distance-left:0;mso-wrap-distance-right:0" id="docshape28" filled="true" fillcolor="#000000" stroked="false">
                <v:fill type="solid"/>
                <w10:wrap type="topAndBottom"/>
              </v:rect>
            </w:pict>
          </mc:Fallback>
        </mc:AlternateContent>
      </w:r>
    </w:p>
    <w:p>
      <w:pPr>
        <w:pStyle w:val="BodyText"/>
        <w:rPr>
          <w:sz w:val="16"/>
        </w:rPr>
      </w:pPr>
    </w:p>
    <w:p>
      <w:pPr>
        <w:pStyle w:val="BodyText"/>
        <w:rPr>
          <w:sz w:val="16"/>
        </w:rPr>
      </w:pPr>
    </w:p>
    <w:p>
      <w:pPr>
        <w:pStyle w:val="BodyText"/>
        <w:spacing w:before="1"/>
        <w:rPr>
          <w:sz w:val="16"/>
        </w:rPr>
      </w:pPr>
    </w:p>
    <w:p>
      <w:pPr>
        <w:spacing w:before="0"/>
        <w:ind w:left="454" w:right="247" w:hanging="143"/>
        <w:jc w:val="left"/>
        <w:rPr>
          <w:sz w:val="16"/>
        </w:rPr>
      </w:pPr>
      <w:bookmarkStart w:name="_bookmark1" w:id="24"/>
      <w:bookmarkEnd w:id="24"/>
      <w:r>
        <w:rPr/>
      </w:r>
      <w:r>
        <w:rPr>
          <w:sz w:val="16"/>
          <w:vertAlign w:val="superscript"/>
        </w:rPr>
        <w:t>1</w:t>
      </w:r>
      <w:r>
        <w:rPr>
          <w:spacing w:val="-2"/>
          <w:sz w:val="16"/>
          <w:vertAlign w:val="baseline"/>
        </w:rPr>
        <w:t> </w:t>
      </w:r>
      <w:r>
        <w:rPr>
          <w:sz w:val="16"/>
          <w:vertAlign w:val="baseline"/>
        </w:rPr>
        <w:t>All</w:t>
      </w:r>
      <w:r>
        <w:rPr>
          <w:spacing w:val="-5"/>
          <w:sz w:val="16"/>
          <w:vertAlign w:val="baseline"/>
        </w:rPr>
        <w:t> </w:t>
      </w:r>
      <w:r>
        <w:rPr>
          <w:sz w:val="16"/>
          <w:vertAlign w:val="baseline"/>
        </w:rPr>
        <w:t>costs</w:t>
      </w:r>
      <w:r>
        <w:rPr>
          <w:spacing w:val="-3"/>
          <w:sz w:val="16"/>
          <w:vertAlign w:val="baseline"/>
        </w:rPr>
        <w:t> </w:t>
      </w:r>
      <w:r>
        <w:rPr>
          <w:sz w:val="16"/>
          <w:vertAlign w:val="baseline"/>
        </w:rPr>
        <w:t>in</w:t>
      </w:r>
      <w:r>
        <w:rPr>
          <w:spacing w:val="-4"/>
          <w:sz w:val="16"/>
          <w:vertAlign w:val="baseline"/>
        </w:rPr>
        <w:t> </w:t>
      </w:r>
      <w:r>
        <w:rPr>
          <w:sz w:val="16"/>
          <w:vertAlign w:val="baseline"/>
        </w:rPr>
        <w:t>this review</w:t>
      </w:r>
      <w:r>
        <w:rPr>
          <w:spacing w:val="-3"/>
          <w:sz w:val="16"/>
          <w:vertAlign w:val="baseline"/>
        </w:rPr>
        <w:t> </w:t>
      </w:r>
      <w:r>
        <w:rPr>
          <w:sz w:val="16"/>
          <w:vertAlign w:val="baseline"/>
        </w:rPr>
        <w:t>are</w:t>
      </w:r>
      <w:r>
        <w:rPr>
          <w:spacing w:val="-2"/>
          <w:sz w:val="16"/>
          <w:vertAlign w:val="baseline"/>
        </w:rPr>
        <w:t> </w:t>
      </w:r>
      <w:r>
        <w:rPr>
          <w:sz w:val="16"/>
          <w:vertAlign w:val="baseline"/>
        </w:rPr>
        <w:t>presented</w:t>
      </w:r>
      <w:r>
        <w:rPr>
          <w:spacing w:val="-2"/>
          <w:sz w:val="16"/>
          <w:vertAlign w:val="baseline"/>
        </w:rPr>
        <w:t> </w:t>
      </w:r>
      <w:r>
        <w:rPr>
          <w:sz w:val="16"/>
          <w:vertAlign w:val="baseline"/>
        </w:rPr>
        <w:t>in</w:t>
      </w:r>
      <w:r>
        <w:rPr>
          <w:spacing w:val="-4"/>
          <w:sz w:val="16"/>
          <w:vertAlign w:val="baseline"/>
        </w:rPr>
        <w:t> </w:t>
      </w:r>
      <w:r>
        <w:rPr>
          <w:sz w:val="16"/>
          <w:vertAlign w:val="baseline"/>
        </w:rPr>
        <w:t>inflation-adjusted</w:t>
      </w:r>
      <w:r>
        <w:rPr>
          <w:spacing w:val="-5"/>
          <w:sz w:val="16"/>
          <w:vertAlign w:val="baseline"/>
        </w:rPr>
        <w:t> </w:t>
      </w:r>
      <w:r>
        <w:rPr>
          <w:sz w:val="16"/>
          <w:vertAlign w:val="baseline"/>
        </w:rPr>
        <w:t>dollars</w:t>
      </w:r>
      <w:r>
        <w:rPr>
          <w:spacing w:val="-2"/>
          <w:sz w:val="16"/>
          <w:vertAlign w:val="baseline"/>
        </w:rPr>
        <w:t> </w:t>
      </w:r>
      <w:r>
        <w:rPr>
          <w:sz w:val="16"/>
          <w:vertAlign w:val="baseline"/>
        </w:rPr>
        <w:t>where</w:t>
      </w:r>
      <w:r>
        <w:rPr>
          <w:spacing w:val="-2"/>
          <w:sz w:val="16"/>
          <w:vertAlign w:val="baseline"/>
        </w:rPr>
        <w:t> </w:t>
      </w:r>
      <w:r>
        <w:rPr>
          <w:sz w:val="16"/>
          <w:vertAlign w:val="baseline"/>
        </w:rPr>
        <w:t>appropriate, </w:t>
      </w:r>
      <w:r>
        <w:rPr>
          <w:spacing w:val="-2"/>
          <w:sz w:val="16"/>
          <w:vertAlign w:val="baseline"/>
        </w:rPr>
        <w:t>https://</w:t>
      </w:r>
      <w:hyperlink r:id="rId23">
        <w:r>
          <w:rPr>
            <w:spacing w:val="-2"/>
            <w:sz w:val="16"/>
            <w:vertAlign w:val="baseline"/>
          </w:rPr>
          <w:t>www.rba.gov.au/calculator/annualDecimal.html</w:t>
        </w:r>
      </w:hyperlink>
    </w:p>
    <w:p>
      <w:pPr>
        <w:spacing w:after="0"/>
        <w:jc w:val="left"/>
        <w:rPr>
          <w:sz w:val="16"/>
        </w:rPr>
        <w:sectPr>
          <w:pgSz w:w="11910" w:h="16850"/>
          <w:pgMar w:header="0" w:footer="688" w:top="1140" w:bottom="880" w:left="820" w:right="980"/>
        </w:sectPr>
      </w:pPr>
    </w:p>
    <w:p>
      <w:pPr>
        <w:pStyle w:val="BodyText"/>
        <w:spacing w:before="71"/>
        <w:ind w:left="312" w:right="163"/>
      </w:pPr>
      <w:r>
        <w:rPr/>
        <w:t>through</w:t>
      </w:r>
      <w:r>
        <w:rPr>
          <w:spacing w:val="-4"/>
        </w:rPr>
        <w:t> </w:t>
      </w:r>
      <w:r>
        <w:rPr/>
        <w:t>direct</w:t>
      </w:r>
      <w:r>
        <w:rPr>
          <w:spacing w:val="-4"/>
        </w:rPr>
        <w:t> </w:t>
      </w:r>
      <w:r>
        <w:rPr/>
        <w:t>predation</w:t>
      </w:r>
      <w:r>
        <w:rPr>
          <w:spacing w:val="-3"/>
        </w:rPr>
        <w:t> </w:t>
      </w:r>
      <w:r>
        <w:rPr/>
        <w:t>on</w:t>
      </w:r>
      <w:r>
        <w:rPr>
          <w:spacing w:val="-3"/>
        </w:rPr>
        <w:t> </w:t>
      </w:r>
      <w:r>
        <w:rPr/>
        <w:t>lambs,</w:t>
      </w:r>
      <w:r>
        <w:rPr>
          <w:spacing w:val="-4"/>
        </w:rPr>
        <w:t> </w:t>
      </w:r>
      <w:r>
        <w:rPr/>
        <w:t>competition</w:t>
      </w:r>
      <w:r>
        <w:rPr>
          <w:spacing w:val="-4"/>
        </w:rPr>
        <w:t> </w:t>
      </w:r>
      <w:r>
        <w:rPr/>
        <w:t>with</w:t>
      </w:r>
      <w:r>
        <w:rPr>
          <w:spacing w:val="-2"/>
        </w:rPr>
        <w:t> </w:t>
      </w:r>
      <w:r>
        <w:rPr/>
        <w:t>livestock</w:t>
      </w:r>
      <w:r>
        <w:rPr>
          <w:spacing w:val="-3"/>
        </w:rPr>
        <w:t> </w:t>
      </w:r>
      <w:r>
        <w:rPr/>
        <w:t>for</w:t>
      </w:r>
      <w:r>
        <w:rPr>
          <w:spacing w:val="-3"/>
        </w:rPr>
        <w:t> </w:t>
      </w:r>
      <w:r>
        <w:rPr/>
        <w:t>food,</w:t>
      </w:r>
      <w:r>
        <w:rPr>
          <w:spacing w:val="-2"/>
        </w:rPr>
        <w:t> </w:t>
      </w:r>
      <w:r>
        <w:rPr/>
        <w:t>and</w:t>
      </w:r>
      <w:r>
        <w:rPr>
          <w:spacing w:val="-4"/>
        </w:rPr>
        <w:t> </w:t>
      </w:r>
      <w:r>
        <w:rPr/>
        <w:t>damage</w:t>
      </w:r>
      <w:r>
        <w:rPr>
          <w:spacing w:val="-2"/>
        </w:rPr>
        <w:t> </w:t>
      </w:r>
      <w:r>
        <w:rPr/>
        <w:t>to</w:t>
      </w:r>
      <w:r>
        <w:rPr>
          <w:spacing w:val="-5"/>
        </w:rPr>
        <w:t> </w:t>
      </w:r>
      <w:r>
        <w:rPr/>
        <w:t>fences,</w:t>
      </w:r>
      <w:r>
        <w:rPr>
          <w:spacing w:val="-4"/>
        </w:rPr>
        <w:t> </w:t>
      </w:r>
      <w:r>
        <w:rPr/>
        <w:t>water</w:t>
      </w:r>
      <w:r>
        <w:rPr>
          <w:spacing w:val="-4"/>
        </w:rPr>
        <w:t> </w:t>
      </w:r>
      <w:r>
        <w:rPr/>
        <w:t>sources, and crops.</w:t>
      </w:r>
    </w:p>
    <w:p>
      <w:pPr>
        <w:pStyle w:val="BodyText"/>
        <w:spacing w:before="122"/>
        <w:ind w:left="312" w:right="176"/>
      </w:pPr>
      <w:r>
        <w:rPr/>
        <w:t>Feral Pigs significantly harm natural habitats by rooting for food, wallowing in water sources, trampling and consuming</w:t>
      </w:r>
      <w:r>
        <w:rPr>
          <w:spacing w:val="-3"/>
        </w:rPr>
        <w:t> </w:t>
      </w:r>
      <w:r>
        <w:rPr/>
        <w:t>native</w:t>
      </w:r>
      <w:r>
        <w:rPr>
          <w:spacing w:val="-4"/>
        </w:rPr>
        <w:t> </w:t>
      </w:r>
      <w:r>
        <w:rPr/>
        <w:t>vegetation,</w:t>
      </w:r>
      <w:r>
        <w:rPr>
          <w:spacing w:val="-4"/>
        </w:rPr>
        <w:t> </w:t>
      </w:r>
      <w:r>
        <w:rPr/>
        <w:t>and</w:t>
      </w:r>
      <w:r>
        <w:rPr>
          <w:spacing w:val="-4"/>
        </w:rPr>
        <w:t> </w:t>
      </w:r>
      <w:r>
        <w:rPr/>
        <w:t>spreading</w:t>
      </w:r>
      <w:r>
        <w:rPr>
          <w:spacing w:val="-5"/>
        </w:rPr>
        <w:t> </w:t>
      </w:r>
      <w:r>
        <w:rPr/>
        <w:t>weeds.</w:t>
      </w:r>
      <w:r>
        <w:rPr>
          <w:spacing w:val="-4"/>
        </w:rPr>
        <w:t> </w:t>
      </w:r>
      <w:r>
        <w:rPr/>
        <w:t>They</w:t>
      </w:r>
      <w:r>
        <w:rPr>
          <w:spacing w:val="-3"/>
        </w:rPr>
        <w:t> </w:t>
      </w:r>
      <w:r>
        <w:rPr/>
        <w:t>prey</w:t>
      </w:r>
      <w:r>
        <w:rPr>
          <w:spacing w:val="-3"/>
        </w:rPr>
        <w:t> </w:t>
      </w:r>
      <w:r>
        <w:rPr/>
        <w:t>on</w:t>
      </w:r>
      <w:r>
        <w:rPr>
          <w:spacing w:val="-2"/>
        </w:rPr>
        <w:t> </w:t>
      </w:r>
      <w:r>
        <w:rPr/>
        <w:t>ground-burrowing</w:t>
      </w:r>
      <w:r>
        <w:rPr>
          <w:spacing w:val="-5"/>
        </w:rPr>
        <w:t> </w:t>
      </w:r>
      <w:r>
        <w:rPr/>
        <w:t>native</w:t>
      </w:r>
      <w:r>
        <w:rPr>
          <w:spacing w:val="-4"/>
        </w:rPr>
        <w:t> </w:t>
      </w:r>
      <w:r>
        <w:rPr/>
        <w:t>species</w:t>
      </w:r>
      <w:r>
        <w:rPr>
          <w:spacing w:val="-1"/>
        </w:rPr>
        <w:t> </w:t>
      </w:r>
      <w:r>
        <w:rPr/>
        <w:t>like</w:t>
      </w:r>
      <w:r>
        <w:rPr>
          <w:spacing w:val="-4"/>
        </w:rPr>
        <w:t> </w:t>
      </w:r>
      <w:r>
        <w:rPr/>
        <w:t>frogs and turtles and endanger approximately 40 threatened species through predation, habitat degradation, competition, and disease transmission. They also pose risks to endangered plants, such as orchids, and protected ecological</w:t>
      </w:r>
      <w:r>
        <w:rPr>
          <w:spacing w:val="-3"/>
        </w:rPr>
        <w:t> </w:t>
      </w:r>
      <w:r>
        <w:rPr/>
        <w:t>communities</w:t>
      </w:r>
      <w:r>
        <w:rPr>
          <w:spacing w:val="-1"/>
        </w:rPr>
        <w:t> </w:t>
      </w:r>
      <w:r>
        <w:rPr/>
        <w:t>(EPBC</w:t>
      </w:r>
      <w:r>
        <w:rPr>
          <w:spacing w:val="-2"/>
        </w:rPr>
        <w:t> </w:t>
      </w:r>
      <w:r>
        <w:rPr/>
        <w:t>Act 1999). Feral</w:t>
      </w:r>
      <w:r>
        <w:rPr>
          <w:spacing w:val="-1"/>
        </w:rPr>
        <w:t> </w:t>
      </w:r>
      <w:r>
        <w:rPr/>
        <w:t>Pigs</w:t>
      </w:r>
      <w:r>
        <w:rPr>
          <w:spacing w:val="-1"/>
        </w:rPr>
        <w:t> </w:t>
      </w:r>
      <w:r>
        <w:rPr/>
        <w:t>are</w:t>
      </w:r>
      <w:r>
        <w:rPr>
          <w:spacing w:val="-2"/>
        </w:rPr>
        <w:t> </w:t>
      </w:r>
      <w:r>
        <w:rPr/>
        <w:t>carriers of over</w:t>
      </w:r>
      <w:r>
        <w:rPr>
          <w:spacing w:val="-1"/>
        </w:rPr>
        <w:t> </w:t>
      </w:r>
      <w:r>
        <w:rPr/>
        <w:t>45</w:t>
      </w:r>
      <w:r>
        <w:rPr>
          <w:spacing w:val="-2"/>
        </w:rPr>
        <w:t> </w:t>
      </w:r>
      <w:r>
        <w:rPr/>
        <w:t>different</w:t>
      </w:r>
      <w:r>
        <w:rPr>
          <w:spacing w:val="-2"/>
        </w:rPr>
        <w:t> </w:t>
      </w:r>
      <w:r>
        <w:rPr/>
        <w:t>parasites</w:t>
      </w:r>
      <w:r>
        <w:rPr>
          <w:spacing w:val="-1"/>
        </w:rPr>
        <w:t> </w:t>
      </w:r>
      <w:r>
        <w:rPr/>
        <w:t>and diseases, posing substantial threats to livestock, pets, native wildlife, and, occasionally, humans. An</w:t>
      </w:r>
      <w:r>
        <w:rPr>
          <w:spacing w:val="40"/>
        </w:rPr>
        <w:t> </w:t>
      </w:r>
      <w:r>
        <w:rPr/>
        <w:t>outbreak of Foot-and-Mouth Disease (FMD), which Feral Pigs can transmit, could reduce Australia's export revenue by over $10 billion. They also spread plant pathogens like </w:t>
      </w:r>
      <w:r>
        <w:rPr>
          <w:i/>
        </w:rPr>
        <w:t>Phytophthora cinnamomi</w:t>
      </w:r>
      <w:r>
        <w:rPr/>
        <w:t>, responsible for plant dieback. Currently, managing Feral Pigs nationally costs private landowners around $110 million per year (Hafi et al. 2023).</w:t>
      </w:r>
    </w:p>
    <w:p>
      <w:pPr>
        <w:pStyle w:val="BodyText"/>
        <w:spacing w:before="119"/>
        <w:ind w:left="312" w:right="247"/>
      </w:pPr>
      <w:r>
        <w:rPr/>
        <w:t>Feral Pigs have both positive and negative social impacts. They serve as a food source for recreational hunters</w:t>
      </w:r>
      <w:r>
        <w:rPr>
          <w:spacing w:val="-3"/>
        </w:rPr>
        <w:t> </w:t>
      </w:r>
      <w:r>
        <w:rPr/>
        <w:t>and</w:t>
      </w:r>
      <w:r>
        <w:rPr>
          <w:spacing w:val="-3"/>
        </w:rPr>
        <w:t> </w:t>
      </w:r>
      <w:r>
        <w:rPr/>
        <w:t>Aboriginal</w:t>
      </w:r>
      <w:r>
        <w:rPr>
          <w:spacing w:val="-6"/>
        </w:rPr>
        <w:t> </w:t>
      </w:r>
      <w:r>
        <w:rPr/>
        <w:t>and</w:t>
      </w:r>
      <w:r>
        <w:rPr>
          <w:spacing w:val="-4"/>
        </w:rPr>
        <w:t> </w:t>
      </w:r>
      <w:r>
        <w:rPr/>
        <w:t>Torres</w:t>
      </w:r>
      <w:r>
        <w:rPr>
          <w:spacing w:val="-4"/>
        </w:rPr>
        <w:t> </w:t>
      </w:r>
      <w:r>
        <w:rPr/>
        <w:t>Strait</w:t>
      </w:r>
      <w:r>
        <w:rPr>
          <w:spacing w:val="-3"/>
        </w:rPr>
        <w:t> </w:t>
      </w:r>
      <w:r>
        <w:rPr/>
        <w:t>Islander</w:t>
      </w:r>
      <w:r>
        <w:rPr>
          <w:spacing w:val="-5"/>
        </w:rPr>
        <w:t> </w:t>
      </w:r>
      <w:r>
        <w:rPr/>
        <w:t>communities.</w:t>
      </w:r>
      <w:r>
        <w:rPr>
          <w:spacing w:val="-5"/>
        </w:rPr>
        <w:t> </w:t>
      </w:r>
      <w:r>
        <w:rPr/>
        <w:t>However,</w:t>
      </w:r>
      <w:r>
        <w:rPr>
          <w:spacing w:val="-5"/>
        </w:rPr>
        <w:t> </w:t>
      </w:r>
      <w:r>
        <w:rPr/>
        <w:t>they</w:t>
      </w:r>
      <w:r>
        <w:rPr>
          <w:spacing w:val="-4"/>
        </w:rPr>
        <w:t> </w:t>
      </w:r>
      <w:r>
        <w:rPr/>
        <w:t>damage</w:t>
      </w:r>
      <w:r>
        <w:rPr>
          <w:spacing w:val="-3"/>
        </w:rPr>
        <w:t> </w:t>
      </w:r>
      <w:r>
        <w:rPr/>
        <w:t>culturally</w:t>
      </w:r>
      <w:r>
        <w:rPr>
          <w:spacing w:val="-4"/>
        </w:rPr>
        <w:t> </w:t>
      </w:r>
      <w:r>
        <w:rPr/>
        <w:t>significant sites, property, landscapes, and the amenity of national parks and reserves.</w:t>
      </w:r>
    </w:p>
    <w:p>
      <w:pPr>
        <w:pStyle w:val="BodyText"/>
        <w:spacing w:before="121"/>
        <w:ind w:left="312" w:right="224"/>
      </w:pPr>
      <w:r>
        <w:rPr/>
        <w:t>In Victoria, Feral Pigs are mainly found in the eastern half of the state and along the Murray River corridor, with isolated, deliberately translocated populations in the southwest, particularly in the Otway Ranges and around Portland. Their densities fluctuate with environmental conditions. During favourable years, when</w:t>
      </w:r>
      <w:r>
        <w:rPr/>
        <w:t> food, water, and shelter are abundant, their numbers can increase rapidly. In harsh conditions, such as drought, their populations decline due to reduced breeding and high mortality of young. Density also depends on habitat type and productivity. For example, in eucalypt woodlands, forests, and grazing lands, there may</w:t>
      </w:r>
      <w:r>
        <w:rPr>
          <w:spacing w:val="-1"/>
        </w:rPr>
        <w:t> </w:t>
      </w:r>
      <w:r>
        <w:rPr/>
        <w:t>be one</w:t>
      </w:r>
      <w:r>
        <w:rPr>
          <w:spacing w:val="-1"/>
        </w:rPr>
        <w:t> </w:t>
      </w:r>
      <w:r>
        <w:rPr/>
        <w:t>Feral</w:t>
      </w:r>
      <w:r>
        <w:rPr>
          <w:spacing w:val="-3"/>
        </w:rPr>
        <w:t> </w:t>
      </w:r>
      <w:r>
        <w:rPr/>
        <w:t>Pig per</w:t>
      </w:r>
      <w:r>
        <w:rPr>
          <w:spacing w:val="-1"/>
        </w:rPr>
        <w:t> </w:t>
      </w:r>
      <w:r>
        <w:rPr/>
        <w:t>square</w:t>
      </w:r>
      <w:r>
        <w:rPr>
          <w:spacing w:val="-2"/>
        </w:rPr>
        <w:t> </w:t>
      </w:r>
      <w:r>
        <w:rPr/>
        <w:t>kilometre,</w:t>
      </w:r>
      <w:r>
        <w:rPr>
          <w:spacing w:val="-2"/>
        </w:rPr>
        <w:t> </w:t>
      </w:r>
      <w:r>
        <w:rPr/>
        <w:t>while in</w:t>
      </w:r>
      <w:r>
        <w:rPr>
          <w:spacing w:val="-2"/>
        </w:rPr>
        <w:t> </w:t>
      </w:r>
      <w:r>
        <w:rPr/>
        <w:t>wetlands and floodplains,</w:t>
      </w:r>
      <w:r>
        <w:rPr>
          <w:spacing w:val="-2"/>
        </w:rPr>
        <w:t> </w:t>
      </w:r>
      <w:r>
        <w:rPr/>
        <w:t>densities</w:t>
      </w:r>
      <w:r>
        <w:rPr>
          <w:spacing w:val="-1"/>
        </w:rPr>
        <w:t> </w:t>
      </w:r>
      <w:r>
        <w:rPr/>
        <w:t>can reach 10– 20</w:t>
      </w:r>
      <w:r>
        <w:rPr>
          <w:spacing w:val="-8"/>
        </w:rPr>
        <w:t> </w:t>
      </w:r>
      <w:r>
        <w:rPr/>
        <w:t>pigs</w:t>
      </w:r>
      <w:r>
        <w:rPr>
          <w:spacing w:val="-7"/>
        </w:rPr>
        <w:t> </w:t>
      </w:r>
      <w:r>
        <w:rPr/>
        <w:t>per</w:t>
      </w:r>
      <w:r>
        <w:rPr>
          <w:spacing w:val="-8"/>
        </w:rPr>
        <w:t> </w:t>
      </w:r>
      <w:r>
        <w:rPr/>
        <w:t>square</w:t>
      </w:r>
      <w:r>
        <w:rPr>
          <w:spacing w:val="-8"/>
        </w:rPr>
        <w:t> </w:t>
      </w:r>
      <w:r>
        <w:rPr/>
        <w:t>kilometre</w:t>
      </w:r>
      <w:r>
        <w:rPr>
          <w:spacing w:val="-8"/>
        </w:rPr>
        <w:t> </w:t>
      </w:r>
      <w:r>
        <w:rPr/>
        <w:t>(</w:t>
      </w:r>
      <w:hyperlink r:id="rId24">
        <w:r>
          <w:rPr>
            <w:color w:val="0000FF"/>
            <w:u w:val="single" w:color="0000FF"/>
          </w:rPr>
          <w:t>https://agriculture.vic.gov.au/biosecurity/pest-animals/established-pest-animal-</w:t>
        </w:r>
      </w:hyperlink>
      <w:r>
        <w:rPr>
          <w:color w:val="0000FF"/>
          <w:u w:val="none"/>
        </w:rPr>
        <w:t> </w:t>
      </w:r>
      <w:hyperlink r:id="rId24">
        <w:r>
          <w:rPr>
            <w:color w:val="0000FF"/>
            <w:u w:val="single" w:color="0000FF"/>
          </w:rPr>
          <w:t>species</w:t>
        </w:r>
      </w:hyperlink>
      <w:r>
        <w:rPr>
          <w:u w:val="none"/>
        </w:rPr>
        <w:t>). In the Budj Bim cultural landscape in southwest Victoria, Woodford et al. (2023) estimated a Feral Pig density of 5.4 pigs/km² (95% CI: 4.5–6.3).</w:t>
      </w:r>
    </w:p>
    <w:p>
      <w:pPr>
        <w:pStyle w:val="BodyText"/>
        <w:spacing w:before="120"/>
        <w:ind w:left="312" w:right="247"/>
      </w:pPr>
      <w:r>
        <w:rPr/>
        <w:t>Public and private land managers currently have several tools for controlling Feral Pigs, including poison baiting (1080 and sodium nitrate). Sodium nitrite induces methaemoglobinaemia in Feral Pigs, a condition characterised by elevated methemoglobin levels that inhibit oxygen from binding to haemoglobin (Cowled, Elsworth,</w:t>
      </w:r>
      <w:r>
        <w:rPr>
          <w:spacing w:val="-3"/>
        </w:rPr>
        <w:t> </w:t>
      </w:r>
      <w:r>
        <w:rPr/>
        <w:t>and</w:t>
      </w:r>
      <w:r>
        <w:rPr>
          <w:spacing w:val="-4"/>
        </w:rPr>
        <w:t> </w:t>
      </w:r>
      <w:r>
        <w:rPr/>
        <w:t>Lapidge</w:t>
      </w:r>
      <w:r>
        <w:rPr>
          <w:spacing w:val="-3"/>
        </w:rPr>
        <w:t> </w:t>
      </w:r>
      <w:r>
        <w:rPr/>
        <w:t>2008).</w:t>
      </w:r>
      <w:r>
        <w:rPr>
          <w:spacing w:val="-3"/>
        </w:rPr>
        <w:t> </w:t>
      </w:r>
      <w:r>
        <w:rPr/>
        <w:t>Feral</w:t>
      </w:r>
      <w:r>
        <w:rPr>
          <w:spacing w:val="-2"/>
        </w:rPr>
        <w:t> </w:t>
      </w:r>
      <w:r>
        <w:rPr/>
        <w:t>Pigs</w:t>
      </w:r>
      <w:r>
        <w:rPr>
          <w:spacing w:val="-2"/>
        </w:rPr>
        <w:t> </w:t>
      </w:r>
      <w:r>
        <w:rPr/>
        <w:t>are</w:t>
      </w:r>
      <w:r>
        <w:rPr>
          <w:spacing w:val="-1"/>
        </w:rPr>
        <w:t> </w:t>
      </w:r>
      <w:r>
        <w:rPr/>
        <w:t>particularly</w:t>
      </w:r>
      <w:r>
        <w:rPr>
          <w:spacing w:val="-2"/>
        </w:rPr>
        <w:t> </w:t>
      </w:r>
      <w:r>
        <w:rPr/>
        <w:t>vulnerable</w:t>
      </w:r>
      <w:r>
        <w:rPr>
          <w:spacing w:val="-3"/>
        </w:rPr>
        <w:t> </w:t>
      </w:r>
      <w:r>
        <w:rPr/>
        <w:t>to</w:t>
      </w:r>
      <w:r>
        <w:rPr>
          <w:spacing w:val="-3"/>
        </w:rPr>
        <w:t> </w:t>
      </w:r>
      <w:r>
        <w:rPr/>
        <w:t>this</w:t>
      </w:r>
      <w:r>
        <w:rPr>
          <w:spacing w:val="-2"/>
        </w:rPr>
        <w:t> </w:t>
      </w:r>
      <w:r>
        <w:rPr/>
        <w:t>condition</w:t>
      </w:r>
      <w:r>
        <w:rPr>
          <w:spacing w:val="-4"/>
        </w:rPr>
        <w:t> </w:t>
      </w:r>
      <w:r>
        <w:rPr/>
        <w:t>due</w:t>
      </w:r>
      <w:r>
        <w:rPr>
          <w:spacing w:val="-4"/>
        </w:rPr>
        <w:t> </w:t>
      </w:r>
      <w:r>
        <w:rPr/>
        <w:t>to</w:t>
      </w:r>
      <w:r>
        <w:rPr>
          <w:spacing w:val="-3"/>
        </w:rPr>
        <w:t> </w:t>
      </w:r>
      <w:r>
        <w:rPr/>
        <w:t>their low</w:t>
      </w:r>
      <w:r>
        <w:rPr>
          <w:spacing w:val="-1"/>
        </w:rPr>
        <w:t> </w:t>
      </w:r>
      <w:r>
        <w:rPr/>
        <w:t>levels</w:t>
      </w:r>
      <w:r>
        <w:rPr>
          <w:spacing w:val="-2"/>
        </w:rPr>
        <w:t> </w:t>
      </w:r>
      <w:r>
        <w:rPr/>
        <w:t>of methemoglobin reductase, the enzyme responsible for reversing methemoglobin formation. Other methods include, trapping, ground and aerial shooting, exclusion fencing, property hygiene, and harbor removal.</w:t>
      </w:r>
    </w:p>
    <w:p>
      <w:pPr>
        <w:pStyle w:val="BodyText"/>
        <w:spacing w:before="1"/>
        <w:ind w:left="312" w:right="564"/>
      </w:pPr>
      <w:r>
        <w:rPr/>
        <w:t>Detailed information on these tools is available on the Agriculture Victoria website </w:t>
      </w:r>
      <w:r>
        <w:rPr>
          <w:spacing w:val="-2"/>
        </w:rPr>
        <w:t>(</w:t>
      </w:r>
      <w:hyperlink r:id="rId25">
        <w:r>
          <w:rPr>
            <w:color w:val="0000FF"/>
            <w:spacing w:val="-2"/>
            <w:u w:val="single" w:color="0000FF"/>
          </w:rPr>
          <w:t>https://agriculture.vic.gov.au/biosecurity/pest-animals/invasive-animal-management/integrated-feral-pig-</w:t>
        </w:r>
      </w:hyperlink>
      <w:r>
        <w:rPr>
          <w:color w:val="0000FF"/>
          <w:spacing w:val="-2"/>
          <w:u w:val="none"/>
        </w:rPr>
        <w:t> </w:t>
      </w:r>
      <w:hyperlink r:id="rId25">
        <w:r>
          <w:rPr>
            <w:color w:val="0000FF"/>
            <w:u w:val="single" w:color="0000FF"/>
          </w:rPr>
          <w:t>control</w:t>
        </w:r>
      </w:hyperlink>
      <w:r>
        <w:rPr>
          <w:u w:val="none"/>
        </w:rPr>
        <w:t>) and the Centre for Invasive Species Solutions PestSmart website (</w:t>
      </w:r>
      <w:hyperlink r:id="rId26">
        <w:r>
          <w:rPr>
            <w:color w:val="0000FF"/>
            <w:u w:val="single" w:color="0000FF"/>
          </w:rPr>
          <w:t>https://pestsmart.org.au/wp-</w:t>
        </w:r>
      </w:hyperlink>
      <w:r>
        <w:rPr>
          <w:color w:val="0000FF"/>
          <w:u w:val="none"/>
        </w:rPr>
        <w:t> </w:t>
      </w:r>
      <w:hyperlink r:id="rId26">
        <w:r>
          <w:rPr>
            <w:color w:val="0000FF"/>
            <w:spacing w:val="-2"/>
            <w:u w:val="single" w:color="0000FF"/>
          </w:rPr>
          <w:t>content/uploads/sites/3/2020/09/CISS-Glovebox-Guide-Pig-web.pdf</w:t>
        </w:r>
      </w:hyperlink>
      <w:r>
        <w:rPr>
          <w:spacing w:val="-2"/>
          <w:u w:val="none"/>
        </w:rPr>
        <w:t>).</w:t>
      </w:r>
    </w:p>
    <w:p>
      <w:pPr>
        <w:pStyle w:val="BodyText"/>
        <w:spacing w:before="108"/>
        <w:rPr>
          <w:sz w:val="24"/>
        </w:rPr>
      </w:pPr>
    </w:p>
    <w:p>
      <w:pPr>
        <w:pStyle w:val="Heading3"/>
        <w:numPr>
          <w:ilvl w:val="1"/>
          <w:numId w:val="11"/>
        </w:numPr>
        <w:tabs>
          <w:tab w:pos="889" w:val="left" w:leader="none"/>
        </w:tabs>
        <w:spacing w:line="240" w:lineRule="auto" w:before="0" w:after="0"/>
        <w:ind w:left="889" w:right="0" w:hanging="577"/>
        <w:jc w:val="left"/>
      </w:pPr>
      <w:bookmarkStart w:name="_TOC_250072" w:id="25"/>
      <w:r>
        <w:rPr>
          <w:color w:val="2D1E66"/>
        </w:rPr>
        <w:t>Red</w:t>
      </w:r>
      <w:r>
        <w:rPr>
          <w:color w:val="2D1E66"/>
          <w:spacing w:val="-6"/>
        </w:rPr>
        <w:t> </w:t>
      </w:r>
      <w:bookmarkEnd w:id="25"/>
      <w:r>
        <w:rPr>
          <w:color w:val="2D1E66"/>
          <w:spacing w:val="-2"/>
        </w:rPr>
        <w:t>Foxes</w:t>
      </w:r>
    </w:p>
    <w:p>
      <w:pPr>
        <w:pStyle w:val="BodyText"/>
        <w:spacing w:before="112"/>
        <w:ind w:left="312"/>
      </w:pPr>
      <w:r>
        <w:rPr/>
        <w:t>Foxes</w:t>
      </w:r>
      <w:r>
        <w:rPr>
          <w:spacing w:val="-4"/>
        </w:rPr>
        <w:t> </w:t>
      </w:r>
      <w:r>
        <w:rPr/>
        <w:t>rank</w:t>
      </w:r>
      <w:r>
        <w:rPr>
          <w:spacing w:val="-4"/>
        </w:rPr>
        <w:t> </w:t>
      </w:r>
      <w:r>
        <w:rPr/>
        <w:t>among</w:t>
      </w:r>
      <w:r>
        <w:rPr>
          <w:spacing w:val="-4"/>
        </w:rPr>
        <w:t> </w:t>
      </w:r>
      <w:r>
        <w:rPr/>
        <w:t>Australia's</w:t>
      </w:r>
      <w:r>
        <w:rPr>
          <w:spacing w:val="-4"/>
        </w:rPr>
        <w:t> </w:t>
      </w:r>
      <w:r>
        <w:rPr/>
        <w:t>most</w:t>
      </w:r>
      <w:r>
        <w:rPr>
          <w:spacing w:val="-5"/>
        </w:rPr>
        <w:t> </w:t>
      </w:r>
      <w:r>
        <w:rPr/>
        <w:t>destructive</w:t>
      </w:r>
      <w:r>
        <w:rPr>
          <w:spacing w:val="-5"/>
        </w:rPr>
        <w:t> </w:t>
      </w:r>
      <w:r>
        <w:rPr/>
        <w:t>agricultural</w:t>
      </w:r>
      <w:r>
        <w:rPr>
          <w:spacing w:val="-4"/>
        </w:rPr>
        <w:t> </w:t>
      </w:r>
      <w:r>
        <w:rPr/>
        <w:t>pest</w:t>
      </w:r>
      <w:r>
        <w:rPr>
          <w:spacing w:val="-5"/>
        </w:rPr>
        <w:t> </w:t>
      </w:r>
      <w:r>
        <w:rPr/>
        <w:t>animals,</w:t>
      </w:r>
      <w:r>
        <w:rPr>
          <w:spacing w:val="-5"/>
        </w:rPr>
        <w:t> </w:t>
      </w:r>
      <w:r>
        <w:rPr/>
        <w:t>capable</w:t>
      </w:r>
      <w:r>
        <w:rPr>
          <w:spacing w:val="-1"/>
        </w:rPr>
        <w:t> </w:t>
      </w:r>
      <w:r>
        <w:rPr/>
        <w:t>of</w:t>
      </w:r>
      <w:r>
        <w:rPr>
          <w:spacing w:val="-5"/>
        </w:rPr>
        <w:t> </w:t>
      </w:r>
      <w:r>
        <w:rPr/>
        <w:t>rapidly</w:t>
      </w:r>
      <w:r>
        <w:rPr>
          <w:spacing w:val="-2"/>
        </w:rPr>
        <w:t> </w:t>
      </w:r>
      <w:r>
        <w:rPr/>
        <w:t>injuring</w:t>
      </w:r>
      <w:r>
        <w:rPr>
          <w:spacing w:val="-4"/>
        </w:rPr>
        <w:t> </w:t>
      </w:r>
      <w:r>
        <w:rPr/>
        <w:t>or</w:t>
      </w:r>
      <w:r>
        <w:rPr>
          <w:spacing w:val="-5"/>
        </w:rPr>
        <w:t> </w:t>
      </w:r>
      <w:r>
        <w:rPr/>
        <w:t>killing significant numbers of livestock, including lambs (</w:t>
      </w:r>
      <w:r>
        <w:rPr>
          <w:i/>
        </w:rPr>
        <w:t>Ovis aries</w:t>
      </w:r>
      <w:r>
        <w:rPr/>
        <w:t>), Goats (</w:t>
      </w:r>
      <w:r>
        <w:rPr>
          <w:i/>
        </w:rPr>
        <w:t>Capra hircus</w:t>
      </w:r>
      <w:r>
        <w:rPr/>
        <w:t>), and poultry, as well as domestic pets (Saunders et al. 2010). They can introduce diseases like distemper, parvovirus, and mange, which have costly and distressing effects on both humans and animals. Indeed, it was estimated that foxes caused $51 million in lost production in Australia, in 2023 alone (Hafi et al. 2023).</w:t>
      </w:r>
    </w:p>
    <w:p>
      <w:pPr>
        <w:pStyle w:val="BodyText"/>
        <w:spacing w:before="120"/>
        <w:ind w:left="312" w:right="172"/>
      </w:pPr>
      <w:r>
        <w:rPr/>
        <w:t>Foxes are a major cause of the decline of many small to medium-sized mammal species, especially those within the critical weight range of 35 to 5,500 grams</w:t>
      </w:r>
      <w:r>
        <w:rPr>
          <w:spacing w:val="12"/>
        </w:rPr>
        <w:t> </w:t>
      </w:r>
      <w:r>
        <w:rPr/>
        <w:t>(Burbidge and McKenzie 1989). They also prey on</w:t>
      </w:r>
      <w:r>
        <w:rPr>
          <w:spacing w:val="40"/>
        </w:rPr>
        <w:t> </w:t>
      </w:r>
      <w:r>
        <w:rPr/>
        <w:t>native birds and reptiles. Due to their impact, fox predation is classified as a key threatening process under the</w:t>
      </w:r>
      <w:r>
        <w:rPr>
          <w:spacing w:val="-1"/>
        </w:rPr>
        <w:t> </w:t>
      </w:r>
      <w:r>
        <w:rPr/>
        <w:t>EPBC</w:t>
      </w:r>
      <w:r>
        <w:rPr>
          <w:spacing w:val="-1"/>
        </w:rPr>
        <w:t> </w:t>
      </w:r>
      <w:r>
        <w:rPr/>
        <w:t>Act</w:t>
      </w:r>
      <w:r>
        <w:rPr>
          <w:spacing w:val="-4"/>
        </w:rPr>
        <w:t> </w:t>
      </w:r>
      <w:r>
        <w:rPr/>
        <w:t>1999.</w:t>
      </w:r>
      <w:r>
        <w:rPr>
          <w:spacing w:val="-2"/>
        </w:rPr>
        <w:t> </w:t>
      </w:r>
      <w:r>
        <w:rPr/>
        <w:t>In</w:t>
      </w:r>
      <w:r>
        <w:rPr>
          <w:spacing w:val="-2"/>
        </w:rPr>
        <w:t> </w:t>
      </w:r>
      <w:r>
        <w:rPr/>
        <w:t>Victoria,</w:t>
      </w:r>
      <w:r>
        <w:rPr>
          <w:spacing w:val="-2"/>
        </w:rPr>
        <w:t> </w:t>
      </w:r>
      <w:r>
        <w:rPr/>
        <w:t>an</w:t>
      </w:r>
      <w:r>
        <w:rPr>
          <w:spacing w:val="-5"/>
        </w:rPr>
        <w:t> </w:t>
      </w:r>
      <w:r>
        <w:rPr/>
        <w:t>evaluation</w:t>
      </w:r>
      <w:r>
        <w:rPr>
          <w:spacing w:val="-3"/>
        </w:rPr>
        <w:t> </w:t>
      </w:r>
      <w:r>
        <w:rPr/>
        <w:t>of</w:t>
      </w:r>
      <w:r>
        <w:rPr>
          <w:spacing w:val="-4"/>
        </w:rPr>
        <w:t> </w:t>
      </w:r>
      <w:r>
        <w:rPr/>
        <w:t>893</w:t>
      </w:r>
      <w:r>
        <w:rPr>
          <w:spacing w:val="-4"/>
        </w:rPr>
        <w:t> </w:t>
      </w:r>
      <w:r>
        <w:rPr/>
        <w:t>species</w:t>
      </w:r>
      <w:r>
        <w:rPr>
          <w:spacing w:val="-3"/>
        </w:rPr>
        <w:t> </w:t>
      </w:r>
      <w:r>
        <w:rPr/>
        <w:t>based</w:t>
      </w:r>
      <w:r>
        <w:rPr>
          <w:spacing w:val="-3"/>
        </w:rPr>
        <w:t> </w:t>
      </w:r>
      <w:r>
        <w:rPr/>
        <w:t>on</w:t>
      </w:r>
      <w:r>
        <w:rPr>
          <w:spacing w:val="-5"/>
        </w:rPr>
        <w:t> </w:t>
      </w:r>
      <w:r>
        <w:rPr/>
        <w:t>various</w:t>
      </w:r>
      <w:r>
        <w:rPr>
          <w:spacing w:val="-3"/>
        </w:rPr>
        <w:t> </w:t>
      </w:r>
      <w:r>
        <w:rPr/>
        <w:t>life</w:t>
      </w:r>
      <w:r>
        <w:rPr>
          <w:spacing w:val="-4"/>
        </w:rPr>
        <w:t> </w:t>
      </w:r>
      <w:r>
        <w:rPr/>
        <w:t>history</w:t>
      </w:r>
      <w:r>
        <w:rPr>
          <w:spacing w:val="-2"/>
        </w:rPr>
        <w:t> </w:t>
      </w:r>
      <w:r>
        <w:rPr/>
        <w:t>traits</w:t>
      </w:r>
      <w:r>
        <w:rPr>
          <w:spacing w:val="-3"/>
        </w:rPr>
        <w:t> </w:t>
      </w:r>
      <w:r>
        <w:rPr/>
        <w:t>identified</w:t>
      </w:r>
      <w:r>
        <w:rPr>
          <w:spacing w:val="-2"/>
        </w:rPr>
        <w:t> </w:t>
      </w:r>
      <w:r>
        <w:rPr/>
        <w:t>293 species as highly vulnerable to fox predation (Kennedy and Ferns 2015).</w:t>
      </w:r>
    </w:p>
    <w:p>
      <w:pPr>
        <w:pStyle w:val="BodyText"/>
        <w:spacing w:before="122"/>
        <w:ind w:left="312" w:right="163"/>
      </w:pPr>
      <w:r>
        <w:rPr/>
        <w:t>In Victoria, foxes are the most widespread of all the four major pest species, found in urban areas and in every biome, from coastal habitats to alpine environments. Fox density has been measured in only a few areas</w:t>
      </w:r>
      <w:r>
        <w:rPr>
          <w:spacing w:val="-3"/>
        </w:rPr>
        <w:t> </w:t>
      </w:r>
      <w:r>
        <w:rPr/>
        <w:t>in</w:t>
      </w:r>
      <w:r>
        <w:rPr>
          <w:spacing w:val="-2"/>
        </w:rPr>
        <w:t> </w:t>
      </w:r>
      <w:r>
        <w:rPr/>
        <w:t>Victoria.</w:t>
      </w:r>
      <w:r>
        <w:rPr>
          <w:spacing w:val="-3"/>
        </w:rPr>
        <w:t> </w:t>
      </w:r>
      <w:r>
        <w:rPr/>
        <w:t>For</w:t>
      </w:r>
      <w:r>
        <w:rPr>
          <w:spacing w:val="-1"/>
        </w:rPr>
        <w:t> </w:t>
      </w:r>
      <w:r>
        <w:rPr/>
        <w:t>instance,</w:t>
      </w:r>
      <w:r>
        <w:rPr>
          <w:spacing w:val="-3"/>
        </w:rPr>
        <w:t> </w:t>
      </w:r>
      <w:r>
        <w:rPr/>
        <w:t>densities</w:t>
      </w:r>
      <w:r>
        <w:rPr>
          <w:spacing w:val="-3"/>
        </w:rPr>
        <w:t> </w:t>
      </w:r>
      <w:r>
        <w:rPr/>
        <w:t>are</w:t>
      </w:r>
      <w:r>
        <w:rPr>
          <w:spacing w:val="-3"/>
        </w:rPr>
        <w:t> </w:t>
      </w:r>
      <w:r>
        <w:rPr/>
        <w:t>estimated</w:t>
      </w:r>
      <w:r>
        <w:rPr>
          <w:spacing w:val="-3"/>
        </w:rPr>
        <w:t> </w:t>
      </w:r>
      <w:r>
        <w:rPr/>
        <w:t>at</w:t>
      </w:r>
      <w:r>
        <w:rPr>
          <w:spacing w:val="-3"/>
        </w:rPr>
        <w:t> </w:t>
      </w:r>
      <w:r>
        <w:rPr/>
        <w:t>0.28</w:t>
      </w:r>
      <w:r>
        <w:rPr>
          <w:spacing w:val="-4"/>
        </w:rPr>
        <w:t> </w:t>
      </w:r>
      <w:r>
        <w:rPr/>
        <w:t>foxes</w:t>
      </w:r>
      <w:r>
        <w:rPr>
          <w:spacing w:val="-3"/>
        </w:rPr>
        <w:t> </w:t>
      </w:r>
      <w:r>
        <w:rPr/>
        <w:t>km²</w:t>
      </w:r>
      <w:r>
        <w:rPr>
          <w:spacing w:val="-3"/>
        </w:rPr>
        <w:t> </w:t>
      </w:r>
      <w:r>
        <w:rPr/>
        <w:t>in</w:t>
      </w:r>
      <w:r>
        <w:rPr>
          <w:spacing w:val="-2"/>
        </w:rPr>
        <w:t> </w:t>
      </w:r>
      <w:r>
        <w:rPr/>
        <w:t>wet</w:t>
      </w:r>
      <w:r>
        <w:rPr>
          <w:spacing w:val="-3"/>
        </w:rPr>
        <w:t> </w:t>
      </w:r>
      <w:r>
        <w:rPr/>
        <w:t>forests</w:t>
      </w:r>
      <w:r>
        <w:rPr>
          <w:spacing w:val="-3"/>
        </w:rPr>
        <w:t> </w:t>
      </w:r>
      <w:r>
        <w:rPr/>
        <w:t>in</w:t>
      </w:r>
      <w:r>
        <w:rPr>
          <w:spacing w:val="-3"/>
        </w:rPr>
        <w:t> </w:t>
      </w:r>
      <w:r>
        <w:rPr/>
        <w:t>southwest</w:t>
      </w:r>
      <w:r>
        <w:rPr>
          <w:spacing w:val="-2"/>
        </w:rPr>
        <w:t> </w:t>
      </w:r>
      <w:r>
        <w:rPr/>
        <w:t>Victoria (Le Pla et al. 2022) and range between 0.69 (95% CI: 0.47–1.0) and 1.06 (95% CI: 0.74–1.51) foxes/km² in the Wimmera/Mallee region (Keem et al. 2023). In temperate agricultural areas of Australia, fox densities typically</w:t>
      </w:r>
      <w:r>
        <w:rPr>
          <w:spacing w:val="-2"/>
        </w:rPr>
        <w:t> </w:t>
      </w:r>
      <w:r>
        <w:rPr/>
        <w:t>range</w:t>
      </w:r>
      <w:r>
        <w:rPr>
          <w:spacing w:val="-3"/>
        </w:rPr>
        <w:t> </w:t>
      </w:r>
      <w:r>
        <w:rPr/>
        <w:t>between</w:t>
      </w:r>
      <w:r>
        <w:rPr>
          <w:spacing w:val="-4"/>
        </w:rPr>
        <w:t> </w:t>
      </w:r>
      <w:r>
        <w:rPr/>
        <w:t>4</w:t>
      </w:r>
      <w:r>
        <w:rPr>
          <w:spacing w:val="-1"/>
        </w:rPr>
        <w:t> </w:t>
      </w:r>
      <w:r>
        <w:rPr/>
        <w:t>and</w:t>
      </w:r>
      <w:r>
        <w:rPr>
          <w:spacing w:val="-4"/>
        </w:rPr>
        <w:t> </w:t>
      </w:r>
      <w:r>
        <w:rPr/>
        <w:t>8</w:t>
      </w:r>
      <w:r>
        <w:rPr>
          <w:spacing w:val="-1"/>
        </w:rPr>
        <w:t> </w:t>
      </w:r>
      <w:r>
        <w:rPr/>
        <w:t>foxes/km²</w:t>
      </w:r>
      <w:r>
        <w:rPr>
          <w:spacing w:val="-2"/>
        </w:rPr>
        <w:t> </w:t>
      </w:r>
      <w:r>
        <w:rPr/>
        <w:t>(Saunders</w:t>
      </w:r>
      <w:r>
        <w:rPr>
          <w:spacing w:val="-1"/>
        </w:rPr>
        <w:t> </w:t>
      </w:r>
      <w:r>
        <w:rPr/>
        <w:t>et</w:t>
      </w:r>
      <w:r>
        <w:rPr>
          <w:spacing w:val="-3"/>
        </w:rPr>
        <w:t> </w:t>
      </w:r>
      <w:r>
        <w:rPr/>
        <w:t>al.</w:t>
      </w:r>
      <w:r>
        <w:rPr>
          <w:spacing w:val="-3"/>
        </w:rPr>
        <w:t> </w:t>
      </w:r>
      <w:r>
        <w:rPr/>
        <w:t>1995),</w:t>
      </w:r>
      <w:r>
        <w:rPr>
          <w:spacing w:val="-3"/>
        </w:rPr>
        <w:t> </w:t>
      </w:r>
      <w:r>
        <w:rPr/>
        <w:t>while</w:t>
      </w:r>
      <w:r>
        <w:rPr>
          <w:spacing w:val="-1"/>
        </w:rPr>
        <w:t> </w:t>
      </w:r>
      <w:r>
        <w:rPr/>
        <w:t>in</w:t>
      </w:r>
      <w:r>
        <w:rPr>
          <w:spacing w:val="-1"/>
        </w:rPr>
        <w:t> </w:t>
      </w:r>
      <w:r>
        <w:rPr/>
        <w:t>urban</w:t>
      </w:r>
      <w:r>
        <w:rPr>
          <w:spacing w:val="-1"/>
        </w:rPr>
        <w:t> </w:t>
      </w:r>
      <w:r>
        <w:rPr/>
        <w:t>areas</w:t>
      </w:r>
      <w:r>
        <w:rPr>
          <w:spacing w:val="-2"/>
        </w:rPr>
        <w:t> </w:t>
      </w:r>
      <w:r>
        <w:rPr/>
        <w:t>of</w:t>
      </w:r>
      <w:r>
        <w:rPr>
          <w:spacing w:val="-1"/>
        </w:rPr>
        <w:t> </w:t>
      </w:r>
      <w:r>
        <w:rPr/>
        <w:t>Victoria,</w:t>
      </w:r>
      <w:r>
        <w:rPr>
          <w:spacing w:val="-1"/>
        </w:rPr>
        <w:t> </w:t>
      </w:r>
      <w:r>
        <w:rPr/>
        <w:t>densities as high as 16–30 foxes/km² have been recorded (Marks and Bloomfield 2006).</w:t>
      </w:r>
    </w:p>
    <w:p>
      <w:pPr>
        <w:pStyle w:val="BodyText"/>
        <w:spacing w:before="118"/>
        <w:ind w:left="312" w:right="167"/>
      </w:pPr>
      <w:r>
        <w:rPr/>
        <w:t>The tools available to public and private land managers for fox control include poison baiting (1080 and PAPP). Concerns about non-target risks associated with broad-scale baiting—using 1080 or any other toxins—along with issues related to humaneness and the absence of an antidote, have driven research into alternative</w:t>
      </w:r>
      <w:r>
        <w:rPr>
          <w:spacing w:val="-3"/>
        </w:rPr>
        <w:t> </w:t>
      </w:r>
      <w:r>
        <w:rPr/>
        <w:t>toxins.</w:t>
      </w:r>
      <w:r>
        <w:rPr>
          <w:spacing w:val="-1"/>
        </w:rPr>
        <w:t> </w:t>
      </w:r>
      <w:r>
        <w:rPr/>
        <w:t>PAPP</w:t>
      </w:r>
      <w:r>
        <w:rPr>
          <w:spacing w:val="-1"/>
        </w:rPr>
        <w:t> </w:t>
      </w:r>
      <w:r>
        <w:rPr/>
        <w:t>has</w:t>
      </w:r>
      <w:r>
        <w:rPr>
          <w:spacing w:val="-2"/>
        </w:rPr>
        <w:t> </w:t>
      </w:r>
      <w:r>
        <w:rPr/>
        <w:t>been</w:t>
      </w:r>
      <w:r>
        <w:rPr>
          <w:spacing w:val="-2"/>
        </w:rPr>
        <w:t> </w:t>
      </w:r>
      <w:r>
        <w:rPr/>
        <w:t>developed</w:t>
      </w:r>
      <w:r>
        <w:rPr>
          <w:spacing w:val="-2"/>
        </w:rPr>
        <w:t> </w:t>
      </w:r>
      <w:r>
        <w:rPr/>
        <w:t>over</w:t>
      </w:r>
      <w:r>
        <w:rPr>
          <w:spacing w:val="-3"/>
        </w:rPr>
        <w:t> </w:t>
      </w:r>
      <w:r>
        <w:rPr/>
        <w:t>the</w:t>
      </w:r>
      <w:r>
        <w:rPr>
          <w:spacing w:val="-1"/>
        </w:rPr>
        <w:t> </w:t>
      </w:r>
      <w:r>
        <w:rPr/>
        <w:t>past</w:t>
      </w:r>
      <w:r>
        <w:rPr>
          <w:spacing w:val="-3"/>
        </w:rPr>
        <w:t> </w:t>
      </w:r>
      <w:r>
        <w:rPr/>
        <w:t>24</w:t>
      </w:r>
      <w:r>
        <w:rPr>
          <w:spacing w:val="-1"/>
        </w:rPr>
        <w:t> </w:t>
      </w:r>
      <w:r>
        <w:rPr/>
        <w:t>years</w:t>
      </w:r>
      <w:r>
        <w:rPr>
          <w:spacing w:val="-2"/>
        </w:rPr>
        <w:t> </w:t>
      </w:r>
      <w:r>
        <w:rPr/>
        <w:t>as</w:t>
      </w:r>
      <w:r>
        <w:rPr>
          <w:spacing w:val="-2"/>
        </w:rPr>
        <w:t> </w:t>
      </w:r>
      <w:r>
        <w:rPr/>
        <w:t>a</w:t>
      </w:r>
      <w:r>
        <w:rPr>
          <w:spacing w:val="-4"/>
        </w:rPr>
        <w:t> </w:t>
      </w:r>
      <w:r>
        <w:rPr/>
        <w:t>toxin</w:t>
      </w:r>
      <w:r>
        <w:rPr>
          <w:spacing w:val="-1"/>
        </w:rPr>
        <w:t> </w:t>
      </w:r>
      <w:r>
        <w:rPr/>
        <w:t>for</w:t>
      </w:r>
      <w:r>
        <w:rPr>
          <w:spacing w:val="-1"/>
        </w:rPr>
        <w:t> </w:t>
      </w:r>
      <w:r>
        <w:rPr/>
        <w:t>pest</w:t>
      </w:r>
      <w:r>
        <w:rPr>
          <w:spacing w:val="-3"/>
        </w:rPr>
        <w:t> </w:t>
      </w:r>
      <w:r>
        <w:rPr/>
        <w:t>animal</w:t>
      </w:r>
      <w:r>
        <w:rPr>
          <w:spacing w:val="-4"/>
        </w:rPr>
        <w:t> </w:t>
      </w:r>
      <w:r>
        <w:rPr/>
        <w:t>control</w:t>
      </w:r>
      <w:r>
        <w:rPr>
          <w:spacing w:val="-4"/>
        </w:rPr>
        <w:t> </w:t>
      </w:r>
      <w:r>
        <w:rPr/>
        <w:t>in</w:t>
      </w:r>
      <w:r>
        <w:rPr>
          <w:spacing w:val="-3"/>
        </w:rPr>
        <w:t> </w:t>
      </w:r>
      <w:r>
        <w:rPr/>
        <w:t>both</w:t>
      </w:r>
    </w:p>
    <w:p>
      <w:pPr>
        <w:spacing w:after="0"/>
        <w:sectPr>
          <w:pgSz w:w="11910" w:h="16850"/>
          <w:pgMar w:header="0" w:footer="688" w:top="1060" w:bottom="880" w:left="820" w:right="980"/>
        </w:sectPr>
      </w:pPr>
    </w:p>
    <w:p>
      <w:pPr>
        <w:pStyle w:val="BodyText"/>
        <w:spacing w:before="71"/>
        <w:ind w:left="312" w:right="168"/>
      </w:pPr>
      <w:r>
        <w:rPr/>
        <w:t>New</w:t>
      </w:r>
      <w:r>
        <w:rPr>
          <w:spacing w:val="-3"/>
        </w:rPr>
        <w:t> </w:t>
      </w:r>
      <w:r>
        <w:rPr/>
        <w:t>Zealand</w:t>
      </w:r>
      <w:r>
        <w:rPr>
          <w:spacing w:val="-3"/>
        </w:rPr>
        <w:t> </w:t>
      </w:r>
      <w:r>
        <w:rPr/>
        <w:t>(Eason</w:t>
      </w:r>
      <w:r>
        <w:rPr>
          <w:spacing w:val="-2"/>
        </w:rPr>
        <w:t> </w:t>
      </w:r>
      <w:r>
        <w:rPr/>
        <w:t>et</w:t>
      </w:r>
      <w:r>
        <w:rPr>
          <w:spacing w:val="-3"/>
        </w:rPr>
        <w:t> </w:t>
      </w:r>
      <w:r>
        <w:rPr/>
        <w:t>al.</w:t>
      </w:r>
      <w:r>
        <w:rPr>
          <w:spacing w:val="-1"/>
        </w:rPr>
        <w:t> </w:t>
      </w:r>
      <w:r>
        <w:rPr/>
        <w:t>2014) and</w:t>
      </w:r>
      <w:r>
        <w:rPr>
          <w:spacing w:val="-1"/>
        </w:rPr>
        <w:t> </w:t>
      </w:r>
      <w:r>
        <w:rPr/>
        <w:t>Australia</w:t>
      </w:r>
      <w:r>
        <w:rPr>
          <w:spacing w:val="-2"/>
        </w:rPr>
        <w:t> </w:t>
      </w:r>
      <w:r>
        <w:rPr/>
        <w:t>(APVMA</w:t>
      </w:r>
      <w:r>
        <w:rPr>
          <w:spacing w:val="-3"/>
        </w:rPr>
        <w:t> </w:t>
      </w:r>
      <w:r>
        <w:rPr/>
        <w:t>2015;</w:t>
      </w:r>
      <w:r>
        <w:rPr>
          <w:spacing w:val="-3"/>
        </w:rPr>
        <w:t> </w:t>
      </w:r>
      <w:r>
        <w:rPr/>
        <w:t>Gentle</w:t>
      </w:r>
      <w:r>
        <w:rPr>
          <w:spacing w:val="-3"/>
        </w:rPr>
        <w:t> </w:t>
      </w:r>
      <w:r>
        <w:rPr/>
        <w:t>et</w:t>
      </w:r>
      <w:r>
        <w:rPr>
          <w:spacing w:val="-3"/>
        </w:rPr>
        <w:t> </w:t>
      </w:r>
      <w:r>
        <w:rPr/>
        <w:t>al.</w:t>
      </w:r>
      <w:r>
        <w:rPr>
          <w:spacing w:val="-3"/>
        </w:rPr>
        <w:t> </w:t>
      </w:r>
      <w:r>
        <w:rPr/>
        <w:t>2017;</w:t>
      </w:r>
      <w:r>
        <w:rPr>
          <w:spacing w:val="-1"/>
        </w:rPr>
        <w:t> </w:t>
      </w:r>
      <w:r>
        <w:rPr/>
        <w:t>Marks</w:t>
      </w:r>
      <w:r>
        <w:rPr>
          <w:spacing w:val="-2"/>
        </w:rPr>
        <w:t> </w:t>
      </w:r>
      <w:r>
        <w:rPr/>
        <w:t>et</w:t>
      </w:r>
      <w:r>
        <w:rPr>
          <w:spacing w:val="-3"/>
        </w:rPr>
        <w:t> </w:t>
      </w:r>
      <w:r>
        <w:rPr/>
        <w:t>al.</w:t>
      </w:r>
      <w:r>
        <w:rPr>
          <w:spacing w:val="-3"/>
        </w:rPr>
        <w:t> </w:t>
      </w:r>
      <w:r>
        <w:rPr/>
        <w:t>2004;</w:t>
      </w:r>
      <w:r>
        <w:rPr>
          <w:spacing w:val="-1"/>
        </w:rPr>
        <w:t> </w:t>
      </w:r>
      <w:r>
        <w:rPr/>
        <w:t>Meek</w:t>
      </w:r>
      <w:r>
        <w:rPr>
          <w:spacing w:val="-2"/>
        </w:rPr>
        <w:t> </w:t>
      </w:r>
      <w:r>
        <w:rPr/>
        <w:t>et al. 2019). The toxic effects of PAPP result from the clinical condition methaemoglobinaemia, which occurs when excessive haemoglobin is converted to methaemoglobin. This conversion causes a lethal oxygen</w:t>
      </w:r>
      <w:r>
        <w:rPr/>
        <w:t> deficit</w:t>
      </w:r>
      <w:r>
        <w:rPr>
          <w:spacing w:val="-1"/>
        </w:rPr>
        <w:t> </w:t>
      </w:r>
      <w:r>
        <w:rPr/>
        <w:t>in</w:t>
      </w:r>
      <w:r>
        <w:rPr>
          <w:spacing w:val="-1"/>
        </w:rPr>
        <w:t> </w:t>
      </w:r>
      <w:r>
        <w:rPr/>
        <w:t>the</w:t>
      </w:r>
      <w:r>
        <w:rPr>
          <w:spacing w:val="-1"/>
        </w:rPr>
        <w:t> </w:t>
      </w:r>
      <w:r>
        <w:rPr/>
        <w:t>heart</w:t>
      </w:r>
      <w:r>
        <w:rPr>
          <w:spacing w:val="-1"/>
        </w:rPr>
        <w:t> </w:t>
      </w:r>
      <w:r>
        <w:rPr/>
        <w:t>and brain (</w:t>
      </w:r>
      <w:r>
        <w:rPr>
          <w:color w:val="000000"/>
          <w:highlight w:val="lightGray"/>
        </w:rPr>
        <w:t>Vandenbelt </w:t>
      </w:r>
      <w:r>
        <w:rPr>
          <w:color w:val="000000"/>
        </w:rPr>
        <w:t>et</w:t>
      </w:r>
      <w:r>
        <w:rPr>
          <w:color w:val="000000"/>
          <w:spacing w:val="-1"/>
        </w:rPr>
        <w:t> </w:t>
      </w:r>
      <w:r>
        <w:rPr>
          <w:color w:val="000000"/>
        </w:rPr>
        <w:t>al.</w:t>
      </w:r>
      <w:r>
        <w:rPr>
          <w:color w:val="000000"/>
          <w:highlight w:val="lightGray"/>
        </w:rPr>
        <w:t>1944</w:t>
      </w:r>
      <w:r>
        <w:rPr>
          <w:color w:val="000000"/>
        </w:rPr>
        <w:t>). Early pharmaceutical</w:t>
      </w:r>
      <w:r>
        <w:rPr>
          <w:color w:val="000000"/>
          <w:spacing w:val="-2"/>
        </w:rPr>
        <w:t> </w:t>
      </w:r>
      <w:r>
        <w:rPr>
          <w:color w:val="000000"/>
        </w:rPr>
        <w:t>trials have</w:t>
      </w:r>
      <w:r>
        <w:rPr>
          <w:color w:val="000000"/>
          <w:spacing w:val="-1"/>
        </w:rPr>
        <w:t> </w:t>
      </w:r>
      <w:r>
        <w:rPr>
          <w:color w:val="000000"/>
        </w:rPr>
        <w:t>indicated that</w:t>
      </w:r>
      <w:r>
        <w:rPr>
          <w:color w:val="000000"/>
          <w:spacing w:val="-1"/>
        </w:rPr>
        <w:t> </w:t>
      </w:r>
      <w:r>
        <w:rPr>
          <w:color w:val="000000"/>
        </w:rPr>
        <w:t>PAPP is highly specific to eutherian carnivores, particularly canids, with much lower toxicity to rodents, birds, and especially humans (Savarie et al. 1983). Den fumigation using carbon monoxide is sometimes used. When inhaled, carbon monoxide binds to haemoglobin in the red blood cells, with an affinity 250 times that of oxygen. This results in reduced oxygen-carrying capacity and reduction of oxygen supply to the tissues (hypoxia), eventually leading to failure of the respiratory centre and unconsciousness followed by death from cardiac arrest. Other methods include ground shooting, above-ground harbour removal, exclusion fencing, guardian animals, and property hygiene. Detailed information on these tools can be found on the Agriculture Victoria website (</w:t>
      </w:r>
      <w:hyperlink r:id="rId27">
        <w:r>
          <w:rPr>
            <w:color w:val="0000FF"/>
            <w:u w:val="single" w:color="0000FF"/>
          </w:rPr>
          <w:t>https://agriculture.vic.gov.au/biosecurity/pest-animals/invasive-animal-</w:t>
        </w:r>
      </w:hyperlink>
      <w:r>
        <w:rPr>
          <w:color w:val="0000FF"/>
          <w:u w:val="none"/>
        </w:rPr>
        <w:t> </w:t>
      </w:r>
      <w:hyperlink r:id="rId27">
        <w:r>
          <w:rPr>
            <w:color w:val="0000FF"/>
            <w:u w:val="single" w:color="0000FF"/>
          </w:rPr>
          <w:t>management/integrated-fox-control</w:t>
        </w:r>
      </w:hyperlink>
      <w:r>
        <w:rPr>
          <w:color w:val="000000"/>
          <w:u w:val="none"/>
        </w:rPr>
        <w:t>) and the Centre for Invasive Species Solutions PestSmart website </w:t>
      </w:r>
      <w:r>
        <w:rPr>
          <w:color w:val="000000"/>
          <w:spacing w:val="-2"/>
          <w:u w:val="none"/>
        </w:rPr>
        <w:t>(</w:t>
      </w:r>
      <w:hyperlink r:id="rId28">
        <w:r>
          <w:rPr>
            <w:color w:val="0000FF"/>
            <w:spacing w:val="-2"/>
            <w:u w:val="single" w:color="0000FF"/>
          </w:rPr>
          <w:t>https://pestsmart.org.au/wp-content/uploads/sites/3/2021/03/CISS-Glovebox-Guide-Fox-web.pdf</w:t>
        </w:r>
      </w:hyperlink>
      <w:r>
        <w:rPr>
          <w:color w:val="000000"/>
          <w:spacing w:val="-2"/>
          <w:u w:val="none"/>
        </w:rPr>
        <w:t>).</w:t>
      </w:r>
    </w:p>
    <w:p>
      <w:pPr>
        <w:pStyle w:val="BodyText"/>
        <w:spacing w:before="110"/>
        <w:rPr>
          <w:sz w:val="24"/>
        </w:rPr>
      </w:pPr>
    </w:p>
    <w:p>
      <w:pPr>
        <w:pStyle w:val="Heading3"/>
        <w:numPr>
          <w:ilvl w:val="1"/>
          <w:numId w:val="11"/>
        </w:numPr>
        <w:tabs>
          <w:tab w:pos="889" w:val="left" w:leader="none"/>
        </w:tabs>
        <w:spacing w:line="240" w:lineRule="auto" w:before="1" w:after="0"/>
        <w:ind w:left="889" w:right="0" w:hanging="577"/>
        <w:jc w:val="left"/>
      </w:pPr>
      <w:bookmarkStart w:name="_TOC_250071" w:id="26"/>
      <w:r>
        <w:rPr>
          <w:color w:val="2D1E66"/>
        </w:rPr>
        <w:t>Dingoes</w:t>
      </w:r>
      <w:r>
        <w:rPr>
          <w:color w:val="2D1E66"/>
          <w:spacing w:val="-3"/>
        </w:rPr>
        <w:t> </w:t>
      </w:r>
      <w:r>
        <w:rPr>
          <w:color w:val="2D1E66"/>
        </w:rPr>
        <w:t>and Wild </w:t>
      </w:r>
      <w:bookmarkEnd w:id="26"/>
      <w:r>
        <w:rPr>
          <w:color w:val="2D1E66"/>
          <w:spacing w:val="-4"/>
        </w:rPr>
        <w:t>Dogs</w:t>
      </w:r>
    </w:p>
    <w:p>
      <w:pPr>
        <w:pStyle w:val="BodyText"/>
        <w:spacing w:before="112"/>
        <w:ind w:left="312" w:right="232"/>
      </w:pPr>
      <w:r>
        <w:rPr/>
        <w:t>Dingoes</w:t>
      </w:r>
      <w:r>
        <w:rPr>
          <w:spacing w:val="-3"/>
        </w:rPr>
        <w:t> </w:t>
      </w:r>
      <w:r>
        <w:rPr/>
        <w:t>have</w:t>
      </w:r>
      <w:r>
        <w:rPr>
          <w:spacing w:val="-4"/>
        </w:rPr>
        <w:t> </w:t>
      </w:r>
      <w:r>
        <w:rPr/>
        <w:t>been</w:t>
      </w:r>
      <w:r>
        <w:rPr>
          <w:spacing w:val="-3"/>
        </w:rPr>
        <w:t> </w:t>
      </w:r>
      <w:r>
        <w:rPr/>
        <w:t>present</w:t>
      </w:r>
      <w:r>
        <w:rPr>
          <w:spacing w:val="-2"/>
        </w:rPr>
        <w:t> </w:t>
      </w:r>
      <w:r>
        <w:rPr/>
        <w:t>in</w:t>
      </w:r>
      <w:r>
        <w:rPr>
          <w:spacing w:val="-2"/>
        </w:rPr>
        <w:t> </w:t>
      </w:r>
      <w:r>
        <w:rPr/>
        <w:t>Australia</w:t>
      </w:r>
      <w:r>
        <w:rPr>
          <w:spacing w:val="-2"/>
        </w:rPr>
        <w:t> </w:t>
      </w:r>
      <w:r>
        <w:rPr/>
        <w:t>for</w:t>
      </w:r>
      <w:r>
        <w:rPr>
          <w:spacing w:val="-3"/>
        </w:rPr>
        <w:t> </w:t>
      </w:r>
      <w:r>
        <w:rPr/>
        <w:t>approximately</w:t>
      </w:r>
      <w:r>
        <w:rPr>
          <w:spacing w:val="-3"/>
        </w:rPr>
        <w:t> </w:t>
      </w:r>
      <w:r>
        <w:rPr/>
        <w:t>3,200–3,500</w:t>
      </w:r>
      <w:r>
        <w:rPr>
          <w:spacing w:val="-4"/>
        </w:rPr>
        <w:t> </w:t>
      </w:r>
      <w:r>
        <w:rPr/>
        <w:t>years</w:t>
      </w:r>
      <w:r>
        <w:rPr>
          <w:spacing w:val="-1"/>
        </w:rPr>
        <w:t> </w:t>
      </w:r>
      <w:r>
        <w:rPr/>
        <w:t>(Jackson</w:t>
      </w:r>
      <w:r>
        <w:rPr>
          <w:spacing w:val="-5"/>
        </w:rPr>
        <w:t> </w:t>
      </w:r>
      <w:r>
        <w:rPr/>
        <w:t>et</w:t>
      </w:r>
      <w:r>
        <w:rPr>
          <w:spacing w:val="-4"/>
        </w:rPr>
        <w:t> </w:t>
      </w:r>
      <w:r>
        <w:rPr/>
        <w:t>al.</w:t>
      </w:r>
      <w:r>
        <w:rPr>
          <w:spacing w:val="-4"/>
        </w:rPr>
        <w:t> </w:t>
      </w:r>
      <w:r>
        <w:rPr/>
        <w:t>2021) and</w:t>
      </w:r>
      <w:r>
        <w:rPr>
          <w:spacing w:val="-2"/>
        </w:rPr>
        <w:t> </w:t>
      </w:r>
      <w:r>
        <w:rPr/>
        <w:t>hold a significant place in Aboriginal and Torres Strait Islander culture.</w:t>
      </w:r>
    </w:p>
    <w:p>
      <w:pPr>
        <w:pStyle w:val="BodyText"/>
        <w:spacing w:before="121"/>
        <w:ind w:left="312" w:right="224"/>
      </w:pPr>
      <w:r>
        <w:rPr/>
        <w:t>In Victoria, Dingoes (</w:t>
      </w:r>
      <w:r>
        <w:rPr>
          <w:i/>
        </w:rPr>
        <w:t>Canis lupus dingo</w:t>
      </w:r>
      <w:r>
        <w:rPr/>
        <w:t>) are classified as native wildlife under the Wildlife Act 1975, while feral and wild populations of dogs and dingo-dog hybrids (</w:t>
      </w:r>
      <w:r>
        <w:rPr>
          <w:i/>
        </w:rPr>
        <w:t>Canis familiaris</w:t>
      </w:r>
      <w:r>
        <w:rPr/>
        <w:t>; referred to as Wild Dogs) are designated</w:t>
      </w:r>
      <w:r>
        <w:rPr>
          <w:spacing w:val="-1"/>
        </w:rPr>
        <w:t> </w:t>
      </w:r>
      <w:r>
        <w:rPr/>
        <w:t>as established pest</w:t>
      </w:r>
      <w:r>
        <w:rPr>
          <w:spacing w:val="-1"/>
        </w:rPr>
        <w:t> </w:t>
      </w:r>
      <w:r>
        <w:rPr/>
        <w:t>animals under</w:t>
      </w:r>
      <w:r>
        <w:rPr>
          <w:spacing w:val="-1"/>
        </w:rPr>
        <w:t> </w:t>
      </w:r>
      <w:r>
        <w:rPr/>
        <w:t>the CaLP</w:t>
      </w:r>
      <w:r>
        <w:rPr>
          <w:spacing w:val="-1"/>
        </w:rPr>
        <w:t> </w:t>
      </w:r>
      <w:r>
        <w:rPr/>
        <w:t>Act. Recent research (Weeks et</w:t>
      </w:r>
      <w:r>
        <w:rPr>
          <w:spacing w:val="-1"/>
        </w:rPr>
        <w:t> </w:t>
      </w:r>
      <w:r>
        <w:rPr/>
        <w:t>al.</w:t>
      </w:r>
      <w:r>
        <w:rPr>
          <w:spacing w:val="-1"/>
        </w:rPr>
        <w:t> </w:t>
      </w:r>
      <w:r>
        <w:rPr/>
        <w:t>2025) suggests that animals</w:t>
      </w:r>
      <w:r>
        <w:rPr>
          <w:spacing w:val="-1"/>
        </w:rPr>
        <w:t> </w:t>
      </w:r>
      <w:r>
        <w:rPr/>
        <w:t>previously</w:t>
      </w:r>
      <w:r>
        <w:rPr>
          <w:spacing w:val="-1"/>
        </w:rPr>
        <w:t> </w:t>
      </w:r>
      <w:r>
        <w:rPr/>
        <w:t>identified as Wild</w:t>
      </w:r>
      <w:r>
        <w:rPr>
          <w:spacing w:val="-2"/>
        </w:rPr>
        <w:t> </w:t>
      </w:r>
      <w:r>
        <w:rPr/>
        <w:t>Dogs</w:t>
      </w:r>
      <w:r>
        <w:rPr>
          <w:spacing w:val="-1"/>
        </w:rPr>
        <w:t> </w:t>
      </w:r>
      <w:r>
        <w:rPr/>
        <w:t>or</w:t>
      </w:r>
      <w:r>
        <w:rPr>
          <w:spacing w:val="-1"/>
        </w:rPr>
        <w:t> </w:t>
      </w:r>
      <w:r>
        <w:rPr/>
        <w:t>Dingo-dog</w:t>
      </w:r>
      <w:r>
        <w:rPr>
          <w:spacing w:val="-2"/>
        </w:rPr>
        <w:t> </w:t>
      </w:r>
      <w:r>
        <w:rPr/>
        <w:t>hybrids</w:t>
      </w:r>
      <w:r>
        <w:rPr>
          <w:spacing w:val="-1"/>
        </w:rPr>
        <w:t> </w:t>
      </w:r>
      <w:r>
        <w:rPr/>
        <w:t>are, in</w:t>
      </w:r>
      <w:r>
        <w:rPr>
          <w:spacing w:val="-2"/>
        </w:rPr>
        <w:t> </w:t>
      </w:r>
      <w:r>
        <w:rPr/>
        <w:t>fact, likely</w:t>
      </w:r>
      <w:r>
        <w:rPr>
          <w:spacing w:val="-1"/>
        </w:rPr>
        <w:t> </w:t>
      </w:r>
      <w:r>
        <w:rPr/>
        <w:t>to</w:t>
      </w:r>
      <w:r>
        <w:rPr>
          <w:spacing w:val="-3"/>
        </w:rPr>
        <w:t> </w:t>
      </w:r>
      <w:r>
        <w:rPr/>
        <w:t>be Dingoes,</w:t>
      </w:r>
      <w:r>
        <w:rPr>
          <w:spacing w:val="-2"/>
        </w:rPr>
        <w:t> </w:t>
      </w:r>
      <w:r>
        <w:rPr/>
        <w:t>noting that DNA testing is more reliable than physical appearance for distinguishing between the two. Recently, Jackson</w:t>
      </w:r>
      <w:r>
        <w:rPr>
          <w:spacing w:val="-2"/>
        </w:rPr>
        <w:t> </w:t>
      </w:r>
      <w:r>
        <w:rPr/>
        <w:t>et</w:t>
      </w:r>
      <w:r>
        <w:rPr>
          <w:spacing w:val="-2"/>
        </w:rPr>
        <w:t> </w:t>
      </w:r>
      <w:r>
        <w:rPr/>
        <w:t>al.</w:t>
      </w:r>
      <w:r>
        <w:rPr>
          <w:spacing w:val="-2"/>
        </w:rPr>
        <w:t> </w:t>
      </w:r>
      <w:r>
        <w:rPr/>
        <w:t>(2017)</w:t>
      </w:r>
      <w:r>
        <w:rPr>
          <w:spacing w:val="-1"/>
        </w:rPr>
        <w:t> </w:t>
      </w:r>
      <w:r>
        <w:rPr/>
        <w:t>reviewed</w:t>
      </w:r>
      <w:r>
        <w:rPr>
          <w:spacing w:val="-3"/>
        </w:rPr>
        <w:t> </w:t>
      </w:r>
      <w:r>
        <w:rPr/>
        <w:t>to</w:t>
      </w:r>
      <w:r>
        <w:rPr>
          <w:spacing w:val="-2"/>
        </w:rPr>
        <w:t> </w:t>
      </w:r>
      <w:r>
        <w:rPr/>
        <w:t>taxonomy of</w:t>
      </w:r>
      <w:r>
        <w:rPr>
          <w:spacing w:val="-2"/>
        </w:rPr>
        <w:t> </w:t>
      </w:r>
      <w:r>
        <w:rPr/>
        <w:t>Dingoes</w:t>
      </w:r>
      <w:r>
        <w:rPr>
          <w:spacing w:val="-1"/>
        </w:rPr>
        <w:t> </w:t>
      </w:r>
      <w:r>
        <w:rPr/>
        <w:t>and concluded</w:t>
      </w:r>
      <w:r>
        <w:rPr>
          <w:spacing w:val="-2"/>
        </w:rPr>
        <w:t> </w:t>
      </w:r>
      <w:r>
        <w:rPr/>
        <w:t>that</w:t>
      </w:r>
      <w:r>
        <w:rPr>
          <w:spacing w:val="-2"/>
        </w:rPr>
        <w:t> </w:t>
      </w:r>
      <w:r>
        <w:rPr/>
        <w:t>they</w:t>
      </w:r>
      <w:r>
        <w:rPr>
          <w:spacing w:val="-1"/>
        </w:rPr>
        <w:t> </w:t>
      </w:r>
      <w:r>
        <w:rPr/>
        <w:t>are</w:t>
      </w:r>
      <w:r>
        <w:rPr>
          <w:spacing w:val="-2"/>
        </w:rPr>
        <w:t> </w:t>
      </w:r>
      <w:r>
        <w:rPr/>
        <w:t>an</w:t>
      </w:r>
      <w:r>
        <w:rPr>
          <w:spacing w:val="-2"/>
        </w:rPr>
        <w:t> </w:t>
      </w:r>
      <w:r>
        <w:rPr/>
        <w:t>ancient</w:t>
      </w:r>
      <w:r>
        <w:rPr>
          <w:spacing w:val="-2"/>
        </w:rPr>
        <w:t> </w:t>
      </w:r>
      <w:r>
        <w:rPr/>
        <w:t>dog, and the most appropriate taxonomic name to use for the Dingo is </w:t>
      </w:r>
      <w:r>
        <w:rPr>
          <w:i/>
        </w:rPr>
        <w:t>Canis familiaris</w:t>
      </w:r>
      <w:r>
        <w:rPr/>
        <w:t>. In 2024, The Australasian Mammal</w:t>
      </w:r>
      <w:r>
        <w:rPr>
          <w:spacing w:val="-3"/>
        </w:rPr>
        <w:t> </w:t>
      </w:r>
      <w:r>
        <w:rPr/>
        <w:t>Taxonomy</w:t>
      </w:r>
      <w:r>
        <w:rPr>
          <w:spacing w:val="-3"/>
        </w:rPr>
        <w:t> </w:t>
      </w:r>
      <w:r>
        <w:rPr/>
        <w:t>Consortium</w:t>
      </w:r>
      <w:r>
        <w:rPr>
          <w:spacing w:val="-2"/>
        </w:rPr>
        <w:t> </w:t>
      </w:r>
      <w:r>
        <w:rPr/>
        <w:t>(AMTC</w:t>
      </w:r>
      <w:r>
        <w:rPr>
          <w:spacing w:val="-1"/>
        </w:rPr>
        <w:t> </w:t>
      </w:r>
      <w:r>
        <w:rPr/>
        <w:t>2024)</w:t>
      </w:r>
      <w:r>
        <w:rPr>
          <w:spacing w:val="-3"/>
        </w:rPr>
        <w:t> </w:t>
      </w:r>
      <w:r>
        <w:rPr/>
        <w:t>concluded</w:t>
      </w:r>
      <w:r>
        <w:rPr>
          <w:spacing w:val="-5"/>
        </w:rPr>
        <w:t> </w:t>
      </w:r>
      <w:r>
        <w:rPr/>
        <w:t>that</w:t>
      </w:r>
      <w:r>
        <w:rPr>
          <w:spacing w:val="-4"/>
        </w:rPr>
        <w:t> </w:t>
      </w:r>
      <w:r>
        <w:rPr/>
        <w:t>the</w:t>
      </w:r>
      <w:r>
        <w:rPr>
          <w:spacing w:val="-5"/>
        </w:rPr>
        <w:t> </w:t>
      </w:r>
      <w:r>
        <w:rPr/>
        <w:t>“weight</w:t>
      </w:r>
      <w:r>
        <w:rPr>
          <w:spacing w:val="-4"/>
        </w:rPr>
        <w:t> </w:t>
      </w:r>
      <w:r>
        <w:rPr/>
        <w:t>of</w:t>
      </w:r>
      <w:r>
        <w:rPr>
          <w:spacing w:val="-2"/>
        </w:rPr>
        <w:t> </w:t>
      </w:r>
      <w:r>
        <w:rPr/>
        <w:t>evidence</w:t>
      </w:r>
      <w:r>
        <w:rPr>
          <w:spacing w:val="-4"/>
        </w:rPr>
        <w:t> </w:t>
      </w:r>
      <w:r>
        <w:rPr/>
        <w:t>strongly</w:t>
      </w:r>
      <w:r>
        <w:rPr>
          <w:spacing w:val="-3"/>
        </w:rPr>
        <w:t> </w:t>
      </w:r>
      <w:r>
        <w:rPr/>
        <w:t>suggests</w:t>
      </w:r>
      <w:r>
        <w:rPr>
          <w:spacing w:val="-3"/>
        </w:rPr>
        <w:t> </w:t>
      </w:r>
      <w:r>
        <w:rPr/>
        <w:t>that Dingoes</w:t>
      </w:r>
      <w:r>
        <w:rPr>
          <w:spacing w:val="-3"/>
        </w:rPr>
        <w:t> </w:t>
      </w:r>
      <w:r>
        <w:rPr/>
        <w:t>should</w:t>
      </w:r>
      <w:r>
        <w:rPr>
          <w:spacing w:val="-4"/>
        </w:rPr>
        <w:t> </w:t>
      </w:r>
      <w:r>
        <w:rPr/>
        <w:t>not</w:t>
      </w:r>
      <w:r>
        <w:rPr>
          <w:spacing w:val="-4"/>
        </w:rPr>
        <w:t> </w:t>
      </w:r>
      <w:r>
        <w:rPr/>
        <w:t>be</w:t>
      </w:r>
      <w:r>
        <w:rPr>
          <w:spacing w:val="-2"/>
        </w:rPr>
        <w:t> </w:t>
      </w:r>
      <w:r>
        <w:rPr/>
        <w:t>considered</w:t>
      </w:r>
      <w:r>
        <w:rPr>
          <w:spacing w:val="-3"/>
        </w:rPr>
        <w:t> </w:t>
      </w:r>
      <w:r>
        <w:rPr/>
        <w:t>as</w:t>
      </w:r>
      <w:r>
        <w:rPr>
          <w:spacing w:val="-3"/>
        </w:rPr>
        <w:t> </w:t>
      </w:r>
      <w:r>
        <w:rPr/>
        <w:t>a</w:t>
      </w:r>
      <w:r>
        <w:rPr>
          <w:spacing w:val="-2"/>
        </w:rPr>
        <w:t> </w:t>
      </w:r>
      <w:r>
        <w:rPr/>
        <w:t>different</w:t>
      </w:r>
      <w:r>
        <w:rPr>
          <w:spacing w:val="-4"/>
        </w:rPr>
        <w:t> </w:t>
      </w:r>
      <w:r>
        <w:rPr/>
        <w:t>species</w:t>
      </w:r>
      <w:r>
        <w:rPr>
          <w:spacing w:val="-3"/>
        </w:rPr>
        <w:t> </w:t>
      </w:r>
      <w:r>
        <w:rPr/>
        <w:t>from</w:t>
      </w:r>
      <w:r>
        <w:rPr>
          <w:spacing w:val="-4"/>
        </w:rPr>
        <w:t> </w:t>
      </w:r>
      <w:r>
        <w:rPr/>
        <w:t>domestic dogs</w:t>
      </w:r>
      <w:r>
        <w:rPr>
          <w:spacing w:val="-3"/>
        </w:rPr>
        <w:t> </w:t>
      </w:r>
      <w:r>
        <w:rPr/>
        <w:t>and</w:t>
      </w:r>
      <w:r>
        <w:rPr>
          <w:spacing w:val="-1"/>
        </w:rPr>
        <w:t> </w:t>
      </w:r>
      <w:r>
        <w:rPr/>
        <w:t>are</w:t>
      </w:r>
      <w:r>
        <w:rPr>
          <w:spacing w:val="-4"/>
        </w:rPr>
        <w:t> </w:t>
      </w:r>
      <w:r>
        <w:rPr/>
        <w:t>a</w:t>
      </w:r>
      <w:r>
        <w:rPr>
          <w:spacing w:val="-2"/>
        </w:rPr>
        <w:t> </w:t>
      </w:r>
      <w:r>
        <w:rPr/>
        <w:t>distinct</w:t>
      </w:r>
      <w:r>
        <w:rPr>
          <w:spacing w:val="-4"/>
        </w:rPr>
        <w:t> </w:t>
      </w:r>
      <w:r>
        <w:rPr/>
        <w:t>population</w:t>
      </w:r>
      <w:r>
        <w:rPr>
          <w:spacing w:val="-2"/>
        </w:rPr>
        <w:t> </w:t>
      </w:r>
      <w:r>
        <w:rPr/>
        <w:t>of wild canid. They also note that future research will continue to inform the taxonomic status of dingoes, and that the Dingo has important cultural, ecological and management value. The taxonomic placement of the Dingo in no way diminishes the importance of conserving them as an ecologically important animal in Australian ecosystems. We use the term Dingo and Wild Dog interchangeably throughout this review.</w:t>
      </w:r>
    </w:p>
    <w:p>
      <w:pPr>
        <w:pStyle w:val="BodyText"/>
        <w:spacing w:before="119"/>
        <w:ind w:left="312" w:right="232"/>
      </w:pPr>
      <w:r>
        <w:rPr/>
        <w:t>The Victorian government acknowledges that livestock predation is a significant challenge for Victorian farmers</w:t>
      </w:r>
      <w:r>
        <w:rPr>
          <w:spacing w:val="-1"/>
        </w:rPr>
        <w:t> </w:t>
      </w:r>
      <w:r>
        <w:rPr/>
        <w:t>and</w:t>
      </w:r>
      <w:r>
        <w:rPr>
          <w:spacing w:val="-3"/>
        </w:rPr>
        <w:t> </w:t>
      </w:r>
      <w:r>
        <w:rPr/>
        <w:t>declared</w:t>
      </w:r>
      <w:r>
        <w:rPr>
          <w:spacing w:val="-1"/>
        </w:rPr>
        <w:t> </w:t>
      </w:r>
      <w:r>
        <w:rPr/>
        <w:t>the</w:t>
      </w:r>
      <w:r>
        <w:rPr>
          <w:spacing w:val="-3"/>
        </w:rPr>
        <w:t> </w:t>
      </w:r>
      <w:r>
        <w:rPr/>
        <w:t>Dingo</w:t>
      </w:r>
      <w:r>
        <w:rPr>
          <w:spacing w:val="-3"/>
        </w:rPr>
        <w:t> </w:t>
      </w:r>
      <w:r>
        <w:rPr/>
        <w:t>as</w:t>
      </w:r>
      <w:r>
        <w:rPr>
          <w:spacing w:val="-2"/>
        </w:rPr>
        <w:t> </w:t>
      </w:r>
      <w:r>
        <w:rPr/>
        <w:t>unprotected under</w:t>
      </w:r>
      <w:r>
        <w:rPr>
          <w:spacing w:val="-3"/>
        </w:rPr>
        <w:t> </w:t>
      </w:r>
      <w:r>
        <w:rPr/>
        <w:t>the</w:t>
      </w:r>
      <w:r>
        <w:rPr>
          <w:spacing w:val="-2"/>
        </w:rPr>
        <w:t> </w:t>
      </w:r>
      <w:r>
        <w:rPr/>
        <w:t>Wildlife</w:t>
      </w:r>
      <w:r>
        <w:rPr>
          <w:spacing w:val="-1"/>
        </w:rPr>
        <w:t> </w:t>
      </w:r>
      <w:r>
        <w:rPr/>
        <w:t>Ac</w:t>
      </w:r>
      <w:r>
        <w:rPr>
          <w:spacing w:val="-2"/>
        </w:rPr>
        <w:t> </w:t>
      </w:r>
      <w:r>
        <w:rPr/>
        <w:t>1975 on</w:t>
      </w:r>
      <w:r>
        <w:rPr>
          <w:spacing w:val="-2"/>
        </w:rPr>
        <w:t> </w:t>
      </w:r>
      <w:r>
        <w:rPr/>
        <w:t>private</w:t>
      </w:r>
      <w:r>
        <w:rPr>
          <w:spacing w:val="-2"/>
        </w:rPr>
        <w:t> </w:t>
      </w:r>
      <w:r>
        <w:rPr/>
        <w:t>land</w:t>
      </w:r>
      <w:r>
        <w:rPr>
          <w:spacing w:val="-3"/>
        </w:rPr>
        <w:t> </w:t>
      </w:r>
      <w:r>
        <w:rPr/>
        <w:t>and</w:t>
      </w:r>
      <w:r>
        <w:rPr>
          <w:spacing w:val="-3"/>
        </w:rPr>
        <w:t> </w:t>
      </w:r>
      <w:r>
        <w:rPr/>
        <w:t>within</w:t>
      </w:r>
      <w:r>
        <w:rPr>
          <w:spacing w:val="-1"/>
        </w:rPr>
        <w:t> </w:t>
      </w:r>
      <w:r>
        <w:rPr/>
        <w:t>a</w:t>
      </w:r>
      <w:r>
        <w:rPr>
          <w:spacing w:val="-3"/>
        </w:rPr>
        <w:t> </w:t>
      </w:r>
      <w:r>
        <w:rPr/>
        <w:t>3</w:t>
      </w:r>
      <w:r>
        <w:rPr>
          <w:spacing w:val="-1"/>
        </w:rPr>
        <w:t> </w:t>
      </w:r>
      <w:r>
        <w:rPr/>
        <w:t>km buffer zone along the boundaries of public land in eastern Victoria. The Order revokes and replaces the order made in March 2024 and will have effect until 1 January 2028.</w:t>
      </w:r>
    </w:p>
    <w:p>
      <w:pPr>
        <w:pStyle w:val="BodyText"/>
        <w:spacing w:before="121"/>
        <w:ind w:left="312" w:right="171"/>
      </w:pPr>
      <w:r>
        <w:rPr/>
        <w:t>Dingoes and Wild Dogs significantly impact agriculture and cause emotional stress to livestock producers, with agricultural and horticultural losses across Australia reportedly reaching $73 million (Hafi et al. 2023). Their</w:t>
      </w:r>
      <w:r>
        <w:rPr>
          <w:spacing w:val="-3"/>
        </w:rPr>
        <w:t> </w:t>
      </w:r>
      <w:r>
        <w:rPr/>
        <w:t>effect</w:t>
      </w:r>
      <w:r>
        <w:rPr>
          <w:spacing w:val="-4"/>
        </w:rPr>
        <w:t> </w:t>
      </w:r>
      <w:r>
        <w:rPr/>
        <w:t>on</w:t>
      </w:r>
      <w:r>
        <w:rPr>
          <w:spacing w:val="-4"/>
        </w:rPr>
        <w:t> </w:t>
      </w:r>
      <w:r>
        <w:rPr/>
        <w:t>wildlife,</w:t>
      </w:r>
      <w:r>
        <w:rPr>
          <w:spacing w:val="-2"/>
        </w:rPr>
        <w:t> </w:t>
      </w:r>
      <w:r>
        <w:rPr/>
        <w:t>however,</w:t>
      </w:r>
      <w:r>
        <w:rPr>
          <w:spacing w:val="-4"/>
        </w:rPr>
        <w:t> </w:t>
      </w:r>
      <w:r>
        <w:rPr/>
        <w:t>is</w:t>
      </w:r>
      <w:r>
        <w:rPr>
          <w:spacing w:val="-3"/>
        </w:rPr>
        <w:t> </w:t>
      </w:r>
      <w:r>
        <w:rPr/>
        <w:t>complex.</w:t>
      </w:r>
      <w:r>
        <w:rPr>
          <w:spacing w:val="-2"/>
        </w:rPr>
        <w:t> </w:t>
      </w:r>
      <w:r>
        <w:rPr/>
        <w:t>While</w:t>
      </w:r>
      <w:r>
        <w:rPr>
          <w:spacing w:val="-4"/>
        </w:rPr>
        <w:t> </w:t>
      </w:r>
      <w:r>
        <w:rPr/>
        <w:t>top</w:t>
      </w:r>
      <w:r>
        <w:rPr>
          <w:spacing w:val="-2"/>
        </w:rPr>
        <w:t> </w:t>
      </w:r>
      <w:r>
        <w:rPr/>
        <w:t>predators</w:t>
      </w:r>
      <w:r>
        <w:rPr>
          <w:spacing w:val="-2"/>
        </w:rPr>
        <w:t> </w:t>
      </w:r>
      <w:r>
        <w:rPr/>
        <w:t>play</w:t>
      </w:r>
      <w:r>
        <w:rPr>
          <w:spacing w:val="-1"/>
        </w:rPr>
        <w:t> </w:t>
      </w:r>
      <w:r>
        <w:rPr/>
        <w:t>essential</w:t>
      </w:r>
      <w:r>
        <w:rPr>
          <w:spacing w:val="-5"/>
        </w:rPr>
        <w:t> </w:t>
      </w:r>
      <w:r>
        <w:rPr/>
        <w:t>roles</w:t>
      </w:r>
      <w:r>
        <w:rPr>
          <w:spacing w:val="-3"/>
        </w:rPr>
        <w:t> </w:t>
      </w:r>
      <w:r>
        <w:rPr/>
        <w:t>in</w:t>
      </w:r>
      <w:r>
        <w:rPr>
          <w:spacing w:val="-2"/>
        </w:rPr>
        <w:t> </w:t>
      </w:r>
      <w:r>
        <w:rPr/>
        <w:t>ecosystems, Dingoes are relatively recent in evolutionary terms, potentially contributing to the extinction of the thylacine</w:t>
      </w:r>
      <w:r>
        <w:rPr/>
        <w:t> (</w:t>
      </w:r>
      <w:r>
        <w:rPr>
          <w:i/>
        </w:rPr>
        <w:t>Thylacinus cynocephalus</w:t>
      </w:r>
      <w:r>
        <w:rPr/>
        <w:t>) and the Tasmanian devil (</w:t>
      </w:r>
      <w:r>
        <w:rPr>
          <w:i/>
        </w:rPr>
        <w:t>Sarcophilus harrisii</w:t>
      </w:r>
      <w:r>
        <w:rPr/>
        <w:t>) on the Australian mainland (Corbett 1995). Their role in limiting fox and feral cat (</w:t>
      </w:r>
      <w:r>
        <w:rPr>
          <w:i/>
        </w:rPr>
        <w:t>Felis catus</w:t>
      </w:r>
      <w:r>
        <w:rPr/>
        <w:t>) populations and regulating herbivore numbers remains debated in scientific literature (Castle et al. 2023; Glen, et al. 2007; Hayward and Marlow 2014; Letnic et al.2013).</w:t>
      </w:r>
    </w:p>
    <w:p>
      <w:pPr>
        <w:pStyle w:val="BodyText"/>
        <w:tabs>
          <w:tab w:pos="3606" w:val="left" w:leader="none"/>
        </w:tabs>
        <w:spacing w:before="119"/>
        <w:ind w:left="312" w:right="271"/>
      </w:pPr>
      <w:r>
        <w:rPr/>
        <w:t>In Victoria, Dingoes and Wild Dogs primarily inhabit the eastern forested areas and exist in small, isolated populations</w:t>
      </w:r>
      <w:r>
        <w:rPr>
          <w:spacing w:val="-2"/>
        </w:rPr>
        <w:t> </w:t>
      </w:r>
      <w:r>
        <w:rPr/>
        <w:t>in the</w:t>
      </w:r>
      <w:r>
        <w:rPr>
          <w:spacing w:val="-2"/>
        </w:rPr>
        <w:t> </w:t>
      </w:r>
      <w:r>
        <w:rPr/>
        <w:t>Big</w:t>
      </w:r>
      <w:r>
        <w:rPr>
          <w:spacing w:val="-3"/>
        </w:rPr>
        <w:t> </w:t>
      </w:r>
      <w:r>
        <w:rPr/>
        <w:t>Desert</w:t>
      </w:r>
      <w:r>
        <w:rPr>
          <w:spacing w:val="-3"/>
        </w:rPr>
        <w:t> </w:t>
      </w:r>
      <w:r>
        <w:rPr/>
        <w:t>and</w:t>
      </w:r>
      <w:r>
        <w:rPr>
          <w:spacing w:val="-2"/>
        </w:rPr>
        <w:t> </w:t>
      </w:r>
      <w:r>
        <w:rPr/>
        <w:t>Wyperfeld</w:t>
      </w:r>
      <w:r>
        <w:rPr>
          <w:spacing w:val="-1"/>
        </w:rPr>
        <w:t> </w:t>
      </w:r>
      <w:r>
        <w:rPr/>
        <w:t>landscape</w:t>
      </w:r>
      <w:r>
        <w:rPr>
          <w:spacing w:val="-1"/>
        </w:rPr>
        <w:t> </w:t>
      </w:r>
      <w:r>
        <w:rPr/>
        <w:t>in</w:t>
      </w:r>
      <w:r>
        <w:rPr>
          <w:spacing w:val="-3"/>
        </w:rPr>
        <w:t> </w:t>
      </w:r>
      <w:r>
        <w:rPr/>
        <w:t>the</w:t>
      </w:r>
      <w:r>
        <w:rPr>
          <w:spacing w:val="-4"/>
        </w:rPr>
        <w:t> </w:t>
      </w:r>
      <w:r>
        <w:rPr/>
        <w:t>west.</w:t>
      </w:r>
      <w:r>
        <w:rPr>
          <w:spacing w:val="-3"/>
        </w:rPr>
        <w:t> </w:t>
      </w:r>
      <w:r>
        <w:rPr/>
        <w:t>A</w:t>
      </w:r>
      <w:r>
        <w:rPr>
          <w:spacing w:val="-2"/>
        </w:rPr>
        <w:t> </w:t>
      </w:r>
      <w:r>
        <w:rPr/>
        <w:t>2022</w:t>
      </w:r>
      <w:r>
        <w:rPr>
          <w:spacing w:val="-3"/>
        </w:rPr>
        <w:t> </w:t>
      </w:r>
      <w:r>
        <w:rPr/>
        <w:t>assessment</w:t>
      </w:r>
      <w:r>
        <w:rPr>
          <w:spacing w:val="-1"/>
        </w:rPr>
        <w:t> </w:t>
      </w:r>
      <w:r>
        <w:rPr/>
        <w:t>of</w:t>
      </w:r>
      <w:r>
        <w:rPr>
          <w:spacing w:val="-2"/>
        </w:rPr>
        <w:t> </w:t>
      </w:r>
      <w:r>
        <w:rPr/>
        <w:t>Dingo</w:t>
      </w:r>
      <w:r>
        <w:rPr>
          <w:spacing w:val="-2"/>
        </w:rPr>
        <w:t> </w:t>
      </w:r>
      <w:r>
        <w:rPr/>
        <w:t>density on public land in Victoria estimated an average density of 0.08 Dingoes per km². The estimated Dingo population in eastern Victoria is approximately 4,900 (90% CL: 2,640–8,880), while in western Victoria, the population</w:t>
      </w:r>
      <w:r>
        <w:rPr>
          <w:spacing w:val="57"/>
        </w:rPr>
        <w:t>   </w:t>
      </w:r>
      <w:r>
        <w:rPr/>
        <w:t>was</w:t>
      </w:r>
      <w:r>
        <w:rPr>
          <w:spacing w:val="57"/>
        </w:rPr>
        <w:t>   </w:t>
      </w:r>
      <w:r>
        <w:rPr/>
        <w:t>estimated</w:t>
      </w:r>
      <w:r>
        <w:rPr>
          <w:spacing w:val="59"/>
        </w:rPr>
        <w:t>   </w:t>
      </w:r>
      <w:r>
        <w:rPr/>
        <w:t>at</w:t>
      </w:r>
      <w:r>
        <w:rPr>
          <w:spacing w:val="55"/>
        </w:rPr>
        <w:t>   </w:t>
      </w:r>
      <w:r>
        <w:rPr/>
        <w:t>110</w:t>
      </w:r>
      <w:r>
        <w:rPr>
          <w:spacing w:val="59"/>
        </w:rPr>
        <w:t>   </w:t>
      </w:r>
      <w:r>
        <w:rPr/>
        <w:t>(90%</w:t>
      </w:r>
      <w:r>
        <w:rPr>
          <w:spacing w:val="56"/>
        </w:rPr>
        <w:t>   </w:t>
      </w:r>
      <w:r>
        <w:rPr/>
        <w:t>CL:</w:t>
      </w:r>
      <w:r>
        <w:rPr>
          <w:spacing w:val="55"/>
        </w:rPr>
        <w:t>   </w:t>
      </w:r>
      <w:r>
        <w:rPr/>
        <w:t>40–230)</w:t>
      </w:r>
      <w:r>
        <w:rPr>
          <w:spacing w:val="80"/>
          <w:w w:val="150"/>
        </w:rPr>
        <w:t> </w:t>
      </w:r>
      <w:r>
        <w:rPr>
          <w:spacing w:val="-2"/>
        </w:rPr>
        <w:t>(</w:t>
      </w:r>
      <w:hyperlink r:id="rId29">
        <w:r>
          <w:rPr>
            <w:rFonts w:ascii="Calibri" w:hAnsi="Calibri"/>
            <w:color w:val="0000FF"/>
            <w:spacing w:val="-2"/>
            <w:sz w:val="22"/>
            <w:u w:val="single" w:color="0000FF"/>
          </w:rPr>
          <w:t>https://www.wildlife.vic.gov.au/</w:t>
        </w:r>
        <w:r>
          <w:rPr>
            <w:rFonts w:ascii="Calibri" w:hAnsi="Calibri"/>
            <w:color w:val="0000FF"/>
            <w:sz w:val="22"/>
            <w:u w:val="single" w:color="0000FF"/>
          </w:rPr>
          <w:tab/>
        </w:r>
        <w:r>
          <w:rPr>
            <w:rFonts w:ascii="Calibri" w:hAnsi="Calibri"/>
            <w:color w:val="0000FF"/>
            <w:spacing w:val="-2"/>
            <w:sz w:val="22"/>
            <w:u w:val="single" w:color="0000FF"/>
          </w:rPr>
          <w:t>data/assets/pdf_file/0028/722971/wild-dog-program-</w:t>
        </w:r>
      </w:hyperlink>
      <w:r>
        <w:rPr>
          <w:rFonts w:ascii="Calibri" w:hAnsi="Calibri"/>
          <w:color w:val="0000FF"/>
          <w:spacing w:val="80"/>
          <w:w w:val="150"/>
          <w:sz w:val="22"/>
          <w:u w:val="none"/>
        </w:rPr>
        <w:t> </w:t>
      </w:r>
      <w:hyperlink r:id="rId29">
        <w:r>
          <w:rPr>
            <w:rFonts w:ascii="Calibri" w:hAnsi="Calibri"/>
            <w:color w:val="0000FF"/>
            <w:spacing w:val="-2"/>
            <w:sz w:val="22"/>
            <w:u w:val="single" w:color="0000FF"/>
          </w:rPr>
          <w:t>summaries.pdf</w:t>
        </w:r>
      </w:hyperlink>
      <w:r>
        <w:rPr>
          <w:spacing w:val="-2"/>
          <w:u w:val="none"/>
        </w:rPr>
        <w:t>).</w:t>
      </w:r>
    </w:p>
    <w:p>
      <w:pPr>
        <w:pStyle w:val="BodyText"/>
        <w:spacing w:before="1"/>
      </w:pPr>
    </w:p>
    <w:p>
      <w:pPr>
        <w:pStyle w:val="BodyText"/>
        <w:ind w:left="312" w:right="163"/>
      </w:pPr>
      <w:r>
        <w:rPr/>
        <w:t>Where Dingoes are unprotected, public and private land managers may employ control measures to safeguard livestock. Available methods include poison baiting with 1080 or PAPP, with pen trials confirmed that</w:t>
      </w:r>
      <w:r>
        <w:rPr>
          <w:spacing w:val="-3"/>
        </w:rPr>
        <w:t> </w:t>
      </w:r>
      <w:r>
        <w:rPr/>
        <w:t>canids are</w:t>
      </w:r>
      <w:r>
        <w:rPr>
          <w:spacing w:val="-3"/>
        </w:rPr>
        <w:t> </w:t>
      </w:r>
      <w:r>
        <w:rPr/>
        <w:t>highly</w:t>
      </w:r>
      <w:r>
        <w:rPr>
          <w:spacing w:val="-2"/>
        </w:rPr>
        <w:t> </w:t>
      </w:r>
      <w:r>
        <w:rPr/>
        <w:t>susceptible</w:t>
      </w:r>
      <w:r>
        <w:rPr>
          <w:spacing w:val="-3"/>
        </w:rPr>
        <w:t> </w:t>
      </w:r>
      <w:r>
        <w:rPr/>
        <w:t>to</w:t>
      </w:r>
      <w:r>
        <w:rPr>
          <w:spacing w:val="-1"/>
        </w:rPr>
        <w:t> </w:t>
      </w:r>
      <w:r>
        <w:rPr/>
        <w:t>the</w:t>
      </w:r>
      <w:r>
        <w:rPr>
          <w:spacing w:val="-2"/>
        </w:rPr>
        <w:t> </w:t>
      </w:r>
      <w:r>
        <w:rPr/>
        <w:t>toxin,</w:t>
      </w:r>
      <w:r>
        <w:rPr>
          <w:spacing w:val="-3"/>
        </w:rPr>
        <w:t> </w:t>
      </w:r>
      <w:r>
        <w:rPr/>
        <w:t>showing</w:t>
      </w:r>
      <w:r>
        <w:rPr>
          <w:spacing w:val="-3"/>
        </w:rPr>
        <w:t> </w:t>
      </w:r>
      <w:r>
        <w:rPr/>
        <w:t>no</w:t>
      </w:r>
      <w:r>
        <w:rPr>
          <w:spacing w:val="-3"/>
        </w:rPr>
        <w:t> </w:t>
      </w:r>
      <w:r>
        <w:rPr/>
        <w:t>clinical</w:t>
      </w:r>
      <w:r>
        <w:rPr>
          <w:spacing w:val="-2"/>
        </w:rPr>
        <w:t> </w:t>
      </w:r>
      <w:r>
        <w:rPr/>
        <w:t>signs of</w:t>
      </w:r>
      <w:r>
        <w:rPr>
          <w:spacing w:val="-3"/>
        </w:rPr>
        <w:t> </w:t>
      </w:r>
      <w:r>
        <w:rPr/>
        <w:t>vomiting</w:t>
      </w:r>
      <w:r>
        <w:rPr>
          <w:spacing w:val="-4"/>
        </w:rPr>
        <w:t> </w:t>
      </w:r>
      <w:r>
        <w:rPr/>
        <w:t>or</w:t>
      </w:r>
      <w:r>
        <w:rPr>
          <w:spacing w:val="-3"/>
        </w:rPr>
        <w:t> </w:t>
      </w:r>
      <w:r>
        <w:rPr/>
        <w:t>physical</w:t>
      </w:r>
      <w:r>
        <w:rPr>
          <w:spacing w:val="-2"/>
        </w:rPr>
        <w:t> </w:t>
      </w:r>
      <w:r>
        <w:rPr/>
        <w:t>distress</w:t>
      </w:r>
      <w:r>
        <w:rPr>
          <w:spacing w:val="-2"/>
        </w:rPr>
        <w:t> </w:t>
      </w:r>
      <w:r>
        <w:rPr/>
        <w:t>after exposure (Lapidge 2004). Other methods such as trapping using leg-hold traps (smooth jawed, spring- operated traps designed to capture an animal by the leg), exclusion fencing, shooting, and audio-visual deterrents</w:t>
      </w:r>
      <w:r>
        <w:rPr>
          <w:spacing w:val="-2"/>
        </w:rPr>
        <w:t> </w:t>
      </w:r>
      <w:r>
        <w:rPr/>
        <w:t>are</w:t>
      </w:r>
      <w:r>
        <w:rPr>
          <w:spacing w:val="-4"/>
        </w:rPr>
        <w:t> </w:t>
      </w:r>
      <w:r>
        <w:rPr/>
        <w:t>also</w:t>
      </w:r>
      <w:r>
        <w:rPr>
          <w:spacing w:val="-4"/>
        </w:rPr>
        <w:t> </w:t>
      </w:r>
      <w:r>
        <w:rPr/>
        <w:t>used.</w:t>
      </w:r>
      <w:r>
        <w:rPr>
          <w:spacing w:val="-4"/>
        </w:rPr>
        <w:t> </w:t>
      </w:r>
      <w:r>
        <w:rPr/>
        <w:t>Land</w:t>
      </w:r>
      <w:r>
        <w:rPr>
          <w:spacing w:val="-2"/>
        </w:rPr>
        <w:t> </w:t>
      </w:r>
      <w:r>
        <w:rPr/>
        <w:t>managers</w:t>
      </w:r>
      <w:r>
        <w:rPr>
          <w:spacing w:val="-2"/>
        </w:rPr>
        <w:t> </w:t>
      </w:r>
      <w:r>
        <w:rPr/>
        <w:t>may</w:t>
      </w:r>
      <w:r>
        <w:rPr>
          <w:spacing w:val="-3"/>
        </w:rPr>
        <w:t> </w:t>
      </w:r>
      <w:r>
        <w:rPr/>
        <w:t>also</w:t>
      </w:r>
      <w:r>
        <w:rPr>
          <w:spacing w:val="-2"/>
        </w:rPr>
        <w:t> </w:t>
      </w:r>
      <w:r>
        <w:rPr/>
        <w:t>implement</w:t>
      </w:r>
      <w:r>
        <w:rPr>
          <w:spacing w:val="-2"/>
        </w:rPr>
        <w:t> </w:t>
      </w:r>
      <w:r>
        <w:rPr/>
        <w:t>on-farm</w:t>
      </w:r>
      <w:r>
        <w:rPr>
          <w:spacing w:val="-4"/>
        </w:rPr>
        <w:t> </w:t>
      </w:r>
      <w:r>
        <w:rPr/>
        <w:t>strategies,</w:t>
      </w:r>
      <w:r>
        <w:rPr>
          <w:spacing w:val="-4"/>
        </w:rPr>
        <w:t> </w:t>
      </w:r>
      <w:r>
        <w:rPr/>
        <w:t>such</w:t>
      </w:r>
      <w:r>
        <w:rPr>
          <w:spacing w:val="-4"/>
        </w:rPr>
        <w:t> </w:t>
      </w:r>
      <w:r>
        <w:rPr/>
        <w:t>as</w:t>
      </w:r>
      <w:r>
        <w:rPr>
          <w:spacing w:val="-3"/>
        </w:rPr>
        <w:t> </w:t>
      </w:r>
      <w:r>
        <w:rPr/>
        <w:t>carcass</w:t>
      </w:r>
      <w:r>
        <w:rPr>
          <w:spacing w:val="-3"/>
        </w:rPr>
        <w:t> </w:t>
      </w:r>
      <w:r>
        <w:rPr/>
        <w:t>removal, shepherding vulnerable young (lambs/calves), and managing grazing (Smith, Appleby, and Jordan 2021).</w:t>
      </w:r>
    </w:p>
    <w:p>
      <w:pPr>
        <w:pStyle w:val="BodyText"/>
        <w:spacing w:before="1"/>
        <w:ind w:left="312"/>
      </w:pPr>
      <w:r>
        <w:rPr/>
        <w:t>Further</w:t>
      </w:r>
      <w:r>
        <w:rPr>
          <w:spacing w:val="-7"/>
        </w:rPr>
        <w:t> </w:t>
      </w:r>
      <w:r>
        <w:rPr/>
        <w:t>details</w:t>
      </w:r>
      <w:r>
        <w:rPr>
          <w:spacing w:val="-7"/>
        </w:rPr>
        <w:t> </w:t>
      </w:r>
      <w:r>
        <w:rPr/>
        <w:t>on</w:t>
      </w:r>
      <w:r>
        <w:rPr>
          <w:spacing w:val="-6"/>
        </w:rPr>
        <w:t> </w:t>
      </w:r>
      <w:r>
        <w:rPr/>
        <w:t>these</w:t>
      </w:r>
      <w:r>
        <w:rPr>
          <w:spacing w:val="-7"/>
        </w:rPr>
        <w:t> </w:t>
      </w:r>
      <w:r>
        <w:rPr/>
        <w:t>tools</w:t>
      </w:r>
      <w:r>
        <w:rPr>
          <w:spacing w:val="-6"/>
        </w:rPr>
        <w:t> </w:t>
      </w:r>
      <w:r>
        <w:rPr/>
        <w:t>are</w:t>
      </w:r>
      <w:r>
        <w:rPr>
          <w:spacing w:val="-7"/>
        </w:rPr>
        <w:t> </w:t>
      </w:r>
      <w:r>
        <w:rPr/>
        <w:t>available</w:t>
      </w:r>
      <w:r>
        <w:rPr>
          <w:spacing w:val="-7"/>
        </w:rPr>
        <w:t> </w:t>
      </w:r>
      <w:r>
        <w:rPr/>
        <w:t>on</w:t>
      </w:r>
      <w:r>
        <w:rPr>
          <w:spacing w:val="-7"/>
        </w:rPr>
        <w:t> </w:t>
      </w:r>
      <w:r>
        <w:rPr/>
        <w:t>the</w:t>
      </w:r>
      <w:r>
        <w:rPr>
          <w:spacing w:val="-3"/>
        </w:rPr>
        <w:t> </w:t>
      </w:r>
      <w:hyperlink r:id="rId28">
        <w:r>
          <w:rPr>
            <w:color w:val="0000FF"/>
            <w:u w:val="single" w:color="0000FF"/>
          </w:rPr>
          <w:t>Centre</w:t>
        </w:r>
        <w:r>
          <w:rPr>
            <w:color w:val="0000FF"/>
            <w:spacing w:val="-7"/>
            <w:u w:val="single" w:color="0000FF"/>
          </w:rPr>
          <w:t> </w:t>
        </w:r>
        <w:r>
          <w:rPr>
            <w:color w:val="0000FF"/>
            <w:u w:val="single" w:color="0000FF"/>
          </w:rPr>
          <w:t>for</w:t>
        </w:r>
        <w:r>
          <w:rPr>
            <w:color w:val="0000FF"/>
            <w:spacing w:val="-7"/>
            <w:u w:val="single" w:color="0000FF"/>
          </w:rPr>
          <w:t> </w:t>
        </w:r>
        <w:r>
          <w:rPr>
            <w:color w:val="0000FF"/>
            <w:u w:val="single" w:color="0000FF"/>
          </w:rPr>
          <w:t>Invasive</w:t>
        </w:r>
        <w:r>
          <w:rPr>
            <w:color w:val="0000FF"/>
            <w:spacing w:val="-5"/>
            <w:u w:val="single" w:color="0000FF"/>
          </w:rPr>
          <w:t> </w:t>
        </w:r>
        <w:r>
          <w:rPr>
            <w:color w:val="0000FF"/>
            <w:u w:val="single" w:color="0000FF"/>
          </w:rPr>
          <w:t>Species</w:t>
        </w:r>
        <w:r>
          <w:rPr>
            <w:color w:val="0000FF"/>
            <w:spacing w:val="-4"/>
            <w:u w:val="single" w:color="0000FF"/>
          </w:rPr>
          <w:t> </w:t>
        </w:r>
        <w:r>
          <w:rPr>
            <w:color w:val="0000FF"/>
            <w:u w:val="single" w:color="0000FF"/>
          </w:rPr>
          <w:t>Solutions</w:t>
        </w:r>
        <w:r>
          <w:rPr>
            <w:color w:val="0000FF"/>
            <w:spacing w:val="-6"/>
            <w:u w:val="single" w:color="0000FF"/>
          </w:rPr>
          <w:t> </w:t>
        </w:r>
        <w:r>
          <w:rPr>
            <w:color w:val="0000FF"/>
            <w:u w:val="single" w:color="0000FF"/>
          </w:rPr>
          <w:t>PestSmart</w:t>
        </w:r>
        <w:r>
          <w:rPr>
            <w:color w:val="0000FF"/>
            <w:spacing w:val="-7"/>
            <w:u w:val="single" w:color="0000FF"/>
          </w:rPr>
          <w:t> </w:t>
        </w:r>
        <w:r>
          <w:rPr>
            <w:color w:val="0000FF"/>
            <w:spacing w:val="-2"/>
            <w:u w:val="single" w:color="0000FF"/>
          </w:rPr>
          <w:t>website</w:t>
        </w:r>
        <w:r>
          <w:rPr>
            <w:spacing w:val="-2"/>
            <w:u w:val="none"/>
          </w:rPr>
          <w:t>.</w:t>
        </w:r>
      </w:hyperlink>
    </w:p>
    <w:p>
      <w:pPr>
        <w:spacing w:after="0"/>
        <w:sectPr>
          <w:pgSz w:w="11910" w:h="16850"/>
          <w:pgMar w:header="0" w:footer="688" w:top="1060" w:bottom="880" w:left="820" w:right="980"/>
        </w:sectPr>
      </w:pPr>
    </w:p>
    <w:p>
      <w:pPr>
        <w:pStyle w:val="Heading2"/>
        <w:numPr>
          <w:ilvl w:val="0"/>
          <w:numId w:val="11"/>
        </w:numPr>
        <w:tabs>
          <w:tab w:pos="879" w:val="left" w:leader="none"/>
        </w:tabs>
        <w:spacing w:line="240" w:lineRule="auto" w:before="61" w:after="0"/>
        <w:ind w:left="879" w:right="0" w:hanging="567"/>
        <w:jc w:val="left"/>
      </w:pPr>
      <w:bookmarkStart w:name="_TOC_250070" w:id="27"/>
      <w:r>
        <w:rPr>
          <w:color w:val="001F5F"/>
        </w:rPr>
        <w:t>Effective</w:t>
      </w:r>
      <w:r>
        <w:rPr>
          <w:color w:val="001F5F"/>
          <w:spacing w:val="-11"/>
        </w:rPr>
        <w:t> </w:t>
      </w:r>
      <w:r>
        <w:rPr>
          <w:color w:val="001F5F"/>
        </w:rPr>
        <w:t>pest</w:t>
      </w:r>
      <w:r>
        <w:rPr>
          <w:color w:val="001F5F"/>
          <w:spacing w:val="-11"/>
        </w:rPr>
        <w:t> </w:t>
      </w:r>
      <w:r>
        <w:rPr>
          <w:color w:val="001F5F"/>
        </w:rPr>
        <w:t>animal</w:t>
      </w:r>
      <w:r>
        <w:rPr>
          <w:color w:val="001F5F"/>
          <w:spacing w:val="-11"/>
        </w:rPr>
        <w:t> </w:t>
      </w:r>
      <w:r>
        <w:rPr>
          <w:color w:val="001F5F"/>
        </w:rPr>
        <w:t>control</w:t>
      </w:r>
      <w:r>
        <w:rPr>
          <w:color w:val="001F5F"/>
          <w:spacing w:val="-11"/>
        </w:rPr>
        <w:t> </w:t>
      </w:r>
      <w:r>
        <w:rPr>
          <w:color w:val="001F5F"/>
        </w:rPr>
        <w:t>and</w:t>
      </w:r>
      <w:r>
        <w:rPr>
          <w:color w:val="001F5F"/>
          <w:spacing w:val="-12"/>
        </w:rPr>
        <w:t> </w:t>
      </w:r>
      <w:r>
        <w:rPr>
          <w:color w:val="001F5F"/>
        </w:rPr>
        <w:t>population</w:t>
      </w:r>
      <w:r>
        <w:rPr>
          <w:color w:val="001F5F"/>
          <w:spacing w:val="-10"/>
        </w:rPr>
        <w:t> </w:t>
      </w:r>
      <w:bookmarkEnd w:id="27"/>
      <w:r>
        <w:rPr>
          <w:color w:val="001F5F"/>
          <w:spacing w:val="-2"/>
        </w:rPr>
        <w:t>ecology</w:t>
      </w:r>
    </w:p>
    <w:p>
      <w:pPr>
        <w:pStyle w:val="BodyText"/>
        <w:spacing w:before="257"/>
        <w:rPr>
          <w:b/>
          <w:sz w:val="32"/>
        </w:rPr>
      </w:pPr>
    </w:p>
    <w:p>
      <w:pPr>
        <w:pStyle w:val="BodyText"/>
        <w:spacing w:line="237" w:lineRule="auto"/>
        <w:ind w:left="312" w:right="163"/>
      </w:pPr>
      <w:r>
        <w:rPr/>
        <w:t>All methods used to control the four pest species – including non-lethal techniques – have the potential to affect both target and non-target animals (Allen et al. 2019; Jenkins 2003). The impact of lethal and non- lethal control on these populations depends on whether the removal rate from control actions exceeds the population growth</w:t>
      </w:r>
      <w:r>
        <w:rPr>
          <w:spacing w:val="-1"/>
        </w:rPr>
        <w:t> </w:t>
      </w:r>
      <w:r>
        <w:rPr/>
        <w:t>rate, denoted as </w:t>
      </w:r>
      <w:r>
        <w:rPr>
          <w:i/>
        </w:rPr>
        <w:t>r </w:t>
      </w:r>
      <w:r>
        <w:rPr/>
        <w:t>(Krebs 1999). When </w:t>
      </w:r>
      <w:r>
        <w:rPr>
          <w:i/>
        </w:rPr>
        <w:t>r = 0</w:t>
      </w:r>
      <w:r>
        <w:rPr/>
        <w:t>, the population</w:t>
      </w:r>
      <w:r>
        <w:rPr>
          <w:spacing w:val="-1"/>
        </w:rPr>
        <w:t> </w:t>
      </w:r>
      <w:r>
        <w:rPr/>
        <w:t>remains stable; when </w:t>
      </w:r>
      <w:r>
        <w:rPr>
          <w:i/>
        </w:rPr>
        <w:t>r &gt; 0</w:t>
      </w:r>
      <w:r>
        <w:rPr/>
        <w:t>, it grows;</w:t>
      </w:r>
      <w:r>
        <w:rPr>
          <w:spacing w:val="-3"/>
        </w:rPr>
        <w:t> </w:t>
      </w:r>
      <w:r>
        <w:rPr/>
        <w:t>and</w:t>
      </w:r>
      <w:r>
        <w:rPr>
          <w:spacing w:val="-3"/>
        </w:rPr>
        <w:t> </w:t>
      </w:r>
      <w:r>
        <w:rPr/>
        <w:t>when</w:t>
      </w:r>
      <w:r>
        <w:rPr>
          <w:spacing w:val="-3"/>
        </w:rPr>
        <w:t> </w:t>
      </w:r>
      <w:r>
        <w:rPr>
          <w:i/>
        </w:rPr>
        <w:t>r</w:t>
      </w:r>
      <w:r>
        <w:rPr>
          <w:i/>
          <w:spacing w:val="-3"/>
        </w:rPr>
        <w:t> </w:t>
      </w:r>
      <w:r>
        <w:rPr>
          <w:i/>
        </w:rPr>
        <w:t>&lt;</w:t>
      </w:r>
      <w:r>
        <w:rPr>
          <w:i/>
          <w:spacing w:val="-3"/>
        </w:rPr>
        <w:t> </w:t>
      </w:r>
      <w:r>
        <w:rPr>
          <w:i/>
        </w:rPr>
        <w:t>0</w:t>
      </w:r>
      <w:r>
        <w:rPr/>
        <w:t>,</w:t>
      </w:r>
      <w:r>
        <w:rPr>
          <w:spacing w:val="-2"/>
        </w:rPr>
        <w:t> </w:t>
      </w:r>
      <w:r>
        <w:rPr/>
        <w:t>it</w:t>
      </w:r>
      <w:r>
        <w:rPr>
          <w:spacing w:val="-2"/>
        </w:rPr>
        <w:t> </w:t>
      </w:r>
      <w:r>
        <w:rPr/>
        <w:t>declines.</w:t>
      </w:r>
      <w:r>
        <w:rPr>
          <w:spacing w:val="-3"/>
        </w:rPr>
        <w:t> </w:t>
      </w:r>
      <w:r>
        <w:rPr/>
        <w:t>For</w:t>
      </w:r>
      <w:r>
        <w:rPr>
          <w:spacing w:val="-3"/>
        </w:rPr>
        <w:t> </w:t>
      </w:r>
      <w:r>
        <w:rPr/>
        <w:t>control</w:t>
      </w:r>
      <w:r>
        <w:rPr>
          <w:spacing w:val="-3"/>
        </w:rPr>
        <w:t> </w:t>
      </w:r>
      <w:r>
        <w:rPr/>
        <w:t>measures</w:t>
      </w:r>
      <w:r>
        <w:rPr>
          <w:spacing w:val="-3"/>
        </w:rPr>
        <w:t> </w:t>
      </w:r>
      <w:r>
        <w:rPr/>
        <w:t>to</w:t>
      </w:r>
      <w:r>
        <w:rPr>
          <w:spacing w:val="-4"/>
        </w:rPr>
        <w:t> </w:t>
      </w:r>
      <w:r>
        <w:rPr/>
        <w:t>be</w:t>
      </w:r>
      <w:r>
        <w:rPr>
          <w:spacing w:val="-3"/>
        </w:rPr>
        <w:t> </w:t>
      </w:r>
      <w:r>
        <w:rPr/>
        <w:t>effective,</w:t>
      </w:r>
      <w:r>
        <w:rPr>
          <w:spacing w:val="-2"/>
        </w:rPr>
        <w:t> </w:t>
      </w:r>
      <w:r>
        <w:rPr/>
        <w:t>they</w:t>
      </w:r>
      <w:r>
        <w:rPr>
          <w:spacing w:val="-3"/>
        </w:rPr>
        <w:t> </w:t>
      </w:r>
      <w:r>
        <w:rPr/>
        <w:t>must reduce</w:t>
      </w:r>
      <w:r>
        <w:rPr>
          <w:spacing w:val="-2"/>
        </w:rPr>
        <w:t> </w:t>
      </w:r>
      <w:r>
        <w:rPr/>
        <w:t>populations</w:t>
      </w:r>
      <w:r>
        <w:rPr>
          <w:spacing w:val="-3"/>
        </w:rPr>
        <w:t> </w:t>
      </w:r>
      <w:r>
        <w:rPr/>
        <w:t>to</w:t>
      </w:r>
      <w:r>
        <w:rPr>
          <w:spacing w:val="-3"/>
        </w:rPr>
        <w:t> </w:t>
      </w:r>
      <w:r>
        <w:rPr/>
        <w:t>the point where growth ceases, and numbers decline (Caughley 1980; Hone 1999; Hone et al. 2010). The maximum proportion of a population that must be removed annually to halt growth is termed </w:t>
      </w:r>
      <w:r>
        <w:rPr>
          <w:i/>
        </w:rPr>
        <w:t>p </w:t>
      </w:r>
      <w:r>
        <w:rPr/>
        <w:t>and is </w:t>
      </w:r>
      <w:r>
        <w:rPr>
          <w:position w:val="1"/>
        </w:rPr>
        <w:t>calculated using the formula </w:t>
      </w:r>
      <w:r>
        <w:rPr>
          <w:i/>
          <w:position w:val="1"/>
        </w:rPr>
        <w:t>p </w:t>
      </w:r>
      <w:r>
        <w:rPr>
          <w:position w:val="1"/>
        </w:rPr>
        <w:t>= 1-(1/e</w:t>
      </w:r>
      <w:r>
        <w:rPr>
          <w:position w:val="1"/>
          <w:vertAlign w:val="superscript"/>
        </w:rPr>
        <w:t>r</w:t>
      </w:r>
      <w:r>
        <w:rPr>
          <w:sz w:val="13"/>
          <w:vertAlign w:val="baseline"/>
        </w:rPr>
        <w:t>m</w:t>
      </w:r>
      <w:r>
        <w:rPr>
          <w:position w:val="1"/>
          <w:vertAlign w:val="baseline"/>
        </w:rPr>
        <w:t>), where </w:t>
      </w:r>
      <w:r>
        <w:rPr>
          <w:i/>
          <w:position w:val="1"/>
          <w:vertAlign w:val="baseline"/>
        </w:rPr>
        <w:t>r</w:t>
      </w:r>
      <w:r>
        <w:rPr>
          <w:rFonts w:ascii="Cambria Math" w:hAnsi="Cambria Math"/>
          <w:i/>
          <w:position w:val="1"/>
          <w:sz w:val="21"/>
          <w:vertAlign w:val="baseline"/>
        </w:rPr>
        <w:t>ₘ </w:t>
      </w:r>
      <w:r>
        <w:rPr>
          <w:position w:val="1"/>
          <w:vertAlign w:val="baseline"/>
        </w:rPr>
        <w:t>is the maximum annual growth rate under unlimited </w:t>
      </w:r>
      <w:r>
        <w:rPr>
          <w:vertAlign w:val="baseline"/>
        </w:rPr>
        <w:t>resources (Caughley 1980; Hone et al. 2010).</w:t>
      </w:r>
    </w:p>
    <w:p>
      <w:pPr>
        <w:pStyle w:val="BodyText"/>
        <w:spacing w:line="237" w:lineRule="auto" w:before="123"/>
        <w:ind w:left="312" w:right="164"/>
      </w:pPr>
      <w:r>
        <w:rPr/>
        <w:t>For instance, Hone (1999) estimated that reducing fox populations by 65% and rabbit populations by 87% annually is required to prevent their growth. Similarly, (Hone et al. 2010) used demographic data for various Australian native species to calculate </w:t>
      </w:r>
      <w:r>
        <w:rPr>
          <w:i/>
        </w:rPr>
        <w:t>r</w:t>
      </w:r>
      <w:r>
        <w:rPr>
          <w:rFonts w:ascii="Cambria Math" w:hAnsi="Cambria Math"/>
          <w:i/>
          <w:sz w:val="21"/>
        </w:rPr>
        <w:t>ₘ</w:t>
      </w:r>
      <w:r>
        <w:rPr>
          <w:rFonts w:ascii="Cambria Math" w:hAnsi="Cambria Math"/>
          <w:i/>
          <w:spacing w:val="13"/>
          <w:sz w:val="21"/>
        </w:rPr>
        <w:t> </w:t>
      </w:r>
      <w:r>
        <w:rPr/>
        <w:t>and the proportion of a population that needs annual removal to</w:t>
      </w:r>
      <w:r>
        <w:rPr/>
        <w:t> drive it to extinction. For the Spotted-tailed Quoll (</w:t>
      </w:r>
      <w:r>
        <w:rPr>
          <w:i/>
        </w:rPr>
        <w:t>Dasyurus maculatus</w:t>
      </w:r>
      <w:r>
        <w:rPr/>
        <w:t>), with an estimated mean annual growth rate of 1.21 (95% CI: 0.1–4.84), the required annual reduction is 52% (95% CI: 9–99%). For Long- footed</w:t>
      </w:r>
      <w:r>
        <w:rPr>
          <w:spacing w:val="-3"/>
        </w:rPr>
        <w:t> </w:t>
      </w:r>
      <w:r>
        <w:rPr/>
        <w:t>Potoroos</w:t>
      </w:r>
      <w:r>
        <w:rPr>
          <w:spacing w:val="-2"/>
        </w:rPr>
        <w:t> </w:t>
      </w:r>
      <w:r>
        <w:rPr/>
        <w:t>(</w:t>
      </w:r>
      <w:r>
        <w:rPr>
          <w:i/>
        </w:rPr>
        <w:t>Potorous longipes</w:t>
      </w:r>
      <w:r>
        <w:rPr/>
        <w:t>),</w:t>
      </w:r>
      <w:r>
        <w:rPr>
          <w:spacing w:val="-3"/>
        </w:rPr>
        <w:t> </w:t>
      </w:r>
      <w:r>
        <w:rPr/>
        <w:t>the</w:t>
      </w:r>
      <w:r>
        <w:rPr>
          <w:spacing w:val="-3"/>
        </w:rPr>
        <w:t> </w:t>
      </w:r>
      <w:r>
        <w:rPr/>
        <w:t>required</w:t>
      </w:r>
      <w:r>
        <w:rPr>
          <w:spacing w:val="-3"/>
        </w:rPr>
        <w:t> </w:t>
      </w:r>
      <w:r>
        <w:rPr/>
        <w:t>reduction</w:t>
      </w:r>
      <w:r>
        <w:rPr>
          <w:spacing w:val="-2"/>
        </w:rPr>
        <w:t> </w:t>
      </w:r>
      <w:r>
        <w:rPr/>
        <w:t>is</w:t>
      </w:r>
      <w:r>
        <w:rPr>
          <w:spacing w:val="-2"/>
        </w:rPr>
        <w:t> </w:t>
      </w:r>
      <w:r>
        <w:rPr/>
        <w:t>29%</w:t>
      </w:r>
      <w:r>
        <w:rPr>
          <w:spacing w:val="-3"/>
        </w:rPr>
        <w:t> </w:t>
      </w:r>
      <w:r>
        <w:rPr/>
        <w:t>(95%</w:t>
      </w:r>
      <w:r>
        <w:rPr>
          <w:spacing w:val="-3"/>
        </w:rPr>
        <w:t> </w:t>
      </w:r>
      <w:r>
        <w:rPr/>
        <w:t>CI:</w:t>
      </w:r>
      <w:r>
        <w:rPr>
          <w:spacing w:val="-3"/>
        </w:rPr>
        <w:t> </w:t>
      </w:r>
      <w:r>
        <w:rPr/>
        <w:t>9–63%),</w:t>
      </w:r>
      <w:r>
        <w:rPr>
          <w:spacing w:val="-3"/>
        </w:rPr>
        <w:t> </w:t>
      </w:r>
      <w:r>
        <w:rPr/>
        <w:t>and</w:t>
      </w:r>
      <w:r>
        <w:rPr>
          <w:spacing w:val="-2"/>
        </w:rPr>
        <w:t> </w:t>
      </w:r>
      <w:r>
        <w:rPr/>
        <w:t>for</w:t>
      </w:r>
      <w:r>
        <w:rPr>
          <w:spacing w:val="-3"/>
        </w:rPr>
        <w:t> </w:t>
      </w:r>
      <w:r>
        <w:rPr/>
        <w:t>Eastern</w:t>
      </w:r>
      <w:r>
        <w:rPr>
          <w:spacing w:val="-1"/>
        </w:rPr>
        <w:t> </w:t>
      </w:r>
      <w:r>
        <w:rPr/>
        <w:t>Barred Bandicoots (</w:t>
      </w:r>
      <w:r>
        <w:rPr>
          <w:i/>
        </w:rPr>
        <w:t>Perameles gunnii</w:t>
      </w:r>
      <w:r>
        <w:rPr/>
        <w:t>), it is 89% (95% CI: 37–100%).</w:t>
      </w:r>
    </w:p>
    <w:p>
      <w:pPr>
        <w:pStyle w:val="BodyText"/>
        <w:spacing w:before="124"/>
        <w:ind w:left="312" w:right="247"/>
      </w:pPr>
      <w:r>
        <w:rPr/>
        <w:t>These figures provide examples of the level of removal needed to cause pest or non-target population declines,</w:t>
      </w:r>
      <w:r>
        <w:rPr>
          <w:spacing w:val="-3"/>
        </w:rPr>
        <w:t> </w:t>
      </w:r>
      <w:r>
        <w:rPr/>
        <w:t>but</w:t>
      </w:r>
      <w:r>
        <w:rPr>
          <w:spacing w:val="-3"/>
        </w:rPr>
        <w:t> </w:t>
      </w:r>
      <w:r>
        <w:rPr/>
        <w:t>the</w:t>
      </w:r>
      <w:r>
        <w:rPr>
          <w:spacing w:val="-4"/>
        </w:rPr>
        <w:t> </w:t>
      </w:r>
      <w:r>
        <w:rPr/>
        <w:t>wide</w:t>
      </w:r>
      <w:r>
        <w:rPr>
          <w:spacing w:val="-2"/>
        </w:rPr>
        <w:t> </w:t>
      </w:r>
      <w:r>
        <w:rPr/>
        <w:t>confidence</w:t>
      </w:r>
      <w:r>
        <w:rPr>
          <w:spacing w:val="-2"/>
        </w:rPr>
        <w:t> </w:t>
      </w:r>
      <w:r>
        <w:rPr/>
        <w:t>intervals for</w:t>
      </w:r>
      <w:r>
        <w:rPr>
          <w:spacing w:val="-3"/>
        </w:rPr>
        <w:t> </w:t>
      </w:r>
      <w:r>
        <w:rPr/>
        <w:t>native</w:t>
      </w:r>
      <w:r>
        <w:rPr>
          <w:spacing w:val="-3"/>
        </w:rPr>
        <w:t> </w:t>
      </w:r>
      <w:r>
        <w:rPr/>
        <w:t>species</w:t>
      </w:r>
      <w:r>
        <w:rPr>
          <w:spacing w:val="-2"/>
        </w:rPr>
        <w:t> </w:t>
      </w:r>
      <w:r>
        <w:rPr/>
        <w:t>underscore</w:t>
      </w:r>
      <w:r>
        <w:rPr>
          <w:spacing w:val="-3"/>
        </w:rPr>
        <w:t> </w:t>
      </w:r>
      <w:r>
        <w:rPr/>
        <w:t>the</w:t>
      </w:r>
      <w:r>
        <w:rPr>
          <w:spacing w:val="-2"/>
        </w:rPr>
        <w:t> </w:t>
      </w:r>
      <w:r>
        <w:rPr/>
        <w:t>need</w:t>
      </w:r>
      <w:r>
        <w:rPr>
          <w:spacing w:val="-3"/>
        </w:rPr>
        <w:t> </w:t>
      </w:r>
      <w:r>
        <w:rPr/>
        <w:t>for</w:t>
      </w:r>
      <w:r>
        <w:rPr>
          <w:spacing w:val="-3"/>
        </w:rPr>
        <w:t> </w:t>
      </w:r>
      <w:r>
        <w:rPr/>
        <w:t>more</w:t>
      </w:r>
      <w:r>
        <w:rPr>
          <w:spacing w:val="-3"/>
        </w:rPr>
        <w:t> </w:t>
      </w:r>
      <w:r>
        <w:rPr/>
        <w:t>field-based</w:t>
      </w:r>
      <w:r>
        <w:rPr>
          <w:spacing w:val="-3"/>
        </w:rPr>
        <w:t> </w:t>
      </w:r>
      <w:r>
        <w:rPr/>
        <w:t>data to refine these estimates. Nevertheless, the framework of applying population ecology outlined by (Hone 1994,</w:t>
      </w:r>
      <w:r>
        <w:rPr>
          <w:spacing w:val="-1"/>
        </w:rPr>
        <w:t> </w:t>
      </w:r>
      <w:r>
        <w:rPr/>
        <w:t>Hone</w:t>
      </w:r>
      <w:r>
        <w:rPr>
          <w:spacing w:val="-2"/>
        </w:rPr>
        <w:t> </w:t>
      </w:r>
      <w:r>
        <w:rPr/>
        <w:t>2012;</w:t>
      </w:r>
      <w:r>
        <w:rPr>
          <w:spacing w:val="-2"/>
        </w:rPr>
        <w:t> </w:t>
      </w:r>
      <w:r>
        <w:rPr/>
        <w:t>Hone</w:t>
      </w:r>
      <w:r>
        <w:rPr>
          <w:spacing w:val="-1"/>
        </w:rPr>
        <w:t> </w:t>
      </w:r>
      <w:r>
        <w:rPr/>
        <w:t>et al. 2010) provides</w:t>
      </w:r>
      <w:r>
        <w:rPr>
          <w:spacing w:val="-1"/>
        </w:rPr>
        <w:t> </w:t>
      </w:r>
      <w:r>
        <w:rPr/>
        <w:t>a</w:t>
      </w:r>
      <w:r>
        <w:rPr>
          <w:spacing w:val="-3"/>
        </w:rPr>
        <w:t> </w:t>
      </w:r>
      <w:r>
        <w:rPr/>
        <w:t>quantitative approach</w:t>
      </w:r>
      <w:r>
        <w:rPr>
          <w:spacing w:val="-2"/>
        </w:rPr>
        <w:t> </w:t>
      </w:r>
      <w:r>
        <w:rPr/>
        <w:t>to assessing level</w:t>
      </w:r>
      <w:r>
        <w:rPr>
          <w:spacing w:val="-3"/>
        </w:rPr>
        <w:t> </w:t>
      </w:r>
      <w:r>
        <w:rPr/>
        <w:t>of</w:t>
      </w:r>
      <w:r>
        <w:rPr>
          <w:spacing w:val="-2"/>
        </w:rPr>
        <w:t> </w:t>
      </w:r>
      <w:r>
        <w:rPr/>
        <w:t>effort</w:t>
      </w:r>
      <w:r>
        <w:rPr>
          <w:spacing w:val="-2"/>
        </w:rPr>
        <w:t> </w:t>
      </w:r>
      <w:r>
        <w:rPr/>
        <w:t>to manage pest species and the risks to non-target species.</w:t>
      </w:r>
    </w:p>
    <w:p>
      <w:pPr>
        <w:pStyle w:val="BodyText"/>
        <w:spacing w:before="120"/>
        <w:ind w:left="312" w:right="224"/>
      </w:pPr>
      <w:r>
        <w:rPr/>
        <w:t>In</w:t>
      </w:r>
      <w:r>
        <w:rPr>
          <w:spacing w:val="-1"/>
        </w:rPr>
        <w:t> </w:t>
      </w:r>
      <w:r>
        <w:rPr/>
        <w:t>addition to direct impacts, lethal</w:t>
      </w:r>
      <w:r>
        <w:rPr>
          <w:spacing w:val="-1"/>
        </w:rPr>
        <w:t> </w:t>
      </w:r>
      <w:r>
        <w:rPr/>
        <w:t>and non-lethal</w:t>
      </w:r>
      <w:r>
        <w:rPr>
          <w:spacing w:val="-1"/>
        </w:rPr>
        <w:t> </w:t>
      </w:r>
      <w:r>
        <w:rPr/>
        <w:t>control</w:t>
      </w:r>
      <w:r>
        <w:rPr>
          <w:spacing w:val="-1"/>
        </w:rPr>
        <w:t> </w:t>
      </w:r>
      <w:r>
        <w:rPr/>
        <w:t>methods can have other sublethal population level effects on both pest and native species. A modest reduction in pest density might trigger compensatory demographic</w:t>
      </w:r>
      <w:r>
        <w:rPr>
          <w:spacing w:val="-4"/>
        </w:rPr>
        <w:t> </w:t>
      </w:r>
      <w:r>
        <w:rPr/>
        <w:t>responses,</w:t>
      </w:r>
      <w:r>
        <w:rPr>
          <w:spacing w:val="-5"/>
        </w:rPr>
        <w:t> </w:t>
      </w:r>
      <w:r>
        <w:rPr/>
        <w:t>such</w:t>
      </w:r>
      <w:r>
        <w:rPr>
          <w:spacing w:val="-5"/>
        </w:rPr>
        <w:t> </w:t>
      </w:r>
      <w:r>
        <w:rPr/>
        <w:t>as</w:t>
      </w:r>
      <w:r>
        <w:rPr>
          <w:spacing w:val="-4"/>
        </w:rPr>
        <w:t> </w:t>
      </w:r>
      <w:r>
        <w:rPr/>
        <w:t>enhanced</w:t>
      </w:r>
      <w:r>
        <w:rPr>
          <w:spacing w:val="-5"/>
        </w:rPr>
        <w:t> </w:t>
      </w:r>
      <w:r>
        <w:rPr/>
        <w:t>survival,</w:t>
      </w:r>
      <w:r>
        <w:rPr>
          <w:spacing w:val="-5"/>
        </w:rPr>
        <w:t> </w:t>
      </w:r>
      <w:r>
        <w:rPr/>
        <w:t>increased</w:t>
      </w:r>
      <w:r>
        <w:rPr>
          <w:spacing w:val="-6"/>
        </w:rPr>
        <w:t> </w:t>
      </w:r>
      <w:r>
        <w:rPr/>
        <w:t>reproduction,</w:t>
      </w:r>
      <w:r>
        <w:rPr>
          <w:spacing w:val="-3"/>
        </w:rPr>
        <w:t> </w:t>
      </w:r>
      <w:r>
        <w:rPr/>
        <w:t>or</w:t>
      </w:r>
      <w:r>
        <w:rPr>
          <w:spacing w:val="-5"/>
        </w:rPr>
        <w:t> </w:t>
      </w:r>
      <w:r>
        <w:rPr/>
        <w:t>immigration,</w:t>
      </w:r>
      <w:r>
        <w:rPr>
          <w:spacing w:val="-3"/>
        </w:rPr>
        <w:t> </w:t>
      </w:r>
      <w:r>
        <w:rPr/>
        <w:t>due</w:t>
      </w:r>
      <w:r>
        <w:rPr>
          <w:spacing w:val="-5"/>
        </w:rPr>
        <w:t> </w:t>
      </w:r>
      <w:r>
        <w:rPr/>
        <w:t>to</w:t>
      </w:r>
      <w:r>
        <w:rPr>
          <w:spacing w:val="-5"/>
        </w:rPr>
        <w:t> </w:t>
      </w:r>
      <w:r>
        <w:rPr/>
        <w:t>reduced competition for resources (Choquenot and Ruscoe 1999; Lieury et al. 2015). However, in socially complex pest species, the loss of individuals may disrupt social organisation. For example, controlling wolf populations can fragment their social structure, potentially altering age composition, group size, survival rates, hunting efficiency, territory dynamics, behaviour, and genetic diversity (Haber 1996). Wallach et al. (2009) suggest that lethal control of Dingoes could have similar effects.</w:t>
      </w:r>
    </w:p>
    <w:p>
      <w:pPr>
        <w:pStyle w:val="BodyText"/>
        <w:spacing w:before="121"/>
        <w:ind w:left="312" w:right="247"/>
      </w:pPr>
      <w:r>
        <w:rPr/>
        <w:t>The relationship between pest damage and density remains unclear. It is often assumed that reducing pest populations will reduce the damage, halt declines or boost the abundance of at-risk species. However, the extent</w:t>
      </w:r>
      <w:r>
        <w:rPr>
          <w:spacing w:val="-4"/>
        </w:rPr>
        <w:t> </w:t>
      </w:r>
      <w:r>
        <w:rPr/>
        <w:t>to</w:t>
      </w:r>
      <w:r>
        <w:rPr>
          <w:spacing w:val="-4"/>
        </w:rPr>
        <w:t> </w:t>
      </w:r>
      <w:r>
        <w:rPr/>
        <w:t>which</w:t>
      </w:r>
      <w:r>
        <w:rPr>
          <w:spacing w:val="-4"/>
        </w:rPr>
        <w:t> </w:t>
      </w:r>
      <w:r>
        <w:rPr/>
        <w:t>pest</w:t>
      </w:r>
      <w:r>
        <w:rPr>
          <w:spacing w:val="-4"/>
        </w:rPr>
        <w:t> </w:t>
      </w:r>
      <w:r>
        <w:rPr/>
        <w:t>densities</w:t>
      </w:r>
      <w:r>
        <w:rPr>
          <w:spacing w:val="-3"/>
        </w:rPr>
        <w:t> </w:t>
      </w:r>
      <w:r>
        <w:rPr/>
        <w:t>need</w:t>
      </w:r>
      <w:r>
        <w:rPr>
          <w:spacing w:val="-4"/>
        </w:rPr>
        <w:t> </w:t>
      </w:r>
      <w:r>
        <w:rPr/>
        <w:t>to</w:t>
      </w:r>
      <w:r>
        <w:rPr>
          <w:spacing w:val="-2"/>
        </w:rPr>
        <w:t> </w:t>
      </w:r>
      <w:r>
        <w:rPr/>
        <w:t>be</w:t>
      </w:r>
      <w:r>
        <w:rPr>
          <w:spacing w:val="-5"/>
        </w:rPr>
        <w:t> </w:t>
      </w:r>
      <w:r>
        <w:rPr/>
        <w:t>reduced</w:t>
      </w:r>
      <w:r>
        <w:rPr>
          <w:spacing w:val="-2"/>
        </w:rPr>
        <w:t> </w:t>
      </w:r>
      <w:r>
        <w:rPr/>
        <w:t>to</w:t>
      </w:r>
      <w:r>
        <w:rPr>
          <w:spacing w:val="-3"/>
        </w:rPr>
        <w:t> </w:t>
      </w:r>
      <w:r>
        <w:rPr/>
        <w:t>alleviate</w:t>
      </w:r>
      <w:r>
        <w:rPr>
          <w:spacing w:val="-5"/>
        </w:rPr>
        <w:t> </w:t>
      </w:r>
      <w:r>
        <w:rPr/>
        <w:t>predation</w:t>
      </w:r>
      <w:r>
        <w:rPr>
          <w:spacing w:val="-4"/>
        </w:rPr>
        <w:t> </w:t>
      </w:r>
      <w:r>
        <w:rPr/>
        <w:t>pressure,</w:t>
      </w:r>
      <w:r>
        <w:rPr>
          <w:spacing w:val="-2"/>
        </w:rPr>
        <w:t> </w:t>
      </w:r>
      <w:r>
        <w:rPr/>
        <w:t>allow</w:t>
      </w:r>
      <w:r>
        <w:rPr>
          <w:spacing w:val="-4"/>
        </w:rPr>
        <w:t> </w:t>
      </w:r>
      <w:r>
        <w:rPr/>
        <w:t>vegetation</w:t>
      </w:r>
      <w:r>
        <w:rPr>
          <w:spacing w:val="-4"/>
        </w:rPr>
        <w:t> </w:t>
      </w:r>
      <w:r>
        <w:rPr/>
        <w:t>recovery, or</w:t>
      </w:r>
      <w:r>
        <w:rPr>
          <w:spacing w:val="-2"/>
        </w:rPr>
        <w:t> </w:t>
      </w:r>
      <w:r>
        <w:rPr/>
        <w:t>enhance</w:t>
      </w:r>
      <w:r>
        <w:rPr>
          <w:spacing w:val="-2"/>
        </w:rPr>
        <w:t> </w:t>
      </w:r>
      <w:r>
        <w:rPr/>
        <w:t>farm</w:t>
      </w:r>
      <w:r>
        <w:rPr>
          <w:spacing w:val="-2"/>
        </w:rPr>
        <w:t> </w:t>
      </w:r>
      <w:r>
        <w:rPr/>
        <w:t>productivity</w:t>
      </w:r>
      <w:r>
        <w:rPr>
          <w:spacing w:val="-1"/>
        </w:rPr>
        <w:t> </w:t>
      </w:r>
      <w:r>
        <w:rPr/>
        <w:t>remains</w:t>
      </w:r>
      <w:r>
        <w:rPr>
          <w:spacing w:val="-1"/>
        </w:rPr>
        <w:t> </w:t>
      </w:r>
      <w:r>
        <w:rPr/>
        <w:t>largely</w:t>
      </w:r>
      <w:r>
        <w:rPr>
          <w:spacing w:val="-1"/>
        </w:rPr>
        <w:t> </w:t>
      </w:r>
      <w:r>
        <w:rPr/>
        <w:t>unknown. An example of</w:t>
      </w:r>
      <w:r>
        <w:rPr>
          <w:spacing w:val="-2"/>
        </w:rPr>
        <w:t> </w:t>
      </w:r>
      <w:r>
        <w:rPr/>
        <w:t>this is if</w:t>
      </w:r>
      <w:r>
        <w:rPr>
          <w:spacing w:val="-2"/>
        </w:rPr>
        <w:t> </w:t>
      </w:r>
      <w:r>
        <w:rPr/>
        <w:t>dominant male</w:t>
      </w:r>
      <w:r>
        <w:rPr>
          <w:spacing w:val="-2"/>
        </w:rPr>
        <w:t> </w:t>
      </w:r>
      <w:r>
        <w:rPr/>
        <w:t>predators are responsible for most of the killing, removing sub-dominant individuals from the population may result in a decline in overall density but not reduce the damage caused.</w:t>
      </w:r>
    </w:p>
    <w:p>
      <w:pPr>
        <w:pStyle w:val="BodyText"/>
        <w:spacing w:before="120"/>
        <w:ind w:left="312" w:right="173"/>
      </w:pPr>
      <w:r>
        <w:rPr/>
        <w:t>Understanding</w:t>
      </w:r>
      <w:r>
        <w:rPr>
          <w:spacing w:val="-1"/>
        </w:rPr>
        <w:t> </w:t>
      </w:r>
      <w:r>
        <w:rPr/>
        <w:t>population</w:t>
      </w:r>
      <w:r>
        <w:rPr>
          <w:spacing w:val="-3"/>
        </w:rPr>
        <w:t> </w:t>
      </w:r>
      <w:r>
        <w:rPr/>
        <w:t>ecology</w:t>
      </w:r>
      <w:r>
        <w:rPr>
          <w:spacing w:val="-1"/>
        </w:rPr>
        <w:t> </w:t>
      </w:r>
      <w:r>
        <w:rPr/>
        <w:t>provides</w:t>
      </w:r>
      <w:r>
        <w:rPr>
          <w:spacing w:val="-1"/>
        </w:rPr>
        <w:t> </w:t>
      </w:r>
      <w:r>
        <w:rPr/>
        <w:t>valuable</w:t>
      </w:r>
      <w:r>
        <w:rPr>
          <w:spacing w:val="-2"/>
        </w:rPr>
        <w:t> </w:t>
      </w:r>
      <w:r>
        <w:rPr/>
        <w:t>insights</w:t>
      </w:r>
      <w:r>
        <w:rPr>
          <w:spacing w:val="-1"/>
        </w:rPr>
        <w:t> </w:t>
      </w:r>
      <w:r>
        <w:rPr/>
        <w:t>into</w:t>
      </w:r>
      <w:r>
        <w:rPr>
          <w:spacing w:val="-1"/>
        </w:rPr>
        <w:t> </w:t>
      </w:r>
      <w:r>
        <w:rPr/>
        <w:t>the</w:t>
      </w:r>
      <w:r>
        <w:rPr>
          <w:spacing w:val="-1"/>
        </w:rPr>
        <w:t> </w:t>
      </w:r>
      <w:r>
        <w:rPr/>
        <w:t>effectiveness</w:t>
      </w:r>
      <w:r>
        <w:rPr>
          <w:spacing w:val="-1"/>
        </w:rPr>
        <w:t> </w:t>
      </w:r>
      <w:r>
        <w:rPr/>
        <w:t>of</w:t>
      </w:r>
      <w:r>
        <w:rPr>
          <w:spacing w:val="-2"/>
        </w:rPr>
        <w:t> </w:t>
      </w:r>
      <w:r>
        <w:rPr/>
        <w:t>pest</w:t>
      </w:r>
      <w:r>
        <w:rPr>
          <w:spacing w:val="-2"/>
        </w:rPr>
        <w:t> </w:t>
      </w:r>
      <w:r>
        <w:rPr/>
        <w:t>control</w:t>
      </w:r>
      <w:r>
        <w:rPr>
          <w:spacing w:val="-1"/>
        </w:rPr>
        <w:t> </w:t>
      </w:r>
      <w:r>
        <w:rPr/>
        <w:t>measures, particularly in reducing pest populations, preventing damage, and minimising impacts on native species and the</w:t>
      </w:r>
      <w:r>
        <w:rPr>
          <w:spacing w:val="-5"/>
        </w:rPr>
        <w:t> </w:t>
      </w:r>
      <w:r>
        <w:rPr/>
        <w:t>environment.</w:t>
      </w:r>
      <w:r>
        <w:rPr>
          <w:spacing w:val="-4"/>
        </w:rPr>
        <w:t> </w:t>
      </w:r>
      <w:r>
        <w:rPr/>
        <w:t>It</w:t>
      </w:r>
      <w:r>
        <w:rPr>
          <w:spacing w:val="-2"/>
        </w:rPr>
        <w:t> </w:t>
      </w:r>
      <w:r>
        <w:rPr/>
        <w:t>also</w:t>
      </w:r>
      <w:r>
        <w:rPr>
          <w:spacing w:val="-2"/>
        </w:rPr>
        <w:t> </w:t>
      </w:r>
      <w:r>
        <w:rPr/>
        <w:t>highlights</w:t>
      </w:r>
      <w:r>
        <w:rPr>
          <w:spacing w:val="-3"/>
        </w:rPr>
        <w:t> </w:t>
      </w:r>
      <w:r>
        <w:rPr/>
        <w:t>the</w:t>
      </w:r>
      <w:r>
        <w:rPr>
          <w:spacing w:val="-5"/>
        </w:rPr>
        <w:t> </w:t>
      </w:r>
      <w:r>
        <w:rPr/>
        <w:t>ecological</w:t>
      </w:r>
      <w:r>
        <w:rPr>
          <w:spacing w:val="-5"/>
        </w:rPr>
        <w:t> </w:t>
      </w:r>
      <w:r>
        <w:rPr/>
        <w:t>complexities</w:t>
      </w:r>
      <w:r>
        <w:rPr>
          <w:spacing w:val="-3"/>
        </w:rPr>
        <w:t> </w:t>
      </w:r>
      <w:r>
        <w:rPr/>
        <w:t>of</w:t>
      </w:r>
      <w:r>
        <w:rPr>
          <w:spacing w:val="-4"/>
        </w:rPr>
        <w:t> </w:t>
      </w:r>
      <w:r>
        <w:rPr/>
        <w:t>pest</w:t>
      </w:r>
      <w:r>
        <w:rPr>
          <w:spacing w:val="-4"/>
        </w:rPr>
        <w:t> </w:t>
      </w:r>
      <w:r>
        <w:rPr/>
        <w:t>management</w:t>
      </w:r>
      <w:r>
        <w:rPr>
          <w:spacing w:val="-2"/>
        </w:rPr>
        <w:t> </w:t>
      </w:r>
      <w:r>
        <w:rPr/>
        <w:t>and</w:t>
      </w:r>
      <w:r>
        <w:rPr>
          <w:spacing w:val="-2"/>
        </w:rPr>
        <w:t> </w:t>
      </w:r>
      <w:r>
        <w:rPr/>
        <w:t>underscores</w:t>
      </w:r>
      <w:r>
        <w:rPr>
          <w:spacing w:val="-2"/>
        </w:rPr>
        <w:t> </w:t>
      </w:r>
      <w:r>
        <w:rPr/>
        <w:t>the</w:t>
      </w:r>
      <w:r>
        <w:rPr>
          <w:spacing w:val="-4"/>
        </w:rPr>
        <w:t> </w:t>
      </w:r>
      <w:r>
        <w:rPr/>
        <w:t>risks of unintended consequences. Without linking our understanding of population ecology to measurable outcomes from control actions, there is a risk of misallocating scarce public resources to ineffective</w:t>
      </w:r>
      <w:r>
        <w:rPr>
          <w:spacing w:val="40"/>
        </w:rPr>
        <w:t> </w:t>
      </w:r>
      <w:r>
        <w:rPr/>
        <w:t>strategies that fail to achieve the desired benefits.</w:t>
      </w:r>
    </w:p>
    <w:p>
      <w:pPr>
        <w:spacing w:after="0"/>
        <w:sectPr>
          <w:pgSz w:w="11910" w:h="16850"/>
          <w:pgMar w:header="0" w:footer="688" w:top="1140" w:bottom="880" w:left="820" w:right="980"/>
        </w:sectPr>
      </w:pPr>
    </w:p>
    <w:p>
      <w:pPr>
        <w:pStyle w:val="BodyText"/>
        <w:spacing w:before="71"/>
        <w:ind w:left="312" w:right="159"/>
      </w:pPr>
      <w:r>
        <w:rPr/>
        <w:t>This review assumes that 1080 products, when applied according to label conditions and in adherence to</w:t>
      </w:r>
      <w:r>
        <w:rPr/>
        <w:t> best</w:t>
      </w:r>
      <w:r>
        <w:rPr>
          <w:spacing w:val="-4"/>
        </w:rPr>
        <w:t> </w:t>
      </w:r>
      <w:r>
        <w:rPr/>
        <w:t>practice</w:t>
      </w:r>
      <w:r>
        <w:rPr>
          <w:spacing w:val="-2"/>
        </w:rPr>
        <w:t> </w:t>
      </w:r>
      <w:r>
        <w:rPr/>
        <w:t>methods,</w:t>
      </w:r>
      <w:r>
        <w:rPr>
          <w:spacing w:val="-4"/>
        </w:rPr>
        <w:t> </w:t>
      </w:r>
      <w:r>
        <w:rPr/>
        <w:t>are</w:t>
      </w:r>
      <w:r>
        <w:rPr>
          <w:spacing w:val="-2"/>
        </w:rPr>
        <w:t> </w:t>
      </w:r>
      <w:r>
        <w:rPr/>
        <w:t>effective</w:t>
      </w:r>
      <w:r>
        <w:rPr>
          <w:spacing w:val="-2"/>
        </w:rPr>
        <w:t> </w:t>
      </w:r>
      <w:r>
        <w:rPr/>
        <w:t>in</w:t>
      </w:r>
      <w:r>
        <w:rPr>
          <w:spacing w:val="-2"/>
        </w:rPr>
        <w:t> </w:t>
      </w:r>
      <w:r>
        <w:rPr/>
        <w:t>controlling the</w:t>
      </w:r>
      <w:r>
        <w:rPr>
          <w:spacing w:val="-2"/>
        </w:rPr>
        <w:t> </w:t>
      </w:r>
      <w:r>
        <w:rPr/>
        <w:t>target</w:t>
      </w:r>
      <w:r>
        <w:rPr>
          <w:spacing w:val="-4"/>
        </w:rPr>
        <w:t> </w:t>
      </w:r>
      <w:r>
        <w:rPr/>
        <w:t>species.</w:t>
      </w:r>
      <w:r>
        <w:rPr>
          <w:spacing w:val="-4"/>
        </w:rPr>
        <w:t> </w:t>
      </w:r>
      <w:r>
        <w:rPr/>
        <w:t>This</w:t>
      </w:r>
      <w:r>
        <w:rPr>
          <w:spacing w:val="-3"/>
        </w:rPr>
        <w:t> </w:t>
      </w:r>
      <w:r>
        <w:rPr/>
        <w:t>section provides</w:t>
      </w:r>
      <w:r>
        <w:rPr>
          <w:spacing w:val="-1"/>
        </w:rPr>
        <w:t> </w:t>
      </w:r>
      <w:r>
        <w:rPr/>
        <w:t>a</w:t>
      </w:r>
      <w:r>
        <w:rPr>
          <w:spacing w:val="-4"/>
        </w:rPr>
        <w:t> </w:t>
      </w:r>
      <w:r>
        <w:rPr/>
        <w:t>brief</w:t>
      </w:r>
      <w:r>
        <w:rPr>
          <w:spacing w:val="-3"/>
        </w:rPr>
        <w:t> </w:t>
      </w:r>
      <w:r>
        <w:rPr/>
        <w:t>overview</w:t>
      </w:r>
      <w:r>
        <w:rPr>
          <w:spacing w:val="-4"/>
        </w:rPr>
        <w:t> </w:t>
      </w:r>
      <w:r>
        <w:rPr/>
        <w:t>of 1080 usage and summarises its efficacy in reducing populations of the target species. The broader economic, social, and environmental benefits that may flow from reducing pest populations fall outside the scope of this review.</w:t>
      </w:r>
    </w:p>
    <w:p>
      <w:pPr>
        <w:pStyle w:val="Heading2"/>
        <w:numPr>
          <w:ilvl w:val="0"/>
          <w:numId w:val="11"/>
        </w:numPr>
        <w:tabs>
          <w:tab w:pos="879" w:val="left" w:leader="none"/>
        </w:tabs>
        <w:spacing w:line="240" w:lineRule="auto" w:before="193" w:after="0"/>
        <w:ind w:left="879" w:right="0" w:hanging="567"/>
        <w:jc w:val="left"/>
      </w:pPr>
      <w:bookmarkStart w:name="_TOC_250069" w:id="28"/>
      <w:r>
        <w:rPr>
          <w:color w:val="001F5F"/>
        </w:rPr>
        <w:t>Lethal</w:t>
      </w:r>
      <w:r>
        <w:rPr>
          <w:color w:val="001F5F"/>
          <w:spacing w:val="-12"/>
        </w:rPr>
        <w:t> </w:t>
      </w:r>
      <w:r>
        <w:rPr>
          <w:color w:val="001F5F"/>
        </w:rPr>
        <w:t>methods</w:t>
      </w:r>
      <w:r>
        <w:rPr>
          <w:color w:val="001F5F"/>
          <w:spacing w:val="-10"/>
        </w:rPr>
        <w:t> </w:t>
      </w:r>
      <w:r>
        <w:rPr>
          <w:color w:val="001F5F"/>
        </w:rPr>
        <w:t>for</w:t>
      </w:r>
      <w:r>
        <w:rPr>
          <w:color w:val="001F5F"/>
          <w:spacing w:val="-12"/>
        </w:rPr>
        <w:t> </w:t>
      </w:r>
      <w:r>
        <w:rPr>
          <w:color w:val="001F5F"/>
        </w:rPr>
        <w:t>managing</w:t>
      </w:r>
      <w:r>
        <w:rPr>
          <w:color w:val="001F5F"/>
          <w:spacing w:val="-12"/>
        </w:rPr>
        <w:t> </w:t>
      </w:r>
      <w:bookmarkEnd w:id="28"/>
      <w:r>
        <w:rPr>
          <w:color w:val="001F5F"/>
          <w:spacing w:val="-2"/>
        </w:rPr>
        <w:t>rabbits</w:t>
      </w:r>
    </w:p>
    <w:p>
      <w:pPr>
        <w:pStyle w:val="BodyText"/>
        <w:spacing w:before="277"/>
        <w:rPr>
          <w:b/>
          <w:sz w:val="32"/>
        </w:rPr>
      </w:pPr>
    </w:p>
    <w:p>
      <w:pPr>
        <w:pStyle w:val="Heading3"/>
        <w:tabs>
          <w:tab w:pos="889" w:val="left" w:leader="none"/>
        </w:tabs>
        <w:ind w:left="312" w:firstLine="0"/>
      </w:pPr>
      <w:bookmarkStart w:name="_TOC_250068" w:id="29"/>
      <w:r>
        <w:rPr>
          <w:color w:val="2D1E66"/>
          <w:spacing w:val="-5"/>
        </w:rPr>
        <w:t>8.1</w:t>
      </w:r>
      <w:r>
        <w:rPr>
          <w:color w:val="2D1E66"/>
        </w:rPr>
        <w:tab/>
      </w:r>
      <w:bookmarkEnd w:id="29"/>
      <w:r>
        <w:rPr>
          <w:color w:val="2D1E66"/>
          <w:spacing w:val="-4"/>
        </w:rPr>
        <w:t>1080</w:t>
      </w:r>
    </w:p>
    <w:p>
      <w:pPr>
        <w:pStyle w:val="BodyText"/>
        <w:spacing w:before="112"/>
        <w:ind w:left="312" w:right="247"/>
      </w:pPr>
      <w:r>
        <w:rPr/>
        <w:t>Research into the efficacy of 1080 as a toxin for rabbit control in Australia began extensively in the early 1950s (Lazarus 1956; Meldrum et al. 1957; Rowley 1960). By the 1950s and 1960s, 1080 had become a primary method for managing rabbit populations. Early studies aimed to determine the minimum effective concentration of 1080 required to kill rabbits, identify the most effective bait types, and optimise delivery methods.</w:t>
      </w:r>
      <w:r>
        <w:rPr>
          <w:spacing w:val="-2"/>
        </w:rPr>
        <w:t> </w:t>
      </w:r>
      <w:r>
        <w:rPr/>
        <w:t>Meldrum et</w:t>
      </w:r>
      <w:r>
        <w:rPr>
          <w:spacing w:val="-3"/>
        </w:rPr>
        <w:t> </w:t>
      </w:r>
      <w:r>
        <w:rPr/>
        <w:t>al.</w:t>
      </w:r>
      <w:r>
        <w:rPr>
          <w:spacing w:val="-3"/>
        </w:rPr>
        <w:t> </w:t>
      </w:r>
      <w:r>
        <w:rPr/>
        <w:t>(1957)</w:t>
      </w:r>
      <w:r>
        <w:rPr>
          <w:spacing w:val="-1"/>
        </w:rPr>
        <w:t> </w:t>
      </w:r>
      <w:r>
        <w:rPr/>
        <w:t>were</w:t>
      </w:r>
      <w:r>
        <w:rPr>
          <w:spacing w:val="-3"/>
        </w:rPr>
        <w:t> </w:t>
      </w:r>
      <w:r>
        <w:rPr/>
        <w:t>among</w:t>
      </w:r>
      <w:r>
        <w:rPr>
          <w:spacing w:val="-3"/>
        </w:rPr>
        <w:t> </w:t>
      </w:r>
      <w:r>
        <w:rPr/>
        <w:t>the</w:t>
      </w:r>
      <w:r>
        <w:rPr>
          <w:spacing w:val="-3"/>
        </w:rPr>
        <w:t> </w:t>
      </w:r>
      <w:r>
        <w:rPr/>
        <w:t>first</w:t>
      </w:r>
      <w:r>
        <w:rPr>
          <w:spacing w:val="-3"/>
        </w:rPr>
        <w:t> </w:t>
      </w:r>
      <w:r>
        <w:rPr/>
        <w:t>to</w:t>
      </w:r>
      <w:r>
        <w:rPr>
          <w:spacing w:val="-3"/>
        </w:rPr>
        <w:t> </w:t>
      </w:r>
      <w:r>
        <w:rPr/>
        <w:t>report</w:t>
      </w:r>
      <w:r>
        <w:rPr>
          <w:spacing w:val="-1"/>
        </w:rPr>
        <w:t> </w:t>
      </w:r>
      <w:r>
        <w:rPr/>
        <w:t>a</w:t>
      </w:r>
      <w:r>
        <w:rPr>
          <w:spacing w:val="-3"/>
        </w:rPr>
        <w:t> </w:t>
      </w:r>
      <w:r>
        <w:rPr/>
        <w:t>significant</w:t>
      </w:r>
      <w:r>
        <w:rPr>
          <w:spacing w:val="-1"/>
        </w:rPr>
        <w:t> </w:t>
      </w:r>
      <w:r>
        <w:rPr/>
        <w:t>reduction</w:t>
      </w:r>
      <w:r>
        <w:rPr>
          <w:spacing w:val="-2"/>
        </w:rPr>
        <w:t> </w:t>
      </w:r>
      <w:r>
        <w:rPr/>
        <w:t>in</w:t>
      </w:r>
      <w:r>
        <w:rPr>
          <w:spacing w:val="-3"/>
        </w:rPr>
        <w:t> </w:t>
      </w:r>
      <w:r>
        <w:rPr/>
        <w:t>rabbit</w:t>
      </w:r>
      <w:r>
        <w:rPr>
          <w:spacing w:val="-3"/>
        </w:rPr>
        <w:t> </w:t>
      </w:r>
      <w:r>
        <w:rPr/>
        <w:t>populations, recording a 95% decrease in parts of Tasmania.</w:t>
      </w:r>
    </w:p>
    <w:p>
      <w:pPr>
        <w:pStyle w:val="BodyText"/>
        <w:spacing w:before="121"/>
        <w:ind w:left="312" w:right="179"/>
      </w:pPr>
      <w:r>
        <w:rPr/>
        <w:t>These foundational studies established two standardised baiting methods, using: (1) oat baits and (2) carrot baits, both treated with 1080 at concentrations between 0.01% and 0.02%. Rowley (1960) compared the effectiveness of these bait types under various climatic conditions in Western Australia and the New South Wales</w:t>
      </w:r>
      <w:r>
        <w:rPr>
          <w:spacing w:val="-3"/>
        </w:rPr>
        <w:t> </w:t>
      </w:r>
      <w:r>
        <w:rPr/>
        <w:t>tablelands.</w:t>
      </w:r>
      <w:r>
        <w:rPr>
          <w:spacing w:val="-4"/>
        </w:rPr>
        <w:t> </w:t>
      </w:r>
      <w:r>
        <w:rPr/>
        <w:t>During</w:t>
      </w:r>
      <w:r>
        <w:rPr>
          <w:spacing w:val="-2"/>
        </w:rPr>
        <w:t> </w:t>
      </w:r>
      <w:r>
        <w:rPr/>
        <w:t>winter,</w:t>
      </w:r>
      <w:r>
        <w:rPr>
          <w:spacing w:val="-2"/>
        </w:rPr>
        <w:t> </w:t>
      </w:r>
      <w:r>
        <w:rPr/>
        <w:t>both</w:t>
      </w:r>
      <w:r>
        <w:rPr>
          <w:spacing w:val="-4"/>
        </w:rPr>
        <w:t> </w:t>
      </w:r>
      <w:r>
        <w:rPr/>
        <w:t>oat</w:t>
      </w:r>
      <w:r>
        <w:rPr>
          <w:spacing w:val="-4"/>
        </w:rPr>
        <w:t> </w:t>
      </w:r>
      <w:r>
        <w:rPr/>
        <w:t>and</w:t>
      </w:r>
      <w:r>
        <w:rPr>
          <w:spacing w:val="-4"/>
        </w:rPr>
        <w:t> </w:t>
      </w:r>
      <w:r>
        <w:rPr/>
        <w:t>carrot</w:t>
      </w:r>
      <w:r>
        <w:rPr>
          <w:spacing w:val="-2"/>
        </w:rPr>
        <w:t> </w:t>
      </w:r>
      <w:r>
        <w:rPr/>
        <w:t>baits</w:t>
      </w:r>
      <w:r>
        <w:rPr>
          <w:spacing w:val="-3"/>
        </w:rPr>
        <w:t> </w:t>
      </w:r>
      <w:r>
        <w:rPr/>
        <w:t>were</w:t>
      </w:r>
      <w:r>
        <w:rPr>
          <w:spacing w:val="-1"/>
        </w:rPr>
        <w:t> </w:t>
      </w:r>
      <w:r>
        <w:rPr/>
        <w:t>readily</w:t>
      </w:r>
      <w:r>
        <w:rPr>
          <w:spacing w:val="-3"/>
        </w:rPr>
        <w:t> </w:t>
      </w:r>
      <w:r>
        <w:rPr/>
        <w:t>consumed</w:t>
      </w:r>
      <w:r>
        <w:rPr>
          <w:spacing w:val="-2"/>
        </w:rPr>
        <w:t> </w:t>
      </w:r>
      <w:r>
        <w:rPr/>
        <w:t>by</w:t>
      </w:r>
      <w:r>
        <w:rPr>
          <w:spacing w:val="-3"/>
        </w:rPr>
        <w:t> </w:t>
      </w:r>
      <w:r>
        <w:rPr/>
        <w:t>rabbits.</w:t>
      </w:r>
      <w:r>
        <w:rPr>
          <w:spacing w:val="-4"/>
        </w:rPr>
        <w:t> </w:t>
      </w:r>
      <w:r>
        <w:rPr/>
        <w:t>However,</w:t>
      </w:r>
      <w:r>
        <w:rPr>
          <w:spacing w:val="-4"/>
        </w:rPr>
        <w:t> </w:t>
      </w:r>
      <w:r>
        <w:rPr/>
        <w:t>in</w:t>
      </w:r>
      <w:r>
        <w:rPr>
          <w:spacing w:val="-4"/>
        </w:rPr>
        <w:t> </w:t>
      </w:r>
      <w:r>
        <w:rPr/>
        <w:t>the hot and dry summer months, oat baits were less palatable. In this study, rabbit populations were reduced by 98.9% with carrot baits and 83.6% with oat baits. Other research has demonstrated variability in effectiveness, with oat baits achieving reductions between 45% and 100%, and carrot baits resulting in reductions between 33% and 99% (Burley 1986; Meldrum et al. 1957; Oliver et al. 1982; Rowley 1968;</w:t>
      </w:r>
    </w:p>
    <w:p>
      <w:pPr>
        <w:pStyle w:val="BodyText"/>
        <w:spacing w:before="1"/>
        <w:ind w:left="312"/>
      </w:pPr>
      <w:r>
        <w:rPr/>
        <w:t>Wheeler</w:t>
      </w:r>
      <w:r>
        <w:rPr>
          <w:spacing w:val="-11"/>
        </w:rPr>
        <w:t> </w:t>
      </w:r>
      <w:r>
        <w:rPr>
          <w:spacing w:val="-2"/>
        </w:rPr>
        <w:t>1984).</w:t>
      </w:r>
    </w:p>
    <w:p>
      <w:pPr>
        <w:pStyle w:val="BodyText"/>
        <w:spacing w:before="120"/>
        <w:ind w:left="312" w:right="156"/>
      </w:pPr>
      <w:r>
        <w:rPr/>
        <w:t>Subsequent</w:t>
      </w:r>
      <w:r>
        <w:rPr>
          <w:spacing w:val="-4"/>
        </w:rPr>
        <w:t> </w:t>
      </w:r>
      <w:r>
        <w:rPr/>
        <w:t>studies</w:t>
      </w:r>
      <w:r>
        <w:rPr>
          <w:spacing w:val="-1"/>
        </w:rPr>
        <w:t> </w:t>
      </w:r>
      <w:r>
        <w:rPr/>
        <w:t>examined</w:t>
      </w:r>
      <w:r>
        <w:rPr>
          <w:spacing w:val="-4"/>
        </w:rPr>
        <w:t> </w:t>
      </w:r>
      <w:r>
        <w:rPr/>
        <w:t>the</w:t>
      </w:r>
      <w:r>
        <w:rPr>
          <w:spacing w:val="-3"/>
        </w:rPr>
        <w:t> </w:t>
      </w:r>
      <w:r>
        <w:rPr/>
        <w:t>durability</w:t>
      </w:r>
      <w:r>
        <w:rPr>
          <w:spacing w:val="-3"/>
        </w:rPr>
        <w:t> </w:t>
      </w:r>
      <w:r>
        <w:rPr/>
        <w:t>of</w:t>
      </w:r>
      <w:r>
        <w:rPr>
          <w:spacing w:val="-2"/>
        </w:rPr>
        <w:t> </w:t>
      </w:r>
      <w:r>
        <w:rPr/>
        <w:t>1080's impact</w:t>
      </w:r>
      <w:r>
        <w:rPr>
          <w:spacing w:val="-4"/>
        </w:rPr>
        <w:t> </w:t>
      </w:r>
      <w:r>
        <w:rPr/>
        <w:t>on</w:t>
      </w:r>
      <w:r>
        <w:rPr>
          <w:spacing w:val="-4"/>
        </w:rPr>
        <w:t> </w:t>
      </w:r>
      <w:r>
        <w:rPr/>
        <w:t>rabbit</w:t>
      </w:r>
      <w:r>
        <w:rPr>
          <w:spacing w:val="-4"/>
        </w:rPr>
        <w:t> </w:t>
      </w:r>
      <w:r>
        <w:rPr/>
        <w:t>populations. Rowley</w:t>
      </w:r>
      <w:r>
        <w:rPr>
          <w:spacing w:val="-3"/>
        </w:rPr>
        <w:t> </w:t>
      </w:r>
      <w:r>
        <w:rPr/>
        <w:t>(1968)</w:t>
      </w:r>
      <w:r>
        <w:rPr>
          <w:spacing w:val="-2"/>
        </w:rPr>
        <w:t> </w:t>
      </w:r>
      <w:r>
        <w:rPr/>
        <w:t>found</w:t>
      </w:r>
      <w:r>
        <w:rPr>
          <w:spacing w:val="-5"/>
        </w:rPr>
        <w:t> </w:t>
      </w:r>
      <w:r>
        <w:rPr/>
        <w:t>that 1080-treated carrots or oats reduced rabbit numbers by 93–99% across five sites. However, these</w:t>
      </w:r>
      <w:r>
        <w:rPr>
          <w:spacing w:val="40"/>
        </w:rPr>
        <w:t> </w:t>
      </w:r>
      <w:r>
        <w:rPr/>
        <w:t>reductions</w:t>
      </w:r>
      <w:r>
        <w:rPr>
          <w:spacing w:val="-3"/>
        </w:rPr>
        <w:t> </w:t>
      </w:r>
      <w:r>
        <w:rPr/>
        <w:t>were</w:t>
      </w:r>
      <w:r>
        <w:rPr>
          <w:spacing w:val="-2"/>
        </w:rPr>
        <w:t> </w:t>
      </w:r>
      <w:r>
        <w:rPr/>
        <w:t>temporary,</w:t>
      </w:r>
      <w:r>
        <w:rPr>
          <w:spacing w:val="-2"/>
        </w:rPr>
        <w:t> </w:t>
      </w:r>
      <w:r>
        <w:rPr/>
        <w:t>lasting</w:t>
      </w:r>
      <w:r>
        <w:rPr>
          <w:spacing w:val="-3"/>
        </w:rPr>
        <w:t> </w:t>
      </w:r>
      <w:r>
        <w:rPr/>
        <w:t>only</w:t>
      </w:r>
      <w:r>
        <w:rPr>
          <w:spacing w:val="-1"/>
        </w:rPr>
        <w:t> </w:t>
      </w:r>
      <w:r>
        <w:rPr/>
        <w:t>8–15</w:t>
      </w:r>
      <w:r>
        <w:rPr>
          <w:spacing w:val="-4"/>
        </w:rPr>
        <w:t> </w:t>
      </w:r>
      <w:r>
        <w:rPr/>
        <w:t>months.</w:t>
      </w:r>
      <w:r>
        <w:rPr>
          <w:spacing w:val="-2"/>
        </w:rPr>
        <w:t> </w:t>
      </w:r>
      <w:r>
        <w:rPr/>
        <w:t>The</w:t>
      </w:r>
      <w:r>
        <w:rPr>
          <w:spacing w:val="-5"/>
        </w:rPr>
        <w:t> </w:t>
      </w:r>
      <w:r>
        <w:rPr/>
        <w:t>rapid</w:t>
      </w:r>
      <w:r>
        <w:rPr>
          <w:spacing w:val="-4"/>
        </w:rPr>
        <w:t> </w:t>
      </w:r>
      <w:r>
        <w:rPr/>
        <w:t>recovery</w:t>
      </w:r>
      <w:r>
        <w:rPr>
          <w:spacing w:val="-2"/>
        </w:rPr>
        <w:t> </w:t>
      </w:r>
      <w:r>
        <w:rPr/>
        <w:t>of</w:t>
      </w:r>
      <w:r>
        <w:rPr>
          <w:spacing w:val="-2"/>
        </w:rPr>
        <w:t> </w:t>
      </w:r>
      <w:r>
        <w:rPr/>
        <w:t>rabbit</w:t>
      </w:r>
      <w:r>
        <w:rPr>
          <w:spacing w:val="-2"/>
        </w:rPr>
        <w:t> </w:t>
      </w:r>
      <w:r>
        <w:rPr/>
        <w:t>populations</w:t>
      </w:r>
      <w:r>
        <w:rPr>
          <w:spacing w:val="-3"/>
        </w:rPr>
        <w:t> </w:t>
      </w:r>
      <w:r>
        <w:rPr/>
        <w:t>was</w:t>
      </w:r>
      <w:r>
        <w:rPr>
          <w:spacing w:val="-3"/>
        </w:rPr>
        <w:t> </w:t>
      </w:r>
      <w:r>
        <w:rPr/>
        <w:t>attributed to high reproductive rates among surviving individuals and immigration from neighbouring untreated areas supported</w:t>
      </w:r>
      <w:r>
        <w:rPr>
          <w:spacing w:val="-1"/>
        </w:rPr>
        <w:t> </w:t>
      </w:r>
      <w:r>
        <w:rPr/>
        <w:t>by the</w:t>
      </w:r>
      <w:r>
        <w:rPr>
          <w:spacing w:val="-2"/>
        </w:rPr>
        <w:t> </w:t>
      </w:r>
      <w:r>
        <w:rPr/>
        <w:t>fact</w:t>
      </w:r>
      <w:r>
        <w:rPr>
          <w:spacing w:val="-1"/>
        </w:rPr>
        <w:t> </w:t>
      </w:r>
      <w:r>
        <w:rPr/>
        <w:t>that warrens were left</w:t>
      </w:r>
      <w:r>
        <w:rPr>
          <w:spacing w:val="-1"/>
        </w:rPr>
        <w:t> </w:t>
      </w:r>
      <w:r>
        <w:rPr/>
        <w:t>untreated and intact (Myers and</w:t>
      </w:r>
      <w:r>
        <w:rPr>
          <w:spacing w:val="-1"/>
        </w:rPr>
        <w:t> </w:t>
      </w:r>
      <w:r>
        <w:rPr/>
        <w:t>Poole</w:t>
      </w:r>
      <w:r>
        <w:rPr>
          <w:spacing w:val="-1"/>
        </w:rPr>
        <w:t> </w:t>
      </w:r>
      <w:r>
        <w:rPr/>
        <w:t>1962; Mykytowcyz 1960).</w:t>
      </w:r>
    </w:p>
    <w:p>
      <w:pPr>
        <w:pStyle w:val="BodyText"/>
        <w:spacing w:before="120"/>
        <w:ind w:left="312" w:right="163"/>
      </w:pPr>
      <w:hyperlink w:history="true" w:anchor="_bookmark2">
        <w:r>
          <w:rPr/>
          <w:t>Table</w:t>
        </w:r>
        <w:r>
          <w:rPr>
            <w:spacing w:val="-1"/>
          </w:rPr>
          <w:t> </w:t>
        </w:r>
        <w:r>
          <w:rPr/>
          <w:t>2</w:t>
        </w:r>
      </w:hyperlink>
      <w:r>
        <w:rPr>
          <w:spacing w:val="-4"/>
        </w:rPr>
        <w:t> </w:t>
      </w:r>
      <w:r>
        <w:rPr/>
        <w:t>details</w:t>
      </w:r>
      <w:r>
        <w:rPr>
          <w:spacing w:val="-3"/>
        </w:rPr>
        <w:t> </w:t>
      </w:r>
      <w:r>
        <w:rPr/>
        <w:t>the</w:t>
      </w:r>
      <w:r>
        <w:rPr>
          <w:spacing w:val="-5"/>
        </w:rPr>
        <w:t> </w:t>
      </w:r>
      <w:r>
        <w:rPr/>
        <w:t>reported</w:t>
      </w:r>
      <w:r>
        <w:rPr>
          <w:spacing w:val="-2"/>
        </w:rPr>
        <w:t> </w:t>
      </w:r>
      <w:r>
        <w:rPr/>
        <w:t>percentage</w:t>
      </w:r>
      <w:r>
        <w:rPr>
          <w:spacing w:val="-5"/>
        </w:rPr>
        <w:t> </w:t>
      </w:r>
      <w:r>
        <w:rPr/>
        <w:t>reductions</w:t>
      </w:r>
      <w:r>
        <w:rPr>
          <w:spacing w:val="-1"/>
        </w:rPr>
        <w:t> </w:t>
      </w:r>
      <w:r>
        <w:rPr/>
        <w:t>in</w:t>
      </w:r>
      <w:r>
        <w:rPr>
          <w:spacing w:val="-4"/>
        </w:rPr>
        <w:t> </w:t>
      </w:r>
      <w:r>
        <w:rPr/>
        <w:t>rabbit</w:t>
      </w:r>
      <w:r>
        <w:rPr>
          <w:spacing w:val="-4"/>
        </w:rPr>
        <w:t> </w:t>
      </w:r>
      <w:r>
        <w:rPr/>
        <w:t>populations</w:t>
      </w:r>
      <w:r>
        <w:rPr>
          <w:spacing w:val="-3"/>
        </w:rPr>
        <w:t> </w:t>
      </w:r>
      <w:r>
        <w:rPr/>
        <w:t>from</w:t>
      </w:r>
      <w:r>
        <w:rPr>
          <w:spacing w:val="-4"/>
        </w:rPr>
        <w:t> </w:t>
      </w:r>
      <w:r>
        <w:rPr/>
        <w:t>the</w:t>
      </w:r>
      <w:r>
        <w:rPr>
          <w:spacing w:val="-3"/>
        </w:rPr>
        <w:t> </w:t>
      </w:r>
      <w:r>
        <w:rPr/>
        <w:t>application</w:t>
      </w:r>
      <w:r>
        <w:rPr>
          <w:spacing w:val="-2"/>
        </w:rPr>
        <w:t> </w:t>
      </w:r>
      <w:r>
        <w:rPr/>
        <w:t>of</w:t>
      </w:r>
      <w:r>
        <w:rPr>
          <w:spacing w:val="-2"/>
        </w:rPr>
        <w:t> </w:t>
      </w:r>
      <w:r>
        <w:rPr/>
        <w:t>lethal</w:t>
      </w:r>
      <w:r>
        <w:rPr>
          <w:spacing w:val="-5"/>
        </w:rPr>
        <w:t> </w:t>
      </w:r>
      <w:r>
        <w:rPr/>
        <w:t>control measures used to control rabbits.</w:t>
      </w:r>
    </w:p>
    <w:p>
      <w:pPr>
        <w:pStyle w:val="BodyText"/>
        <w:spacing w:before="119"/>
        <w:ind w:left="312"/>
      </w:pPr>
      <w:r>
        <w:rPr/>
        <w:t>A</w:t>
      </w:r>
      <w:r>
        <w:rPr>
          <w:spacing w:val="-4"/>
        </w:rPr>
        <w:t> </w:t>
      </w:r>
      <w:r>
        <w:rPr/>
        <w:t>recent</w:t>
      </w:r>
      <w:r>
        <w:rPr>
          <w:spacing w:val="-2"/>
        </w:rPr>
        <w:t> </w:t>
      </w:r>
      <w:r>
        <w:rPr/>
        <w:t>survey</w:t>
      </w:r>
      <w:r>
        <w:rPr>
          <w:spacing w:val="-3"/>
        </w:rPr>
        <w:t> </w:t>
      </w:r>
      <w:r>
        <w:rPr/>
        <w:t>of</w:t>
      </w:r>
      <w:r>
        <w:rPr>
          <w:spacing w:val="-4"/>
        </w:rPr>
        <w:t> </w:t>
      </w:r>
      <w:r>
        <w:rPr/>
        <w:t>ACUP holders</w:t>
      </w:r>
      <w:r>
        <w:rPr>
          <w:spacing w:val="-2"/>
        </w:rPr>
        <w:t> </w:t>
      </w:r>
      <w:r>
        <w:rPr/>
        <w:t>revealed</w:t>
      </w:r>
      <w:r>
        <w:rPr>
          <w:spacing w:val="-4"/>
        </w:rPr>
        <w:t> </w:t>
      </w:r>
      <w:r>
        <w:rPr/>
        <w:t>that</w:t>
      </w:r>
      <w:r>
        <w:rPr>
          <w:spacing w:val="-4"/>
        </w:rPr>
        <w:t> </w:t>
      </w:r>
      <w:r>
        <w:rPr/>
        <w:t>one-third</w:t>
      </w:r>
      <w:r>
        <w:rPr>
          <w:spacing w:val="-4"/>
        </w:rPr>
        <w:t> </w:t>
      </w:r>
      <w:r>
        <w:rPr/>
        <w:t>of</w:t>
      </w:r>
      <w:r>
        <w:rPr>
          <w:spacing w:val="-4"/>
        </w:rPr>
        <w:t> </w:t>
      </w:r>
      <w:r>
        <w:rPr/>
        <w:t>land</w:t>
      </w:r>
      <w:r>
        <w:rPr>
          <w:spacing w:val="-2"/>
        </w:rPr>
        <w:t> </w:t>
      </w:r>
      <w:r>
        <w:rPr/>
        <w:t>managers</w:t>
      </w:r>
      <w:r>
        <w:rPr>
          <w:spacing w:val="-2"/>
        </w:rPr>
        <w:t> </w:t>
      </w:r>
      <w:r>
        <w:rPr/>
        <w:t>actively</w:t>
      </w:r>
      <w:r>
        <w:rPr>
          <w:spacing w:val="-3"/>
        </w:rPr>
        <w:t> </w:t>
      </w:r>
      <w:r>
        <w:rPr/>
        <w:t>engaged</w:t>
      </w:r>
      <w:r>
        <w:rPr>
          <w:spacing w:val="-2"/>
        </w:rPr>
        <w:t> </w:t>
      </w:r>
      <w:r>
        <w:rPr/>
        <w:t>in</w:t>
      </w:r>
      <w:r>
        <w:rPr>
          <w:spacing w:val="-4"/>
        </w:rPr>
        <w:t> </w:t>
      </w:r>
      <w:r>
        <w:rPr/>
        <w:t>rabbit</w:t>
      </w:r>
      <w:r>
        <w:rPr>
          <w:spacing w:val="-4"/>
        </w:rPr>
        <w:t> </w:t>
      </w:r>
      <w:r>
        <w:rPr/>
        <w:t>control had used 1080 baiting within the past five years. Of these, 98% reported incorporating 1080 baiting into an integrated</w:t>
      </w:r>
      <w:r>
        <w:rPr>
          <w:spacing w:val="-3"/>
        </w:rPr>
        <w:t> </w:t>
      </w:r>
      <w:r>
        <w:rPr/>
        <w:t>rabbit</w:t>
      </w:r>
      <w:r>
        <w:rPr>
          <w:spacing w:val="-1"/>
        </w:rPr>
        <w:t> </w:t>
      </w:r>
      <w:r>
        <w:rPr/>
        <w:t>management</w:t>
      </w:r>
      <w:r>
        <w:rPr>
          <w:spacing w:val="-3"/>
        </w:rPr>
        <w:t> </w:t>
      </w:r>
      <w:r>
        <w:rPr/>
        <w:t>strategy (Quantum</w:t>
      </w:r>
      <w:r>
        <w:rPr>
          <w:spacing w:val="-1"/>
        </w:rPr>
        <w:t> </w:t>
      </w:r>
      <w:r>
        <w:rPr/>
        <w:t>Market</w:t>
      </w:r>
      <w:r>
        <w:rPr>
          <w:spacing w:val="-3"/>
        </w:rPr>
        <w:t> </w:t>
      </w:r>
      <w:r>
        <w:rPr/>
        <w:t>Research</w:t>
      </w:r>
      <w:r>
        <w:rPr>
          <w:spacing w:val="-1"/>
        </w:rPr>
        <w:t> </w:t>
      </w:r>
      <w:r>
        <w:rPr/>
        <w:t>2024).</w:t>
      </w:r>
      <w:r>
        <w:rPr>
          <w:spacing w:val="-3"/>
        </w:rPr>
        <w:t> </w:t>
      </w:r>
      <w:r>
        <w:rPr/>
        <w:t>Additionally,</w:t>
      </w:r>
      <w:r>
        <w:rPr>
          <w:spacing w:val="-3"/>
        </w:rPr>
        <w:t> </w:t>
      </w:r>
      <w:r>
        <w:rPr/>
        <w:t>73%</w:t>
      </w:r>
      <w:r>
        <w:rPr>
          <w:spacing w:val="-3"/>
        </w:rPr>
        <w:t> </w:t>
      </w:r>
      <w:r>
        <w:rPr/>
        <w:t>of</w:t>
      </w:r>
      <w:r>
        <w:rPr>
          <w:spacing w:val="-3"/>
        </w:rPr>
        <w:t> </w:t>
      </w:r>
      <w:r>
        <w:rPr/>
        <w:t>respondents who used 1080 during this period favoured carrots as the preferred bait medium.</w:t>
      </w:r>
    </w:p>
    <w:p>
      <w:pPr>
        <w:pStyle w:val="BodyText"/>
        <w:spacing w:before="156"/>
      </w:pPr>
    </w:p>
    <w:p>
      <w:pPr>
        <w:pStyle w:val="Heading3"/>
        <w:numPr>
          <w:ilvl w:val="1"/>
          <w:numId w:val="13"/>
        </w:numPr>
        <w:tabs>
          <w:tab w:pos="889" w:val="left" w:leader="none"/>
        </w:tabs>
        <w:spacing w:line="240" w:lineRule="auto" w:before="0" w:after="0"/>
        <w:ind w:left="889" w:right="0" w:hanging="577"/>
        <w:jc w:val="left"/>
      </w:pPr>
      <w:bookmarkStart w:name="_TOC_250067" w:id="30"/>
      <w:bookmarkEnd w:id="30"/>
      <w:r>
        <w:rPr>
          <w:color w:val="2D1E66"/>
          <w:spacing w:val="-2"/>
        </w:rPr>
        <w:t>Pindone</w:t>
      </w:r>
    </w:p>
    <w:p>
      <w:pPr>
        <w:pStyle w:val="BodyText"/>
        <w:spacing w:before="112"/>
        <w:ind w:left="312" w:right="172"/>
      </w:pPr>
      <w:r>
        <w:rPr/>
        <w:t>Pindone is effective in reducing rabbit populations, achieving reduction rates comparable to those of 1080- treated oat and carrot baits. Unlike 1080 carrot or oat baits, which are affected by rainfall, pindone can be used year-round (Robinson and Wheeler 1983). Pindone is also less toxic to dogs than 1080, and an</w:t>
      </w:r>
      <w:r>
        <w:rPr>
          <w:spacing w:val="40"/>
        </w:rPr>
        <w:t> </w:t>
      </w:r>
      <w:r>
        <w:rPr/>
        <w:t>antidote is available (Williams et al. 1995). However, it is more expensive, requires multiple feedings to achieve</w:t>
      </w:r>
      <w:r>
        <w:rPr>
          <w:spacing w:val="-2"/>
        </w:rPr>
        <w:t> </w:t>
      </w:r>
      <w:r>
        <w:rPr/>
        <w:t>efficacy,</w:t>
      </w:r>
      <w:r>
        <w:rPr>
          <w:spacing w:val="-4"/>
        </w:rPr>
        <w:t> </w:t>
      </w:r>
      <w:r>
        <w:rPr/>
        <w:t>and</w:t>
      </w:r>
      <w:r>
        <w:rPr>
          <w:spacing w:val="-3"/>
        </w:rPr>
        <w:t> </w:t>
      </w:r>
      <w:r>
        <w:rPr/>
        <w:t>poses</w:t>
      </w:r>
      <w:r>
        <w:rPr>
          <w:spacing w:val="-3"/>
        </w:rPr>
        <w:t> </w:t>
      </w:r>
      <w:r>
        <w:rPr/>
        <w:t>a</w:t>
      </w:r>
      <w:r>
        <w:rPr>
          <w:spacing w:val="-5"/>
        </w:rPr>
        <w:t> </w:t>
      </w:r>
      <w:r>
        <w:rPr/>
        <w:t>higher</w:t>
      </w:r>
      <w:r>
        <w:rPr>
          <w:spacing w:val="-4"/>
        </w:rPr>
        <w:t> </w:t>
      </w:r>
      <w:r>
        <w:rPr/>
        <w:t>risk</w:t>
      </w:r>
      <w:r>
        <w:rPr>
          <w:spacing w:val="-3"/>
        </w:rPr>
        <w:t> </w:t>
      </w:r>
      <w:r>
        <w:rPr/>
        <w:t>to</w:t>
      </w:r>
      <w:r>
        <w:rPr>
          <w:spacing w:val="-2"/>
        </w:rPr>
        <w:t> </w:t>
      </w:r>
      <w:r>
        <w:rPr/>
        <w:t>non-target</w:t>
      </w:r>
      <w:r>
        <w:rPr>
          <w:spacing w:val="-2"/>
        </w:rPr>
        <w:t> </w:t>
      </w:r>
      <w:r>
        <w:rPr/>
        <w:t>species</w:t>
      </w:r>
      <w:r>
        <w:rPr>
          <w:spacing w:val="-3"/>
        </w:rPr>
        <w:t> </w:t>
      </w:r>
      <w:r>
        <w:rPr/>
        <w:t>such</w:t>
      </w:r>
      <w:r>
        <w:rPr>
          <w:spacing w:val="-4"/>
        </w:rPr>
        <w:t> </w:t>
      </w:r>
      <w:r>
        <w:rPr/>
        <w:t>as Southern Brown</w:t>
      </w:r>
      <w:r>
        <w:rPr>
          <w:spacing w:val="-2"/>
        </w:rPr>
        <w:t> </w:t>
      </w:r>
      <w:r>
        <w:rPr/>
        <w:t>Bandicoots</w:t>
      </w:r>
      <w:r>
        <w:rPr>
          <w:spacing w:val="-3"/>
        </w:rPr>
        <w:t> </w:t>
      </w:r>
      <w:r>
        <w:rPr/>
        <w:t>(</w:t>
      </w:r>
      <w:r>
        <w:rPr>
          <w:i/>
        </w:rPr>
        <w:t>Isoodon</w:t>
      </w:r>
      <w:r>
        <w:rPr>
          <w:i/>
        </w:rPr>
        <w:t> obesulus</w:t>
      </w:r>
      <w:r>
        <w:rPr/>
        <w:t>), Western Grey Kangaroos (</w:t>
      </w:r>
      <w:r>
        <w:rPr>
          <w:i/>
        </w:rPr>
        <w:t>Macropus fuliginosus</w:t>
      </w:r>
      <w:r>
        <w:rPr/>
        <w:t>), and Australian Ringneck Parrots (</w:t>
      </w:r>
      <w:r>
        <w:rPr>
          <w:i/>
        </w:rPr>
        <w:t>Barnardius</w:t>
      </w:r>
      <w:r>
        <w:rPr>
          <w:i/>
        </w:rPr>
        <w:t> zonarius</w:t>
      </w:r>
      <w:r>
        <w:rPr/>
        <w:t>) (Twigg et al. 2001). Fisher et al. (2015) detected residual pindone concentrations in the fat and</w:t>
      </w:r>
      <w:r>
        <w:rPr>
          <w:spacing w:val="40"/>
        </w:rPr>
        <w:t> </w:t>
      </w:r>
      <w:r>
        <w:rPr/>
        <w:t>liver of poisoned rabbits, highlighting the potential for secondary poisoning in some non-target predators and scavengers. The lack of comprehensive field studies on pindone’s non-target impacts remains a significant information gap. Consequently, pindone is recommended for use only in situations where 1080 or other control tools are unsuitable, such as in urban or peri-urban areas.</w:t>
      </w:r>
    </w:p>
    <w:p>
      <w:pPr>
        <w:pStyle w:val="BodyText"/>
        <w:spacing w:before="121"/>
        <w:ind w:left="312" w:right="295"/>
      </w:pPr>
      <w:r>
        <w:rPr/>
        <w:t>Few</w:t>
      </w:r>
      <w:r>
        <w:rPr>
          <w:spacing w:val="-1"/>
        </w:rPr>
        <w:t> </w:t>
      </w:r>
      <w:r>
        <w:rPr/>
        <w:t>studies (n</w:t>
      </w:r>
      <w:r>
        <w:rPr>
          <w:spacing w:val="-1"/>
        </w:rPr>
        <w:t> </w:t>
      </w:r>
      <w:r>
        <w:rPr/>
        <w:t>= 4)</w:t>
      </w:r>
      <w:r>
        <w:rPr>
          <w:spacing w:val="-1"/>
        </w:rPr>
        <w:t> </w:t>
      </w:r>
      <w:r>
        <w:rPr/>
        <w:t>have</w:t>
      </w:r>
      <w:r>
        <w:rPr>
          <w:spacing w:val="-1"/>
        </w:rPr>
        <w:t> </w:t>
      </w:r>
      <w:r>
        <w:rPr/>
        <w:t>specifically examined</w:t>
      </w:r>
      <w:r>
        <w:rPr>
          <w:spacing w:val="-1"/>
        </w:rPr>
        <w:t> </w:t>
      </w:r>
      <w:r>
        <w:rPr/>
        <w:t>changes in</w:t>
      </w:r>
      <w:r>
        <w:rPr>
          <w:spacing w:val="-1"/>
        </w:rPr>
        <w:t> </w:t>
      </w:r>
      <w:r>
        <w:rPr/>
        <w:t>rabbit</w:t>
      </w:r>
      <w:r>
        <w:rPr>
          <w:spacing w:val="-1"/>
        </w:rPr>
        <w:t> </w:t>
      </w:r>
      <w:r>
        <w:rPr/>
        <w:t>populations following</w:t>
      </w:r>
      <w:r>
        <w:rPr>
          <w:spacing w:val="-1"/>
        </w:rPr>
        <w:t> </w:t>
      </w:r>
      <w:r>
        <w:rPr/>
        <w:t>pindone</w:t>
      </w:r>
      <w:r>
        <w:rPr>
          <w:spacing w:val="-1"/>
        </w:rPr>
        <w:t> </w:t>
      </w:r>
      <w:r>
        <w:rPr/>
        <w:t>application. Oliver</w:t>
      </w:r>
      <w:r>
        <w:rPr>
          <w:spacing w:val="-3"/>
        </w:rPr>
        <w:t> </w:t>
      </w:r>
      <w:r>
        <w:rPr/>
        <w:t>et</w:t>
      </w:r>
      <w:r>
        <w:rPr>
          <w:spacing w:val="-2"/>
        </w:rPr>
        <w:t> </w:t>
      </w:r>
      <w:r>
        <w:rPr/>
        <w:t>al.</w:t>
      </w:r>
      <w:r>
        <w:rPr>
          <w:spacing w:val="-1"/>
        </w:rPr>
        <w:t> </w:t>
      </w:r>
      <w:r>
        <w:rPr/>
        <w:t>(1982)</w:t>
      </w:r>
      <w:r>
        <w:rPr>
          <w:spacing w:val="-3"/>
        </w:rPr>
        <w:t> </w:t>
      </w:r>
      <w:r>
        <w:rPr/>
        <w:t>compared</w:t>
      </w:r>
      <w:r>
        <w:rPr>
          <w:spacing w:val="-5"/>
        </w:rPr>
        <w:t> </w:t>
      </w:r>
      <w:r>
        <w:rPr/>
        <w:t>the</w:t>
      </w:r>
      <w:r>
        <w:rPr>
          <w:spacing w:val="-4"/>
        </w:rPr>
        <w:t> </w:t>
      </w:r>
      <w:r>
        <w:rPr/>
        <w:t>effectiveness</w:t>
      </w:r>
      <w:r>
        <w:rPr>
          <w:spacing w:val="-3"/>
        </w:rPr>
        <w:t> </w:t>
      </w:r>
      <w:r>
        <w:rPr/>
        <w:t>of</w:t>
      </w:r>
      <w:r>
        <w:rPr>
          <w:spacing w:val="-4"/>
        </w:rPr>
        <w:t> </w:t>
      </w:r>
      <w:r>
        <w:rPr/>
        <w:t>1080</w:t>
      </w:r>
      <w:r>
        <w:rPr>
          <w:spacing w:val="-4"/>
        </w:rPr>
        <w:t> </w:t>
      </w:r>
      <w:r>
        <w:rPr/>
        <w:t>and</w:t>
      </w:r>
      <w:r>
        <w:rPr>
          <w:spacing w:val="-4"/>
        </w:rPr>
        <w:t> </w:t>
      </w:r>
      <w:r>
        <w:rPr/>
        <w:t>pindone</w:t>
      </w:r>
      <w:r>
        <w:rPr>
          <w:spacing w:val="-2"/>
        </w:rPr>
        <w:t> </w:t>
      </w:r>
      <w:r>
        <w:rPr/>
        <w:t>oat</w:t>
      </w:r>
      <w:r>
        <w:rPr>
          <w:spacing w:val="-2"/>
        </w:rPr>
        <w:t> </w:t>
      </w:r>
      <w:r>
        <w:rPr/>
        <w:t>baits</w:t>
      </w:r>
      <w:r>
        <w:rPr>
          <w:spacing w:val="-3"/>
        </w:rPr>
        <w:t> </w:t>
      </w:r>
      <w:r>
        <w:rPr/>
        <w:t>in</w:t>
      </w:r>
      <w:r>
        <w:rPr>
          <w:spacing w:val="-4"/>
        </w:rPr>
        <w:t> </w:t>
      </w:r>
      <w:r>
        <w:rPr/>
        <w:t>reducing</w:t>
      </w:r>
      <w:r>
        <w:rPr>
          <w:spacing w:val="-5"/>
        </w:rPr>
        <w:t> </w:t>
      </w:r>
      <w:r>
        <w:rPr/>
        <w:t>rabbit</w:t>
      </w:r>
      <w:r>
        <w:rPr>
          <w:spacing w:val="-4"/>
        </w:rPr>
        <w:t> </w:t>
      </w:r>
      <w:r>
        <w:rPr/>
        <w:t>populations in</w:t>
      </w:r>
      <w:r>
        <w:rPr>
          <w:spacing w:val="-2"/>
        </w:rPr>
        <w:t> </w:t>
      </w:r>
      <w:r>
        <w:rPr/>
        <w:t>southwest Western</w:t>
      </w:r>
      <w:r>
        <w:rPr>
          <w:spacing w:val="-2"/>
        </w:rPr>
        <w:t> </w:t>
      </w:r>
      <w:r>
        <w:rPr/>
        <w:t>Australia.</w:t>
      </w:r>
      <w:r>
        <w:rPr>
          <w:spacing w:val="-2"/>
        </w:rPr>
        <w:t> </w:t>
      </w:r>
      <w:r>
        <w:rPr/>
        <w:t>Their</w:t>
      </w:r>
      <w:r>
        <w:rPr>
          <w:spacing w:val="-1"/>
        </w:rPr>
        <w:t> </w:t>
      </w:r>
      <w:r>
        <w:rPr/>
        <w:t>study</w:t>
      </w:r>
      <w:r>
        <w:rPr>
          <w:spacing w:val="-1"/>
        </w:rPr>
        <w:t> </w:t>
      </w:r>
      <w:r>
        <w:rPr/>
        <w:t>found</w:t>
      </w:r>
      <w:r>
        <w:rPr>
          <w:spacing w:val="-3"/>
        </w:rPr>
        <w:t> </w:t>
      </w:r>
      <w:r>
        <w:rPr/>
        <w:t>no</w:t>
      </w:r>
      <w:r>
        <w:rPr>
          <w:spacing w:val="-2"/>
        </w:rPr>
        <w:t> </w:t>
      </w:r>
      <w:r>
        <w:rPr/>
        <w:t>significant difference</w:t>
      </w:r>
      <w:r>
        <w:rPr>
          <w:spacing w:val="-2"/>
        </w:rPr>
        <w:t> </w:t>
      </w:r>
      <w:r>
        <w:rPr/>
        <w:t>in</w:t>
      </w:r>
      <w:r>
        <w:rPr>
          <w:spacing w:val="-2"/>
        </w:rPr>
        <w:t> </w:t>
      </w:r>
      <w:r>
        <w:rPr/>
        <w:t>summer</w:t>
      </w:r>
      <w:r>
        <w:rPr>
          <w:spacing w:val="-1"/>
        </w:rPr>
        <w:t> </w:t>
      </w:r>
      <w:r>
        <w:rPr/>
        <w:t>kill</w:t>
      </w:r>
      <w:r>
        <w:rPr>
          <w:spacing w:val="-3"/>
        </w:rPr>
        <w:t> </w:t>
      </w:r>
      <w:r>
        <w:rPr/>
        <w:t>rates</w:t>
      </w:r>
      <w:r>
        <w:rPr>
          <w:spacing w:val="-1"/>
        </w:rPr>
        <w:t> </w:t>
      </w:r>
      <w:r>
        <w:rPr/>
        <w:t>between</w:t>
      </w:r>
      <w:r>
        <w:rPr>
          <w:spacing w:val="-2"/>
        </w:rPr>
        <w:t> </w:t>
      </w:r>
      <w:r>
        <w:rPr/>
        <w:t>the two poisons (1080: 59% ± 2.02; pindone: 63% ± 3.80). However, while 1080 was less effective during the wet winter months, pindone’s seasonal</w:t>
      </w:r>
      <w:r>
        <w:rPr>
          <w:spacing w:val="-1"/>
        </w:rPr>
        <w:t> </w:t>
      </w:r>
      <w:r>
        <w:rPr/>
        <w:t>performance did not vary significantly, likely because 1080 is highly water-soluble, whereas pindone is not. Robinson and Wheeler (1983) and Wheeler (1984) used radio- tracking methods in Esperance, Western Australia, to assess the impacts of pindone and 1080 oat baits, reporting kill rates exceeding 86% for both methods.</w:t>
      </w:r>
    </w:p>
    <w:p>
      <w:pPr>
        <w:spacing w:after="0"/>
        <w:sectPr>
          <w:pgSz w:w="11910" w:h="16850"/>
          <w:pgMar w:header="0" w:footer="688" w:top="1060" w:bottom="880" w:left="820" w:right="980"/>
        </w:sectPr>
      </w:pPr>
    </w:p>
    <w:p>
      <w:pPr>
        <w:pStyle w:val="BodyText"/>
        <w:spacing w:before="71"/>
        <w:ind w:left="312" w:right="206"/>
      </w:pPr>
      <w:r>
        <w:rPr/>
        <w:t>Patel et al. (2023) explored the integration of pindone baiting with RHDV-K5 virus release at 13 sites in</w:t>
      </w:r>
      <w:r>
        <w:rPr/>
        <w:t> South Australia. While the K5 virus alone had little impact on rabbit populations, pindone baiting led to an average</w:t>
      </w:r>
      <w:r>
        <w:rPr>
          <w:spacing w:val="-2"/>
        </w:rPr>
        <w:t> </w:t>
      </w:r>
      <w:r>
        <w:rPr/>
        <w:t>population</w:t>
      </w:r>
      <w:r>
        <w:rPr>
          <w:spacing w:val="-5"/>
        </w:rPr>
        <w:t> </w:t>
      </w:r>
      <w:r>
        <w:rPr/>
        <w:t>reduction</w:t>
      </w:r>
      <w:r>
        <w:rPr>
          <w:spacing w:val="-5"/>
        </w:rPr>
        <w:t> </w:t>
      </w:r>
      <w:r>
        <w:rPr/>
        <w:t>of</w:t>
      </w:r>
      <w:r>
        <w:rPr>
          <w:spacing w:val="-2"/>
        </w:rPr>
        <w:t> </w:t>
      </w:r>
      <w:r>
        <w:rPr/>
        <w:t>36.6%</w:t>
      </w:r>
      <w:r>
        <w:rPr>
          <w:spacing w:val="-4"/>
        </w:rPr>
        <w:t> </w:t>
      </w:r>
      <w:r>
        <w:rPr/>
        <w:t>(ranging</w:t>
      </w:r>
      <w:r>
        <w:rPr>
          <w:spacing w:val="-4"/>
        </w:rPr>
        <w:t> </w:t>
      </w:r>
      <w:r>
        <w:rPr/>
        <w:t>from</w:t>
      </w:r>
      <w:r>
        <w:rPr>
          <w:spacing w:val="-2"/>
        </w:rPr>
        <w:t> </w:t>
      </w:r>
      <w:r>
        <w:rPr/>
        <w:t>a</w:t>
      </w:r>
      <w:r>
        <w:rPr>
          <w:spacing w:val="-4"/>
        </w:rPr>
        <w:t> </w:t>
      </w:r>
      <w:r>
        <w:rPr/>
        <w:t>92.3% decrease</w:t>
      </w:r>
      <w:r>
        <w:rPr>
          <w:spacing w:val="-4"/>
        </w:rPr>
        <w:t> </w:t>
      </w:r>
      <w:r>
        <w:rPr/>
        <w:t>to</w:t>
      </w:r>
      <w:r>
        <w:rPr>
          <w:spacing w:val="-2"/>
        </w:rPr>
        <w:t> </w:t>
      </w:r>
      <w:r>
        <w:rPr/>
        <w:t>a</w:t>
      </w:r>
      <w:r>
        <w:rPr>
          <w:spacing w:val="-5"/>
        </w:rPr>
        <w:t> </w:t>
      </w:r>
      <w:r>
        <w:rPr/>
        <w:t>22.7%</w:t>
      </w:r>
      <w:r>
        <w:rPr>
          <w:spacing w:val="-4"/>
        </w:rPr>
        <w:t> </w:t>
      </w:r>
      <w:r>
        <w:rPr/>
        <w:t>increase)</w:t>
      </w:r>
      <w:r>
        <w:rPr>
          <w:spacing w:val="-1"/>
        </w:rPr>
        <w:t> </w:t>
      </w:r>
      <w:r>
        <w:rPr/>
        <w:t>across</w:t>
      </w:r>
      <w:r>
        <w:rPr>
          <w:spacing w:val="-3"/>
        </w:rPr>
        <w:t> </w:t>
      </w:r>
      <w:r>
        <w:rPr/>
        <w:t>all</w:t>
      </w:r>
      <w:r>
        <w:rPr>
          <w:spacing w:val="-5"/>
        </w:rPr>
        <w:t> </w:t>
      </w:r>
      <w:r>
        <w:rPr/>
        <w:t>sites within 23 days. The increase at one site was attributed to a combination of a low dose rate during bait preparation and inconsistent bait deployment by participating private landholders.</w:t>
      </w:r>
    </w:p>
    <w:p>
      <w:pPr>
        <w:pStyle w:val="BodyText"/>
        <w:spacing w:before="120"/>
        <w:ind w:left="312" w:right="179"/>
      </w:pPr>
      <w:r>
        <w:rPr/>
        <w:t>A</w:t>
      </w:r>
      <w:r>
        <w:rPr>
          <w:spacing w:val="-4"/>
        </w:rPr>
        <w:t> </w:t>
      </w:r>
      <w:r>
        <w:rPr/>
        <w:t>recent</w:t>
      </w:r>
      <w:r>
        <w:rPr>
          <w:spacing w:val="-2"/>
        </w:rPr>
        <w:t> </w:t>
      </w:r>
      <w:r>
        <w:rPr/>
        <w:t>survey</w:t>
      </w:r>
      <w:r>
        <w:rPr>
          <w:spacing w:val="-3"/>
        </w:rPr>
        <w:t> </w:t>
      </w:r>
      <w:r>
        <w:rPr/>
        <w:t>of</w:t>
      </w:r>
      <w:r>
        <w:rPr>
          <w:spacing w:val="-4"/>
        </w:rPr>
        <w:t> </w:t>
      </w:r>
      <w:r>
        <w:rPr/>
        <w:t>ACUP</w:t>
      </w:r>
      <w:r>
        <w:rPr>
          <w:spacing w:val="-2"/>
        </w:rPr>
        <w:t> </w:t>
      </w:r>
      <w:r>
        <w:rPr/>
        <w:t>holders</w:t>
      </w:r>
      <w:r>
        <w:rPr>
          <w:spacing w:val="-2"/>
        </w:rPr>
        <w:t> </w:t>
      </w:r>
      <w:r>
        <w:rPr/>
        <w:t>revealed</w:t>
      </w:r>
      <w:r>
        <w:rPr>
          <w:spacing w:val="-4"/>
        </w:rPr>
        <w:t> </w:t>
      </w:r>
      <w:r>
        <w:rPr/>
        <w:t>that</w:t>
      </w:r>
      <w:r>
        <w:rPr>
          <w:spacing w:val="-4"/>
        </w:rPr>
        <w:t> </w:t>
      </w:r>
      <w:r>
        <w:rPr/>
        <w:t>10%</w:t>
      </w:r>
      <w:r>
        <w:rPr>
          <w:spacing w:val="-4"/>
        </w:rPr>
        <w:t> </w:t>
      </w:r>
      <w:r>
        <w:rPr/>
        <w:t>of</w:t>
      </w:r>
      <w:r>
        <w:rPr>
          <w:spacing w:val="-2"/>
        </w:rPr>
        <w:t> </w:t>
      </w:r>
      <w:r>
        <w:rPr/>
        <w:t>respondents</w:t>
      </w:r>
      <w:r>
        <w:rPr>
          <w:spacing w:val="-1"/>
        </w:rPr>
        <w:t> </w:t>
      </w:r>
      <w:r>
        <w:rPr/>
        <w:t>identified</w:t>
      </w:r>
      <w:r>
        <w:rPr>
          <w:spacing w:val="-4"/>
        </w:rPr>
        <w:t> </w:t>
      </w:r>
      <w:r>
        <w:rPr/>
        <w:t>pindone</w:t>
      </w:r>
      <w:r>
        <w:rPr>
          <w:spacing w:val="-2"/>
        </w:rPr>
        <w:t> </w:t>
      </w:r>
      <w:r>
        <w:rPr/>
        <w:t>as</w:t>
      </w:r>
      <w:r>
        <w:rPr>
          <w:spacing w:val="-3"/>
        </w:rPr>
        <w:t> </w:t>
      </w:r>
      <w:r>
        <w:rPr/>
        <w:t>their</w:t>
      </w:r>
      <w:r>
        <w:rPr>
          <w:spacing w:val="-3"/>
        </w:rPr>
        <w:t> </w:t>
      </w:r>
      <w:r>
        <w:rPr/>
        <w:t>primary</w:t>
      </w:r>
      <w:r>
        <w:rPr>
          <w:spacing w:val="-3"/>
        </w:rPr>
        <w:t> </w:t>
      </w:r>
      <w:r>
        <w:rPr/>
        <w:t>rabbit control tool, (compared to 18% that used 1080) and 33% reported using pindone within the past five years. Among those who used 1080 during this period, 47% indicated they would increase their use of pindone if 1080 were no longer available (Quantum Market Research 2024).</w:t>
      </w:r>
    </w:p>
    <w:p>
      <w:pPr>
        <w:pStyle w:val="BodyText"/>
        <w:spacing w:before="157"/>
      </w:pPr>
    </w:p>
    <w:p>
      <w:pPr>
        <w:pStyle w:val="Heading3"/>
        <w:numPr>
          <w:ilvl w:val="1"/>
          <w:numId w:val="13"/>
        </w:numPr>
        <w:tabs>
          <w:tab w:pos="889" w:val="left" w:leader="none"/>
        </w:tabs>
        <w:spacing w:line="240" w:lineRule="auto" w:before="0" w:after="0"/>
        <w:ind w:left="889" w:right="0" w:hanging="577"/>
        <w:jc w:val="left"/>
      </w:pPr>
      <w:bookmarkStart w:name="_TOC_250066" w:id="31"/>
      <w:r>
        <w:rPr>
          <w:color w:val="2D1E66"/>
        </w:rPr>
        <w:t>Warren</w:t>
      </w:r>
      <w:bookmarkEnd w:id="31"/>
      <w:r>
        <w:rPr>
          <w:color w:val="2D1E66"/>
          <w:spacing w:val="-2"/>
        </w:rPr>
        <w:t> ripping</w:t>
      </w:r>
    </w:p>
    <w:p>
      <w:pPr>
        <w:pStyle w:val="BodyText"/>
        <w:spacing w:before="112"/>
        <w:ind w:left="312" w:right="193"/>
      </w:pPr>
      <w:r>
        <w:rPr/>
        <w:t>The destruction of warrens has been employed as a rabbit control method since the mid-1970s when Myers and Parker (1975) proposed its use during drier periods, coinciding with natural declines in rabbit populations. Since then, several studies have demonstrated the effectiveness of warren ripping in reducing rabbit</w:t>
      </w:r>
      <w:r>
        <w:rPr>
          <w:spacing w:val="-2"/>
        </w:rPr>
        <w:t> </w:t>
      </w:r>
      <w:r>
        <w:rPr/>
        <w:t>numbers</w:t>
      </w:r>
      <w:r>
        <w:rPr>
          <w:spacing w:val="-1"/>
        </w:rPr>
        <w:t> </w:t>
      </w:r>
      <w:r>
        <w:rPr/>
        <w:t>(Berman</w:t>
      </w:r>
      <w:r>
        <w:rPr>
          <w:spacing w:val="-4"/>
        </w:rPr>
        <w:t> </w:t>
      </w:r>
      <w:r>
        <w:rPr/>
        <w:t>et</w:t>
      </w:r>
      <w:r>
        <w:rPr>
          <w:spacing w:val="-2"/>
        </w:rPr>
        <w:t> </w:t>
      </w:r>
      <w:r>
        <w:rPr/>
        <w:t>al.</w:t>
      </w:r>
      <w:r>
        <w:rPr>
          <w:spacing w:val="-1"/>
        </w:rPr>
        <w:t> </w:t>
      </w:r>
      <w:r>
        <w:rPr/>
        <w:t>2011;</w:t>
      </w:r>
      <w:r>
        <w:rPr>
          <w:spacing w:val="-4"/>
        </w:rPr>
        <w:t> </w:t>
      </w:r>
      <w:r>
        <w:rPr/>
        <w:t>Martin</w:t>
      </w:r>
      <w:r>
        <w:rPr>
          <w:spacing w:val="-2"/>
        </w:rPr>
        <w:t> </w:t>
      </w:r>
      <w:r>
        <w:rPr/>
        <w:t>and</w:t>
      </w:r>
      <w:r>
        <w:rPr>
          <w:spacing w:val="-4"/>
        </w:rPr>
        <w:t> </w:t>
      </w:r>
      <w:r>
        <w:rPr/>
        <w:t>Eveleigh</w:t>
      </w:r>
      <w:r>
        <w:rPr>
          <w:spacing w:val="-5"/>
        </w:rPr>
        <w:t> </w:t>
      </w:r>
      <w:r>
        <w:rPr/>
        <w:t>1979;</w:t>
      </w:r>
      <w:r>
        <w:rPr>
          <w:spacing w:val="-2"/>
        </w:rPr>
        <w:t> </w:t>
      </w:r>
      <w:r>
        <w:rPr/>
        <w:t>Mutze</w:t>
      </w:r>
      <w:r>
        <w:rPr>
          <w:spacing w:val="-4"/>
        </w:rPr>
        <w:t> </w:t>
      </w:r>
      <w:r>
        <w:rPr/>
        <w:t>1991,</w:t>
      </w:r>
      <w:r>
        <w:rPr>
          <w:spacing w:val="-2"/>
        </w:rPr>
        <w:t> </w:t>
      </w:r>
      <w:r>
        <w:rPr/>
        <w:t>1991;</w:t>
      </w:r>
      <w:r>
        <w:rPr>
          <w:spacing w:val="-4"/>
        </w:rPr>
        <w:t> </w:t>
      </w:r>
      <w:r>
        <w:rPr/>
        <w:t>Parer</w:t>
      </w:r>
      <w:r>
        <w:rPr>
          <w:spacing w:val="-1"/>
        </w:rPr>
        <w:t> </w:t>
      </w:r>
      <w:r>
        <w:rPr/>
        <w:t>and</w:t>
      </w:r>
      <w:r>
        <w:rPr>
          <w:spacing w:val="-2"/>
        </w:rPr>
        <w:t> </w:t>
      </w:r>
      <w:r>
        <w:rPr/>
        <w:t>Milkovits</w:t>
      </w:r>
      <w:r>
        <w:rPr>
          <w:spacing w:val="-3"/>
        </w:rPr>
        <w:t> </w:t>
      </w:r>
      <w:r>
        <w:rPr/>
        <w:t>1994; Ramsey et al. 2014; Wood 1985). For instance, McPhee and Butler (2010) reported results from 14 sites in Victoria over a 10-year period, providing strong evidence for warren ripping as a viable control method.</w:t>
      </w:r>
    </w:p>
    <w:p>
      <w:pPr>
        <w:pStyle w:val="BodyText"/>
        <w:spacing w:before="1"/>
        <w:ind w:left="312" w:right="247"/>
      </w:pPr>
      <w:r>
        <w:rPr/>
        <w:t>Across</w:t>
      </w:r>
      <w:r>
        <w:rPr>
          <w:spacing w:val="-3"/>
        </w:rPr>
        <w:t> </w:t>
      </w:r>
      <w:r>
        <w:rPr/>
        <w:t>these</w:t>
      </w:r>
      <w:r>
        <w:rPr>
          <w:spacing w:val="-4"/>
        </w:rPr>
        <w:t> </w:t>
      </w:r>
      <w:r>
        <w:rPr/>
        <w:t>studies,</w:t>
      </w:r>
      <w:r>
        <w:rPr>
          <w:spacing w:val="-4"/>
        </w:rPr>
        <w:t> </w:t>
      </w:r>
      <w:r>
        <w:rPr/>
        <w:t>rabbit</w:t>
      </w:r>
      <w:r>
        <w:rPr>
          <w:spacing w:val="-4"/>
        </w:rPr>
        <w:t> </w:t>
      </w:r>
      <w:r>
        <w:rPr/>
        <w:t>abundance</w:t>
      </w:r>
      <w:r>
        <w:rPr>
          <w:spacing w:val="-4"/>
        </w:rPr>
        <w:t> </w:t>
      </w:r>
      <w:r>
        <w:rPr/>
        <w:t>or</w:t>
      </w:r>
      <w:r>
        <w:rPr>
          <w:spacing w:val="-1"/>
        </w:rPr>
        <w:t> </w:t>
      </w:r>
      <w:r>
        <w:rPr/>
        <w:t>indices</w:t>
      </w:r>
      <w:r>
        <w:rPr>
          <w:spacing w:val="-3"/>
        </w:rPr>
        <w:t> </w:t>
      </w:r>
      <w:r>
        <w:rPr/>
        <w:t>of</w:t>
      </w:r>
      <w:r>
        <w:rPr>
          <w:spacing w:val="-2"/>
        </w:rPr>
        <w:t> </w:t>
      </w:r>
      <w:r>
        <w:rPr/>
        <w:t>abundance</w:t>
      </w:r>
      <w:r>
        <w:rPr>
          <w:spacing w:val="-4"/>
        </w:rPr>
        <w:t> </w:t>
      </w:r>
      <w:r>
        <w:rPr/>
        <w:t>were</w:t>
      </w:r>
      <w:r>
        <w:rPr>
          <w:spacing w:val="-4"/>
        </w:rPr>
        <w:t> </w:t>
      </w:r>
      <w:r>
        <w:rPr/>
        <w:t>reduced</w:t>
      </w:r>
      <w:r>
        <w:rPr>
          <w:spacing w:val="-3"/>
        </w:rPr>
        <w:t> </w:t>
      </w:r>
      <w:r>
        <w:rPr/>
        <w:t>by</w:t>
      </w:r>
      <w:r>
        <w:rPr>
          <w:spacing w:val="-3"/>
        </w:rPr>
        <w:t> </w:t>
      </w:r>
      <w:r>
        <w:rPr/>
        <w:t>an</w:t>
      </w:r>
      <w:r>
        <w:rPr>
          <w:spacing w:val="-5"/>
        </w:rPr>
        <w:t> </w:t>
      </w:r>
      <w:r>
        <w:rPr/>
        <w:t>average</w:t>
      </w:r>
      <w:r>
        <w:rPr>
          <w:spacing w:val="-3"/>
        </w:rPr>
        <w:t> </w:t>
      </w:r>
      <w:r>
        <w:rPr/>
        <w:t>of</w:t>
      </w:r>
      <w:r>
        <w:rPr>
          <w:spacing w:val="-4"/>
        </w:rPr>
        <w:t> </w:t>
      </w:r>
      <w:r>
        <w:rPr/>
        <w:t>90.4% (range: 36–99%).</w:t>
      </w:r>
    </w:p>
    <w:p>
      <w:pPr>
        <w:pStyle w:val="BodyText"/>
        <w:spacing w:before="118"/>
        <w:ind w:left="312" w:right="247"/>
      </w:pPr>
      <w:r>
        <w:rPr/>
        <w:t>Warren ripping has shown long-lasting impacts on rabbit populations. Warren reopening rates of 14–25% have been reported after 14 months (Martin and Eveleigh 1979), and only 2% after 10 years without follow- up</w:t>
      </w:r>
      <w:r>
        <w:rPr>
          <w:spacing w:val="-5"/>
        </w:rPr>
        <w:t> </w:t>
      </w:r>
      <w:r>
        <w:rPr/>
        <w:t>treatment</w:t>
      </w:r>
      <w:r>
        <w:rPr>
          <w:spacing w:val="-3"/>
        </w:rPr>
        <w:t> </w:t>
      </w:r>
      <w:r>
        <w:rPr/>
        <w:t>(Mutze</w:t>
      </w:r>
      <w:r>
        <w:rPr>
          <w:spacing w:val="-4"/>
        </w:rPr>
        <w:t> </w:t>
      </w:r>
      <w:r>
        <w:rPr/>
        <w:t>1991).</w:t>
      </w:r>
      <w:r>
        <w:rPr>
          <w:spacing w:val="-2"/>
        </w:rPr>
        <w:t> </w:t>
      </w:r>
      <w:r>
        <w:rPr/>
        <w:t>Ramsey</w:t>
      </w:r>
      <w:r>
        <w:rPr>
          <w:spacing w:val="-2"/>
        </w:rPr>
        <w:t> </w:t>
      </w:r>
      <w:r>
        <w:rPr/>
        <w:t>et</w:t>
      </w:r>
      <w:r>
        <w:rPr>
          <w:spacing w:val="-2"/>
        </w:rPr>
        <w:t> </w:t>
      </w:r>
      <w:r>
        <w:rPr/>
        <w:t>al.</w:t>
      </w:r>
      <w:r>
        <w:rPr>
          <w:spacing w:val="-4"/>
        </w:rPr>
        <w:t> </w:t>
      </w:r>
      <w:r>
        <w:rPr/>
        <w:t>(2014)</w:t>
      </w:r>
      <w:r>
        <w:rPr>
          <w:spacing w:val="-2"/>
        </w:rPr>
        <w:t> </w:t>
      </w:r>
      <w:r>
        <w:rPr/>
        <w:t>further</w:t>
      </w:r>
      <w:r>
        <w:rPr>
          <w:spacing w:val="-4"/>
        </w:rPr>
        <w:t> </w:t>
      </w:r>
      <w:r>
        <w:rPr/>
        <w:t>investigated</w:t>
      </w:r>
      <w:r>
        <w:rPr>
          <w:spacing w:val="-5"/>
        </w:rPr>
        <w:t> </w:t>
      </w:r>
      <w:r>
        <w:rPr/>
        <w:t>factors</w:t>
      </w:r>
      <w:r>
        <w:rPr>
          <w:spacing w:val="-2"/>
        </w:rPr>
        <w:t> </w:t>
      </w:r>
      <w:r>
        <w:rPr/>
        <w:t>influencing</w:t>
      </w:r>
      <w:r>
        <w:rPr>
          <w:spacing w:val="-4"/>
        </w:rPr>
        <w:t> </w:t>
      </w:r>
      <w:r>
        <w:rPr/>
        <w:t>recolonisation</w:t>
      </w:r>
      <w:r>
        <w:rPr>
          <w:spacing w:val="-5"/>
        </w:rPr>
        <w:t> </w:t>
      </w:r>
      <w:r>
        <w:rPr/>
        <w:t>rates and the long-term effectiveness of warren ripping in Victoria, using data from McPhee and Butler (2010).</w:t>
      </w:r>
    </w:p>
    <w:p>
      <w:pPr>
        <w:pStyle w:val="BodyText"/>
        <w:spacing w:before="2"/>
        <w:ind w:left="312" w:right="179"/>
      </w:pPr>
      <w:r>
        <w:rPr/>
        <w:t>They found that recolonisation rates increased rapidly within 2–3 years post-ripping, then stabilised at a slower</w:t>
      </w:r>
      <w:r>
        <w:rPr>
          <w:spacing w:val="-4"/>
        </w:rPr>
        <w:t> </w:t>
      </w:r>
      <w:r>
        <w:rPr/>
        <w:t>rate,</w:t>
      </w:r>
      <w:r>
        <w:rPr>
          <w:spacing w:val="-4"/>
        </w:rPr>
        <w:t> </w:t>
      </w:r>
      <w:r>
        <w:rPr/>
        <w:t>with</w:t>
      </w:r>
      <w:r>
        <w:rPr>
          <w:spacing w:val="-2"/>
        </w:rPr>
        <w:t> </w:t>
      </w:r>
      <w:r>
        <w:rPr/>
        <w:t>a</w:t>
      </w:r>
      <w:r>
        <w:rPr>
          <w:spacing w:val="-4"/>
        </w:rPr>
        <w:t> </w:t>
      </w:r>
      <w:r>
        <w:rPr/>
        <w:t>~40%</w:t>
      </w:r>
      <w:r>
        <w:rPr>
          <w:spacing w:val="-4"/>
        </w:rPr>
        <w:t> </w:t>
      </w:r>
      <w:r>
        <w:rPr/>
        <w:t>chance</w:t>
      </w:r>
      <w:r>
        <w:rPr>
          <w:spacing w:val="-4"/>
        </w:rPr>
        <w:t> </w:t>
      </w:r>
      <w:r>
        <w:rPr/>
        <w:t>of</w:t>
      </w:r>
      <w:r>
        <w:rPr>
          <w:spacing w:val="-2"/>
        </w:rPr>
        <w:t> </w:t>
      </w:r>
      <w:r>
        <w:rPr/>
        <w:t>a</w:t>
      </w:r>
      <w:r>
        <w:rPr>
          <w:spacing w:val="-4"/>
        </w:rPr>
        <w:t> </w:t>
      </w:r>
      <w:r>
        <w:rPr/>
        <w:t>warren</w:t>
      </w:r>
      <w:r>
        <w:rPr>
          <w:spacing w:val="-4"/>
        </w:rPr>
        <w:t> </w:t>
      </w:r>
      <w:r>
        <w:rPr/>
        <w:t>reopening</w:t>
      </w:r>
      <w:r>
        <w:rPr>
          <w:spacing w:val="-2"/>
        </w:rPr>
        <w:t> </w:t>
      </w:r>
      <w:r>
        <w:rPr/>
        <w:t>10</w:t>
      </w:r>
      <w:r>
        <w:rPr>
          <w:spacing w:val="-4"/>
        </w:rPr>
        <w:t> </w:t>
      </w:r>
      <w:r>
        <w:rPr/>
        <w:t>years</w:t>
      </w:r>
      <w:r>
        <w:rPr>
          <w:spacing w:val="-3"/>
        </w:rPr>
        <w:t> </w:t>
      </w:r>
      <w:r>
        <w:rPr/>
        <w:t>after</w:t>
      </w:r>
      <w:r>
        <w:rPr>
          <w:spacing w:val="-4"/>
        </w:rPr>
        <w:t> </w:t>
      </w:r>
      <w:r>
        <w:rPr/>
        <w:t>ripping.</w:t>
      </w:r>
      <w:r>
        <w:rPr>
          <w:spacing w:val="-2"/>
        </w:rPr>
        <w:t> </w:t>
      </w:r>
      <w:r>
        <w:rPr/>
        <w:t>Reopening</w:t>
      </w:r>
      <w:r>
        <w:rPr>
          <w:spacing w:val="-4"/>
        </w:rPr>
        <w:t> </w:t>
      </w:r>
      <w:r>
        <w:rPr/>
        <w:t>rates</w:t>
      </w:r>
      <w:r>
        <w:rPr>
          <w:spacing w:val="-3"/>
        </w:rPr>
        <w:t> </w:t>
      </w:r>
      <w:r>
        <w:rPr/>
        <w:t>were</w:t>
      </w:r>
      <w:r>
        <w:rPr>
          <w:spacing w:val="-1"/>
        </w:rPr>
        <w:t> </w:t>
      </w:r>
      <w:r>
        <w:rPr/>
        <w:t>highest within</w:t>
      </w:r>
      <w:r>
        <w:rPr>
          <w:spacing w:val="-1"/>
        </w:rPr>
        <w:t> </w:t>
      </w:r>
      <w:r>
        <w:rPr/>
        <w:t>1</w:t>
      </w:r>
      <w:r>
        <w:rPr>
          <w:spacing w:val="-3"/>
        </w:rPr>
        <w:t> </w:t>
      </w:r>
      <w:r>
        <w:rPr/>
        <w:t>km</w:t>
      </w:r>
      <w:r>
        <w:rPr>
          <w:spacing w:val="-3"/>
        </w:rPr>
        <w:t> </w:t>
      </w:r>
      <w:r>
        <w:rPr/>
        <w:t>of</w:t>
      </w:r>
      <w:r>
        <w:rPr>
          <w:spacing w:val="-1"/>
        </w:rPr>
        <w:t> </w:t>
      </w:r>
      <w:r>
        <w:rPr/>
        <w:t>an</w:t>
      </w:r>
      <w:r>
        <w:rPr>
          <w:spacing w:val="-2"/>
        </w:rPr>
        <w:t> </w:t>
      </w:r>
      <w:r>
        <w:rPr/>
        <w:t>active</w:t>
      </w:r>
      <w:r>
        <w:rPr>
          <w:spacing w:val="-1"/>
        </w:rPr>
        <w:t> </w:t>
      </w:r>
      <w:r>
        <w:rPr/>
        <w:t>warren</w:t>
      </w:r>
      <w:r>
        <w:rPr>
          <w:spacing w:val="-4"/>
        </w:rPr>
        <w:t> </w:t>
      </w:r>
      <w:r>
        <w:rPr/>
        <w:t>and</w:t>
      </w:r>
      <w:r>
        <w:rPr>
          <w:spacing w:val="-1"/>
        </w:rPr>
        <w:t> </w:t>
      </w:r>
      <w:r>
        <w:rPr/>
        <w:t>increased</w:t>
      </w:r>
      <w:r>
        <w:rPr>
          <w:spacing w:val="-4"/>
        </w:rPr>
        <w:t> </w:t>
      </w:r>
      <w:r>
        <w:rPr/>
        <w:t>by</w:t>
      </w:r>
      <w:r>
        <w:rPr>
          <w:spacing w:val="-1"/>
        </w:rPr>
        <w:t> </w:t>
      </w:r>
      <w:r>
        <w:rPr/>
        <w:t>22%</w:t>
      </w:r>
      <w:r>
        <w:rPr>
          <w:spacing w:val="-1"/>
        </w:rPr>
        <w:t> </w:t>
      </w:r>
      <w:r>
        <w:rPr/>
        <w:t>for</w:t>
      </w:r>
      <w:r>
        <w:rPr>
          <w:spacing w:val="-3"/>
        </w:rPr>
        <w:t> </w:t>
      </w:r>
      <w:r>
        <w:rPr/>
        <w:t>every</w:t>
      </w:r>
      <w:r>
        <w:rPr>
          <w:spacing w:val="-1"/>
        </w:rPr>
        <w:t> </w:t>
      </w:r>
      <w:r>
        <w:rPr/>
        <w:t>additional</w:t>
      </w:r>
      <w:r>
        <w:rPr>
          <w:spacing w:val="-2"/>
        </w:rPr>
        <w:t> </w:t>
      </w:r>
      <w:r>
        <w:rPr/>
        <w:t>10</w:t>
      </w:r>
      <w:r>
        <w:rPr>
          <w:spacing w:val="-3"/>
        </w:rPr>
        <w:t> </w:t>
      </w:r>
      <w:r>
        <w:rPr/>
        <w:t>rabbits</w:t>
      </w:r>
      <w:r>
        <w:rPr>
          <w:spacing w:val="-2"/>
        </w:rPr>
        <w:t> </w:t>
      </w:r>
      <w:r>
        <w:rPr/>
        <w:t>per</w:t>
      </w:r>
      <w:r>
        <w:rPr>
          <w:spacing w:val="-2"/>
        </w:rPr>
        <w:t> </w:t>
      </w:r>
      <w:r>
        <w:rPr/>
        <w:t>km</w:t>
      </w:r>
      <w:r>
        <w:rPr>
          <w:spacing w:val="-3"/>
        </w:rPr>
        <w:t> </w:t>
      </w:r>
      <w:r>
        <w:rPr/>
        <w:t>recorded</w:t>
      </w:r>
      <w:r>
        <w:rPr>
          <w:spacing w:val="-1"/>
        </w:rPr>
        <w:t> </w:t>
      </w:r>
      <w:r>
        <w:rPr/>
        <w:t>during spotlight counts. The study highlighted the importance of considering warren size and spatial relationships when planning monitoring and maintenance activities.</w:t>
      </w:r>
    </w:p>
    <w:p>
      <w:pPr>
        <w:pStyle w:val="BodyText"/>
        <w:spacing w:before="119"/>
        <w:ind w:left="312" w:right="163"/>
      </w:pPr>
      <w:r>
        <w:rPr/>
        <w:t>Best practice involves reducing rabbit numbers through poison baiting before ripping warrens, typically in summer or early autumn. Follow-up treatments include fumigation or re-ripping reopened or non-ripped warrens,</w:t>
      </w:r>
      <w:r>
        <w:rPr>
          <w:spacing w:val="-1"/>
        </w:rPr>
        <w:t> </w:t>
      </w:r>
      <w:r>
        <w:rPr/>
        <w:t>combined</w:t>
      </w:r>
      <w:r>
        <w:rPr>
          <w:spacing w:val="-2"/>
        </w:rPr>
        <w:t> </w:t>
      </w:r>
      <w:r>
        <w:rPr/>
        <w:t>with routine baiting of</w:t>
      </w:r>
      <w:r>
        <w:rPr>
          <w:spacing w:val="-1"/>
        </w:rPr>
        <w:t> </w:t>
      </w:r>
      <w:r>
        <w:rPr/>
        <w:t>areas inaccessible</w:t>
      </w:r>
      <w:r>
        <w:rPr>
          <w:spacing w:val="-1"/>
        </w:rPr>
        <w:t> </w:t>
      </w:r>
      <w:r>
        <w:rPr/>
        <w:t>to</w:t>
      </w:r>
      <w:r>
        <w:rPr>
          <w:spacing w:val="-1"/>
        </w:rPr>
        <w:t> </w:t>
      </w:r>
      <w:r>
        <w:rPr/>
        <w:t>machinery in</w:t>
      </w:r>
      <w:r>
        <w:rPr>
          <w:spacing w:val="-1"/>
        </w:rPr>
        <w:t> </w:t>
      </w:r>
      <w:r>
        <w:rPr/>
        <w:t>subsequent</w:t>
      </w:r>
      <w:r>
        <w:rPr>
          <w:spacing w:val="-1"/>
        </w:rPr>
        <w:t> </w:t>
      </w:r>
      <w:r>
        <w:rPr/>
        <w:t>years (Williams et al.</w:t>
      </w:r>
      <w:r>
        <w:rPr>
          <w:spacing w:val="-3"/>
        </w:rPr>
        <w:t> </w:t>
      </w:r>
      <w:r>
        <w:rPr/>
        <w:t>1995).</w:t>
      </w:r>
      <w:r>
        <w:rPr>
          <w:spacing w:val="-5"/>
        </w:rPr>
        <w:t> </w:t>
      </w:r>
      <w:r>
        <w:rPr/>
        <w:t>Pre-RHDV</w:t>
      </w:r>
      <w:r>
        <w:rPr>
          <w:spacing w:val="-5"/>
        </w:rPr>
        <w:t> </w:t>
      </w:r>
      <w:r>
        <w:rPr/>
        <w:t>studies</w:t>
      </w:r>
      <w:r>
        <w:rPr>
          <w:spacing w:val="-4"/>
        </w:rPr>
        <w:t> </w:t>
      </w:r>
      <w:r>
        <w:rPr/>
        <w:t>established</w:t>
      </w:r>
      <w:r>
        <w:rPr>
          <w:spacing w:val="-3"/>
        </w:rPr>
        <w:t> </w:t>
      </w:r>
      <w:r>
        <w:rPr/>
        <w:t>that</w:t>
      </w:r>
      <w:r>
        <w:rPr>
          <w:spacing w:val="-5"/>
        </w:rPr>
        <w:t> </w:t>
      </w:r>
      <w:r>
        <w:rPr/>
        <w:t>combining</w:t>
      </w:r>
      <w:r>
        <w:rPr>
          <w:spacing w:val="-5"/>
        </w:rPr>
        <w:t> </w:t>
      </w:r>
      <w:r>
        <w:rPr/>
        <w:t>warren</w:t>
      </w:r>
      <w:r>
        <w:rPr>
          <w:spacing w:val="-5"/>
        </w:rPr>
        <w:t> </w:t>
      </w:r>
      <w:r>
        <w:rPr/>
        <w:t>ripping</w:t>
      </w:r>
      <w:r>
        <w:rPr>
          <w:spacing w:val="-5"/>
        </w:rPr>
        <w:t> </w:t>
      </w:r>
      <w:r>
        <w:rPr/>
        <w:t>with</w:t>
      </w:r>
      <w:r>
        <w:rPr>
          <w:spacing w:val="-3"/>
        </w:rPr>
        <w:t> </w:t>
      </w:r>
      <w:r>
        <w:rPr/>
        <w:t>maintenance</w:t>
      </w:r>
      <w:r>
        <w:rPr>
          <w:spacing w:val="-3"/>
        </w:rPr>
        <w:t> </w:t>
      </w:r>
      <w:r>
        <w:rPr/>
        <w:t>control</w:t>
      </w:r>
      <w:r>
        <w:rPr>
          <w:spacing w:val="-5"/>
        </w:rPr>
        <w:t> </w:t>
      </w:r>
      <w:r>
        <w:rPr/>
        <w:t>was</w:t>
      </w:r>
      <w:r>
        <w:rPr>
          <w:spacing w:val="-2"/>
        </w:rPr>
        <w:t> </w:t>
      </w:r>
      <w:r>
        <w:rPr/>
        <w:t>highly effective and cost-efficient (Williams and Moore 1995). In some cases, re-ripping warrens proved more economical than fumigation as a follow-up treatment (Williams et al. 1995). In Victoria, pre-RHDV rabbit population declines due to ripping were not significantly affected by rainfall, soil</w:t>
      </w:r>
      <w:r>
        <w:rPr>
          <w:spacing w:val="-1"/>
        </w:rPr>
        <w:t> </w:t>
      </w:r>
      <w:r>
        <w:rPr/>
        <w:t>type, landform, or land use, suggesting that well-coordinated rabbit control programme based on warren ripping can achieve consistent and sustained reductions (McPhee and Butler 2010).</w:t>
      </w:r>
    </w:p>
    <w:p>
      <w:pPr>
        <w:pStyle w:val="BodyText"/>
        <w:spacing w:before="120"/>
        <w:ind w:left="312" w:right="167"/>
      </w:pPr>
      <w:r>
        <w:rPr/>
        <w:t>In a post-RHDV context, McPhee and Butler (2010) recommend re-ripping active warrens at 5–10 year intervals, based on monitoring reopening rates. This approach could be more cost-effective than fumigation for maintaining low rabbit numbers of at large scales. However, when protecting sensitive environmental assets, such as native vegetation regeneration, even small rabbit populations can be detrimental. In such cases,</w:t>
      </w:r>
      <w:r>
        <w:rPr>
          <w:spacing w:val="-4"/>
        </w:rPr>
        <w:t> </w:t>
      </w:r>
      <w:r>
        <w:rPr/>
        <w:t>follow-up</w:t>
      </w:r>
      <w:r>
        <w:rPr>
          <w:spacing w:val="-4"/>
        </w:rPr>
        <w:t> </w:t>
      </w:r>
      <w:r>
        <w:rPr/>
        <w:t>treatments</w:t>
      </w:r>
      <w:r>
        <w:rPr>
          <w:spacing w:val="-3"/>
        </w:rPr>
        <w:t> </w:t>
      </w:r>
      <w:r>
        <w:rPr/>
        <w:t>of</w:t>
      </w:r>
      <w:r>
        <w:rPr>
          <w:spacing w:val="-4"/>
        </w:rPr>
        <w:t> </w:t>
      </w:r>
      <w:r>
        <w:rPr/>
        <w:t>active</w:t>
      </w:r>
      <w:r>
        <w:rPr>
          <w:spacing w:val="-4"/>
        </w:rPr>
        <w:t> </w:t>
      </w:r>
      <w:r>
        <w:rPr/>
        <w:t>warrens</w:t>
      </w:r>
      <w:r>
        <w:rPr>
          <w:spacing w:val="-1"/>
        </w:rPr>
        <w:t> </w:t>
      </w:r>
      <w:r>
        <w:rPr/>
        <w:t>are</w:t>
      </w:r>
      <w:r>
        <w:rPr>
          <w:spacing w:val="-4"/>
        </w:rPr>
        <w:t> </w:t>
      </w:r>
      <w:r>
        <w:rPr/>
        <w:t>likely necessary</w:t>
      </w:r>
      <w:r>
        <w:rPr>
          <w:spacing w:val="-2"/>
        </w:rPr>
        <w:t> </w:t>
      </w:r>
      <w:r>
        <w:rPr/>
        <w:t>to</w:t>
      </w:r>
      <w:r>
        <w:rPr>
          <w:spacing w:val="-5"/>
        </w:rPr>
        <w:t> </w:t>
      </w:r>
      <w:r>
        <w:rPr/>
        <w:t>maintain</w:t>
      </w:r>
      <w:r>
        <w:rPr>
          <w:spacing w:val="-4"/>
        </w:rPr>
        <w:t> </w:t>
      </w:r>
      <w:r>
        <w:rPr/>
        <w:t>numbers</w:t>
      </w:r>
      <w:r>
        <w:rPr>
          <w:spacing w:val="-3"/>
        </w:rPr>
        <w:t> </w:t>
      </w:r>
      <w:r>
        <w:rPr/>
        <w:t>below</w:t>
      </w:r>
      <w:r>
        <w:rPr>
          <w:spacing w:val="-4"/>
        </w:rPr>
        <w:t> </w:t>
      </w:r>
      <w:r>
        <w:rPr/>
        <w:t>thresholds</w:t>
      </w:r>
      <w:r>
        <w:rPr>
          <w:spacing w:val="-3"/>
        </w:rPr>
        <w:t> </w:t>
      </w:r>
      <w:r>
        <w:rPr/>
        <w:t>that cause ecological damage (Denham and Auld 2004; Lange and Graham 1983).</w:t>
      </w:r>
    </w:p>
    <w:p>
      <w:pPr>
        <w:pStyle w:val="BodyText"/>
        <w:spacing w:before="120"/>
        <w:ind w:left="312"/>
      </w:pPr>
      <w:r>
        <w:rPr/>
        <w:t>The success of ripping can be influenced by rainfall, soil type, landform, land use, rabbit carrying capacity, operator skill, and the type of machinery used. However, steep slopes, rocky landscapes, and areas where rabbits</w:t>
      </w:r>
      <w:r>
        <w:rPr>
          <w:spacing w:val="-2"/>
        </w:rPr>
        <w:t> </w:t>
      </w:r>
      <w:r>
        <w:rPr/>
        <w:t>primarily</w:t>
      </w:r>
      <w:r>
        <w:rPr>
          <w:spacing w:val="-2"/>
        </w:rPr>
        <w:t> </w:t>
      </w:r>
      <w:r>
        <w:rPr/>
        <w:t>live</w:t>
      </w:r>
      <w:r>
        <w:rPr>
          <w:spacing w:val="-3"/>
        </w:rPr>
        <w:t> </w:t>
      </w:r>
      <w:r>
        <w:rPr/>
        <w:t>above</w:t>
      </w:r>
      <w:r>
        <w:rPr>
          <w:spacing w:val="-3"/>
        </w:rPr>
        <w:t> </w:t>
      </w:r>
      <w:r>
        <w:rPr/>
        <w:t>ground,</w:t>
      </w:r>
      <w:r>
        <w:rPr>
          <w:spacing w:val="-4"/>
        </w:rPr>
        <w:t> </w:t>
      </w:r>
      <w:r>
        <w:rPr/>
        <w:t>such</w:t>
      </w:r>
      <w:r>
        <w:rPr>
          <w:spacing w:val="-4"/>
        </w:rPr>
        <w:t> </w:t>
      </w:r>
      <w:r>
        <w:rPr/>
        <w:t>as</w:t>
      </w:r>
      <w:r>
        <w:rPr>
          <w:spacing w:val="-2"/>
        </w:rPr>
        <w:t> </w:t>
      </w:r>
      <w:r>
        <w:rPr/>
        <w:t>in</w:t>
      </w:r>
      <w:r>
        <w:rPr>
          <w:spacing w:val="-4"/>
        </w:rPr>
        <w:t> </w:t>
      </w:r>
      <w:r>
        <w:rPr/>
        <w:t>southern</w:t>
      </w:r>
      <w:r>
        <w:rPr>
          <w:spacing w:val="-4"/>
        </w:rPr>
        <w:t> </w:t>
      </w:r>
      <w:r>
        <w:rPr/>
        <w:t>Western</w:t>
      </w:r>
      <w:r>
        <w:rPr>
          <w:spacing w:val="-3"/>
        </w:rPr>
        <w:t> </w:t>
      </w:r>
      <w:r>
        <w:rPr/>
        <w:t>Australia</w:t>
      </w:r>
      <w:r>
        <w:rPr>
          <w:spacing w:val="-3"/>
        </w:rPr>
        <w:t> </w:t>
      </w:r>
      <w:r>
        <w:rPr/>
        <w:t>and</w:t>
      </w:r>
      <w:r>
        <w:rPr>
          <w:spacing w:val="-3"/>
        </w:rPr>
        <w:t> </w:t>
      </w:r>
      <w:r>
        <w:rPr/>
        <w:t>Tasmania,</w:t>
      </w:r>
      <w:r>
        <w:rPr>
          <w:spacing w:val="-4"/>
        </w:rPr>
        <w:t> </w:t>
      </w:r>
      <w:r>
        <w:rPr/>
        <w:t>are</w:t>
      </w:r>
      <w:r>
        <w:rPr>
          <w:spacing w:val="-2"/>
        </w:rPr>
        <w:t> </w:t>
      </w:r>
      <w:r>
        <w:rPr/>
        <w:t>unsuitable</w:t>
      </w:r>
      <w:r>
        <w:rPr>
          <w:spacing w:val="-4"/>
        </w:rPr>
        <w:t> </w:t>
      </w:r>
      <w:r>
        <w:rPr/>
        <w:t>for ripping (Williams et al. 1995).</w:t>
      </w:r>
    </w:p>
    <w:p>
      <w:pPr>
        <w:pStyle w:val="BodyText"/>
        <w:spacing w:before="122"/>
        <w:ind w:left="312" w:right="247"/>
      </w:pPr>
      <w:r>
        <w:rPr/>
        <w:t>In a recent ACUP survey, 15% of respondents identified warren ripping as their primary rabbit control tool, and</w:t>
      </w:r>
      <w:r>
        <w:rPr>
          <w:spacing w:val="-1"/>
        </w:rPr>
        <w:t> </w:t>
      </w:r>
      <w:r>
        <w:rPr/>
        <w:t>54%</w:t>
      </w:r>
      <w:r>
        <w:rPr>
          <w:spacing w:val="-3"/>
        </w:rPr>
        <w:t> </w:t>
      </w:r>
      <w:r>
        <w:rPr/>
        <w:t>reported</w:t>
      </w:r>
      <w:r>
        <w:rPr>
          <w:spacing w:val="-3"/>
        </w:rPr>
        <w:t> </w:t>
      </w:r>
      <w:r>
        <w:rPr/>
        <w:t>using</w:t>
      </w:r>
      <w:r>
        <w:rPr>
          <w:spacing w:val="-2"/>
        </w:rPr>
        <w:t> </w:t>
      </w:r>
      <w:r>
        <w:rPr/>
        <w:t>it</w:t>
      </w:r>
      <w:r>
        <w:rPr>
          <w:spacing w:val="-3"/>
        </w:rPr>
        <w:t> </w:t>
      </w:r>
      <w:r>
        <w:rPr/>
        <w:t>in</w:t>
      </w:r>
      <w:r>
        <w:rPr>
          <w:spacing w:val="-3"/>
        </w:rPr>
        <w:t> </w:t>
      </w:r>
      <w:r>
        <w:rPr/>
        <w:t>the</w:t>
      </w:r>
      <w:r>
        <w:rPr>
          <w:spacing w:val="-1"/>
        </w:rPr>
        <w:t> </w:t>
      </w:r>
      <w:r>
        <w:rPr/>
        <w:t>past</w:t>
      </w:r>
      <w:r>
        <w:rPr>
          <w:spacing w:val="-3"/>
        </w:rPr>
        <w:t> </w:t>
      </w:r>
      <w:r>
        <w:rPr/>
        <w:t>five</w:t>
      </w:r>
      <w:r>
        <w:rPr>
          <w:spacing w:val="-3"/>
        </w:rPr>
        <w:t> </w:t>
      </w:r>
      <w:r>
        <w:rPr/>
        <w:t>years (Quantum</w:t>
      </w:r>
      <w:r>
        <w:rPr>
          <w:spacing w:val="-1"/>
        </w:rPr>
        <w:t> </w:t>
      </w:r>
      <w:r>
        <w:rPr/>
        <w:t>Market</w:t>
      </w:r>
      <w:r>
        <w:rPr>
          <w:spacing w:val="-3"/>
        </w:rPr>
        <w:t> </w:t>
      </w:r>
      <w:r>
        <w:rPr/>
        <w:t>Research</w:t>
      </w:r>
      <w:r>
        <w:rPr>
          <w:spacing w:val="-3"/>
        </w:rPr>
        <w:t> </w:t>
      </w:r>
      <w:r>
        <w:rPr/>
        <w:t>2024).</w:t>
      </w:r>
      <w:r>
        <w:rPr>
          <w:spacing w:val="-3"/>
        </w:rPr>
        <w:t> </w:t>
      </w:r>
      <w:r>
        <w:rPr/>
        <w:t>Among</w:t>
      </w:r>
      <w:r>
        <w:rPr>
          <w:spacing w:val="-4"/>
        </w:rPr>
        <w:t> </w:t>
      </w:r>
      <w:r>
        <w:rPr/>
        <w:t>those</w:t>
      </w:r>
      <w:r>
        <w:rPr>
          <w:spacing w:val="-3"/>
        </w:rPr>
        <w:t> </w:t>
      </w:r>
      <w:r>
        <w:rPr/>
        <w:t>who</w:t>
      </w:r>
      <w:r>
        <w:rPr>
          <w:spacing w:val="-2"/>
        </w:rPr>
        <w:t> </w:t>
      </w:r>
      <w:r>
        <w:rPr/>
        <w:t>used 1080 in the same period, 62% indicated they would increase warren ripping activities if 1080 were </w:t>
      </w:r>
      <w:r>
        <w:rPr>
          <w:spacing w:val="-2"/>
        </w:rPr>
        <w:t>unavailable.</w:t>
      </w:r>
    </w:p>
    <w:p>
      <w:pPr>
        <w:spacing w:after="0"/>
        <w:sectPr>
          <w:pgSz w:w="11910" w:h="16850"/>
          <w:pgMar w:header="0" w:footer="688" w:top="1060" w:bottom="880" w:left="820" w:right="980"/>
        </w:sectPr>
      </w:pPr>
    </w:p>
    <w:p>
      <w:pPr>
        <w:pStyle w:val="Heading3"/>
        <w:numPr>
          <w:ilvl w:val="1"/>
          <w:numId w:val="13"/>
        </w:numPr>
        <w:tabs>
          <w:tab w:pos="889" w:val="left" w:leader="none"/>
        </w:tabs>
        <w:spacing w:line="240" w:lineRule="auto" w:before="76" w:after="0"/>
        <w:ind w:left="889" w:right="0" w:hanging="577"/>
        <w:jc w:val="left"/>
      </w:pPr>
      <w:bookmarkStart w:name="_TOC_250065" w:id="32"/>
      <w:r>
        <w:rPr>
          <w:color w:val="2D1E66"/>
        </w:rPr>
        <w:t>Warren</w:t>
      </w:r>
      <w:bookmarkEnd w:id="32"/>
      <w:r>
        <w:rPr>
          <w:color w:val="2D1E66"/>
          <w:spacing w:val="-2"/>
        </w:rPr>
        <w:t> fumigation</w:t>
      </w:r>
    </w:p>
    <w:p>
      <w:pPr>
        <w:pStyle w:val="BodyText"/>
        <w:spacing w:before="113"/>
        <w:ind w:left="312" w:right="364"/>
      </w:pPr>
      <w:r>
        <w:rPr/>
        <w:t>This</w:t>
      </w:r>
      <w:r>
        <w:rPr>
          <w:spacing w:val="-3"/>
        </w:rPr>
        <w:t> </w:t>
      </w:r>
      <w:r>
        <w:rPr/>
        <w:t>method</w:t>
      </w:r>
      <w:r>
        <w:rPr>
          <w:spacing w:val="-4"/>
        </w:rPr>
        <w:t> </w:t>
      </w:r>
      <w:r>
        <w:rPr/>
        <w:t>is</w:t>
      </w:r>
      <w:r>
        <w:rPr>
          <w:spacing w:val="-3"/>
        </w:rPr>
        <w:t> </w:t>
      </w:r>
      <w:r>
        <w:rPr/>
        <w:t>commonly</w:t>
      </w:r>
      <w:r>
        <w:rPr>
          <w:spacing w:val="-3"/>
        </w:rPr>
        <w:t> </w:t>
      </w:r>
      <w:r>
        <w:rPr/>
        <w:t>employed</w:t>
      </w:r>
      <w:r>
        <w:rPr>
          <w:spacing w:val="-3"/>
        </w:rPr>
        <w:t> </w:t>
      </w:r>
      <w:r>
        <w:rPr/>
        <w:t>as</w:t>
      </w:r>
      <w:r>
        <w:rPr>
          <w:spacing w:val="-3"/>
        </w:rPr>
        <w:t> </w:t>
      </w:r>
      <w:r>
        <w:rPr/>
        <w:t>a</w:t>
      </w:r>
      <w:r>
        <w:rPr>
          <w:spacing w:val="-5"/>
        </w:rPr>
        <w:t> </w:t>
      </w:r>
      <w:r>
        <w:rPr/>
        <w:t>follow-up</w:t>
      </w:r>
      <w:r>
        <w:rPr>
          <w:spacing w:val="-2"/>
        </w:rPr>
        <w:t> </w:t>
      </w:r>
      <w:r>
        <w:rPr/>
        <w:t>technique</w:t>
      </w:r>
      <w:r>
        <w:rPr>
          <w:spacing w:val="-2"/>
        </w:rPr>
        <w:t> </w:t>
      </w:r>
      <w:r>
        <w:rPr/>
        <w:t>to</w:t>
      </w:r>
      <w:r>
        <w:rPr>
          <w:spacing w:val="-5"/>
        </w:rPr>
        <w:t> </w:t>
      </w:r>
      <w:r>
        <w:rPr/>
        <w:t>address</w:t>
      </w:r>
      <w:r>
        <w:rPr>
          <w:spacing w:val="-3"/>
        </w:rPr>
        <w:t> </w:t>
      </w:r>
      <w:r>
        <w:rPr/>
        <w:t>warrens</w:t>
      </w:r>
      <w:r>
        <w:rPr>
          <w:spacing w:val="-1"/>
        </w:rPr>
        <w:t> </w:t>
      </w:r>
      <w:r>
        <w:rPr/>
        <w:t>discovered</w:t>
      </w:r>
      <w:r>
        <w:rPr>
          <w:spacing w:val="-2"/>
        </w:rPr>
        <w:t> </w:t>
      </w:r>
      <w:r>
        <w:rPr/>
        <w:t>after</w:t>
      </w:r>
      <w:r>
        <w:rPr>
          <w:spacing w:val="-4"/>
        </w:rPr>
        <w:t> </w:t>
      </w:r>
      <w:r>
        <w:rPr/>
        <w:t>baiting and ripping, in areas where ripping or baiting is impractical or undesirable, or to control small, isolated infestations (Williams et al. 1995).</w:t>
      </w:r>
    </w:p>
    <w:p>
      <w:pPr>
        <w:pStyle w:val="BodyText"/>
        <w:spacing w:before="121"/>
        <w:ind w:left="312" w:right="247"/>
      </w:pPr>
      <w:r>
        <w:rPr/>
        <w:t>According to a recent ACUP user survey, 11% of respondents identified fumigation as their primary rabbit control method, while 39% reported using it in the past five years. Among those who employed 1080 for rabbit</w:t>
      </w:r>
      <w:r>
        <w:rPr>
          <w:spacing w:val="-2"/>
        </w:rPr>
        <w:t> </w:t>
      </w:r>
      <w:r>
        <w:rPr/>
        <w:t>control</w:t>
      </w:r>
      <w:r>
        <w:rPr>
          <w:spacing w:val="-5"/>
        </w:rPr>
        <w:t> </w:t>
      </w:r>
      <w:r>
        <w:rPr/>
        <w:t>during</w:t>
      </w:r>
      <w:r>
        <w:rPr>
          <w:spacing w:val="-4"/>
        </w:rPr>
        <w:t> </w:t>
      </w:r>
      <w:r>
        <w:rPr/>
        <w:t>the</w:t>
      </w:r>
      <w:r>
        <w:rPr>
          <w:spacing w:val="-4"/>
        </w:rPr>
        <w:t> </w:t>
      </w:r>
      <w:r>
        <w:rPr/>
        <w:t>same</w:t>
      </w:r>
      <w:r>
        <w:rPr>
          <w:spacing w:val="-4"/>
        </w:rPr>
        <w:t> </w:t>
      </w:r>
      <w:r>
        <w:rPr/>
        <w:t>period,</w:t>
      </w:r>
      <w:r>
        <w:rPr>
          <w:spacing w:val="-4"/>
        </w:rPr>
        <w:t> </w:t>
      </w:r>
      <w:r>
        <w:rPr/>
        <w:t>45%</w:t>
      </w:r>
      <w:r>
        <w:rPr>
          <w:spacing w:val="-4"/>
        </w:rPr>
        <w:t> </w:t>
      </w:r>
      <w:r>
        <w:rPr/>
        <w:t>indicated</w:t>
      </w:r>
      <w:r>
        <w:rPr>
          <w:spacing w:val="-2"/>
        </w:rPr>
        <w:t> </w:t>
      </w:r>
      <w:r>
        <w:rPr/>
        <w:t>they</w:t>
      </w:r>
      <w:r>
        <w:rPr>
          <w:spacing w:val="-3"/>
        </w:rPr>
        <w:t> </w:t>
      </w:r>
      <w:r>
        <w:rPr/>
        <w:t>would</w:t>
      </w:r>
      <w:r>
        <w:rPr>
          <w:spacing w:val="-2"/>
        </w:rPr>
        <w:t> </w:t>
      </w:r>
      <w:r>
        <w:rPr/>
        <w:t>increase</w:t>
      </w:r>
      <w:r>
        <w:rPr>
          <w:spacing w:val="-2"/>
        </w:rPr>
        <w:t> </w:t>
      </w:r>
      <w:r>
        <w:rPr/>
        <w:t>fumigation</w:t>
      </w:r>
      <w:r>
        <w:rPr>
          <w:spacing w:val="-3"/>
        </w:rPr>
        <w:t> </w:t>
      </w:r>
      <w:r>
        <w:rPr/>
        <w:t>activities</w:t>
      </w:r>
      <w:r>
        <w:rPr>
          <w:spacing w:val="-1"/>
        </w:rPr>
        <w:t> </w:t>
      </w:r>
      <w:r>
        <w:rPr/>
        <w:t>if</w:t>
      </w:r>
      <w:r>
        <w:rPr>
          <w:spacing w:val="-4"/>
        </w:rPr>
        <w:t> </w:t>
      </w:r>
      <w:r>
        <w:rPr/>
        <w:t>1080</w:t>
      </w:r>
      <w:r>
        <w:rPr>
          <w:spacing w:val="-2"/>
        </w:rPr>
        <w:t> </w:t>
      </w:r>
      <w:r>
        <w:rPr/>
        <w:t>were no longer available (Quantum Market Research 2024).</w:t>
      </w:r>
    </w:p>
    <w:p>
      <w:pPr>
        <w:pStyle w:val="BodyText"/>
        <w:spacing w:before="119"/>
        <w:ind w:left="312" w:right="232"/>
      </w:pPr>
      <w:r>
        <w:rPr/>
        <w:t>Several fumigants are available, including chloropicrin (CLPN; no longer available in Victoria), phosphine (PH</w:t>
      </w:r>
      <w:r>
        <w:rPr>
          <w:rFonts w:ascii="Cambria Math" w:hAnsi="Cambria Math"/>
        </w:rPr>
        <w:t>₃</w:t>
      </w:r>
      <w:r>
        <w:rPr/>
        <w:t>) produced by aluminium phosphide tablets (e.g. Phostoxin and Gastion), and magnesium phosphide tablets (e.g. Magtoxin). Among these, aluminium phosphide pellets are the most commonly used fumigants in Victoria. These pellets release phosphine gas upon activation by moisture. However, as aluminium phosphide</w:t>
      </w:r>
      <w:r>
        <w:rPr>
          <w:spacing w:val="-4"/>
        </w:rPr>
        <w:t> </w:t>
      </w:r>
      <w:r>
        <w:rPr/>
        <w:t>is</w:t>
      </w:r>
      <w:r>
        <w:rPr>
          <w:spacing w:val="-3"/>
        </w:rPr>
        <w:t> </w:t>
      </w:r>
      <w:r>
        <w:rPr/>
        <w:t>classified</w:t>
      </w:r>
      <w:r>
        <w:rPr>
          <w:spacing w:val="-5"/>
        </w:rPr>
        <w:t> </w:t>
      </w:r>
      <w:r>
        <w:rPr/>
        <w:t>as</w:t>
      </w:r>
      <w:r>
        <w:rPr>
          <w:spacing w:val="-1"/>
        </w:rPr>
        <w:t> </w:t>
      </w:r>
      <w:r>
        <w:rPr/>
        <w:t>a</w:t>
      </w:r>
      <w:r>
        <w:rPr>
          <w:spacing w:val="-2"/>
        </w:rPr>
        <w:t> </w:t>
      </w:r>
      <w:r>
        <w:rPr/>
        <w:t>Schedule</w:t>
      </w:r>
      <w:r>
        <w:rPr>
          <w:spacing w:val="-4"/>
        </w:rPr>
        <w:t> </w:t>
      </w:r>
      <w:r>
        <w:rPr/>
        <w:t>7</w:t>
      </w:r>
      <w:r>
        <w:rPr>
          <w:spacing w:val="-2"/>
        </w:rPr>
        <w:t> </w:t>
      </w:r>
      <w:r>
        <w:rPr/>
        <w:t>poison,</w:t>
      </w:r>
      <w:r>
        <w:rPr>
          <w:spacing w:val="-2"/>
        </w:rPr>
        <w:t> </w:t>
      </w:r>
      <w:r>
        <w:rPr/>
        <w:t>only</w:t>
      </w:r>
      <w:r>
        <w:rPr>
          <w:spacing w:val="-1"/>
        </w:rPr>
        <w:t> </w:t>
      </w:r>
      <w:r>
        <w:rPr/>
        <w:t>individuals</w:t>
      </w:r>
      <w:r>
        <w:rPr>
          <w:spacing w:val="-3"/>
        </w:rPr>
        <w:t> </w:t>
      </w:r>
      <w:r>
        <w:rPr/>
        <w:t>holding</w:t>
      </w:r>
      <w:r>
        <w:rPr>
          <w:spacing w:val="-3"/>
        </w:rPr>
        <w:t> </w:t>
      </w:r>
      <w:r>
        <w:rPr/>
        <w:t>an</w:t>
      </w:r>
      <w:r>
        <w:rPr>
          <w:spacing w:val="-3"/>
        </w:rPr>
        <w:t> </w:t>
      </w:r>
      <w:r>
        <w:rPr/>
        <w:t>ACUP</w:t>
      </w:r>
      <w:r>
        <w:rPr>
          <w:spacing w:val="-2"/>
        </w:rPr>
        <w:t> </w:t>
      </w:r>
      <w:r>
        <w:rPr/>
        <w:t>or</w:t>
      </w:r>
      <w:r>
        <w:rPr>
          <w:spacing w:val="-4"/>
        </w:rPr>
        <w:t> </w:t>
      </w:r>
      <w:r>
        <w:rPr/>
        <w:t>those</w:t>
      </w:r>
      <w:r>
        <w:rPr>
          <w:spacing w:val="-2"/>
        </w:rPr>
        <w:t> </w:t>
      </w:r>
      <w:r>
        <w:rPr/>
        <w:t>under</w:t>
      </w:r>
      <w:r>
        <w:rPr>
          <w:spacing w:val="-4"/>
        </w:rPr>
        <w:t> </w:t>
      </w:r>
      <w:r>
        <w:rPr/>
        <w:t>their</w:t>
      </w:r>
      <w:r>
        <w:rPr>
          <w:spacing w:val="-3"/>
        </w:rPr>
        <w:t> </w:t>
      </w:r>
      <w:r>
        <w:rPr/>
        <w:t>direct supervision are authorised to purchase and apply it.</w:t>
      </w:r>
    </w:p>
    <w:p>
      <w:pPr>
        <w:pStyle w:val="BodyText"/>
        <w:spacing w:before="120"/>
        <w:ind w:left="312" w:right="187"/>
      </w:pPr>
      <w:r>
        <w:rPr/>
        <w:t>Studies on fumigation's effectiveness in Australia report reductions in rabbit populations ranging from 64– 83% (Gigliotti et al. 2009; Ross 1986). Concerns regarding the humaneness and efficiency of chloropicrin and</w:t>
      </w:r>
      <w:r>
        <w:rPr>
          <w:spacing w:val="-2"/>
        </w:rPr>
        <w:t> </w:t>
      </w:r>
      <w:r>
        <w:rPr/>
        <w:t>phosphine</w:t>
      </w:r>
      <w:r>
        <w:rPr>
          <w:spacing w:val="-4"/>
        </w:rPr>
        <w:t> </w:t>
      </w:r>
      <w:r>
        <w:rPr/>
        <w:t>have</w:t>
      </w:r>
      <w:r>
        <w:rPr>
          <w:spacing w:val="-4"/>
        </w:rPr>
        <w:t> </w:t>
      </w:r>
      <w:r>
        <w:rPr/>
        <w:t>driven</w:t>
      </w:r>
      <w:r>
        <w:rPr>
          <w:spacing w:val="-2"/>
        </w:rPr>
        <w:t> </w:t>
      </w:r>
      <w:r>
        <w:rPr/>
        <w:t>the</w:t>
      </w:r>
      <w:r>
        <w:rPr>
          <w:spacing w:val="-2"/>
        </w:rPr>
        <w:t> </w:t>
      </w:r>
      <w:r>
        <w:rPr/>
        <w:t>development</w:t>
      </w:r>
      <w:r>
        <w:rPr>
          <w:spacing w:val="-2"/>
        </w:rPr>
        <w:t> </w:t>
      </w:r>
      <w:r>
        <w:rPr/>
        <w:t>of</w:t>
      </w:r>
      <w:r>
        <w:rPr>
          <w:spacing w:val="-4"/>
        </w:rPr>
        <w:t> </w:t>
      </w:r>
      <w:r>
        <w:rPr/>
        <w:t>carbon</w:t>
      </w:r>
      <w:r>
        <w:rPr>
          <w:spacing w:val="-2"/>
        </w:rPr>
        <w:t> </w:t>
      </w:r>
      <w:r>
        <w:rPr/>
        <w:t>monoxide</w:t>
      </w:r>
      <w:r>
        <w:rPr>
          <w:spacing w:val="-4"/>
        </w:rPr>
        <w:t> </w:t>
      </w:r>
      <w:r>
        <w:rPr/>
        <w:t>(CO)</w:t>
      </w:r>
      <w:r>
        <w:rPr>
          <w:spacing w:val="-3"/>
        </w:rPr>
        <w:t> </w:t>
      </w:r>
      <w:r>
        <w:rPr/>
        <w:t>as</w:t>
      </w:r>
      <w:r>
        <w:rPr>
          <w:spacing w:val="-3"/>
        </w:rPr>
        <w:t> </w:t>
      </w:r>
      <w:r>
        <w:rPr/>
        <w:t>an</w:t>
      </w:r>
      <w:r>
        <w:rPr>
          <w:spacing w:val="-3"/>
        </w:rPr>
        <w:t> </w:t>
      </w:r>
      <w:r>
        <w:rPr/>
        <w:t>alternative</w:t>
      </w:r>
      <w:r>
        <w:rPr>
          <w:spacing w:val="-2"/>
        </w:rPr>
        <w:t> </w:t>
      </w:r>
      <w:r>
        <w:rPr/>
        <w:t>fumigant (Gigliotti</w:t>
      </w:r>
      <w:r>
        <w:rPr>
          <w:spacing w:val="-5"/>
        </w:rPr>
        <w:t> </w:t>
      </w:r>
      <w:r>
        <w:rPr/>
        <w:t>et al. 2009). Comparative trials indicated that phosphine gas killed 10–12 rabbits within an average of 225.3 minutes, though this slow action was attributed to the gas's low production rate and limited diffusion throughout the warren. Conversely, carbon monoxide at a concentration of 6% caused the death of 8 of 10 rabbits in an average of 28.3 minutes—2.9 and 8 times faster than chloropicrin and phosphine, respectively (Gigliotti</w:t>
      </w:r>
      <w:r>
        <w:rPr>
          <w:spacing w:val="-5"/>
        </w:rPr>
        <w:t> </w:t>
      </w:r>
      <w:r>
        <w:rPr/>
        <w:t>et</w:t>
      </w:r>
      <w:r>
        <w:rPr>
          <w:spacing w:val="-2"/>
        </w:rPr>
        <w:t> </w:t>
      </w:r>
      <w:r>
        <w:rPr/>
        <w:t>al.</w:t>
      </w:r>
      <w:r>
        <w:rPr>
          <w:spacing w:val="-2"/>
        </w:rPr>
        <w:t> </w:t>
      </w:r>
      <w:r>
        <w:rPr/>
        <w:t>2009).</w:t>
      </w:r>
      <w:r>
        <w:rPr>
          <w:spacing w:val="-4"/>
        </w:rPr>
        <w:t> </w:t>
      </w:r>
      <w:r>
        <w:rPr/>
        <w:t>This</w:t>
      </w:r>
      <w:r>
        <w:rPr>
          <w:spacing w:val="-3"/>
        </w:rPr>
        <w:t> </w:t>
      </w:r>
      <w:r>
        <w:rPr/>
        <w:t>research</w:t>
      </w:r>
      <w:r>
        <w:rPr>
          <w:spacing w:val="-4"/>
        </w:rPr>
        <w:t> </w:t>
      </w:r>
      <w:r>
        <w:rPr/>
        <w:t>suggests</w:t>
      </w:r>
      <w:r>
        <w:rPr>
          <w:spacing w:val="-3"/>
        </w:rPr>
        <w:t> </w:t>
      </w:r>
      <w:r>
        <w:rPr/>
        <w:t>carbon</w:t>
      </w:r>
      <w:r>
        <w:rPr>
          <w:spacing w:val="-2"/>
        </w:rPr>
        <w:t> </w:t>
      </w:r>
      <w:r>
        <w:rPr/>
        <w:t>monoxide</w:t>
      </w:r>
      <w:r>
        <w:rPr>
          <w:spacing w:val="-2"/>
        </w:rPr>
        <w:t> </w:t>
      </w:r>
      <w:r>
        <w:rPr/>
        <w:t>is</w:t>
      </w:r>
      <w:r>
        <w:rPr>
          <w:spacing w:val="-3"/>
        </w:rPr>
        <w:t> </w:t>
      </w:r>
      <w:r>
        <w:rPr/>
        <w:t>a</w:t>
      </w:r>
      <w:r>
        <w:rPr>
          <w:spacing w:val="-2"/>
        </w:rPr>
        <w:t> </w:t>
      </w:r>
      <w:r>
        <w:rPr/>
        <w:t>promising alternative,</w:t>
      </w:r>
      <w:r>
        <w:rPr>
          <w:spacing w:val="-4"/>
        </w:rPr>
        <w:t> </w:t>
      </w:r>
      <w:r>
        <w:rPr/>
        <w:t>offering</w:t>
      </w:r>
      <w:r>
        <w:rPr>
          <w:spacing w:val="-4"/>
        </w:rPr>
        <w:t> </w:t>
      </w:r>
      <w:r>
        <w:rPr/>
        <w:t>a</w:t>
      </w:r>
      <w:r>
        <w:rPr>
          <w:spacing w:val="-3"/>
        </w:rPr>
        <w:t> </w:t>
      </w:r>
      <w:r>
        <w:rPr/>
        <w:t>humane, rapid-acting, and effective solution for rabbit control.</w:t>
      </w:r>
    </w:p>
    <w:p>
      <w:pPr>
        <w:spacing w:before="122"/>
        <w:ind w:left="312" w:right="0" w:firstLine="0"/>
        <w:jc w:val="left"/>
        <w:rPr>
          <w:b/>
          <w:sz w:val="20"/>
        </w:rPr>
      </w:pPr>
      <w:r>
        <w:rPr>
          <w:b/>
          <w:spacing w:val="-2"/>
          <w:sz w:val="20"/>
        </w:rPr>
        <w:t>Alternative</w:t>
      </w:r>
      <w:r>
        <w:rPr>
          <w:b/>
          <w:spacing w:val="7"/>
          <w:sz w:val="20"/>
        </w:rPr>
        <w:t> </w:t>
      </w:r>
      <w:r>
        <w:rPr>
          <w:b/>
          <w:spacing w:val="-2"/>
          <w:sz w:val="20"/>
        </w:rPr>
        <w:t>fumigants</w:t>
      </w:r>
    </w:p>
    <w:p>
      <w:pPr>
        <w:pStyle w:val="BodyText"/>
        <w:spacing w:before="118"/>
        <w:ind w:left="312" w:right="185"/>
      </w:pPr>
      <w:r>
        <w:rPr/>
        <w:t>Carbon dioxide (CO</w:t>
      </w:r>
      <w:r>
        <w:rPr>
          <w:rFonts w:ascii="Cambria Math" w:hAnsi="Cambria Math"/>
        </w:rPr>
        <w:t>₂</w:t>
      </w:r>
      <w:r>
        <w:rPr/>
        <w:t>), although commonly used</w:t>
      </w:r>
      <w:r>
        <w:rPr>
          <w:spacing w:val="-1"/>
        </w:rPr>
        <w:t> </w:t>
      </w:r>
      <w:r>
        <w:rPr/>
        <w:t>to euthanise other species, is ineffective and uneconomical for</w:t>
      </w:r>
      <w:r>
        <w:rPr>
          <w:spacing w:val="-4"/>
        </w:rPr>
        <w:t> </w:t>
      </w:r>
      <w:r>
        <w:rPr/>
        <w:t>rabbit</w:t>
      </w:r>
      <w:r>
        <w:rPr>
          <w:spacing w:val="-4"/>
        </w:rPr>
        <w:t> </w:t>
      </w:r>
      <w:r>
        <w:rPr/>
        <w:t>warren</w:t>
      </w:r>
      <w:r>
        <w:rPr>
          <w:spacing w:val="-4"/>
        </w:rPr>
        <w:t> </w:t>
      </w:r>
      <w:r>
        <w:rPr/>
        <w:t>fumigation.</w:t>
      </w:r>
      <w:r>
        <w:rPr>
          <w:spacing w:val="-4"/>
        </w:rPr>
        <w:t> </w:t>
      </w:r>
      <w:r>
        <w:rPr/>
        <w:t>Wild</w:t>
      </w:r>
      <w:r>
        <w:rPr>
          <w:spacing w:val="-2"/>
        </w:rPr>
        <w:t> </w:t>
      </w:r>
      <w:r>
        <w:rPr/>
        <w:t>rabbits</w:t>
      </w:r>
      <w:r>
        <w:rPr>
          <w:spacing w:val="-3"/>
        </w:rPr>
        <w:t> </w:t>
      </w:r>
      <w:r>
        <w:rPr/>
        <w:t>exhibit</w:t>
      </w:r>
      <w:r>
        <w:rPr>
          <w:spacing w:val="-4"/>
        </w:rPr>
        <w:t> </w:t>
      </w:r>
      <w:r>
        <w:rPr/>
        <w:t>a</w:t>
      </w:r>
      <w:r>
        <w:rPr>
          <w:spacing w:val="-3"/>
        </w:rPr>
        <w:t> </w:t>
      </w:r>
      <w:r>
        <w:rPr/>
        <w:t>high</w:t>
      </w:r>
      <w:r>
        <w:rPr>
          <w:spacing w:val="-3"/>
        </w:rPr>
        <w:t> </w:t>
      </w:r>
      <w:r>
        <w:rPr/>
        <w:t>tolerance</w:t>
      </w:r>
      <w:r>
        <w:rPr>
          <w:spacing w:val="-4"/>
        </w:rPr>
        <w:t> </w:t>
      </w:r>
      <w:r>
        <w:rPr/>
        <w:t>to</w:t>
      </w:r>
      <w:r>
        <w:rPr>
          <w:spacing w:val="-2"/>
        </w:rPr>
        <w:t> </w:t>
      </w:r>
      <w:r>
        <w:rPr/>
        <w:t>CO</w:t>
      </w:r>
      <w:r>
        <w:rPr>
          <w:rFonts w:ascii="Cambria Math" w:hAnsi="Cambria Math"/>
        </w:rPr>
        <w:t>₂</w:t>
      </w:r>
      <w:r>
        <w:rPr/>
        <w:t>,</w:t>
      </w:r>
      <w:r>
        <w:rPr>
          <w:spacing w:val="-4"/>
        </w:rPr>
        <w:t> </w:t>
      </w:r>
      <w:r>
        <w:rPr/>
        <w:t>requiring</w:t>
      </w:r>
      <w:r>
        <w:rPr>
          <w:spacing w:val="-3"/>
        </w:rPr>
        <w:t> </w:t>
      </w:r>
      <w:r>
        <w:rPr/>
        <w:t>a</w:t>
      </w:r>
      <w:r>
        <w:rPr>
          <w:spacing w:val="-4"/>
        </w:rPr>
        <w:t> </w:t>
      </w:r>
      <w:r>
        <w:rPr/>
        <w:t>sustained</w:t>
      </w:r>
      <w:r>
        <w:rPr>
          <w:spacing w:val="-4"/>
        </w:rPr>
        <w:t> </w:t>
      </w:r>
      <w:r>
        <w:rPr/>
        <w:t>concentration of 45% for at least one hour to be lethal. Additionally, CO</w:t>
      </w:r>
      <w:r>
        <w:rPr>
          <w:rFonts w:ascii="Cambria Math" w:hAnsi="Cambria Math"/>
        </w:rPr>
        <w:t>₂</w:t>
      </w:r>
      <w:r>
        <w:rPr>
          <w:rFonts w:ascii="Cambria Math" w:hAnsi="Cambria Math"/>
          <w:spacing w:val="17"/>
        </w:rPr>
        <w:t> </w:t>
      </w:r>
      <w:r>
        <w:rPr/>
        <w:t>disperses poorly within warrens, limiting its efficacy (Page 1994; Ross et al. 1998).</w:t>
      </w:r>
    </w:p>
    <w:p>
      <w:pPr>
        <w:pStyle w:val="BodyText"/>
        <w:spacing w:before="156"/>
      </w:pPr>
    </w:p>
    <w:p>
      <w:pPr>
        <w:pStyle w:val="Heading3"/>
        <w:numPr>
          <w:ilvl w:val="1"/>
          <w:numId w:val="13"/>
        </w:numPr>
        <w:tabs>
          <w:tab w:pos="889" w:val="left" w:leader="none"/>
        </w:tabs>
        <w:spacing w:line="240" w:lineRule="auto" w:before="0" w:after="0"/>
        <w:ind w:left="889" w:right="0" w:hanging="577"/>
        <w:jc w:val="left"/>
      </w:pPr>
      <w:bookmarkStart w:name="_TOC_250064" w:id="33"/>
      <w:r>
        <w:rPr>
          <w:color w:val="2D1E66"/>
        </w:rPr>
        <w:t>Biocontrol</w:t>
      </w:r>
      <w:r>
        <w:rPr>
          <w:color w:val="2D1E66"/>
          <w:spacing w:val="-14"/>
        </w:rPr>
        <w:t> </w:t>
      </w:r>
      <w:r>
        <w:rPr>
          <w:color w:val="2D1E66"/>
        </w:rPr>
        <w:t>(RHDV-</w:t>
      </w:r>
      <w:bookmarkEnd w:id="33"/>
      <w:r>
        <w:rPr>
          <w:color w:val="2D1E66"/>
          <w:spacing w:val="-5"/>
        </w:rPr>
        <w:t>K5)</w:t>
      </w:r>
    </w:p>
    <w:p>
      <w:pPr>
        <w:pStyle w:val="BodyText"/>
        <w:spacing w:before="112"/>
        <w:ind w:left="312" w:right="180"/>
      </w:pPr>
      <w:r>
        <w:rPr/>
        <w:t>The unintentional release of RHDV in September–October 1995 had an immediate and significant effect on rabbit populations. Mutze et al. (1998) estimated that approximately 1 million rabbits died above ground in</w:t>
      </w:r>
      <w:r>
        <w:rPr/>
        <w:t> the</w:t>
      </w:r>
      <w:r>
        <w:rPr>
          <w:spacing w:val="-5"/>
        </w:rPr>
        <w:t> </w:t>
      </w:r>
      <w:r>
        <w:rPr/>
        <w:t>Flinders</w:t>
      </w:r>
      <w:r>
        <w:rPr>
          <w:spacing w:val="-3"/>
        </w:rPr>
        <w:t> </w:t>
      </w:r>
      <w:r>
        <w:rPr/>
        <w:t>Ranges</w:t>
      </w:r>
      <w:r>
        <w:rPr>
          <w:spacing w:val="-3"/>
        </w:rPr>
        <w:t> </w:t>
      </w:r>
      <w:r>
        <w:rPr/>
        <w:t>National</w:t>
      </w:r>
      <w:r>
        <w:rPr>
          <w:spacing w:val="-3"/>
        </w:rPr>
        <w:t> </w:t>
      </w:r>
      <w:r>
        <w:rPr/>
        <w:t>Park,</w:t>
      </w:r>
      <w:r>
        <w:rPr>
          <w:spacing w:val="-4"/>
        </w:rPr>
        <w:t> </w:t>
      </w:r>
      <w:r>
        <w:rPr/>
        <w:t>with</w:t>
      </w:r>
      <w:r>
        <w:rPr>
          <w:spacing w:val="-5"/>
        </w:rPr>
        <w:t> </w:t>
      </w:r>
      <w:r>
        <w:rPr/>
        <w:t>over</w:t>
      </w:r>
      <w:r>
        <w:rPr>
          <w:spacing w:val="-1"/>
        </w:rPr>
        <w:t> </w:t>
      </w:r>
      <w:r>
        <w:rPr/>
        <w:t>30</w:t>
      </w:r>
      <w:r>
        <w:rPr>
          <w:spacing w:val="-2"/>
        </w:rPr>
        <w:t> </w:t>
      </w:r>
      <w:r>
        <w:rPr/>
        <w:t>million</w:t>
      </w:r>
      <w:r>
        <w:rPr>
          <w:spacing w:val="-2"/>
        </w:rPr>
        <w:t> </w:t>
      </w:r>
      <w:r>
        <w:rPr/>
        <w:t>rabbits</w:t>
      </w:r>
      <w:r>
        <w:rPr>
          <w:spacing w:val="-3"/>
        </w:rPr>
        <w:t> </w:t>
      </w:r>
      <w:r>
        <w:rPr/>
        <w:t>likely</w:t>
      </w:r>
      <w:r>
        <w:rPr>
          <w:spacing w:val="-3"/>
        </w:rPr>
        <w:t> </w:t>
      </w:r>
      <w:r>
        <w:rPr/>
        <w:t>succumbing</w:t>
      </w:r>
      <w:r>
        <w:rPr>
          <w:spacing w:val="-4"/>
        </w:rPr>
        <w:t> </w:t>
      </w:r>
      <w:r>
        <w:rPr/>
        <w:t>in</w:t>
      </w:r>
      <w:r>
        <w:rPr>
          <w:spacing w:val="-4"/>
        </w:rPr>
        <w:t> </w:t>
      </w:r>
      <w:r>
        <w:rPr/>
        <w:t>surrounding</w:t>
      </w:r>
      <w:r>
        <w:rPr>
          <w:spacing w:val="-4"/>
        </w:rPr>
        <w:t> </w:t>
      </w:r>
      <w:r>
        <w:rPr/>
        <w:t>areas</w:t>
      </w:r>
      <w:r>
        <w:rPr>
          <w:spacing w:val="-3"/>
        </w:rPr>
        <w:t> </w:t>
      </w:r>
      <w:r>
        <w:rPr/>
        <w:t>during the November outbreak. RHDV's introduction led to long-term reductions in rabbit populations, particularly in arid</w:t>
      </w:r>
      <w:r>
        <w:rPr>
          <w:spacing w:val="-2"/>
        </w:rPr>
        <w:t> </w:t>
      </w:r>
      <w:r>
        <w:rPr/>
        <w:t>regions,</w:t>
      </w:r>
      <w:r>
        <w:rPr>
          <w:spacing w:val="-1"/>
        </w:rPr>
        <w:t> </w:t>
      </w:r>
      <w:r>
        <w:rPr/>
        <w:t>where</w:t>
      </w:r>
      <w:r>
        <w:rPr>
          <w:spacing w:val="-1"/>
        </w:rPr>
        <w:t> </w:t>
      </w:r>
      <w:r>
        <w:rPr/>
        <w:t>populations decreased by around 85%.</w:t>
      </w:r>
      <w:r>
        <w:rPr>
          <w:spacing w:val="-1"/>
        </w:rPr>
        <w:t> </w:t>
      </w:r>
      <w:r>
        <w:rPr/>
        <w:t>However, its success was more limited in</w:t>
      </w:r>
      <w:r>
        <w:rPr>
          <w:spacing w:val="-1"/>
        </w:rPr>
        <w:t> </w:t>
      </w:r>
      <w:r>
        <w:rPr/>
        <w:t>cooler, wetter regions of southern Australia (Henzell et al. 2002). RHDV has since become endemic in Australia (Abrantes et al. 2012). Despite its initial effectiveness, the impact of RHDV diminished over time, with rabbit populations beginning to recover within 8–9 years of the initial epidemics (Mutze et al. 2014).</w:t>
      </w:r>
    </w:p>
    <w:p>
      <w:pPr>
        <w:pStyle w:val="BodyText"/>
        <w:spacing w:before="121"/>
        <w:ind w:left="312" w:right="179"/>
      </w:pPr>
      <w:r>
        <w:rPr/>
        <w:t>In 2015, a novel strain, RHDV2, emerged in Australia. Unlike its predecessor, RHDV2 can cause fatal infections in juvenile rabbits under five weeks old (Neave et al. 2018) and infect rabbits that have either recovered from RHDV or been vaccinated against it (Neave et al. 2018; Williams et al. 2011a). Initial estimates</w:t>
      </w:r>
      <w:r>
        <w:rPr>
          <w:spacing w:val="-3"/>
        </w:rPr>
        <w:t> </w:t>
      </w:r>
      <w:r>
        <w:rPr/>
        <w:t>of</w:t>
      </w:r>
      <w:r>
        <w:rPr>
          <w:spacing w:val="-2"/>
        </w:rPr>
        <w:t> </w:t>
      </w:r>
      <w:r>
        <w:rPr/>
        <w:t>the</w:t>
      </w:r>
      <w:r>
        <w:rPr>
          <w:spacing w:val="-3"/>
        </w:rPr>
        <w:t> </w:t>
      </w:r>
      <w:r>
        <w:rPr/>
        <w:t>impact</w:t>
      </w:r>
      <w:r>
        <w:rPr>
          <w:spacing w:val="-4"/>
        </w:rPr>
        <w:t> </w:t>
      </w:r>
      <w:r>
        <w:rPr/>
        <w:t>of</w:t>
      </w:r>
      <w:r>
        <w:rPr>
          <w:spacing w:val="-2"/>
        </w:rPr>
        <w:t> </w:t>
      </w:r>
      <w:r>
        <w:rPr/>
        <w:t>RHDV2</w:t>
      </w:r>
      <w:r>
        <w:rPr>
          <w:spacing w:val="-2"/>
        </w:rPr>
        <w:t> </w:t>
      </w:r>
      <w:r>
        <w:rPr/>
        <w:t>on</w:t>
      </w:r>
      <w:r>
        <w:rPr>
          <w:spacing w:val="-2"/>
        </w:rPr>
        <w:t> </w:t>
      </w:r>
      <w:r>
        <w:rPr/>
        <w:t>wild</w:t>
      </w:r>
      <w:r>
        <w:rPr>
          <w:spacing w:val="-2"/>
        </w:rPr>
        <w:t> </w:t>
      </w:r>
      <w:r>
        <w:rPr/>
        <w:t>populations from</w:t>
      </w:r>
      <w:r>
        <w:rPr>
          <w:spacing w:val="-4"/>
        </w:rPr>
        <w:t> </w:t>
      </w:r>
      <w:r>
        <w:rPr/>
        <w:t>two</w:t>
      </w:r>
      <w:r>
        <w:rPr>
          <w:spacing w:val="-4"/>
        </w:rPr>
        <w:t> </w:t>
      </w:r>
      <w:r>
        <w:rPr/>
        <w:t>sites</w:t>
      </w:r>
      <w:r>
        <w:rPr>
          <w:spacing w:val="-3"/>
        </w:rPr>
        <w:t> </w:t>
      </w:r>
      <w:r>
        <w:rPr/>
        <w:t>in</w:t>
      </w:r>
      <w:r>
        <w:rPr>
          <w:spacing w:val="-2"/>
        </w:rPr>
        <w:t> </w:t>
      </w:r>
      <w:r>
        <w:rPr/>
        <w:t>South</w:t>
      </w:r>
      <w:r>
        <w:rPr>
          <w:spacing w:val="-3"/>
        </w:rPr>
        <w:t> </w:t>
      </w:r>
      <w:r>
        <w:rPr/>
        <w:t>Australia</w:t>
      </w:r>
      <w:r>
        <w:rPr>
          <w:spacing w:val="-2"/>
        </w:rPr>
        <w:t> </w:t>
      </w:r>
      <w:r>
        <w:rPr/>
        <w:t>indicated</w:t>
      </w:r>
      <w:r>
        <w:rPr>
          <w:spacing w:val="-3"/>
        </w:rPr>
        <w:t> </w:t>
      </w:r>
      <w:r>
        <w:rPr/>
        <w:t>a</w:t>
      </w:r>
      <w:r>
        <w:rPr>
          <w:spacing w:val="-4"/>
        </w:rPr>
        <w:t> </w:t>
      </w:r>
      <w:r>
        <w:rPr/>
        <w:t>reduction in rabbit abundance of around 80% (Mutze et al. 2018), likely leading to significant economic benefits to Australian agriculture (Cooke et al. 2013). Monitoring 18 sites across five States in Australia reported an initial decline of 60% with a 64% reduction 8-years later across six sites, overall RHDV2 was shown to have reduced rabbit population between 52 and 82% (Ramsy et al. 2023).</w:t>
      </w:r>
    </w:p>
    <w:p>
      <w:pPr>
        <w:pStyle w:val="Heading5"/>
        <w:numPr>
          <w:ilvl w:val="2"/>
          <w:numId w:val="13"/>
        </w:numPr>
        <w:tabs>
          <w:tab w:pos="1033" w:val="left" w:leader="none"/>
        </w:tabs>
        <w:spacing w:line="240" w:lineRule="auto" w:before="141" w:after="0"/>
        <w:ind w:left="1033" w:right="0" w:hanging="721"/>
        <w:jc w:val="left"/>
      </w:pPr>
      <w:bookmarkStart w:name="_TOC_250063" w:id="34"/>
      <w:r>
        <w:rPr/>
        <w:t>Development</w:t>
      </w:r>
      <w:r>
        <w:rPr>
          <w:spacing w:val="-8"/>
        </w:rPr>
        <w:t> </w:t>
      </w:r>
      <w:r>
        <w:rPr/>
        <w:t>and</w:t>
      </w:r>
      <w:r>
        <w:rPr>
          <w:spacing w:val="-7"/>
        </w:rPr>
        <w:t> </w:t>
      </w:r>
      <w:r>
        <w:rPr/>
        <w:t>release</w:t>
      </w:r>
      <w:r>
        <w:rPr>
          <w:spacing w:val="-5"/>
        </w:rPr>
        <w:t> </w:t>
      </w:r>
      <w:r>
        <w:rPr/>
        <w:t>of</w:t>
      </w:r>
      <w:r>
        <w:rPr>
          <w:spacing w:val="-5"/>
        </w:rPr>
        <w:t> </w:t>
      </w:r>
      <w:r>
        <w:rPr/>
        <w:t>RHDV-</w:t>
      </w:r>
      <w:bookmarkEnd w:id="34"/>
      <w:r>
        <w:rPr>
          <w:spacing w:val="-5"/>
        </w:rPr>
        <w:t>K5</w:t>
      </w:r>
    </w:p>
    <w:p>
      <w:pPr>
        <w:pStyle w:val="BodyText"/>
        <w:spacing w:before="56"/>
        <w:ind w:left="312"/>
      </w:pPr>
      <w:r>
        <w:rPr/>
        <w:t>To enhance rabbit biocontrol efforts, research began in 2009 to identify new strains of RHDV that could complement the now-endemic RHDV (IACRC 2014). A strain originating from Korea, known as RHDV-K5 (hereafter</w:t>
      </w:r>
      <w:r>
        <w:rPr>
          <w:spacing w:val="-3"/>
        </w:rPr>
        <w:t> </w:t>
      </w:r>
      <w:r>
        <w:rPr/>
        <w:t>K5),</w:t>
      </w:r>
      <w:r>
        <w:rPr>
          <w:spacing w:val="-1"/>
        </w:rPr>
        <w:t> </w:t>
      </w:r>
      <w:r>
        <w:rPr/>
        <w:t>was</w:t>
      </w:r>
      <w:r>
        <w:rPr>
          <w:spacing w:val="-2"/>
        </w:rPr>
        <w:t> </w:t>
      </w:r>
      <w:r>
        <w:rPr/>
        <w:t>selected</w:t>
      </w:r>
      <w:r>
        <w:rPr>
          <w:spacing w:val="-3"/>
        </w:rPr>
        <w:t> </w:t>
      </w:r>
      <w:r>
        <w:rPr/>
        <w:t>for</w:t>
      </w:r>
      <w:r>
        <w:rPr>
          <w:spacing w:val="-3"/>
        </w:rPr>
        <w:t> </w:t>
      </w:r>
      <w:r>
        <w:rPr/>
        <w:t>its</w:t>
      </w:r>
      <w:r>
        <w:rPr>
          <w:spacing w:val="-2"/>
        </w:rPr>
        <w:t> </w:t>
      </w:r>
      <w:r>
        <w:rPr/>
        <w:t>potential</w:t>
      </w:r>
      <w:r>
        <w:rPr>
          <w:spacing w:val="-2"/>
        </w:rPr>
        <w:t> </w:t>
      </w:r>
      <w:r>
        <w:rPr/>
        <w:t>to</w:t>
      </w:r>
      <w:r>
        <w:rPr>
          <w:spacing w:val="-2"/>
        </w:rPr>
        <w:t> </w:t>
      </w:r>
      <w:r>
        <w:rPr/>
        <w:t>overcome</w:t>
      </w:r>
      <w:r>
        <w:rPr>
          <w:spacing w:val="-3"/>
        </w:rPr>
        <w:t> </w:t>
      </w:r>
      <w:r>
        <w:rPr/>
        <w:t>the</w:t>
      </w:r>
      <w:r>
        <w:rPr>
          <w:spacing w:val="-3"/>
        </w:rPr>
        <w:t> </w:t>
      </w:r>
      <w:r>
        <w:rPr/>
        <w:t>benign</w:t>
      </w:r>
      <w:r>
        <w:rPr>
          <w:spacing w:val="-4"/>
        </w:rPr>
        <w:t> </w:t>
      </w:r>
      <w:r>
        <w:rPr/>
        <w:t>calicivirus</w:t>
      </w:r>
      <w:r>
        <w:rPr>
          <w:spacing w:val="-2"/>
        </w:rPr>
        <w:t> </w:t>
      </w:r>
      <w:r>
        <w:rPr/>
        <w:t>(RCV-A1),</w:t>
      </w:r>
      <w:r>
        <w:rPr>
          <w:spacing w:val="-3"/>
        </w:rPr>
        <w:t> </w:t>
      </w:r>
      <w:r>
        <w:rPr/>
        <w:t>which</w:t>
      </w:r>
      <w:r>
        <w:rPr>
          <w:spacing w:val="-3"/>
        </w:rPr>
        <w:t> </w:t>
      </w:r>
      <w:r>
        <w:rPr/>
        <w:t>can</w:t>
      </w:r>
      <w:r>
        <w:rPr>
          <w:spacing w:val="-2"/>
        </w:rPr>
        <w:t> </w:t>
      </w:r>
      <w:r>
        <w:rPr/>
        <w:t>diminish the efficacy of classical RHDV (Strive et al. 2013; Strive et al. 2009). Following rigorous testing, K5 was approved and registered as a biocontrol agent in April 2016. In autumn 2017, it was released at 322 sites across Australia in a coordinated effort (Ramsey et al. 2020).</w:t>
      </w:r>
    </w:p>
    <w:p>
      <w:pPr>
        <w:pStyle w:val="BodyText"/>
        <w:spacing w:before="120"/>
        <w:ind w:left="312" w:right="247"/>
      </w:pPr>
      <w:r>
        <w:rPr/>
        <w:t>At 22 release sites the impact of K5 was monitored by professional ecologists; rabbit abundances ranged from</w:t>
      </w:r>
      <w:r>
        <w:rPr>
          <w:spacing w:val="-4"/>
        </w:rPr>
        <w:t> </w:t>
      </w:r>
      <w:r>
        <w:rPr/>
        <w:t>612–1.5</w:t>
      </w:r>
      <w:r>
        <w:rPr>
          <w:spacing w:val="-4"/>
        </w:rPr>
        <w:t> </w:t>
      </w:r>
      <w:r>
        <w:rPr/>
        <w:t>rabbits/km.</w:t>
      </w:r>
      <w:r>
        <w:rPr>
          <w:spacing w:val="-4"/>
        </w:rPr>
        <w:t> </w:t>
      </w:r>
      <w:r>
        <w:rPr/>
        <w:t>Four</w:t>
      </w:r>
      <w:r>
        <w:rPr>
          <w:spacing w:val="-3"/>
        </w:rPr>
        <w:t> </w:t>
      </w:r>
      <w:r>
        <w:rPr/>
        <w:t>of</w:t>
      </w:r>
      <w:r>
        <w:rPr>
          <w:spacing w:val="-4"/>
        </w:rPr>
        <w:t> </w:t>
      </w:r>
      <w:r>
        <w:rPr/>
        <w:t>the</w:t>
      </w:r>
      <w:r>
        <w:rPr>
          <w:spacing w:val="-3"/>
        </w:rPr>
        <w:t> </w:t>
      </w:r>
      <w:r>
        <w:rPr/>
        <w:t>K5</w:t>
      </w:r>
      <w:r>
        <w:rPr>
          <w:spacing w:val="-4"/>
        </w:rPr>
        <w:t> </w:t>
      </w:r>
      <w:r>
        <w:rPr/>
        <w:t>release</w:t>
      </w:r>
      <w:r>
        <w:rPr>
          <w:spacing w:val="-4"/>
        </w:rPr>
        <w:t> </w:t>
      </w:r>
      <w:r>
        <w:rPr/>
        <w:t>sites</w:t>
      </w:r>
      <w:r>
        <w:rPr>
          <w:spacing w:val="-3"/>
        </w:rPr>
        <w:t> </w:t>
      </w:r>
      <w:r>
        <w:rPr/>
        <w:t>exhibited</w:t>
      </w:r>
      <w:r>
        <w:rPr>
          <w:spacing w:val="-4"/>
        </w:rPr>
        <w:t> </w:t>
      </w:r>
      <w:r>
        <w:rPr/>
        <w:t>declines</w:t>
      </w:r>
      <w:r>
        <w:rPr>
          <w:spacing w:val="-3"/>
        </w:rPr>
        <w:t> </w:t>
      </w:r>
      <w:r>
        <w:rPr/>
        <w:t>in</w:t>
      </w:r>
      <w:r>
        <w:rPr>
          <w:spacing w:val="-4"/>
        </w:rPr>
        <w:t> </w:t>
      </w:r>
      <w:r>
        <w:rPr/>
        <w:t>rabbit</w:t>
      </w:r>
      <w:r>
        <w:rPr>
          <w:spacing w:val="-2"/>
        </w:rPr>
        <w:t> </w:t>
      </w:r>
      <w:r>
        <w:rPr/>
        <w:t>abundances</w:t>
      </w:r>
      <w:r>
        <w:rPr>
          <w:spacing w:val="-3"/>
        </w:rPr>
        <w:t> </w:t>
      </w:r>
      <w:r>
        <w:rPr/>
        <w:t>following</w:t>
      </w:r>
      <w:r>
        <w:rPr>
          <w:spacing w:val="-4"/>
        </w:rPr>
        <w:t> </w:t>
      </w:r>
      <w:r>
        <w:rPr/>
        <w:t>the release relative to their pre-release abundances. However, only one of these declines was significant.</w:t>
      </w:r>
    </w:p>
    <w:p>
      <w:pPr>
        <w:spacing w:after="0"/>
        <w:sectPr>
          <w:pgSz w:w="11910" w:h="16850"/>
          <w:pgMar w:header="0" w:footer="688" w:top="1080" w:bottom="880" w:left="820" w:right="980"/>
        </w:sectPr>
      </w:pPr>
    </w:p>
    <w:p>
      <w:pPr>
        <w:pStyle w:val="BodyText"/>
        <w:spacing w:before="71"/>
        <w:ind w:left="312" w:right="247"/>
      </w:pPr>
      <w:r>
        <w:rPr/>
        <w:t>Conversely, three K5 release sites showed evidence of increases between pre- and post-release survey periods with one of these being significant. Overall estimates of the finite monthly growth rates were approximately equal for both K5 release sites and non-release sites, indicating no substantial changes occurred</w:t>
      </w:r>
      <w:r>
        <w:rPr>
          <w:spacing w:val="-5"/>
        </w:rPr>
        <w:t> </w:t>
      </w:r>
      <w:r>
        <w:rPr/>
        <w:t>between</w:t>
      </w:r>
      <w:r>
        <w:rPr>
          <w:spacing w:val="-2"/>
        </w:rPr>
        <w:t> </w:t>
      </w:r>
      <w:r>
        <w:rPr/>
        <w:t>pre-</w:t>
      </w:r>
      <w:r>
        <w:rPr>
          <w:spacing w:val="-3"/>
        </w:rPr>
        <w:t> </w:t>
      </w:r>
      <w:r>
        <w:rPr/>
        <w:t>and</w:t>
      </w:r>
      <w:r>
        <w:rPr>
          <w:spacing w:val="-3"/>
        </w:rPr>
        <w:t> </w:t>
      </w:r>
      <w:r>
        <w:rPr/>
        <w:t>post-release</w:t>
      </w:r>
      <w:r>
        <w:rPr>
          <w:spacing w:val="-4"/>
        </w:rPr>
        <w:t> </w:t>
      </w:r>
      <w:r>
        <w:rPr/>
        <w:t>survey</w:t>
      </w:r>
      <w:r>
        <w:rPr>
          <w:spacing w:val="-3"/>
        </w:rPr>
        <w:t> </w:t>
      </w:r>
      <w:r>
        <w:rPr/>
        <w:t>periods</w:t>
      </w:r>
      <w:r>
        <w:rPr>
          <w:spacing w:val="-1"/>
        </w:rPr>
        <w:t> </w:t>
      </w:r>
      <w:r>
        <w:rPr/>
        <w:t>(Cox</w:t>
      </w:r>
      <w:r>
        <w:rPr>
          <w:spacing w:val="-3"/>
        </w:rPr>
        <w:t> </w:t>
      </w:r>
      <w:r>
        <w:rPr/>
        <w:t>et</w:t>
      </w:r>
      <w:r>
        <w:rPr>
          <w:spacing w:val="-4"/>
        </w:rPr>
        <w:t> </w:t>
      </w:r>
      <w:r>
        <w:rPr/>
        <w:t>al.</w:t>
      </w:r>
      <w:r>
        <w:rPr>
          <w:spacing w:val="-4"/>
        </w:rPr>
        <w:t> </w:t>
      </w:r>
      <w:r>
        <w:rPr/>
        <w:t>2019).</w:t>
      </w:r>
      <w:r>
        <w:rPr>
          <w:spacing w:val="-4"/>
        </w:rPr>
        <w:t> </w:t>
      </w:r>
      <w:r>
        <w:rPr/>
        <w:t>However,</w:t>
      </w:r>
      <w:r>
        <w:rPr>
          <w:spacing w:val="-4"/>
        </w:rPr>
        <w:t> </w:t>
      </w:r>
      <w:r>
        <w:rPr/>
        <w:t>research</w:t>
      </w:r>
      <w:r>
        <w:rPr>
          <w:spacing w:val="-4"/>
        </w:rPr>
        <w:t> </w:t>
      </w:r>
      <w:r>
        <w:rPr/>
        <w:t>by</w:t>
      </w:r>
      <w:r>
        <w:rPr>
          <w:spacing w:val="-1"/>
        </w:rPr>
        <w:t> </w:t>
      </w:r>
      <w:r>
        <w:rPr/>
        <w:t>Ramsey</w:t>
      </w:r>
      <w:r>
        <w:rPr>
          <w:spacing w:val="-3"/>
        </w:rPr>
        <w:t> </w:t>
      </w:r>
      <w:r>
        <w:rPr/>
        <w:t>et al.</w:t>
      </w:r>
      <w:r>
        <w:rPr>
          <w:spacing w:val="-2"/>
        </w:rPr>
        <w:t> </w:t>
      </w:r>
      <w:r>
        <w:rPr/>
        <w:t>(2020)</w:t>
      </w:r>
      <w:r>
        <w:rPr>
          <w:spacing w:val="-1"/>
        </w:rPr>
        <w:t> </w:t>
      </w:r>
      <w:r>
        <w:rPr/>
        <w:t>found</w:t>
      </w:r>
      <w:r>
        <w:rPr>
          <w:spacing w:val="-2"/>
        </w:rPr>
        <w:t> </w:t>
      </w:r>
      <w:r>
        <w:rPr/>
        <w:t>that</w:t>
      </w:r>
      <w:r>
        <w:rPr>
          <w:spacing w:val="-2"/>
        </w:rPr>
        <w:t> </w:t>
      </w:r>
      <w:r>
        <w:rPr/>
        <w:t>while K5</w:t>
      </w:r>
      <w:r>
        <w:rPr>
          <w:spacing w:val="-2"/>
        </w:rPr>
        <w:t> </w:t>
      </w:r>
      <w:r>
        <w:rPr/>
        <w:t>and</w:t>
      </w:r>
      <w:r>
        <w:rPr>
          <w:spacing w:val="-3"/>
        </w:rPr>
        <w:t> </w:t>
      </w:r>
      <w:r>
        <w:rPr/>
        <w:t>RHDV2</w:t>
      </w:r>
      <w:r>
        <w:rPr>
          <w:spacing w:val="-2"/>
        </w:rPr>
        <w:t> </w:t>
      </w:r>
      <w:r>
        <w:rPr/>
        <w:t>were</w:t>
      </w:r>
      <w:r>
        <w:rPr>
          <w:spacing w:val="-2"/>
        </w:rPr>
        <w:t> </w:t>
      </w:r>
      <w:r>
        <w:rPr/>
        <w:t>coexisting</w:t>
      </w:r>
      <w:r>
        <w:rPr>
          <w:spacing w:val="-1"/>
        </w:rPr>
        <w:t> </w:t>
      </w:r>
      <w:r>
        <w:rPr/>
        <w:t>at</w:t>
      </w:r>
      <w:r>
        <w:rPr>
          <w:spacing w:val="-2"/>
        </w:rPr>
        <w:t> </w:t>
      </w:r>
      <w:r>
        <w:rPr/>
        <w:t>the</w:t>
      </w:r>
      <w:r>
        <w:rPr>
          <w:spacing w:val="-2"/>
        </w:rPr>
        <w:t> </w:t>
      </w:r>
      <w:r>
        <w:rPr/>
        <w:t>time of</w:t>
      </w:r>
      <w:r>
        <w:rPr>
          <w:spacing w:val="-2"/>
        </w:rPr>
        <w:t> </w:t>
      </w:r>
      <w:r>
        <w:rPr/>
        <w:t>their</w:t>
      </w:r>
      <w:r>
        <w:rPr>
          <w:spacing w:val="-1"/>
        </w:rPr>
        <w:t> </w:t>
      </w:r>
      <w:r>
        <w:rPr/>
        <w:t>study,</w:t>
      </w:r>
      <w:r>
        <w:rPr>
          <w:spacing w:val="-2"/>
        </w:rPr>
        <w:t> </w:t>
      </w:r>
      <w:r>
        <w:rPr/>
        <w:t>the effectiveness</w:t>
      </w:r>
      <w:r>
        <w:rPr>
          <w:spacing w:val="-1"/>
        </w:rPr>
        <w:t> </w:t>
      </w:r>
      <w:r>
        <w:rPr/>
        <w:t>of K5 had been compromised by the presence of the competing strain, RHDV2, which has the competitive advantage of causing fatality in juvenile rabbits.</w:t>
      </w:r>
    </w:p>
    <w:p>
      <w:pPr>
        <w:pStyle w:val="Heading5"/>
        <w:numPr>
          <w:ilvl w:val="2"/>
          <w:numId w:val="13"/>
        </w:numPr>
        <w:tabs>
          <w:tab w:pos="1033" w:val="left" w:leader="none"/>
        </w:tabs>
        <w:spacing w:line="240" w:lineRule="auto" w:before="141" w:after="0"/>
        <w:ind w:left="1033" w:right="0" w:hanging="721"/>
        <w:jc w:val="left"/>
      </w:pPr>
      <w:bookmarkStart w:name="_TOC_250062" w:id="35"/>
      <w:r>
        <w:rPr/>
        <w:t>Limitations</w:t>
      </w:r>
      <w:r>
        <w:rPr>
          <w:spacing w:val="-9"/>
        </w:rPr>
        <w:t> </w:t>
      </w:r>
      <w:r>
        <w:rPr/>
        <w:t>of</w:t>
      </w:r>
      <w:r>
        <w:rPr>
          <w:spacing w:val="-8"/>
        </w:rPr>
        <w:t> </w:t>
      </w:r>
      <w:r>
        <w:rPr/>
        <w:t>RHDV-</w:t>
      </w:r>
      <w:bookmarkEnd w:id="35"/>
      <w:r>
        <w:rPr>
          <w:spacing w:val="-7"/>
        </w:rPr>
        <w:t>K5</w:t>
      </w:r>
    </w:p>
    <w:p>
      <w:pPr>
        <w:pStyle w:val="BodyText"/>
        <w:spacing w:before="58"/>
        <w:ind w:left="312" w:right="180"/>
      </w:pPr>
      <w:r>
        <w:rPr/>
        <w:t>Currently, K5 is the only strain of RHDV available to land managers for strategic release in rabbit control efforts. Patel et al. (2023) assessed the impact of integrating K5 release with pindone baiting in South Australia. Their findings showed rabbit population reductions at only two of eight sites (16.7% and 8.3%) within 14 days post-release. Conversely, rabbit numbers significantly increased by an average of 66% (ranging</w:t>
      </w:r>
      <w:r>
        <w:rPr>
          <w:spacing w:val="-3"/>
        </w:rPr>
        <w:t> </w:t>
      </w:r>
      <w:r>
        <w:rPr/>
        <w:t>from</w:t>
      </w:r>
      <w:r>
        <w:rPr>
          <w:spacing w:val="-3"/>
        </w:rPr>
        <w:t> </w:t>
      </w:r>
      <w:r>
        <w:rPr/>
        <w:t>a</w:t>
      </w:r>
      <w:r>
        <w:rPr>
          <w:spacing w:val="-2"/>
        </w:rPr>
        <w:t> </w:t>
      </w:r>
      <w:r>
        <w:rPr/>
        <w:t>16.7%</w:t>
      </w:r>
      <w:r>
        <w:rPr>
          <w:spacing w:val="-3"/>
        </w:rPr>
        <w:t> </w:t>
      </w:r>
      <w:r>
        <w:rPr/>
        <w:t>decrease</w:t>
      </w:r>
      <w:r>
        <w:rPr>
          <w:spacing w:val="-3"/>
        </w:rPr>
        <w:t> </w:t>
      </w:r>
      <w:r>
        <w:rPr/>
        <w:t>to</w:t>
      </w:r>
      <w:r>
        <w:rPr>
          <w:spacing w:val="-1"/>
        </w:rPr>
        <w:t> </w:t>
      </w:r>
      <w:r>
        <w:rPr/>
        <w:t>a</w:t>
      </w:r>
      <w:r>
        <w:rPr>
          <w:spacing w:val="-4"/>
        </w:rPr>
        <w:t> </w:t>
      </w:r>
      <w:r>
        <w:rPr/>
        <w:t>250% increase) across</w:t>
      </w:r>
      <w:r>
        <w:rPr>
          <w:spacing w:val="-2"/>
        </w:rPr>
        <w:t> </w:t>
      </w:r>
      <w:r>
        <w:rPr/>
        <w:t>all</w:t>
      </w:r>
      <w:r>
        <w:rPr>
          <w:spacing w:val="-4"/>
        </w:rPr>
        <w:t> </w:t>
      </w:r>
      <w:r>
        <w:rPr/>
        <w:t>sites.</w:t>
      </w:r>
      <w:r>
        <w:rPr>
          <w:spacing w:val="-3"/>
        </w:rPr>
        <w:t> </w:t>
      </w:r>
      <w:r>
        <w:rPr/>
        <w:t>This</w:t>
      </w:r>
      <w:r>
        <w:rPr>
          <w:spacing w:val="-2"/>
        </w:rPr>
        <w:t> </w:t>
      </w:r>
      <w:r>
        <w:rPr/>
        <w:t>variability</w:t>
      </w:r>
      <w:r>
        <w:rPr>
          <w:spacing w:val="-2"/>
        </w:rPr>
        <w:t> </w:t>
      </w:r>
      <w:r>
        <w:rPr/>
        <w:t>was</w:t>
      </w:r>
      <w:r>
        <w:rPr>
          <w:spacing w:val="-2"/>
        </w:rPr>
        <w:t> </w:t>
      </w:r>
      <w:r>
        <w:rPr/>
        <w:t>attributed</w:t>
      </w:r>
      <w:r>
        <w:rPr>
          <w:spacing w:val="-3"/>
        </w:rPr>
        <w:t> </w:t>
      </w:r>
      <w:r>
        <w:rPr/>
        <w:t>to</w:t>
      </w:r>
      <w:r>
        <w:rPr>
          <w:spacing w:val="-1"/>
        </w:rPr>
        <w:t> </w:t>
      </w:r>
      <w:r>
        <w:rPr/>
        <w:t>factors such as pre-existing RHDV2 immunity in the rabbit population and the presence of juvenile rabbits, which possess innate resistance to lethal RHDV. These findings align with</w:t>
      </w:r>
      <w:r>
        <w:rPr>
          <w:spacing w:val="15"/>
        </w:rPr>
        <w:t> </w:t>
      </w:r>
      <w:r>
        <w:rPr/>
        <w:t>Ramsey et al. (2020), who</w:t>
      </w:r>
      <w:r>
        <w:rPr/>
        <w:t> demonstrated that RHDV2 reduced the effectiveness of K5 as a biocontrol agent.</w:t>
      </w:r>
    </w:p>
    <w:p>
      <w:pPr>
        <w:pStyle w:val="BodyText"/>
        <w:spacing w:before="120"/>
        <w:ind w:left="312" w:right="179"/>
      </w:pPr>
      <w:r>
        <w:rPr/>
        <w:t>To optimise the outcomes of K5 releases, it is essential to consider the prevalence of RHDV2 in the population and the timing of young rabbit emergence. Patel et al. (2023) recommend releasing K5 during summer</w:t>
      </w:r>
      <w:r>
        <w:rPr>
          <w:spacing w:val="-3"/>
        </w:rPr>
        <w:t> </w:t>
      </w:r>
      <w:r>
        <w:rPr/>
        <w:t>or</w:t>
      </w:r>
      <w:r>
        <w:rPr>
          <w:spacing w:val="-1"/>
        </w:rPr>
        <w:t> </w:t>
      </w:r>
      <w:r>
        <w:rPr/>
        <w:t>early</w:t>
      </w:r>
      <w:r>
        <w:rPr>
          <w:spacing w:val="-1"/>
        </w:rPr>
        <w:t> </w:t>
      </w:r>
      <w:r>
        <w:rPr/>
        <w:t>autumn</w:t>
      </w:r>
      <w:r>
        <w:rPr>
          <w:spacing w:val="-4"/>
        </w:rPr>
        <w:t> </w:t>
      </w:r>
      <w:r>
        <w:rPr/>
        <w:t>when</w:t>
      </w:r>
      <w:r>
        <w:rPr>
          <w:spacing w:val="-4"/>
        </w:rPr>
        <w:t> </w:t>
      </w:r>
      <w:r>
        <w:rPr/>
        <w:t>juvenile</w:t>
      </w:r>
      <w:r>
        <w:rPr>
          <w:spacing w:val="-4"/>
        </w:rPr>
        <w:t> </w:t>
      </w:r>
      <w:r>
        <w:rPr/>
        <w:t>numbers</w:t>
      </w:r>
      <w:r>
        <w:rPr>
          <w:spacing w:val="-2"/>
        </w:rPr>
        <w:t> </w:t>
      </w:r>
      <w:r>
        <w:rPr/>
        <w:t>are</w:t>
      </w:r>
      <w:r>
        <w:rPr>
          <w:spacing w:val="-4"/>
        </w:rPr>
        <w:t> </w:t>
      </w:r>
      <w:r>
        <w:rPr/>
        <w:t>low</w:t>
      </w:r>
      <w:r>
        <w:rPr>
          <w:spacing w:val="-4"/>
        </w:rPr>
        <w:t> </w:t>
      </w:r>
      <w:r>
        <w:rPr/>
        <w:t>and</w:t>
      </w:r>
      <w:r>
        <w:rPr>
          <w:spacing w:val="-4"/>
        </w:rPr>
        <w:t> </w:t>
      </w:r>
      <w:r>
        <w:rPr/>
        <w:t>combining</w:t>
      </w:r>
      <w:r>
        <w:rPr>
          <w:spacing w:val="-4"/>
        </w:rPr>
        <w:t> </w:t>
      </w:r>
      <w:r>
        <w:rPr/>
        <w:t>the</w:t>
      </w:r>
      <w:r>
        <w:rPr>
          <w:spacing w:val="-4"/>
        </w:rPr>
        <w:t> </w:t>
      </w:r>
      <w:r>
        <w:rPr/>
        <w:t>release</w:t>
      </w:r>
      <w:r>
        <w:rPr>
          <w:spacing w:val="-4"/>
        </w:rPr>
        <w:t> </w:t>
      </w:r>
      <w:r>
        <w:rPr/>
        <w:t>with</w:t>
      </w:r>
      <w:r>
        <w:rPr>
          <w:spacing w:val="-2"/>
        </w:rPr>
        <w:t> </w:t>
      </w:r>
      <w:r>
        <w:rPr/>
        <w:t>conventional</w:t>
      </w:r>
      <w:r>
        <w:rPr>
          <w:spacing w:val="-5"/>
        </w:rPr>
        <w:t> </w:t>
      </w:r>
      <w:r>
        <w:rPr/>
        <w:t>control measures for better outcomes. Further research is needed to refine strategies for integrating K5 with traditional control methods across different regions of Australia.</w:t>
      </w:r>
    </w:p>
    <w:p>
      <w:pPr>
        <w:pStyle w:val="BodyText"/>
        <w:spacing w:before="119"/>
        <w:ind w:left="312" w:right="452"/>
        <w:jc w:val="both"/>
      </w:pPr>
      <w:r>
        <w:rPr/>
        <w:t>The</w:t>
      </w:r>
      <w:r>
        <w:rPr>
          <w:spacing w:val="-2"/>
        </w:rPr>
        <w:t> </w:t>
      </w:r>
      <w:r>
        <w:rPr/>
        <w:t>recent ACUP</w:t>
      </w:r>
      <w:r>
        <w:rPr>
          <w:spacing w:val="-1"/>
        </w:rPr>
        <w:t> </w:t>
      </w:r>
      <w:r>
        <w:rPr/>
        <w:t>survey revealed</w:t>
      </w:r>
      <w:r>
        <w:rPr>
          <w:spacing w:val="-1"/>
        </w:rPr>
        <w:t> </w:t>
      </w:r>
      <w:r>
        <w:rPr/>
        <w:t>that</w:t>
      </w:r>
      <w:r>
        <w:rPr>
          <w:spacing w:val="-1"/>
        </w:rPr>
        <w:t> </w:t>
      </w:r>
      <w:r>
        <w:rPr/>
        <w:t>9% of</w:t>
      </w:r>
      <w:r>
        <w:rPr>
          <w:spacing w:val="-1"/>
        </w:rPr>
        <w:t> </w:t>
      </w:r>
      <w:r>
        <w:rPr/>
        <w:t>respondents had used RHDV</w:t>
      </w:r>
      <w:r>
        <w:rPr>
          <w:spacing w:val="-1"/>
        </w:rPr>
        <w:t> </w:t>
      </w:r>
      <w:r>
        <w:rPr/>
        <w:t>as their primary rabbit control method, while 25% had employed it within the past five years (Quantum Market Research 2024). Among those</w:t>
      </w:r>
      <w:r>
        <w:rPr>
          <w:spacing w:val="-4"/>
        </w:rPr>
        <w:t> </w:t>
      </w:r>
      <w:r>
        <w:rPr/>
        <w:t>who</w:t>
      </w:r>
      <w:r>
        <w:rPr>
          <w:spacing w:val="-5"/>
        </w:rPr>
        <w:t> </w:t>
      </w:r>
      <w:r>
        <w:rPr/>
        <w:t>had</w:t>
      </w:r>
      <w:r>
        <w:rPr>
          <w:spacing w:val="-3"/>
        </w:rPr>
        <w:t> </w:t>
      </w:r>
      <w:r>
        <w:rPr/>
        <w:t>utilised</w:t>
      </w:r>
      <w:r>
        <w:rPr>
          <w:spacing w:val="-4"/>
        </w:rPr>
        <w:t> </w:t>
      </w:r>
      <w:r>
        <w:rPr/>
        <w:t>1080</w:t>
      </w:r>
      <w:r>
        <w:rPr>
          <w:spacing w:val="-4"/>
        </w:rPr>
        <w:t> </w:t>
      </w:r>
      <w:r>
        <w:rPr/>
        <w:t>for</w:t>
      </w:r>
      <w:r>
        <w:rPr>
          <w:spacing w:val="-4"/>
        </w:rPr>
        <w:t> </w:t>
      </w:r>
      <w:r>
        <w:rPr/>
        <w:t>rabbit</w:t>
      </w:r>
      <w:r>
        <w:rPr>
          <w:spacing w:val="-2"/>
        </w:rPr>
        <w:t> </w:t>
      </w:r>
      <w:r>
        <w:rPr/>
        <w:t>control</w:t>
      </w:r>
      <w:r>
        <w:rPr>
          <w:spacing w:val="-5"/>
        </w:rPr>
        <w:t> </w:t>
      </w:r>
      <w:r>
        <w:rPr/>
        <w:t>during</w:t>
      </w:r>
      <w:r>
        <w:rPr>
          <w:spacing w:val="-4"/>
        </w:rPr>
        <w:t> </w:t>
      </w:r>
      <w:r>
        <w:rPr/>
        <w:t>the</w:t>
      </w:r>
      <w:r>
        <w:rPr>
          <w:spacing w:val="-4"/>
        </w:rPr>
        <w:t> </w:t>
      </w:r>
      <w:r>
        <w:rPr/>
        <w:t>same</w:t>
      </w:r>
      <w:r>
        <w:rPr>
          <w:spacing w:val="-2"/>
        </w:rPr>
        <w:t> </w:t>
      </w:r>
      <w:r>
        <w:rPr/>
        <w:t>period,</w:t>
      </w:r>
      <w:r>
        <w:rPr>
          <w:spacing w:val="-2"/>
        </w:rPr>
        <w:t> </w:t>
      </w:r>
      <w:r>
        <w:rPr/>
        <w:t>35%</w:t>
      </w:r>
      <w:r>
        <w:rPr>
          <w:spacing w:val="-1"/>
        </w:rPr>
        <w:t> </w:t>
      </w:r>
      <w:r>
        <w:rPr/>
        <w:t>indicated</w:t>
      </w:r>
      <w:r>
        <w:rPr>
          <w:spacing w:val="-5"/>
        </w:rPr>
        <w:t> </w:t>
      </w:r>
      <w:r>
        <w:rPr/>
        <w:t>they</w:t>
      </w:r>
      <w:r>
        <w:rPr>
          <w:spacing w:val="-3"/>
        </w:rPr>
        <w:t> </w:t>
      </w:r>
      <w:r>
        <w:rPr/>
        <w:t>would</w:t>
      </w:r>
      <w:r>
        <w:rPr>
          <w:spacing w:val="-4"/>
        </w:rPr>
        <w:t> </w:t>
      </w:r>
      <w:r>
        <w:rPr/>
        <w:t>rely</w:t>
      </w:r>
      <w:r>
        <w:rPr>
          <w:spacing w:val="-3"/>
        </w:rPr>
        <w:t> </w:t>
      </w:r>
      <w:r>
        <w:rPr/>
        <w:t>more heavily on RHDV if 1080 were unavailable.</w:t>
      </w:r>
    </w:p>
    <w:p>
      <w:pPr>
        <w:pStyle w:val="BodyText"/>
        <w:spacing w:before="122"/>
        <w:ind w:left="312" w:right="550"/>
        <w:jc w:val="both"/>
      </w:pPr>
      <w:r>
        <w:rPr/>
        <w:t>This</w:t>
      </w:r>
      <w:r>
        <w:rPr>
          <w:spacing w:val="-4"/>
        </w:rPr>
        <w:t> </w:t>
      </w:r>
      <w:r>
        <w:rPr/>
        <w:t>highlights</w:t>
      </w:r>
      <w:r>
        <w:rPr>
          <w:spacing w:val="-4"/>
        </w:rPr>
        <w:t> </w:t>
      </w:r>
      <w:r>
        <w:rPr/>
        <w:t>the</w:t>
      </w:r>
      <w:r>
        <w:rPr>
          <w:spacing w:val="-5"/>
        </w:rPr>
        <w:t> </w:t>
      </w:r>
      <w:r>
        <w:rPr/>
        <w:t>ongoing</w:t>
      </w:r>
      <w:r>
        <w:rPr>
          <w:spacing w:val="-1"/>
        </w:rPr>
        <w:t> </w:t>
      </w:r>
      <w:r>
        <w:rPr/>
        <w:t>need</w:t>
      </w:r>
      <w:r>
        <w:rPr>
          <w:spacing w:val="-3"/>
        </w:rPr>
        <w:t> </w:t>
      </w:r>
      <w:r>
        <w:rPr/>
        <w:t>to</w:t>
      </w:r>
      <w:r>
        <w:rPr>
          <w:spacing w:val="-4"/>
        </w:rPr>
        <w:t> </w:t>
      </w:r>
      <w:r>
        <w:rPr/>
        <w:t>understand</w:t>
      </w:r>
      <w:r>
        <w:rPr>
          <w:spacing w:val="-3"/>
        </w:rPr>
        <w:t> </w:t>
      </w:r>
      <w:r>
        <w:rPr/>
        <w:t>and</w:t>
      </w:r>
      <w:r>
        <w:rPr>
          <w:spacing w:val="-3"/>
        </w:rPr>
        <w:t> </w:t>
      </w:r>
      <w:r>
        <w:rPr/>
        <w:t>improve</w:t>
      </w:r>
      <w:r>
        <w:rPr>
          <w:spacing w:val="-5"/>
        </w:rPr>
        <w:t> </w:t>
      </w:r>
      <w:r>
        <w:rPr/>
        <w:t>the</w:t>
      </w:r>
      <w:r>
        <w:rPr>
          <w:spacing w:val="-3"/>
        </w:rPr>
        <w:t> </w:t>
      </w:r>
      <w:r>
        <w:rPr/>
        <w:t>strategic</w:t>
      </w:r>
      <w:r>
        <w:rPr>
          <w:spacing w:val="-4"/>
        </w:rPr>
        <w:t> </w:t>
      </w:r>
      <w:r>
        <w:rPr/>
        <w:t>deployment</w:t>
      </w:r>
      <w:r>
        <w:rPr>
          <w:spacing w:val="-3"/>
        </w:rPr>
        <w:t> </w:t>
      </w:r>
      <w:r>
        <w:rPr/>
        <w:t>of</w:t>
      </w:r>
      <w:r>
        <w:rPr>
          <w:spacing w:val="-5"/>
        </w:rPr>
        <w:t> </w:t>
      </w:r>
      <w:r>
        <w:rPr/>
        <w:t>RHDV</w:t>
      </w:r>
      <w:r>
        <w:rPr>
          <w:spacing w:val="-5"/>
        </w:rPr>
        <w:t> </w:t>
      </w:r>
      <w:r>
        <w:rPr/>
        <w:t>strains</w:t>
      </w:r>
      <w:r>
        <w:rPr>
          <w:spacing w:val="-2"/>
        </w:rPr>
        <w:t> </w:t>
      </w:r>
      <w:r>
        <w:rPr/>
        <w:t>in conjunction with other rabbit management practices.</w:t>
      </w:r>
    </w:p>
    <w:p>
      <w:pPr>
        <w:pStyle w:val="BodyText"/>
        <w:spacing w:before="153"/>
      </w:pPr>
    </w:p>
    <w:p>
      <w:pPr>
        <w:pStyle w:val="Heading3"/>
        <w:numPr>
          <w:ilvl w:val="1"/>
          <w:numId w:val="13"/>
        </w:numPr>
        <w:tabs>
          <w:tab w:pos="889" w:val="left" w:leader="none"/>
        </w:tabs>
        <w:spacing w:line="240" w:lineRule="auto" w:before="0" w:after="0"/>
        <w:ind w:left="889" w:right="0" w:hanging="577"/>
        <w:jc w:val="left"/>
      </w:pPr>
      <w:bookmarkStart w:name="_TOC_250061" w:id="36"/>
      <w:bookmarkEnd w:id="36"/>
      <w:r>
        <w:rPr>
          <w:color w:val="2D1E66"/>
          <w:spacing w:val="-2"/>
        </w:rPr>
        <w:t>Cost-effectiveness</w:t>
      </w:r>
    </w:p>
    <w:p>
      <w:pPr>
        <w:pStyle w:val="Heading5"/>
        <w:numPr>
          <w:ilvl w:val="2"/>
          <w:numId w:val="13"/>
        </w:numPr>
        <w:tabs>
          <w:tab w:pos="1033" w:val="left" w:leader="none"/>
        </w:tabs>
        <w:spacing w:line="240" w:lineRule="auto" w:before="142" w:after="0"/>
        <w:ind w:left="1033" w:right="0" w:hanging="721"/>
        <w:jc w:val="left"/>
      </w:pPr>
      <w:bookmarkStart w:name="_TOC_250060" w:id="37"/>
      <w:r>
        <w:rPr/>
        <w:t>Conventional</w:t>
      </w:r>
      <w:r>
        <w:rPr>
          <w:spacing w:val="-7"/>
        </w:rPr>
        <w:t> </w:t>
      </w:r>
      <w:r>
        <w:rPr/>
        <w:t>control</w:t>
      </w:r>
      <w:r>
        <w:rPr>
          <w:spacing w:val="-7"/>
        </w:rPr>
        <w:t> </w:t>
      </w:r>
      <w:bookmarkEnd w:id="37"/>
      <w:r>
        <w:rPr>
          <w:spacing w:val="-2"/>
        </w:rPr>
        <w:t>methods</w:t>
      </w:r>
    </w:p>
    <w:p>
      <w:pPr>
        <w:pStyle w:val="BodyText"/>
        <w:spacing w:before="56"/>
        <w:ind w:left="312"/>
      </w:pPr>
      <w:r>
        <w:rPr/>
        <w:t>Three</w:t>
      </w:r>
      <w:r>
        <w:rPr>
          <w:spacing w:val="-4"/>
        </w:rPr>
        <w:t> </w:t>
      </w:r>
      <w:r>
        <w:rPr/>
        <w:t>studies</w:t>
      </w:r>
      <w:r>
        <w:rPr>
          <w:spacing w:val="-3"/>
        </w:rPr>
        <w:t> </w:t>
      </w:r>
      <w:r>
        <w:rPr/>
        <w:t>provided</w:t>
      </w:r>
      <w:r>
        <w:rPr>
          <w:spacing w:val="-4"/>
        </w:rPr>
        <w:t> </w:t>
      </w:r>
      <w:r>
        <w:rPr/>
        <w:t>a</w:t>
      </w:r>
      <w:r>
        <w:rPr>
          <w:spacing w:val="-5"/>
        </w:rPr>
        <w:t> </w:t>
      </w:r>
      <w:r>
        <w:rPr/>
        <w:t>comprehensive</w:t>
      </w:r>
      <w:r>
        <w:rPr>
          <w:spacing w:val="-2"/>
        </w:rPr>
        <w:t> </w:t>
      </w:r>
      <w:r>
        <w:rPr/>
        <w:t>assessment</w:t>
      </w:r>
      <w:r>
        <w:rPr>
          <w:spacing w:val="-2"/>
        </w:rPr>
        <w:t> </w:t>
      </w:r>
      <w:r>
        <w:rPr/>
        <w:t>of</w:t>
      </w:r>
      <w:r>
        <w:rPr>
          <w:spacing w:val="-4"/>
        </w:rPr>
        <w:t> </w:t>
      </w:r>
      <w:r>
        <w:rPr/>
        <w:t>the</w:t>
      </w:r>
      <w:r>
        <w:rPr>
          <w:spacing w:val="-4"/>
        </w:rPr>
        <w:t> </w:t>
      </w:r>
      <w:r>
        <w:rPr/>
        <w:t>cost-effectiveness</w:t>
      </w:r>
      <w:r>
        <w:rPr>
          <w:spacing w:val="-3"/>
        </w:rPr>
        <w:t> </w:t>
      </w:r>
      <w:r>
        <w:rPr/>
        <w:t>of</w:t>
      </w:r>
      <w:r>
        <w:rPr>
          <w:spacing w:val="-2"/>
        </w:rPr>
        <w:t> </w:t>
      </w:r>
      <w:r>
        <w:rPr/>
        <w:t>conventional</w:t>
      </w:r>
      <w:r>
        <w:rPr>
          <w:spacing w:val="-5"/>
        </w:rPr>
        <w:t> </w:t>
      </w:r>
      <w:r>
        <w:rPr/>
        <w:t>rabbit</w:t>
      </w:r>
      <w:r>
        <w:rPr>
          <w:spacing w:val="-4"/>
        </w:rPr>
        <w:t> </w:t>
      </w:r>
      <w:r>
        <w:rPr/>
        <w:t>control (Cooke 1981; Cooke et al. 2010; Williams and Moore 1995), while Cooke (2012) summarised cost-effective approaches to planning rabbit control using conventional tools.</w:t>
      </w:r>
    </w:p>
    <w:p>
      <w:pPr>
        <w:pStyle w:val="BodyText"/>
        <w:spacing w:before="119"/>
        <w:ind w:left="312" w:right="163"/>
      </w:pPr>
      <w:r>
        <w:rPr/>
        <w:t>Cooke (1981) assessed the effectiveness of rabbit control methods, including poisoning with 1080 oat bait (P), warren ripping (R), phosphine-diffusion fumigation (F), and combinations of these methods (P+R, P+F, R+F, and P+R+F), to prevent crop damage. The study was conducted in mallee vegetation along 1-km lengths of road reserve near Pinnaroo, South Australia. The results showed that none of the individual treatments were cost-effective for protecting crops, although poisoning with 1080 oats was included in all effective combinations. The most cost-effective treatment ($12.04 per warren entrance for a 1-km road reserve) was the combination of P+R+F. This approach became even more cost-effective with follow-up control,</w:t>
      </w:r>
      <w:r>
        <w:rPr>
          <w:spacing w:val="-2"/>
        </w:rPr>
        <w:t> </w:t>
      </w:r>
      <w:r>
        <w:rPr/>
        <w:t>as</w:t>
      </w:r>
      <w:r>
        <w:rPr>
          <w:spacing w:val="-3"/>
        </w:rPr>
        <w:t> </w:t>
      </w:r>
      <w:r>
        <w:rPr/>
        <w:t>the</w:t>
      </w:r>
      <w:r>
        <w:rPr>
          <w:spacing w:val="-2"/>
        </w:rPr>
        <w:t> </w:t>
      </w:r>
      <w:r>
        <w:rPr/>
        <w:t>number</w:t>
      </w:r>
      <w:r>
        <w:rPr>
          <w:spacing w:val="-1"/>
        </w:rPr>
        <w:t> </w:t>
      </w:r>
      <w:r>
        <w:rPr/>
        <w:t>of</w:t>
      </w:r>
      <w:r>
        <w:rPr>
          <w:spacing w:val="-4"/>
        </w:rPr>
        <w:t> </w:t>
      </w:r>
      <w:r>
        <w:rPr/>
        <w:t>warrens</w:t>
      </w:r>
      <w:r>
        <w:rPr>
          <w:spacing w:val="-3"/>
        </w:rPr>
        <w:t> </w:t>
      </w:r>
      <w:r>
        <w:rPr/>
        <w:t>requiring</w:t>
      </w:r>
      <w:r>
        <w:rPr>
          <w:spacing w:val="-4"/>
        </w:rPr>
        <w:t> </w:t>
      </w:r>
      <w:r>
        <w:rPr/>
        <w:t>treatment</w:t>
      </w:r>
      <w:r>
        <w:rPr>
          <w:spacing w:val="-2"/>
        </w:rPr>
        <w:t> </w:t>
      </w:r>
      <w:r>
        <w:rPr/>
        <w:t>decreased</w:t>
      </w:r>
      <w:r>
        <w:rPr>
          <w:spacing w:val="-3"/>
        </w:rPr>
        <w:t> </w:t>
      </w:r>
      <w:r>
        <w:rPr/>
        <w:t>over</w:t>
      </w:r>
      <w:r>
        <w:rPr>
          <w:spacing w:val="-4"/>
        </w:rPr>
        <w:t> </w:t>
      </w:r>
      <w:r>
        <w:rPr/>
        <w:t>time,</w:t>
      </w:r>
      <w:r>
        <w:rPr>
          <w:spacing w:val="-4"/>
        </w:rPr>
        <w:t> </w:t>
      </w:r>
      <w:r>
        <w:rPr/>
        <w:t>reducing</w:t>
      </w:r>
      <w:r>
        <w:rPr>
          <w:spacing w:val="-3"/>
        </w:rPr>
        <w:t> </w:t>
      </w:r>
      <w:r>
        <w:rPr/>
        <w:t>the</w:t>
      </w:r>
      <w:r>
        <w:rPr>
          <w:spacing w:val="-5"/>
        </w:rPr>
        <w:t> </w:t>
      </w:r>
      <w:r>
        <w:rPr/>
        <w:t>cost</w:t>
      </w:r>
      <w:r>
        <w:rPr>
          <w:spacing w:val="-2"/>
        </w:rPr>
        <w:t> </w:t>
      </w:r>
      <w:r>
        <w:rPr/>
        <w:t>of</w:t>
      </w:r>
      <w:r>
        <w:rPr>
          <w:spacing w:val="-4"/>
        </w:rPr>
        <w:t> </w:t>
      </w:r>
      <w:r>
        <w:rPr/>
        <w:t>subsequent </w:t>
      </w:r>
      <w:r>
        <w:rPr>
          <w:spacing w:val="-2"/>
        </w:rPr>
        <w:t>fumigation.</w:t>
      </w:r>
    </w:p>
    <w:p>
      <w:pPr>
        <w:pStyle w:val="BodyText"/>
        <w:spacing w:before="121"/>
        <w:ind w:left="312" w:right="247"/>
      </w:pPr>
      <w:r>
        <w:rPr/>
        <w:t>Williams</w:t>
      </w:r>
      <w:r>
        <w:rPr>
          <w:spacing w:val="-2"/>
        </w:rPr>
        <w:t> </w:t>
      </w:r>
      <w:r>
        <w:rPr/>
        <w:t>and</w:t>
      </w:r>
      <w:r>
        <w:rPr>
          <w:spacing w:val="-3"/>
        </w:rPr>
        <w:t> </w:t>
      </w:r>
      <w:r>
        <w:rPr/>
        <w:t>Moore</w:t>
      </w:r>
      <w:r>
        <w:rPr>
          <w:spacing w:val="-3"/>
        </w:rPr>
        <w:t> </w:t>
      </w:r>
      <w:r>
        <w:rPr/>
        <w:t>(1995)</w:t>
      </w:r>
      <w:r>
        <w:rPr>
          <w:spacing w:val="-1"/>
        </w:rPr>
        <w:t> </w:t>
      </w:r>
      <w:r>
        <w:rPr/>
        <w:t>experimentally</w:t>
      </w:r>
      <w:r>
        <w:rPr>
          <w:spacing w:val="-3"/>
        </w:rPr>
        <w:t> </w:t>
      </w:r>
      <w:r>
        <w:rPr/>
        <w:t>compared</w:t>
      </w:r>
      <w:r>
        <w:rPr>
          <w:spacing w:val="-4"/>
        </w:rPr>
        <w:t> </w:t>
      </w:r>
      <w:r>
        <w:rPr/>
        <w:t>the</w:t>
      </w:r>
      <w:r>
        <w:rPr>
          <w:spacing w:val="-5"/>
        </w:rPr>
        <w:t> </w:t>
      </w:r>
      <w:r>
        <w:rPr/>
        <w:t>effectiveness,</w:t>
      </w:r>
      <w:r>
        <w:rPr>
          <w:spacing w:val="-4"/>
        </w:rPr>
        <w:t> </w:t>
      </w:r>
      <w:r>
        <w:rPr/>
        <w:t>cost,</w:t>
      </w:r>
      <w:r>
        <w:rPr>
          <w:spacing w:val="-4"/>
        </w:rPr>
        <w:t> </w:t>
      </w:r>
      <w:r>
        <w:rPr/>
        <w:t>and</w:t>
      </w:r>
      <w:r>
        <w:rPr>
          <w:spacing w:val="-3"/>
        </w:rPr>
        <w:t> </w:t>
      </w:r>
      <w:r>
        <w:rPr/>
        <w:t>cost-efficiency</w:t>
      </w:r>
      <w:r>
        <w:rPr>
          <w:spacing w:val="-3"/>
        </w:rPr>
        <w:t> </w:t>
      </w:r>
      <w:r>
        <w:rPr/>
        <w:t>of</w:t>
      </w:r>
      <w:r>
        <w:rPr>
          <w:spacing w:val="-4"/>
        </w:rPr>
        <w:t> </w:t>
      </w:r>
      <w:r>
        <w:rPr/>
        <w:t>factorial combinations of four commonly used rabbit control methods on grazing properties in the Southern Tablelands of eastern Australia. Initial control treatments were applied over four months, followed by maintenance</w:t>
      </w:r>
      <w:r>
        <w:rPr>
          <w:spacing w:val="-1"/>
        </w:rPr>
        <w:t> </w:t>
      </w:r>
      <w:r>
        <w:rPr/>
        <w:t>control</w:t>
      </w:r>
      <w:r>
        <w:rPr>
          <w:spacing w:val="-2"/>
        </w:rPr>
        <w:t> </w:t>
      </w:r>
      <w:r>
        <w:rPr/>
        <w:t>on half</w:t>
      </w:r>
      <w:r>
        <w:rPr>
          <w:spacing w:val="-1"/>
        </w:rPr>
        <w:t> </w:t>
      </w:r>
      <w:r>
        <w:rPr/>
        <w:t>the</w:t>
      </w:r>
      <w:r>
        <w:rPr>
          <w:spacing w:val="-1"/>
        </w:rPr>
        <w:t> </w:t>
      </w:r>
      <w:r>
        <w:rPr/>
        <w:t>replicates at</w:t>
      </w:r>
      <w:r>
        <w:rPr>
          <w:spacing w:val="-1"/>
        </w:rPr>
        <w:t> </w:t>
      </w:r>
      <w:r>
        <w:rPr/>
        <w:t>intervals of</w:t>
      </w:r>
      <w:r>
        <w:rPr>
          <w:spacing w:val="-1"/>
        </w:rPr>
        <w:t> </w:t>
      </w:r>
      <w:r>
        <w:rPr/>
        <w:t>2, 6,</w:t>
      </w:r>
      <w:r>
        <w:rPr>
          <w:spacing w:val="-1"/>
        </w:rPr>
        <w:t> </w:t>
      </w:r>
      <w:r>
        <w:rPr/>
        <w:t>and 12</w:t>
      </w:r>
      <w:r>
        <w:rPr>
          <w:spacing w:val="-1"/>
        </w:rPr>
        <w:t> </w:t>
      </w:r>
      <w:r>
        <w:rPr/>
        <w:t>months.</w:t>
      </w:r>
      <w:r>
        <w:rPr>
          <w:spacing w:val="-1"/>
        </w:rPr>
        <w:t> </w:t>
      </w:r>
      <w:r>
        <w:rPr/>
        <w:t>Initial</w:t>
      </w:r>
      <w:r>
        <w:rPr>
          <w:spacing w:val="-2"/>
        </w:rPr>
        <w:t> </w:t>
      </w:r>
      <w:r>
        <w:rPr/>
        <w:t>treatments included no treatment, poisoning (P) with 1080 oats, warren ripping (R), chloropicrin pressure fumigation (F), or combinations of these methods (P+R, P+F, R+F, P+R+F). Maintenance control consisted of phosphine- diffusion fumigation (M).</w:t>
      </w:r>
    </w:p>
    <w:p>
      <w:pPr>
        <w:pStyle w:val="BodyText"/>
        <w:spacing w:before="119"/>
        <w:ind w:left="312" w:right="167"/>
      </w:pPr>
      <w:r>
        <w:rPr/>
        <w:t>Their results showed that initial treatment using P or F alone did not reduce the number of active entrances, while</w:t>
      </w:r>
      <w:r>
        <w:rPr>
          <w:spacing w:val="-4"/>
        </w:rPr>
        <w:t> </w:t>
      </w:r>
      <w:r>
        <w:rPr/>
        <w:t>warren</w:t>
      </w:r>
      <w:r>
        <w:rPr>
          <w:spacing w:val="-5"/>
        </w:rPr>
        <w:t> </w:t>
      </w:r>
      <w:r>
        <w:rPr/>
        <w:t>ripping</w:t>
      </w:r>
      <w:r>
        <w:rPr>
          <w:spacing w:val="-3"/>
        </w:rPr>
        <w:t> </w:t>
      </w:r>
      <w:r>
        <w:rPr/>
        <w:t>alone</w:t>
      </w:r>
      <w:r>
        <w:rPr>
          <w:spacing w:val="-2"/>
        </w:rPr>
        <w:t> </w:t>
      </w:r>
      <w:r>
        <w:rPr/>
        <w:t>was</w:t>
      </w:r>
      <w:r>
        <w:rPr>
          <w:spacing w:val="-3"/>
        </w:rPr>
        <w:t> </w:t>
      </w:r>
      <w:r>
        <w:rPr/>
        <w:t>effective</w:t>
      </w:r>
      <w:r>
        <w:rPr>
          <w:spacing w:val="-4"/>
        </w:rPr>
        <w:t> </w:t>
      </w:r>
      <w:r>
        <w:rPr/>
        <w:t>(94%)</w:t>
      </w:r>
      <w:r>
        <w:rPr>
          <w:spacing w:val="-1"/>
        </w:rPr>
        <w:t> </w:t>
      </w:r>
      <w:r>
        <w:rPr/>
        <w:t>at</w:t>
      </w:r>
      <w:r>
        <w:rPr>
          <w:spacing w:val="-4"/>
        </w:rPr>
        <w:t> </w:t>
      </w:r>
      <w:r>
        <w:rPr/>
        <w:t>a</w:t>
      </w:r>
      <w:r>
        <w:rPr>
          <w:spacing w:val="-2"/>
        </w:rPr>
        <w:t> </w:t>
      </w:r>
      <w:r>
        <w:rPr/>
        <w:t>cost</w:t>
      </w:r>
      <w:r>
        <w:rPr>
          <w:spacing w:val="-4"/>
        </w:rPr>
        <w:t> </w:t>
      </w:r>
      <w:r>
        <w:rPr/>
        <w:t>of</w:t>
      </w:r>
      <w:r>
        <w:rPr>
          <w:spacing w:val="-4"/>
        </w:rPr>
        <w:t> </w:t>
      </w:r>
      <w:r>
        <w:rPr/>
        <w:t>$2.91</w:t>
      </w:r>
      <w:r>
        <w:rPr>
          <w:spacing w:val="-2"/>
        </w:rPr>
        <w:t> </w:t>
      </w:r>
      <w:r>
        <w:rPr/>
        <w:t>per</w:t>
      </w:r>
      <w:r>
        <w:rPr>
          <w:spacing w:val="-3"/>
        </w:rPr>
        <w:t> </w:t>
      </w:r>
      <w:r>
        <w:rPr/>
        <w:t>entrance.</w:t>
      </w:r>
      <w:r>
        <w:rPr>
          <w:spacing w:val="-2"/>
        </w:rPr>
        <w:t> </w:t>
      </w:r>
      <w:r>
        <w:rPr/>
        <w:t>Combining</w:t>
      </w:r>
      <w:r>
        <w:rPr>
          <w:spacing w:val="-3"/>
        </w:rPr>
        <w:t> </w:t>
      </w:r>
      <w:r>
        <w:rPr/>
        <w:t>treatments</w:t>
      </w:r>
      <w:r>
        <w:rPr>
          <w:spacing w:val="-1"/>
        </w:rPr>
        <w:t> </w:t>
      </w:r>
      <w:r>
        <w:rPr/>
        <w:t>had</w:t>
      </w:r>
      <w:r>
        <w:rPr>
          <w:spacing w:val="-2"/>
        </w:rPr>
        <w:t> </w:t>
      </w:r>
      <w:r>
        <w:rPr/>
        <w:t>an additive impact, with the triple treatment (P+R+F) being highly effective (&gt;98%), with warren ripping as the only common element across all successful combinations. Cost-effectiveness further improved with maintenance control applied 6 and 9 months after the initial treatment. The combination P+R+F+M was the most cost-efficient, achieving 99.4% effectiveness after three rounds of maintenance treatment over two years, at a cost of $6.61 per warren entrance. Costs declined by about half with each subsequent maintenance application, despite the increasing intervals between applications.</w:t>
      </w:r>
    </w:p>
    <w:p>
      <w:pPr>
        <w:spacing w:after="0"/>
        <w:sectPr>
          <w:pgSz w:w="11910" w:h="16850"/>
          <w:pgMar w:header="0" w:footer="688" w:top="1060" w:bottom="880" w:left="820" w:right="980"/>
        </w:sectPr>
      </w:pPr>
    </w:p>
    <w:p>
      <w:pPr>
        <w:pStyle w:val="BodyText"/>
        <w:spacing w:before="71"/>
        <w:ind w:left="312"/>
      </w:pPr>
      <w:r>
        <w:rPr/>
        <w:t>Cooke</w:t>
      </w:r>
      <w:r>
        <w:rPr>
          <w:spacing w:val="-3"/>
        </w:rPr>
        <w:t> </w:t>
      </w:r>
      <w:r>
        <w:rPr/>
        <w:t>et</w:t>
      </w:r>
      <w:r>
        <w:rPr>
          <w:spacing w:val="-3"/>
        </w:rPr>
        <w:t> </w:t>
      </w:r>
      <w:r>
        <w:rPr/>
        <w:t>al.</w:t>
      </w:r>
      <w:r>
        <w:rPr>
          <w:spacing w:val="-3"/>
        </w:rPr>
        <w:t> </w:t>
      </w:r>
      <w:r>
        <w:rPr/>
        <w:t>(2010)</w:t>
      </w:r>
      <w:r>
        <w:rPr>
          <w:spacing w:val="-1"/>
        </w:rPr>
        <w:t> </w:t>
      </w:r>
      <w:r>
        <w:rPr/>
        <w:t>used</w:t>
      </w:r>
      <w:r>
        <w:rPr>
          <w:spacing w:val="-3"/>
        </w:rPr>
        <w:t> </w:t>
      </w:r>
      <w:r>
        <w:rPr/>
        <w:t>an</w:t>
      </w:r>
      <w:r>
        <w:rPr>
          <w:spacing w:val="-3"/>
        </w:rPr>
        <w:t> </w:t>
      </w:r>
      <w:r>
        <w:rPr/>
        <w:t>economic</w:t>
      </w:r>
      <w:r>
        <w:rPr>
          <w:spacing w:val="-2"/>
        </w:rPr>
        <w:t> </w:t>
      </w:r>
      <w:r>
        <w:rPr/>
        <w:t>decision</w:t>
      </w:r>
      <w:r>
        <w:rPr>
          <w:spacing w:val="-2"/>
        </w:rPr>
        <w:t> </w:t>
      </w:r>
      <w:r>
        <w:rPr/>
        <w:t>model</w:t>
      </w:r>
      <w:r>
        <w:rPr>
          <w:spacing w:val="-2"/>
        </w:rPr>
        <w:t> </w:t>
      </w:r>
      <w:r>
        <w:rPr/>
        <w:t>to</w:t>
      </w:r>
      <w:r>
        <w:rPr>
          <w:spacing w:val="-4"/>
        </w:rPr>
        <w:t> </w:t>
      </w:r>
      <w:r>
        <w:rPr/>
        <w:t>evaluate</w:t>
      </w:r>
      <w:r>
        <w:rPr>
          <w:spacing w:val="-4"/>
        </w:rPr>
        <w:t> </w:t>
      </w:r>
      <w:r>
        <w:rPr/>
        <w:t>the</w:t>
      </w:r>
      <w:r>
        <w:rPr>
          <w:spacing w:val="-4"/>
        </w:rPr>
        <w:t> </w:t>
      </w:r>
      <w:r>
        <w:rPr/>
        <w:t>cost-efficiency</w:t>
      </w:r>
      <w:r>
        <w:rPr>
          <w:spacing w:val="-2"/>
        </w:rPr>
        <w:t> </w:t>
      </w:r>
      <w:r>
        <w:rPr/>
        <w:t>of</w:t>
      </w:r>
      <w:r>
        <w:rPr>
          <w:spacing w:val="-3"/>
        </w:rPr>
        <w:t> </w:t>
      </w:r>
      <w:r>
        <w:rPr/>
        <w:t>poisoning</w:t>
      </w:r>
      <w:r>
        <w:rPr>
          <w:spacing w:val="-2"/>
        </w:rPr>
        <w:t> </w:t>
      </w:r>
      <w:r>
        <w:rPr/>
        <w:t>with</w:t>
      </w:r>
      <w:r>
        <w:rPr>
          <w:spacing w:val="-3"/>
        </w:rPr>
        <w:t> </w:t>
      </w:r>
      <w:r>
        <w:rPr/>
        <w:t>1080 oats, warren ripping, and phosphine-diffusion fumigation, either individually or in combinations, to protect regenerating native vegetation. They used data from the above two studies. Depending on the vegetation's capacity to regenerate, the most cost-effective treatment varied with rabbit density. At densities above</w:t>
      </w:r>
    </w:p>
    <w:p>
      <w:pPr>
        <w:pStyle w:val="BodyText"/>
        <w:ind w:left="312"/>
      </w:pPr>
      <w:r>
        <w:rPr/>
        <w:t>1.25 rabbits ha</w:t>
      </w:r>
      <w:r>
        <w:rPr>
          <w:rFonts w:ascii="Cambria Math" w:hAnsi="Cambria Math"/>
        </w:rPr>
        <w:t>⁻</w:t>
      </w:r>
      <w:r>
        <w:rPr/>
        <w:t>¹, P+R+F was most effective for vegetation with a medium to high regenerative capacity. At these</w:t>
      </w:r>
      <w:r>
        <w:rPr>
          <w:spacing w:val="-4"/>
        </w:rPr>
        <w:t> </w:t>
      </w:r>
      <w:r>
        <w:rPr/>
        <w:t>densities</w:t>
      </w:r>
      <w:r>
        <w:rPr>
          <w:spacing w:val="-3"/>
        </w:rPr>
        <w:t> </w:t>
      </w:r>
      <w:r>
        <w:rPr/>
        <w:t>or</w:t>
      </w:r>
      <w:r>
        <w:rPr>
          <w:spacing w:val="-2"/>
        </w:rPr>
        <w:t> </w:t>
      </w:r>
      <w:r>
        <w:rPr/>
        <w:t>higher,</w:t>
      </w:r>
      <w:r>
        <w:rPr>
          <w:spacing w:val="-2"/>
        </w:rPr>
        <w:t> </w:t>
      </w:r>
      <w:r>
        <w:rPr/>
        <w:t>no</w:t>
      </w:r>
      <w:r>
        <w:rPr>
          <w:spacing w:val="-4"/>
        </w:rPr>
        <w:t> </w:t>
      </w:r>
      <w:r>
        <w:rPr/>
        <w:t>treatment</w:t>
      </w:r>
      <w:r>
        <w:rPr>
          <w:spacing w:val="-4"/>
        </w:rPr>
        <w:t> </w:t>
      </w:r>
      <w:r>
        <w:rPr/>
        <w:t>or</w:t>
      </w:r>
      <w:r>
        <w:rPr>
          <w:spacing w:val="-3"/>
        </w:rPr>
        <w:t> </w:t>
      </w:r>
      <w:r>
        <w:rPr/>
        <w:t>treatment</w:t>
      </w:r>
      <w:r>
        <w:rPr>
          <w:spacing w:val="-4"/>
        </w:rPr>
        <w:t> </w:t>
      </w:r>
      <w:r>
        <w:rPr/>
        <w:t>combinations</w:t>
      </w:r>
      <w:r>
        <w:rPr>
          <w:spacing w:val="-3"/>
        </w:rPr>
        <w:t> </w:t>
      </w:r>
      <w:r>
        <w:rPr/>
        <w:t>were</w:t>
      </w:r>
      <w:r>
        <w:rPr>
          <w:spacing w:val="-4"/>
        </w:rPr>
        <w:t> </w:t>
      </w:r>
      <w:r>
        <w:rPr/>
        <w:t>effective.</w:t>
      </w:r>
      <w:r>
        <w:rPr>
          <w:spacing w:val="-1"/>
        </w:rPr>
        <w:t> </w:t>
      </w:r>
      <w:r>
        <w:rPr/>
        <w:t>At</w:t>
      </w:r>
      <w:r>
        <w:rPr>
          <w:spacing w:val="-4"/>
        </w:rPr>
        <w:t> </w:t>
      </w:r>
      <w:r>
        <w:rPr/>
        <w:t>densities</w:t>
      </w:r>
      <w:r>
        <w:rPr>
          <w:spacing w:val="-3"/>
        </w:rPr>
        <w:t> </w:t>
      </w:r>
      <w:r>
        <w:rPr/>
        <w:t>between</w:t>
      </w:r>
      <w:r>
        <w:rPr>
          <w:spacing w:val="-5"/>
        </w:rPr>
        <w:t> </w:t>
      </w:r>
      <w:r>
        <w:rPr/>
        <w:t>&gt;0.25 and 1.00 rabbits ha</w:t>
      </w:r>
      <w:r>
        <w:rPr>
          <w:rFonts w:ascii="Cambria Math" w:hAnsi="Cambria Math"/>
        </w:rPr>
        <w:t>⁻</w:t>
      </w:r>
      <w:r>
        <w:rPr/>
        <w:t>¹, the R+F or F treatment was effective, depending on the vegetation's regenerative capacity, while at densities below 0.25 rabbits ha</w:t>
      </w:r>
      <w:r>
        <w:rPr>
          <w:rFonts w:ascii="Cambria Math" w:hAnsi="Cambria Math"/>
        </w:rPr>
        <w:t>⁻</w:t>
      </w:r>
      <w:r>
        <w:rPr/>
        <w:t>¹, fumigation alone was sufficient.</w:t>
      </w:r>
    </w:p>
    <w:p>
      <w:pPr>
        <w:pStyle w:val="BodyText"/>
        <w:spacing w:before="123"/>
        <w:ind w:left="312" w:right="232"/>
      </w:pPr>
      <w:r>
        <w:rPr/>
        <w:t>In addition, Mutze (1991) investigated the effectiveness of long-term warren ripping and poisoning at Manunda Station, Yunta, South Australia 10-years after control. He showed that poisoning had an initial knockdown</w:t>
      </w:r>
      <w:r>
        <w:rPr>
          <w:spacing w:val="-2"/>
        </w:rPr>
        <w:t> </w:t>
      </w:r>
      <w:r>
        <w:rPr/>
        <w:t>but</w:t>
      </w:r>
      <w:r>
        <w:rPr>
          <w:spacing w:val="-2"/>
        </w:rPr>
        <w:t> </w:t>
      </w:r>
      <w:r>
        <w:rPr/>
        <w:t>no</w:t>
      </w:r>
      <w:r>
        <w:rPr>
          <w:spacing w:val="-2"/>
        </w:rPr>
        <w:t> </w:t>
      </w:r>
      <w:r>
        <w:rPr/>
        <w:t>lasting</w:t>
      </w:r>
      <w:r>
        <w:rPr>
          <w:spacing w:val="-3"/>
        </w:rPr>
        <w:t> </w:t>
      </w:r>
      <w:r>
        <w:rPr/>
        <w:t>effect,</w:t>
      </w:r>
      <w:r>
        <w:rPr>
          <w:spacing w:val="-2"/>
        </w:rPr>
        <w:t> </w:t>
      </w:r>
      <w:r>
        <w:rPr/>
        <w:t>while</w:t>
      </w:r>
      <w:r>
        <w:rPr>
          <w:spacing w:val="-2"/>
        </w:rPr>
        <w:t> </w:t>
      </w:r>
      <w:r>
        <w:rPr/>
        <w:t>ripping</w:t>
      </w:r>
      <w:r>
        <w:rPr>
          <w:spacing w:val="-3"/>
        </w:rPr>
        <w:t> </w:t>
      </w:r>
      <w:r>
        <w:rPr/>
        <w:t>was</w:t>
      </w:r>
      <w:r>
        <w:rPr>
          <w:spacing w:val="-1"/>
        </w:rPr>
        <w:t> </w:t>
      </w:r>
      <w:r>
        <w:rPr/>
        <w:t>able to</w:t>
      </w:r>
      <w:r>
        <w:rPr>
          <w:spacing w:val="-3"/>
        </w:rPr>
        <w:t> </w:t>
      </w:r>
      <w:r>
        <w:rPr/>
        <w:t>maintain</w:t>
      </w:r>
      <w:r>
        <w:rPr>
          <w:spacing w:val="-2"/>
        </w:rPr>
        <w:t> </w:t>
      </w:r>
      <w:r>
        <w:rPr/>
        <w:t>very low</w:t>
      </w:r>
      <w:r>
        <w:rPr>
          <w:spacing w:val="-2"/>
        </w:rPr>
        <w:t> </w:t>
      </w:r>
      <w:r>
        <w:rPr/>
        <w:t>numbers.</w:t>
      </w:r>
      <w:r>
        <w:rPr>
          <w:spacing w:val="-2"/>
        </w:rPr>
        <w:t> </w:t>
      </w:r>
      <w:r>
        <w:rPr/>
        <w:t>After nearly</w:t>
      </w:r>
      <w:r>
        <w:rPr>
          <w:spacing w:val="-1"/>
        </w:rPr>
        <w:t> </w:t>
      </w:r>
      <w:r>
        <w:rPr/>
        <w:t>10</w:t>
      </w:r>
      <w:r>
        <w:rPr>
          <w:spacing w:val="-2"/>
        </w:rPr>
        <w:t> </w:t>
      </w:r>
      <w:r>
        <w:rPr/>
        <w:t>years without follow-up control work, ripped warrens had only two per cent of the pre-control number of active entrances.</w:t>
      </w:r>
      <w:r>
        <w:rPr>
          <w:spacing w:val="-4"/>
        </w:rPr>
        <w:t> </w:t>
      </w:r>
      <w:r>
        <w:rPr/>
        <w:t>They</w:t>
      </w:r>
      <w:r>
        <w:rPr>
          <w:spacing w:val="-3"/>
        </w:rPr>
        <w:t> </w:t>
      </w:r>
      <w:r>
        <w:rPr/>
        <w:t>assumed</w:t>
      </w:r>
      <w:r>
        <w:rPr>
          <w:spacing w:val="-3"/>
        </w:rPr>
        <w:t> </w:t>
      </w:r>
      <w:r>
        <w:rPr/>
        <w:t>one</w:t>
      </w:r>
      <w:r>
        <w:rPr>
          <w:spacing w:val="-4"/>
        </w:rPr>
        <w:t> </w:t>
      </w:r>
      <w:r>
        <w:rPr/>
        <w:t>rabbit</w:t>
      </w:r>
      <w:r>
        <w:rPr>
          <w:spacing w:val="-4"/>
        </w:rPr>
        <w:t> </w:t>
      </w:r>
      <w:r>
        <w:rPr/>
        <w:t>for</w:t>
      </w:r>
      <w:r>
        <w:rPr>
          <w:spacing w:val="-1"/>
        </w:rPr>
        <w:t> </w:t>
      </w:r>
      <w:r>
        <w:rPr/>
        <w:t>every</w:t>
      </w:r>
      <w:r>
        <w:rPr>
          <w:spacing w:val="-2"/>
        </w:rPr>
        <w:t> </w:t>
      </w:r>
      <w:r>
        <w:rPr/>
        <w:t>two</w:t>
      </w:r>
      <w:r>
        <w:rPr>
          <w:spacing w:val="-5"/>
        </w:rPr>
        <w:t> </w:t>
      </w:r>
      <w:r>
        <w:rPr/>
        <w:t>active</w:t>
      </w:r>
      <w:r>
        <w:rPr>
          <w:spacing w:val="-4"/>
        </w:rPr>
        <w:t> </w:t>
      </w:r>
      <w:r>
        <w:rPr/>
        <w:t>entrances,</w:t>
      </w:r>
      <w:r>
        <w:rPr>
          <w:spacing w:val="-4"/>
        </w:rPr>
        <w:t> </w:t>
      </w:r>
      <w:r>
        <w:rPr/>
        <w:t>12</w:t>
      </w:r>
      <w:r>
        <w:rPr>
          <w:spacing w:val="-4"/>
        </w:rPr>
        <w:t> </w:t>
      </w:r>
      <w:r>
        <w:rPr/>
        <w:t>rabbits</w:t>
      </w:r>
      <w:r>
        <w:rPr>
          <w:spacing w:val="-3"/>
        </w:rPr>
        <w:t> </w:t>
      </w:r>
      <w:r>
        <w:rPr/>
        <w:t>as</w:t>
      </w:r>
      <w:r>
        <w:rPr>
          <w:spacing w:val="-1"/>
        </w:rPr>
        <w:t> </w:t>
      </w:r>
      <w:r>
        <w:rPr/>
        <w:t>equivalent</w:t>
      </w:r>
      <w:r>
        <w:rPr>
          <w:spacing w:val="-4"/>
        </w:rPr>
        <w:t> </w:t>
      </w:r>
      <w:r>
        <w:rPr/>
        <w:t>to</w:t>
      </w:r>
      <w:r>
        <w:rPr>
          <w:spacing w:val="-4"/>
        </w:rPr>
        <w:t> </w:t>
      </w:r>
      <w:r>
        <w:rPr/>
        <w:t>one Sheep, and that grazing pressure of rabbits was equal to one Sheep/warren – which meant that one Sheep could have been grazed per ripped warren for 10 years with no extra cost, at a gross margin of $12 (in 1990 dollars)</w:t>
      </w:r>
      <w:r>
        <w:rPr>
          <w:spacing w:val="-2"/>
        </w:rPr>
        <w:t> </w:t>
      </w:r>
      <w:r>
        <w:rPr/>
        <w:t>per Sheep.</w:t>
      </w:r>
      <w:r>
        <w:rPr>
          <w:spacing w:val="-3"/>
        </w:rPr>
        <w:t> </w:t>
      </w:r>
      <w:r>
        <w:rPr/>
        <w:t>This</w:t>
      </w:r>
      <w:r>
        <w:rPr>
          <w:spacing w:val="-2"/>
        </w:rPr>
        <w:t> </w:t>
      </w:r>
      <w:r>
        <w:rPr/>
        <w:t>meant</w:t>
      </w:r>
      <w:r>
        <w:rPr>
          <w:spacing w:val="-1"/>
        </w:rPr>
        <w:t> </w:t>
      </w:r>
      <w:r>
        <w:rPr/>
        <w:t>that</w:t>
      </w:r>
      <w:r>
        <w:rPr>
          <w:spacing w:val="-1"/>
        </w:rPr>
        <w:t> </w:t>
      </w:r>
      <w:r>
        <w:rPr/>
        <w:t>the</w:t>
      </w:r>
      <w:r>
        <w:rPr>
          <w:spacing w:val="-1"/>
        </w:rPr>
        <w:t> </w:t>
      </w:r>
      <w:r>
        <w:rPr/>
        <w:t>cost</w:t>
      </w:r>
      <w:r>
        <w:rPr>
          <w:spacing w:val="-3"/>
        </w:rPr>
        <w:t> </w:t>
      </w:r>
      <w:r>
        <w:rPr/>
        <w:t>of</w:t>
      </w:r>
      <w:r>
        <w:rPr>
          <w:spacing w:val="-3"/>
        </w:rPr>
        <w:t> </w:t>
      </w:r>
      <w:r>
        <w:rPr/>
        <w:t>control</w:t>
      </w:r>
      <w:r>
        <w:rPr>
          <w:spacing w:val="-2"/>
        </w:rPr>
        <w:t> </w:t>
      </w:r>
      <w:r>
        <w:rPr/>
        <w:t>would</w:t>
      </w:r>
      <w:r>
        <w:rPr>
          <w:spacing w:val="-3"/>
        </w:rPr>
        <w:t> </w:t>
      </w:r>
      <w:r>
        <w:rPr/>
        <w:t>have</w:t>
      </w:r>
      <w:r>
        <w:rPr>
          <w:spacing w:val="-3"/>
        </w:rPr>
        <w:t> </w:t>
      </w:r>
      <w:r>
        <w:rPr/>
        <w:t>been</w:t>
      </w:r>
      <w:r>
        <w:rPr>
          <w:spacing w:val="-3"/>
        </w:rPr>
        <w:t> </w:t>
      </w:r>
      <w:r>
        <w:rPr/>
        <w:t>recovered</w:t>
      </w:r>
      <w:r>
        <w:rPr>
          <w:spacing w:val="-3"/>
        </w:rPr>
        <w:t> </w:t>
      </w:r>
      <w:r>
        <w:rPr/>
        <w:t>in</w:t>
      </w:r>
      <w:r>
        <w:rPr>
          <w:spacing w:val="-1"/>
        </w:rPr>
        <w:t> </w:t>
      </w:r>
      <w:r>
        <w:rPr/>
        <w:t>the</w:t>
      </w:r>
      <w:r>
        <w:rPr>
          <w:spacing w:val="-1"/>
        </w:rPr>
        <w:t> </w:t>
      </w:r>
      <w:r>
        <w:rPr/>
        <w:t>first</w:t>
      </w:r>
      <w:r>
        <w:rPr>
          <w:spacing w:val="-3"/>
        </w:rPr>
        <w:t> </w:t>
      </w:r>
      <w:r>
        <w:rPr/>
        <w:t>year</w:t>
      </w:r>
      <w:r>
        <w:rPr>
          <w:spacing w:val="-2"/>
        </w:rPr>
        <w:t> </w:t>
      </w:r>
      <w:r>
        <w:rPr/>
        <w:t>following </w:t>
      </w:r>
      <w:r>
        <w:rPr>
          <w:spacing w:val="-2"/>
        </w:rPr>
        <w:t>treatment.</w:t>
      </w:r>
    </w:p>
    <w:p>
      <w:pPr>
        <w:pStyle w:val="BodyText"/>
        <w:spacing w:before="119"/>
        <w:ind w:left="312"/>
      </w:pPr>
      <w:r>
        <w:rPr/>
        <w:t>These studies underscored the importance of integrating multiple control methods to achieve effective outcomes, with the most cost-effective combinations depending on the underlying rabbit density and the vulnerability of</w:t>
      </w:r>
      <w:r>
        <w:rPr>
          <w:spacing w:val="-2"/>
        </w:rPr>
        <w:t> </w:t>
      </w:r>
      <w:r>
        <w:rPr/>
        <w:t>the</w:t>
      </w:r>
      <w:r>
        <w:rPr>
          <w:spacing w:val="-2"/>
        </w:rPr>
        <w:t> </w:t>
      </w:r>
      <w:r>
        <w:rPr/>
        <w:t>resources</w:t>
      </w:r>
      <w:r>
        <w:rPr>
          <w:spacing w:val="-1"/>
        </w:rPr>
        <w:t> </w:t>
      </w:r>
      <w:r>
        <w:rPr/>
        <w:t>being</w:t>
      </w:r>
      <w:r>
        <w:rPr>
          <w:spacing w:val="-2"/>
        </w:rPr>
        <w:t> </w:t>
      </w:r>
      <w:r>
        <w:rPr/>
        <w:t>protected.</w:t>
      </w:r>
      <w:r>
        <w:rPr>
          <w:spacing w:val="-2"/>
        </w:rPr>
        <w:t> </w:t>
      </w:r>
      <w:r>
        <w:rPr/>
        <w:t>They</w:t>
      </w:r>
      <w:r>
        <w:rPr>
          <w:spacing w:val="-1"/>
        </w:rPr>
        <w:t> </w:t>
      </w:r>
      <w:r>
        <w:rPr/>
        <w:t>also</w:t>
      </w:r>
      <w:r>
        <w:rPr>
          <w:spacing w:val="-2"/>
        </w:rPr>
        <w:t> </w:t>
      </w:r>
      <w:r>
        <w:rPr/>
        <w:t>confirmed that</w:t>
      </w:r>
      <w:r>
        <w:rPr>
          <w:spacing w:val="-2"/>
        </w:rPr>
        <w:t> </w:t>
      </w:r>
      <w:r>
        <w:rPr/>
        <w:t>rabbit numbers</w:t>
      </w:r>
      <w:r>
        <w:rPr>
          <w:spacing w:val="-1"/>
        </w:rPr>
        <w:t> </w:t>
      </w:r>
      <w:r>
        <w:rPr/>
        <w:t>must</w:t>
      </w:r>
      <w:r>
        <w:rPr>
          <w:spacing w:val="-2"/>
        </w:rPr>
        <w:t> </w:t>
      </w:r>
      <w:r>
        <w:rPr/>
        <w:t>be</w:t>
      </w:r>
      <w:r>
        <w:rPr>
          <w:spacing w:val="-2"/>
        </w:rPr>
        <w:t> </w:t>
      </w:r>
      <w:r>
        <w:rPr/>
        <w:t>reduced</w:t>
      </w:r>
      <w:r>
        <w:rPr>
          <w:spacing w:val="-3"/>
        </w:rPr>
        <w:t> </w:t>
      </w:r>
      <w:r>
        <w:rPr/>
        <w:t>to fewer</w:t>
      </w:r>
      <w:r>
        <w:rPr>
          <w:spacing w:val="-3"/>
        </w:rPr>
        <w:t> </w:t>
      </w:r>
      <w:r>
        <w:rPr/>
        <w:t>than</w:t>
      </w:r>
      <w:r>
        <w:rPr>
          <w:spacing w:val="-3"/>
        </w:rPr>
        <w:t> </w:t>
      </w:r>
      <w:r>
        <w:rPr/>
        <w:t>one</w:t>
      </w:r>
      <w:r>
        <w:rPr>
          <w:spacing w:val="-2"/>
        </w:rPr>
        <w:t> </w:t>
      </w:r>
      <w:r>
        <w:rPr/>
        <w:t>rabbit</w:t>
      </w:r>
      <w:r>
        <w:rPr>
          <w:spacing w:val="-4"/>
        </w:rPr>
        <w:t> </w:t>
      </w:r>
      <w:r>
        <w:rPr/>
        <w:t>per</w:t>
      </w:r>
      <w:r>
        <w:rPr>
          <w:spacing w:val="-4"/>
        </w:rPr>
        <w:t> </w:t>
      </w:r>
      <w:r>
        <w:rPr/>
        <w:t>hectare</w:t>
      </w:r>
      <w:r>
        <w:rPr>
          <w:spacing w:val="-4"/>
        </w:rPr>
        <w:t> </w:t>
      </w:r>
      <w:r>
        <w:rPr/>
        <w:t>to</w:t>
      </w:r>
      <w:r>
        <w:rPr>
          <w:spacing w:val="-3"/>
        </w:rPr>
        <w:t> </w:t>
      </w:r>
      <w:r>
        <w:rPr/>
        <w:t>protect</w:t>
      </w:r>
      <w:r>
        <w:rPr>
          <w:spacing w:val="-2"/>
        </w:rPr>
        <w:t> </w:t>
      </w:r>
      <w:r>
        <w:rPr/>
        <w:t>the</w:t>
      </w:r>
      <w:r>
        <w:rPr>
          <w:spacing w:val="-3"/>
        </w:rPr>
        <w:t> </w:t>
      </w:r>
      <w:r>
        <w:rPr/>
        <w:t>most</w:t>
      </w:r>
      <w:r>
        <w:rPr>
          <w:spacing w:val="-4"/>
        </w:rPr>
        <w:t> </w:t>
      </w:r>
      <w:r>
        <w:rPr/>
        <w:t>vulnerable</w:t>
      </w:r>
      <w:r>
        <w:rPr>
          <w:spacing w:val="-4"/>
        </w:rPr>
        <w:t> </w:t>
      </w:r>
      <w:r>
        <w:rPr/>
        <w:t>plant</w:t>
      </w:r>
      <w:r>
        <w:rPr>
          <w:spacing w:val="-4"/>
        </w:rPr>
        <w:t> </w:t>
      </w:r>
      <w:r>
        <w:rPr/>
        <w:t>species,</w:t>
      </w:r>
      <w:r>
        <w:rPr>
          <w:spacing w:val="-4"/>
        </w:rPr>
        <w:t> </w:t>
      </w:r>
      <w:r>
        <w:rPr/>
        <w:t>as</w:t>
      </w:r>
      <w:r>
        <w:rPr>
          <w:spacing w:val="-1"/>
        </w:rPr>
        <w:t> </w:t>
      </w:r>
      <w:r>
        <w:rPr/>
        <w:t>indicated</w:t>
      </w:r>
      <w:r>
        <w:rPr>
          <w:spacing w:val="-4"/>
        </w:rPr>
        <w:t> </w:t>
      </w:r>
      <w:r>
        <w:rPr/>
        <w:t>by (Mutze</w:t>
      </w:r>
      <w:r>
        <w:rPr>
          <w:spacing w:val="-4"/>
        </w:rPr>
        <w:t> </w:t>
      </w:r>
      <w:r>
        <w:rPr/>
        <w:t>et</w:t>
      </w:r>
      <w:r>
        <w:rPr>
          <w:spacing w:val="-2"/>
        </w:rPr>
        <w:t> </w:t>
      </w:r>
      <w:r>
        <w:rPr/>
        <w:t>al. </w:t>
      </w:r>
      <w:r>
        <w:rPr>
          <w:spacing w:val="-2"/>
        </w:rPr>
        <w:t>2008).</w:t>
      </w:r>
    </w:p>
    <w:p>
      <w:pPr>
        <w:pStyle w:val="BodyText"/>
        <w:spacing w:before="120"/>
        <w:ind w:left="312"/>
      </w:pPr>
      <w:r>
        <w:rPr/>
        <w:t>Table</w:t>
      </w:r>
      <w:r>
        <w:rPr>
          <w:spacing w:val="-1"/>
        </w:rPr>
        <w:t> </w:t>
      </w:r>
      <w:r>
        <w:rPr/>
        <w:t>3</w:t>
      </w:r>
      <w:r>
        <w:rPr>
          <w:spacing w:val="-2"/>
        </w:rPr>
        <w:t> </w:t>
      </w:r>
      <w:r>
        <w:rPr/>
        <w:t>compares</w:t>
      </w:r>
      <w:r>
        <w:rPr>
          <w:spacing w:val="-1"/>
        </w:rPr>
        <w:t> </w:t>
      </w:r>
      <w:r>
        <w:rPr/>
        <w:t>the</w:t>
      </w:r>
      <w:r>
        <w:rPr>
          <w:spacing w:val="-4"/>
        </w:rPr>
        <w:t> </w:t>
      </w:r>
      <w:r>
        <w:rPr/>
        <w:t>cost-effectiveness,</w:t>
      </w:r>
      <w:r>
        <w:rPr>
          <w:spacing w:val="-3"/>
        </w:rPr>
        <w:t> </w:t>
      </w:r>
      <w:r>
        <w:rPr/>
        <w:t>non-target</w:t>
      </w:r>
      <w:r>
        <w:rPr>
          <w:spacing w:val="-3"/>
        </w:rPr>
        <w:t> </w:t>
      </w:r>
      <w:r>
        <w:rPr/>
        <w:t>impacts,</w:t>
      </w:r>
      <w:r>
        <w:rPr>
          <w:spacing w:val="-3"/>
        </w:rPr>
        <w:t> </w:t>
      </w:r>
      <w:r>
        <w:rPr/>
        <w:t>and</w:t>
      </w:r>
      <w:r>
        <w:rPr>
          <w:spacing w:val="-4"/>
        </w:rPr>
        <w:t> </w:t>
      </w:r>
      <w:r>
        <w:rPr/>
        <w:t>pros</w:t>
      </w:r>
      <w:r>
        <w:rPr>
          <w:spacing w:val="-2"/>
        </w:rPr>
        <w:t> </w:t>
      </w:r>
      <w:r>
        <w:rPr/>
        <w:t>and</w:t>
      </w:r>
      <w:r>
        <w:rPr>
          <w:spacing w:val="-1"/>
        </w:rPr>
        <w:t> </w:t>
      </w:r>
      <w:r>
        <w:rPr/>
        <w:t>cons for</w:t>
      </w:r>
      <w:r>
        <w:rPr>
          <w:spacing w:val="-2"/>
        </w:rPr>
        <w:t> </w:t>
      </w:r>
      <w:r>
        <w:rPr/>
        <w:t>each</w:t>
      </w:r>
      <w:r>
        <w:rPr>
          <w:spacing w:val="-1"/>
        </w:rPr>
        <w:t> </w:t>
      </w:r>
      <w:r>
        <w:rPr/>
        <w:t>of</w:t>
      </w:r>
      <w:r>
        <w:rPr>
          <w:spacing w:val="-3"/>
        </w:rPr>
        <w:t> </w:t>
      </w:r>
      <w:r>
        <w:rPr/>
        <w:t>the</w:t>
      </w:r>
      <w:r>
        <w:rPr>
          <w:spacing w:val="-2"/>
        </w:rPr>
        <w:t> </w:t>
      </w:r>
      <w:r>
        <w:rPr/>
        <w:t>lethal</w:t>
      </w:r>
      <w:r>
        <w:rPr>
          <w:spacing w:val="-4"/>
        </w:rPr>
        <w:t> </w:t>
      </w:r>
      <w:r>
        <w:rPr/>
        <w:t>control methods used to manage rabbits in Victoria.</w:t>
      </w:r>
    </w:p>
    <w:p>
      <w:pPr>
        <w:pStyle w:val="Heading5"/>
        <w:numPr>
          <w:ilvl w:val="2"/>
          <w:numId w:val="13"/>
        </w:numPr>
        <w:tabs>
          <w:tab w:pos="1033" w:val="left" w:leader="none"/>
        </w:tabs>
        <w:spacing w:line="240" w:lineRule="auto" w:before="140" w:after="0"/>
        <w:ind w:left="1033" w:right="0" w:hanging="721"/>
        <w:jc w:val="left"/>
      </w:pPr>
      <w:bookmarkStart w:name="_TOC_250059" w:id="38"/>
      <w:r>
        <w:rPr/>
        <w:t>Pindone</w:t>
      </w:r>
      <w:r>
        <w:rPr>
          <w:spacing w:val="-5"/>
        </w:rPr>
        <w:t> </w:t>
      </w:r>
      <w:r>
        <w:rPr/>
        <w:t>as</w:t>
      </w:r>
      <w:r>
        <w:rPr>
          <w:spacing w:val="-5"/>
        </w:rPr>
        <w:t> </w:t>
      </w:r>
      <w:r>
        <w:rPr/>
        <w:t>an</w:t>
      </w:r>
      <w:r>
        <w:rPr>
          <w:spacing w:val="-4"/>
        </w:rPr>
        <w:t> </w:t>
      </w:r>
      <w:r>
        <w:rPr/>
        <w:t>alternative</w:t>
      </w:r>
      <w:r>
        <w:rPr>
          <w:spacing w:val="-4"/>
        </w:rPr>
        <w:t> </w:t>
      </w:r>
      <w:r>
        <w:rPr/>
        <w:t>to</w:t>
      </w:r>
      <w:r>
        <w:rPr>
          <w:spacing w:val="-5"/>
        </w:rPr>
        <w:t> </w:t>
      </w:r>
      <w:bookmarkEnd w:id="38"/>
      <w:r>
        <w:rPr>
          <w:spacing w:val="-4"/>
        </w:rPr>
        <w:t>1080</w:t>
      </w:r>
    </w:p>
    <w:p>
      <w:pPr>
        <w:pStyle w:val="BodyText"/>
        <w:spacing w:before="57"/>
        <w:ind w:left="312" w:right="179"/>
      </w:pPr>
      <w:r>
        <w:rPr/>
        <w:t>The use of 1080-poisoned baits in combination with other methods is a key component in the cost-effective management of</w:t>
      </w:r>
      <w:r>
        <w:rPr>
          <w:spacing w:val="-2"/>
        </w:rPr>
        <w:t> </w:t>
      </w:r>
      <w:r>
        <w:rPr/>
        <w:t>rabbits</w:t>
      </w:r>
      <w:r>
        <w:rPr>
          <w:spacing w:val="-1"/>
        </w:rPr>
        <w:t> </w:t>
      </w:r>
      <w:r>
        <w:rPr/>
        <w:t>at moderate</w:t>
      </w:r>
      <w:r>
        <w:rPr>
          <w:spacing w:val="-3"/>
        </w:rPr>
        <w:t> </w:t>
      </w:r>
      <w:r>
        <w:rPr/>
        <w:t>to</w:t>
      </w:r>
      <w:r>
        <w:rPr>
          <w:spacing w:val="-2"/>
        </w:rPr>
        <w:t> </w:t>
      </w:r>
      <w:r>
        <w:rPr/>
        <w:t>high densities. However, at</w:t>
      </w:r>
      <w:r>
        <w:rPr>
          <w:spacing w:val="-2"/>
        </w:rPr>
        <w:t> </w:t>
      </w:r>
      <w:r>
        <w:rPr/>
        <w:t>low densities, combinations of</w:t>
      </w:r>
      <w:r>
        <w:rPr>
          <w:spacing w:val="-2"/>
        </w:rPr>
        <w:t> </w:t>
      </w:r>
      <w:r>
        <w:rPr/>
        <w:t>treatments not involving the use of 1080 appear to be effective. No studies were found that assessed the cost- effectiveness of using Pindone in combination with warren ripping and fumigation. While Pindone was found to be as effective in reducing rabbit densities (Oliver et al. 1982), it was assessed to be more expensive, required</w:t>
      </w:r>
      <w:r>
        <w:rPr>
          <w:spacing w:val="-4"/>
        </w:rPr>
        <w:t> </w:t>
      </w:r>
      <w:r>
        <w:rPr/>
        <w:t>multiple</w:t>
      </w:r>
      <w:r>
        <w:rPr>
          <w:spacing w:val="-4"/>
        </w:rPr>
        <w:t> </w:t>
      </w:r>
      <w:r>
        <w:rPr/>
        <w:t>feedings</w:t>
      </w:r>
      <w:r>
        <w:rPr>
          <w:spacing w:val="-3"/>
        </w:rPr>
        <w:t> </w:t>
      </w:r>
      <w:r>
        <w:rPr/>
        <w:t>to</w:t>
      </w:r>
      <w:r>
        <w:rPr>
          <w:spacing w:val="-4"/>
        </w:rPr>
        <w:t> </w:t>
      </w:r>
      <w:r>
        <w:rPr/>
        <w:t>achieve</w:t>
      </w:r>
      <w:r>
        <w:rPr>
          <w:spacing w:val="-4"/>
        </w:rPr>
        <w:t> </w:t>
      </w:r>
      <w:r>
        <w:rPr/>
        <w:t>efficacy,</w:t>
      </w:r>
      <w:r>
        <w:rPr>
          <w:spacing w:val="-4"/>
        </w:rPr>
        <w:t> </w:t>
      </w:r>
      <w:r>
        <w:rPr/>
        <w:t>and</w:t>
      </w:r>
      <w:r>
        <w:rPr>
          <w:spacing w:val="-4"/>
        </w:rPr>
        <w:t> </w:t>
      </w:r>
      <w:r>
        <w:rPr/>
        <w:t>posed</w:t>
      </w:r>
      <w:r>
        <w:rPr>
          <w:spacing w:val="-5"/>
        </w:rPr>
        <w:t> </w:t>
      </w:r>
      <w:r>
        <w:rPr/>
        <w:t>a localised</w:t>
      </w:r>
      <w:r>
        <w:rPr>
          <w:spacing w:val="-3"/>
        </w:rPr>
        <w:t> </w:t>
      </w:r>
      <w:r>
        <w:rPr/>
        <w:t>higher</w:t>
      </w:r>
      <w:r>
        <w:rPr>
          <w:spacing w:val="-4"/>
        </w:rPr>
        <w:t> </w:t>
      </w:r>
      <w:r>
        <w:rPr/>
        <w:t>risk</w:t>
      </w:r>
      <w:r>
        <w:rPr>
          <w:spacing w:val="-3"/>
        </w:rPr>
        <w:t> </w:t>
      </w:r>
      <w:r>
        <w:rPr/>
        <w:t>to</w:t>
      </w:r>
      <w:r>
        <w:rPr>
          <w:spacing w:val="-2"/>
        </w:rPr>
        <w:t> </w:t>
      </w:r>
      <w:r>
        <w:rPr/>
        <w:t>non-target</w:t>
      </w:r>
      <w:r>
        <w:rPr>
          <w:spacing w:val="-4"/>
        </w:rPr>
        <w:t> </w:t>
      </w:r>
      <w:r>
        <w:rPr/>
        <w:t>species</w:t>
      </w:r>
      <w:r>
        <w:rPr>
          <w:spacing w:val="-2"/>
        </w:rPr>
        <w:t> </w:t>
      </w:r>
      <w:r>
        <w:rPr/>
        <w:t>(Twigg et al. 2001). Therefore, substituting Pindone for 1080 where poisoning was necessary to reduce rabbit populations was unlikely to be cost-effective.</w:t>
      </w:r>
    </w:p>
    <w:p>
      <w:pPr>
        <w:pStyle w:val="Heading5"/>
        <w:numPr>
          <w:ilvl w:val="2"/>
          <w:numId w:val="13"/>
        </w:numPr>
        <w:tabs>
          <w:tab w:pos="1031" w:val="left" w:leader="none"/>
        </w:tabs>
        <w:spacing w:line="240" w:lineRule="auto" w:before="141" w:after="0"/>
        <w:ind w:left="1031" w:right="0" w:hanging="719"/>
        <w:jc w:val="both"/>
      </w:pPr>
      <w:bookmarkStart w:name="_TOC_250058" w:id="39"/>
      <w:r>
        <w:rPr/>
        <w:t>Integrating</w:t>
      </w:r>
      <w:r>
        <w:rPr>
          <w:spacing w:val="-9"/>
        </w:rPr>
        <w:t> </w:t>
      </w:r>
      <w:r>
        <w:rPr/>
        <w:t>biocontrol</w:t>
      </w:r>
      <w:r>
        <w:rPr>
          <w:spacing w:val="-7"/>
        </w:rPr>
        <w:t> </w:t>
      </w:r>
      <w:r>
        <w:rPr/>
        <w:t>and</w:t>
      </w:r>
      <w:r>
        <w:rPr>
          <w:spacing w:val="-6"/>
        </w:rPr>
        <w:t> </w:t>
      </w:r>
      <w:r>
        <w:rPr/>
        <w:t>conventional</w:t>
      </w:r>
      <w:r>
        <w:rPr>
          <w:spacing w:val="-6"/>
        </w:rPr>
        <w:t> </w:t>
      </w:r>
      <w:bookmarkEnd w:id="39"/>
      <w:r>
        <w:rPr>
          <w:spacing w:val="-2"/>
        </w:rPr>
        <w:t>methods</w:t>
      </w:r>
    </w:p>
    <w:p>
      <w:pPr>
        <w:pStyle w:val="BodyText"/>
        <w:spacing w:before="56"/>
        <w:ind w:left="312" w:right="175"/>
        <w:jc w:val="both"/>
      </w:pPr>
      <w:r>
        <w:rPr/>
        <w:t>In</w:t>
      </w:r>
      <w:r>
        <w:rPr>
          <w:spacing w:val="-3"/>
        </w:rPr>
        <w:t> </w:t>
      </w:r>
      <w:r>
        <w:rPr/>
        <w:t>situations</w:t>
      </w:r>
      <w:r>
        <w:rPr>
          <w:spacing w:val="-1"/>
        </w:rPr>
        <w:t> </w:t>
      </w:r>
      <w:r>
        <w:rPr/>
        <w:t>where RHDV outbreaks are</w:t>
      </w:r>
      <w:r>
        <w:rPr>
          <w:spacing w:val="-2"/>
        </w:rPr>
        <w:t> </w:t>
      </w:r>
      <w:r>
        <w:rPr/>
        <w:t>isolated</w:t>
      </w:r>
      <w:r>
        <w:rPr>
          <w:spacing w:val="-1"/>
        </w:rPr>
        <w:t> </w:t>
      </w:r>
      <w:r>
        <w:rPr/>
        <w:t>events</w:t>
      </w:r>
      <w:r>
        <w:rPr>
          <w:spacing w:val="-1"/>
        </w:rPr>
        <w:t> </w:t>
      </w:r>
      <w:r>
        <w:rPr/>
        <w:t>in a</w:t>
      </w:r>
      <w:r>
        <w:rPr>
          <w:spacing w:val="-2"/>
        </w:rPr>
        <w:t> </w:t>
      </w:r>
      <w:r>
        <w:rPr/>
        <w:t>local</w:t>
      </w:r>
      <w:r>
        <w:rPr>
          <w:spacing w:val="-3"/>
        </w:rPr>
        <w:t> </w:t>
      </w:r>
      <w:r>
        <w:rPr/>
        <w:t>rabbit</w:t>
      </w:r>
      <w:r>
        <w:rPr>
          <w:spacing w:val="-2"/>
        </w:rPr>
        <w:t> </w:t>
      </w:r>
      <w:r>
        <w:rPr/>
        <w:t>population,</w:t>
      </w:r>
      <w:r>
        <w:rPr>
          <w:spacing w:val="-2"/>
        </w:rPr>
        <w:t> </w:t>
      </w:r>
      <w:r>
        <w:rPr/>
        <w:t>recurring</w:t>
      </w:r>
      <w:r>
        <w:rPr>
          <w:spacing w:val="-3"/>
        </w:rPr>
        <w:t> </w:t>
      </w:r>
      <w:r>
        <w:rPr/>
        <w:t>at</w:t>
      </w:r>
      <w:r>
        <w:rPr>
          <w:spacing w:val="-2"/>
        </w:rPr>
        <w:t> </w:t>
      </w:r>
      <w:r>
        <w:rPr/>
        <w:t>an unknown frequency,</w:t>
      </w:r>
      <w:r>
        <w:rPr>
          <w:spacing w:val="-3"/>
        </w:rPr>
        <w:t> </w:t>
      </w:r>
      <w:r>
        <w:rPr/>
        <w:t>the</w:t>
      </w:r>
      <w:r>
        <w:rPr>
          <w:spacing w:val="-3"/>
        </w:rPr>
        <w:t> </w:t>
      </w:r>
      <w:r>
        <w:rPr/>
        <w:t>use</w:t>
      </w:r>
      <w:r>
        <w:rPr>
          <w:spacing w:val="-4"/>
        </w:rPr>
        <w:t> </w:t>
      </w:r>
      <w:r>
        <w:rPr/>
        <w:t>of</w:t>
      </w:r>
      <w:r>
        <w:rPr>
          <w:spacing w:val="-4"/>
        </w:rPr>
        <w:t> </w:t>
      </w:r>
      <w:r>
        <w:rPr/>
        <w:t>conventional</w:t>
      </w:r>
      <w:r>
        <w:rPr>
          <w:spacing w:val="-4"/>
        </w:rPr>
        <w:t> </w:t>
      </w:r>
      <w:r>
        <w:rPr/>
        <w:t>control</w:t>
      </w:r>
      <w:r>
        <w:rPr>
          <w:spacing w:val="-3"/>
        </w:rPr>
        <w:t> </w:t>
      </w:r>
      <w:r>
        <w:rPr/>
        <w:t>tools</w:t>
      </w:r>
      <w:r>
        <w:rPr>
          <w:spacing w:val="-3"/>
        </w:rPr>
        <w:t> </w:t>
      </w:r>
      <w:r>
        <w:rPr/>
        <w:t>depends</w:t>
      </w:r>
      <w:r>
        <w:rPr>
          <w:spacing w:val="-3"/>
        </w:rPr>
        <w:t> </w:t>
      </w:r>
      <w:r>
        <w:rPr/>
        <w:t>on</w:t>
      </w:r>
      <w:r>
        <w:rPr>
          <w:spacing w:val="-4"/>
        </w:rPr>
        <w:t> </w:t>
      </w:r>
      <w:r>
        <w:rPr/>
        <w:t>the recovery</w:t>
      </w:r>
      <w:r>
        <w:rPr>
          <w:spacing w:val="-2"/>
        </w:rPr>
        <w:t> </w:t>
      </w:r>
      <w:r>
        <w:rPr/>
        <w:t>rate</w:t>
      </w:r>
      <w:r>
        <w:rPr>
          <w:spacing w:val="-2"/>
        </w:rPr>
        <w:t> </w:t>
      </w:r>
      <w:r>
        <w:rPr/>
        <w:t>of</w:t>
      </w:r>
      <w:r>
        <w:rPr>
          <w:spacing w:val="-4"/>
        </w:rPr>
        <w:t> </w:t>
      </w:r>
      <w:r>
        <w:rPr/>
        <w:t>the</w:t>
      </w:r>
      <w:r>
        <w:rPr>
          <w:spacing w:val="-4"/>
        </w:rPr>
        <w:t> </w:t>
      </w:r>
      <w:r>
        <w:rPr/>
        <w:t>rabbit</w:t>
      </w:r>
      <w:r>
        <w:rPr>
          <w:spacing w:val="-2"/>
        </w:rPr>
        <w:t> </w:t>
      </w:r>
      <w:r>
        <w:rPr/>
        <w:t>population</w:t>
      </w:r>
      <w:r>
        <w:rPr>
          <w:spacing w:val="-1"/>
        </w:rPr>
        <w:t> </w:t>
      </w:r>
      <w:r>
        <w:rPr/>
        <w:t>(which, in turn, is dependent on the pre-epidemic density).</w:t>
      </w:r>
    </w:p>
    <w:p>
      <w:pPr>
        <w:pStyle w:val="BodyText"/>
        <w:spacing w:before="121"/>
        <w:ind w:left="312" w:right="224"/>
      </w:pPr>
      <w:r>
        <w:rPr/>
        <w:t>Specifically, low-density populations would recover more rapidly than high-density populations because the RHDV epidemic would be less intense. In this respect, single RHD epidemics, whether natural or the result of the deliberate release of K5, behave differently from conventional one-off controls such as poisoning, in that the mortality they cause is density-dependent rather than constant. The presence of other sustained controls, such as fumigation, inhibited rather than promoted the recovery of populations, despite the lower density</w:t>
      </w:r>
      <w:r>
        <w:rPr>
          <w:spacing w:val="-2"/>
        </w:rPr>
        <w:t> </w:t>
      </w:r>
      <w:r>
        <w:rPr/>
        <w:t>that</w:t>
      </w:r>
      <w:r>
        <w:rPr>
          <w:spacing w:val="-3"/>
        </w:rPr>
        <w:t> </w:t>
      </w:r>
      <w:r>
        <w:rPr/>
        <w:t>results.</w:t>
      </w:r>
      <w:r>
        <w:rPr>
          <w:spacing w:val="-3"/>
        </w:rPr>
        <w:t> </w:t>
      </w:r>
      <w:r>
        <w:rPr/>
        <w:t>This</w:t>
      </w:r>
      <w:r>
        <w:rPr>
          <w:spacing w:val="-1"/>
        </w:rPr>
        <w:t> </w:t>
      </w:r>
      <w:r>
        <w:rPr/>
        <w:t>is because</w:t>
      </w:r>
      <w:r>
        <w:rPr>
          <w:spacing w:val="-3"/>
        </w:rPr>
        <w:t> </w:t>
      </w:r>
      <w:r>
        <w:rPr/>
        <w:t>the</w:t>
      </w:r>
      <w:r>
        <w:rPr>
          <w:spacing w:val="-4"/>
        </w:rPr>
        <w:t> </w:t>
      </w:r>
      <w:r>
        <w:rPr/>
        <w:t>control</w:t>
      </w:r>
      <w:r>
        <w:rPr>
          <w:spacing w:val="-2"/>
        </w:rPr>
        <w:t> </w:t>
      </w:r>
      <w:r>
        <w:rPr/>
        <w:t>affects</w:t>
      </w:r>
      <w:r>
        <w:rPr>
          <w:spacing w:val="-2"/>
        </w:rPr>
        <w:t> </w:t>
      </w:r>
      <w:r>
        <w:rPr/>
        <w:t>the</w:t>
      </w:r>
      <w:r>
        <w:rPr>
          <w:spacing w:val="-4"/>
        </w:rPr>
        <w:t> </w:t>
      </w:r>
      <w:r>
        <w:rPr/>
        <w:t>rate</w:t>
      </w:r>
      <w:r>
        <w:rPr>
          <w:spacing w:val="-3"/>
        </w:rPr>
        <w:t> </w:t>
      </w:r>
      <w:r>
        <w:rPr/>
        <w:t>of</w:t>
      </w:r>
      <w:r>
        <w:rPr>
          <w:spacing w:val="-1"/>
        </w:rPr>
        <w:t> </w:t>
      </w:r>
      <w:r>
        <w:rPr/>
        <w:t>increase</w:t>
      </w:r>
      <w:r>
        <w:rPr>
          <w:spacing w:val="-1"/>
        </w:rPr>
        <w:t> </w:t>
      </w:r>
      <w:r>
        <w:rPr/>
        <w:t>as</w:t>
      </w:r>
      <w:r>
        <w:rPr>
          <w:spacing w:val="-2"/>
        </w:rPr>
        <w:t> </w:t>
      </w:r>
      <w:r>
        <w:rPr/>
        <w:t>well</w:t>
      </w:r>
      <w:r>
        <w:rPr>
          <w:spacing w:val="-2"/>
        </w:rPr>
        <w:t> </w:t>
      </w:r>
      <w:r>
        <w:rPr/>
        <w:t>as</w:t>
      </w:r>
      <w:r>
        <w:rPr>
          <w:spacing w:val="-2"/>
        </w:rPr>
        <w:t> </w:t>
      </w:r>
      <w:r>
        <w:rPr/>
        <w:t>the</w:t>
      </w:r>
      <w:r>
        <w:rPr>
          <w:spacing w:val="-1"/>
        </w:rPr>
        <w:t> </w:t>
      </w:r>
      <w:r>
        <w:rPr/>
        <w:t>density.</w:t>
      </w:r>
      <w:r>
        <w:rPr>
          <w:spacing w:val="-3"/>
        </w:rPr>
        <w:t> </w:t>
      </w:r>
      <w:r>
        <w:rPr/>
        <w:t>Therefore, even if RHDV did not persist, the synergy between its effect and that of other controls suggests a valuable potential role for the disease in an integrated pest management programme (Barlow and Kean 1998).</w:t>
      </w:r>
    </w:p>
    <w:p>
      <w:pPr>
        <w:pStyle w:val="BodyText"/>
        <w:spacing w:before="119"/>
        <w:ind w:left="312" w:right="247"/>
      </w:pPr>
      <w:r>
        <w:rPr/>
        <w:t>Mutze</w:t>
      </w:r>
      <w:r>
        <w:rPr>
          <w:spacing w:val="-1"/>
        </w:rPr>
        <w:t> </w:t>
      </w:r>
      <w:r>
        <w:rPr/>
        <w:t>et</w:t>
      </w:r>
      <w:r>
        <w:rPr>
          <w:spacing w:val="-1"/>
        </w:rPr>
        <w:t> </w:t>
      </w:r>
      <w:r>
        <w:rPr/>
        <w:t>al.</w:t>
      </w:r>
      <w:r>
        <w:rPr>
          <w:spacing w:val="-1"/>
        </w:rPr>
        <w:t> </w:t>
      </w:r>
      <w:r>
        <w:rPr/>
        <w:t>(2010) investigated the impact</w:t>
      </w:r>
      <w:r>
        <w:rPr>
          <w:spacing w:val="-1"/>
        </w:rPr>
        <w:t> </w:t>
      </w:r>
      <w:r>
        <w:rPr/>
        <w:t>of conventional</w:t>
      </w:r>
      <w:r>
        <w:rPr>
          <w:spacing w:val="-2"/>
        </w:rPr>
        <w:t> </w:t>
      </w:r>
      <w:r>
        <w:rPr/>
        <w:t>control</w:t>
      </w:r>
      <w:r>
        <w:rPr>
          <w:spacing w:val="-2"/>
        </w:rPr>
        <w:t> </w:t>
      </w:r>
      <w:r>
        <w:rPr/>
        <w:t>on</w:t>
      </w:r>
      <w:r>
        <w:rPr>
          <w:spacing w:val="-1"/>
        </w:rPr>
        <w:t> </w:t>
      </w:r>
      <w:r>
        <w:rPr/>
        <w:t>the</w:t>
      </w:r>
      <w:r>
        <w:rPr>
          <w:spacing w:val="-1"/>
        </w:rPr>
        <w:t> </w:t>
      </w:r>
      <w:r>
        <w:rPr/>
        <w:t>prevalence</w:t>
      </w:r>
      <w:r>
        <w:rPr>
          <w:spacing w:val="-1"/>
        </w:rPr>
        <w:t> </w:t>
      </w:r>
      <w:r>
        <w:rPr/>
        <w:t>of</w:t>
      </w:r>
      <w:r>
        <w:rPr>
          <w:spacing w:val="-1"/>
        </w:rPr>
        <w:t> </w:t>
      </w:r>
      <w:r>
        <w:rPr/>
        <w:t>RHDV at</w:t>
      </w:r>
      <w:r>
        <w:rPr>
          <w:spacing w:val="-1"/>
        </w:rPr>
        <w:t> </w:t>
      </w:r>
      <w:r>
        <w:rPr/>
        <w:t>eight</w:t>
      </w:r>
      <w:r>
        <w:rPr>
          <w:spacing w:val="-1"/>
        </w:rPr>
        <w:t> </w:t>
      </w:r>
      <w:r>
        <w:rPr/>
        <w:t>sites across South Australia and Victoria. They found that conventional control (1080 poisoning, warren ripping, removal</w:t>
      </w:r>
      <w:r>
        <w:rPr>
          <w:spacing w:val="-3"/>
        </w:rPr>
        <w:t> </w:t>
      </w:r>
      <w:r>
        <w:rPr/>
        <w:t>of</w:t>
      </w:r>
      <w:r>
        <w:rPr>
          <w:spacing w:val="-4"/>
        </w:rPr>
        <w:t> </w:t>
      </w:r>
      <w:r>
        <w:rPr/>
        <w:t>surface</w:t>
      </w:r>
      <w:r>
        <w:rPr>
          <w:spacing w:val="-4"/>
        </w:rPr>
        <w:t> </w:t>
      </w:r>
      <w:r>
        <w:rPr/>
        <w:t>harbour,</w:t>
      </w:r>
      <w:r>
        <w:rPr>
          <w:spacing w:val="-2"/>
        </w:rPr>
        <w:t> </w:t>
      </w:r>
      <w:r>
        <w:rPr/>
        <w:t>and</w:t>
      </w:r>
      <w:r>
        <w:rPr>
          <w:spacing w:val="-2"/>
        </w:rPr>
        <w:t> </w:t>
      </w:r>
      <w:r>
        <w:rPr/>
        <w:t>fumigation)</w:t>
      </w:r>
      <w:r>
        <w:rPr>
          <w:spacing w:val="-3"/>
        </w:rPr>
        <w:t> </w:t>
      </w:r>
      <w:r>
        <w:rPr/>
        <w:t>did</w:t>
      </w:r>
      <w:r>
        <w:rPr>
          <w:spacing w:val="-4"/>
        </w:rPr>
        <w:t> </w:t>
      </w:r>
      <w:r>
        <w:rPr/>
        <w:t>not</w:t>
      </w:r>
      <w:r>
        <w:rPr>
          <w:spacing w:val="-2"/>
        </w:rPr>
        <w:t> </w:t>
      </w:r>
      <w:r>
        <w:rPr/>
        <w:t>impact the</w:t>
      </w:r>
      <w:r>
        <w:rPr>
          <w:spacing w:val="-4"/>
        </w:rPr>
        <w:t> </w:t>
      </w:r>
      <w:r>
        <w:rPr/>
        <w:t>effectiveness</w:t>
      </w:r>
      <w:r>
        <w:rPr>
          <w:spacing w:val="-3"/>
        </w:rPr>
        <w:t> </w:t>
      </w:r>
      <w:r>
        <w:rPr/>
        <w:t>of</w:t>
      </w:r>
      <w:r>
        <w:rPr>
          <w:spacing w:val="-4"/>
        </w:rPr>
        <w:t> </w:t>
      </w:r>
      <w:r>
        <w:rPr/>
        <w:t>RHDV</w:t>
      </w:r>
      <w:r>
        <w:rPr>
          <w:spacing w:val="-4"/>
        </w:rPr>
        <w:t> </w:t>
      </w:r>
      <w:r>
        <w:rPr/>
        <w:t>transmission,</w:t>
      </w:r>
      <w:r>
        <w:rPr>
          <w:spacing w:val="-2"/>
        </w:rPr>
        <w:t> </w:t>
      </w:r>
      <w:r>
        <w:rPr/>
        <w:t>and</w:t>
      </w:r>
      <w:r>
        <w:rPr>
          <w:spacing w:val="-2"/>
        </w:rPr>
        <w:t> </w:t>
      </w:r>
      <w:r>
        <w:rPr/>
        <w:t>the timing of conventional control was important to maximising the effectiveness of the integration of biological and conventional control. In their study, populations reduced by 70% or more had lower RHDV antibody prevalence in juvenile rabbits but not in adult rabbits, indicating that reducing rabbit density slowed but did not stop RHDV transmission. They also found that in the cooler, higher-rainfall districts of southern and central</w:t>
      </w:r>
      <w:r>
        <w:rPr>
          <w:spacing w:val="-2"/>
        </w:rPr>
        <w:t> </w:t>
      </w:r>
      <w:r>
        <w:rPr/>
        <w:t>Victoria,</w:t>
      </w:r>
      <w:r>
        <w:rPr>
          <w:spacing w:val="-1"/>
        </w:rPr>
        <w:t> </w:t>
      </w:r>
      <w:r>
        <w:rPr/>
        <w:t>RHDV</w:t>
      </w:r>
      <w:r>
        <w:rPr>
          <w:spacing w:val="-4"/>
        </w:rPr>
        <w:t> </w:t>
      </w:r>
      <w:r>
        <w:rPr/>
        <w:t>activity</w:t>
      </w:r>
      <w:r>
        <w:rPr>
          <w:spacing w:val="-2"/>
        </w:rPr>
        <w:t> </w:t>
      </w:r>
      <w:r>
        <w:rPr/>
        <w:t>often</w:t>
      </w:r>
      <w:r>
        <w:rPr>
          <w:spacing w:val="-3"/>
        </w:rPr>
        <w:t> </w:t>
      </w:r>
      <w:r>
        <w:rPr/>
        <w:t>occurred</w:t>
      </w:r>
      <w:r>
        <w:rPr>
          <w:spacing w:val="-2"/>
        </w:rPr>
        <w:t> </w:t>
      </w:r>
      <w:r>
        <w:rPr/>
        <w:t>in</w:t>
      </w:r>
      <w:r>
        <w:rPr>
          <w:spacing w:val="-3"/>
        </w:rPr>
        <w:t> </w:t>
      </w:r>
      <w:r>
        <w:rPr/>
        <w:t>summer.</w:t>
      </w:r>
      <w:r>
        <w:rPr>
          <w:spacing w:val="-3"/>
        </w:rPr>
        <w:t> </w:t>
      </w:r>
      <w:r>
        <w:rPr/>
        <w:t>To</w:t>
      </w:r>
      <w:r>
        <w:rPr>
          <w:spacing w:val="-3"/>
        </w:rPr>
        <w:t> </w:t>
      </w:r>
      <w:r>
        <w:rPr/>
        <w:t>make</w:t>
      </w:r>
      <w:r>
        <w:rPr>
          <w:spacing w:val="-3"/>
        </w:rPr>
        <w:t> </w:t>
      </w:r>
      <w:r>
        <w:rPr/>
        <w:t>the</w:t>
      </w:r>
      <w:r>
        <w:rPr>
          <w:spacing w:val="-3"/>
        </w:rPr>
        <w:t> </w:t>
      </w:r>
      <w:r>
        <w:rPr/>
        <w:t>best</w:t>
      </w:r>
      <w:r>
        <w:rPr>
          <w:spacing w:val="-1"/>
        </w:rPr>
        <w:t> </w:t>
      </w:r>
      <w:r>
        <w:rPr/>
        <w:t>use</w:t>
      </w:r>
      <w:r>
        <w:rPr>
          <w:spacing w:val="-3"/>
        </w:rPr>
        <w:t> </w:t>
      </w:r>
      <w:r>
        <w:rPr/>
        <w:t>of</w:t>
      </w:r>
      <w:r>
        <w:rPr>
          <w:spacing w:val="-1"/>
        </w:rPr>
        <w:t> </w:t>
      </w:r>
      <w:r>
        <w:rPr/>
        <w:t>the</w:t>
      </w:r>
      <w:r>
        <w:rPr>
          <w:spacing w:val="-3"/>
        </w:rPr>
        <w:t> </w:t>
      </w:r>
      <w:r>
        <w:rPr/>
        <w:t>seasonal</w:t>
      </w:r>
      <w:r>
        <w:rPr>
          <w:spacing w:val="-4"/>
        </w:rPr>
        <w:t> </w:t>
      </w:r>
      <w:r>
        <w:rPr/>
        <w:t>reduction</w:t>
      </w:r>
      <w:r>
        <w:rPr>
          <w:spacing w:val="-3"/>
        </w:rPr>
        <w:t> </w:t>
      </w:r>
      <w:r>
        <w:rPr/>
        <w:t>of rabbit populations by RHDV, rabbit control should be delayed and conducted in late summer or early autumn, after RHDV outbreaks but before the seasonal increase in plant growth that follows autumn rains.</w:t>
      </w:r>
    </w:p>
    <w:p>
      <w:pPr>
        <w:pStyle w:val="BodyText"/>
        <w:spacing w:before="122"/>
        <w:ind w:left="312" w:right="247"/>
      </w:pPr>
      <w:r>
        <w:rPr/>
        <w:t>As</w:t>
      </w:r>
      <w:r>
        <w:rPr>
          <w:spacing w:val="-2"/>
        </w:rPr>
        <w:t> </w:t>
      </w:r>
      <w:r>
        <w:rPr/>
        <w:t>noted</w:t>
      </w:r>
      <w:r>
        <w:rPr>
          <w:spacing w:val="-4"/>
        </w:rPr>
        <w:t> </w:t>
      </w:r>
      <w:r>
        <w:rPr/>
        <w:t>above,</w:t>
      </w:r>
      <w:r>
        <w:rPr>
          <w:spacing w:val="-1"/>
        </w:rPr>
        <w:t> </w:t>
      </w:r>
      <w:r>
        <w:rPr/>
        <w:t>the</w:t>
      </w:r>
      <w:r>
        <w:rPr>
          <w:spacing w:val="-1"/>
        </w:rPr>
        <w:t> </w:t>
      </w:r>
      <w:r>
        <w:rPr/>
        <w:t>optimal</w:t>
      </w:r>
      <w:r>
        <w:rPr>
          <w:spacing w:val="-3"/>
        </w:rPr>
        <w:t> </w:t>
      </w:r>
      <w:r>
        <w:rPr/>
        <w:t>combination</w:t>
      </w:r>
      <w:r>
        <w:rPr>
          <w:spacing w:val="-2"/>
        </w:rPr>
        <w:t> </w:t>
      </w:r>
      <w:r>
        <w:rPr/>
        <w:t>of</w:t>
      </w:r>
      <w:r>
        <w:rPr>
          <w:spacing w:val="-3"/>
        </w:rPr>
        <w:t> </w:t>
      </w:r>
      <w:r>
        <w:rPr/>
        <w:t>control</w:t>
      </w:r>
      <w:r>
        <w:rPr>
          <w:spacing w:val="-4"/>
        </w:rPr>
        <w:t> </w:t>
      </w:r>
      <w:r>
        <w:rPr/>
        <w:t>tools</w:t>
      </w:r>
      <w:r>
        <w:rPr>
          <w:spacing w:val="-2"/>
        </w:rPr>
        <w:t> </w:t>
      </w:r>
      <w:r>
        <w:rPr/>
        <w:t>to</w:t>
      </w:r>
      <w:r>
        <w:rPr>
          <w:spacing w:val="-4"/>
        </w:rPr>
        <w:t> </w:t>
      </w:r>
      <w:r>
        <w:rPr/>
        <w:t>implement</w:t>
      </w:r>
      <w:r>
        <w:rPr>
          <w:spacing w:val="-3"/>
        </w:rPr>
        <w:t> </w:t>
      </w:r>
      <w:r>
        <w:rPr/>
        <w:t>could</w:t>
      </w:r>
      <w:r>
        <w:rPr>
          <w:spacing w:val="-1"/>
        </w:rPr>
        <w:t> </w:t>
      </w:r>
      <w:r>
        <w:rPr/>
        <w:t>depend</w:t>
      </w:r>
      <w:r>
        <w:rPr>
          <w:spacing w:val="-3"/>
        </w:rPr>
        <w:t> </w:t>
      </w:r>
      <w:r>
        <w:rPr/>
        <w:t>on</w:t>
      </w:r>
      <w:r>
        <w:rPr>
          <w:spacing w:val="-1"/>
        </w:rPr>
        <w:t> </w:t>
      </w:r>
      <w:r>
        <w:rPr/>
        <w:t>the</w:t>
      </w:r>
      <w:r>
        <w:rPr>
          <w:spacing w:val="-2"/>
        </w:rPr>
        <w:t> </w:t>
      </w:r>
      <w:r>
        <w:rPr/>
        <w:t>density</w:t>
      </w:r>
      <w:r>
        <w:rPr>
          <w:spacing w:val="-2"/>
        </w:rPr>
        <w:t> </w:t>
      </w:r>
      <w:r>
        <w:rPr/>
        <w:t>of</w:t>
      </w:r>
      <w:r>
        <w:rPr>
          <w:spacing w:val="-3"/>
        </w:rPr>
        <w:t> </w:t>
      </w:r>
      <w:r>
        <w:rPr/>
        <w:t>the rabbit population. Where RHDV had reduced the population, it would be feasible to implement follow-up</w:t>
      </w:r>
    </w:p>
    <w:p>
      <w:pPr>
        <w:spacing w:after="0"/>
        <w:sectPr>
          <w:pgSz w:w="11910" w:h="16850"/>
          <w:pgMar w:header="0" w:footer="688" w:top="1060" w:bottom="880" w:left="820" w:right="980"/>
        </w:sectPr>
      </w:pPr>
    </w:p>
    <w:p>
      <w:pPr>
        <w:pStyle w:val="BodyText"/>
        <w:spacing w:before="71"/>
        <w:ind w:left="312" w:right="340"/>
      </w:pPr>
      <w:r>
        <w:rPr/>
        <w:t>control</w:t>
      </w:r>
      <w:r>
        <w:rPr>
          <w:spacing w:val="-3"/>
        </w:rPr>
        <w:t> </w:t>
      </w:r>
      <w:r>
        <w:rPr/>
        <w:t>using</w:t>
      </w:r>
      <w:r>
        <w:rPr>
          <w:spacing w:val="-4"/>
        </w:rPr>
        <w:t> </w:t>
      </w:r>
      <w:r>
        <w:rPr/>
        <w:t>ripping</w:t>
      </w:r>
      <w:r>
        <w:rPr>
          <w:spacing w:val="-5"/>
        </w:rPr>
        <w:t> </w:t>
      </w:r>
      <w:r>
        <w:rPr/>
        <w:t>and</w:t>
      </w:r>
      <w:r>
        <w:rPr>
          <w:spacing w:val="-5"/>
        </w:rPr>
        <w:t> </w:t>
      </w:r>
      <w:r>
        <w:rPr/>
        <w:t>fumigation,</w:t>
      </w:r>
      <w:r>
        <w:rPr>
          <w:spacing w:val="-2"/>
        </w:rPr>
        <w:t> </w:t>
      </w:r>
      <w:r>
        <w:rPr/>
        <w:t>and</w:t>
      </w:r>
      <w:r>
        <w:rPr>
          <w:spacing w:val="-2"/>
        </w:rPr>
        <w:t> </w:t>
      </w:r>
      <w:r>
        <w:rPr/>
        <w:t>maintenance</w:t>
      </w:r>
      <w:r>
        <w:rPr>
          <w:spacing w:val="-2"/>
        </w:rPr>
        <w:t> </w:t>
      </w:r>
      <w:r>
        <w:rPr/>
        <w:t>control</w:t>
      </w:r>
      <w:r>
        <w:rPr>
          <w:spacing w:val="-3"/>
        </w:rPr>
        <w:t> </w:t>
      </w:r>
      <w:r>
        <w:rPr/>
        <w:t>using</w:t>
      </w:r>
      <w:r>
        <w:rPr>
          <w:spacing w:val="-4"/>
        </w:rPr>
        <w:t> </w:t>
      </w:r>
      <w:r>
        <w:rPr/>
        <w:t>fumigation,</w:t>
      </w:r>
      <w:r>
        <w:rPr>
          <w:spacing w:val="-4"/>
        </w:rPr>
        <w:t> </w:t>
      </w:r>
      <w:r>
        <w:rPr/>
        <w:t>making</w:t>
      </w:r>
      <w:r>
        <w:rPr>
          <w:spacing w:val="-3"/>
        </w:rPr>
        <w:t> </w:t>
      </w:r>
      <w:r>
        <w:rPr/>
        <w:t>the</w:t>
      </w:r>
      <w:r>
        <w:rPr>
          <w:spacing w:val="-3"/>
        </w:rPr>
        <w:t> </w:t>
      </w:r>
      <w:r>
        <w:rPr/>
        <w:t>operation</w:t>
      </w:r>
      <w:r>
        <w:rPr>
          <w:spacing w:val="-5"/>
        </w:rPr>
        <w:t> </w:t>
      </w:r>
      <w:r>
        <w:rPr/>
        <w:t>more cost-effective and reducing the need to use poison.</w:t>
      </w:r>
    </w:p>
    <w:p>
      <w:pPr>
        <w:pStyle w:val="BodyText"/>
        <w:spacing w:before="122"/>
        <w:ind w:left="312" w:right="184"/>
      </w:pPr>
      <w:r>
        <w:rPr/>
        <w:t>Increasingly,</w:t>
      </w:r>
      <w:r>
        <w:rPr>
          <w:spacing w:val="-1"/>
        </w:rPr>
        <w:t> </w:t>
      </w:r>
      <w:r>
        <w:rPr/>
        <w:t>any circulating</w:t>
      </w:r>
      <w:r>
        <w:rPr>
          <w:spacing w:val="-1"/>
        </w:rPr>
        <w:t> </w:t>
      </w:r>
      <w:r>
        <w:rPr/>
        <w:t>field strain in Australia</w:t>
      </w:r>
      <w:r>
        <w:rPr>
          <w:spacing w:val="-1"/>
        </w:rPr>
        <w:t> </w:t>
      </w:r>
      <w:r>
        <w:rPr/>
        <w:t>was likely to</w:t>
      </w:r>
      <w:r>
        <w:rPr>
          <w:spacing w:val="-1"/>
        </w:rPr>
        <w:t> </w:t>
      </w:r>
      <w:r>
        <w:rPr/>
        <w:t>be</w:t>
      </w:r>
      <w:r>
        <w:rPr>
          <w:spacing w:val="-1"/>
        </w:rPr>
        <w:t> </w:t>
      </w:r>
      <w:r>
        <w:rPr/>
        <w:t>RHDV2 rather than RHDV1 (including K5 and RHDVa) (Mahar et al. 2018). However, when used strategically in conjunction with other control</w:t>
      </w:r>
      <w:r>
        <w:rPr>
          <w:spacing w:val="40"/>
        </w:rPr>
        <w:t> </w:t>
      </w:r>
      <w:r>
        <w:rPr/>
        <w:t>methods</w:t>
      </w:r>
      <w:r>
        <w:rPr>
          <w:spacing w:val="-3"/>
        </w:rPr>
        <w:t> </w:t>
      </w:r>
      <w:r>
        <w:rPr/>
        <w:t>and</w:t>
      </w:r>
      <w:r>
        <w:rPr>
          <w:spacing w:val="-3"/>
        </w:rPr>
        <w:t> </w:t>
      </w:r>
      <w:r>
        <w:rPr/>
        <w:t>where</w:t>
      </w:r>
      <w:r>
        <w:rPr>
          <w:spacing w:val="-3"/>
        </w:rPr>
        <w:t> </w:t>
      </w:r>
      <w:r>
        <w:rPr/>
        <w:t>RHDV2</w:t>
      </w:r>
      <w:r>
        <w:rPr>
          <w:spacing w:val="-3"/>
        </w:rPr>
        <w:t> </w:t>
      </w:r>
      <w:r>
        <w:rPr/>
        <w:t>has</w:t>
      </w:r>
      <w:r>
        <w:rPr>
          <w:spacing w:val="-3"/>
        </w:rPr>
        <w:t> </w:t>
      </w:r>
      <w:r>
        <w:rPr/>
        <w:t>been</w:t>
      </w:r>
      <w:r>
        <w:rPr>
          <w:spacing w:val="-2"/>
        </w:rPr>
        <w:t> </w:t>
      </w:r>
      <w:r>
        <w:rPr/>
        <w:t>absent</w:t>
      </w:r>
      <w:r>
        <w:rPr>
          <w:spacing w:val="-3"/>
        </w:rPr>
        <w:t> </w:t>
      </w:r>
      <w:r>
        <w:rPr/>
        <w:t>for</w:t>
      </w:r>
      <w:r>
        <w:rPr>
          <w:spacing w:val="-1"/>
        </w:rPr>
        <w:t> </w:t>
      </w:r>
      <w:r>
        <w:rPr/>
        <w:t>two</w:t>
      </w:r>
      <w:r>
        <w:rPr>
          <w:spacing w:val="-2"/>
        </w:rPr>
        <w:t> </w:t>
      </w:r>
      <w:r>
        <w:rPr/>
        <w:t>or</w:t>
      </w:r>
      <w:r>
        <w:rPr>
          <w:spacing w:val="-3"/>
        </w:rPr>
        <w:t> </w:t>
      </w:r>
      <w:r>
        <w:rPr/>
        <w:t>more</w:t>
      </w:r>
      <w:r>
        <w:rPr>
          <w:spacing w:val="-3"/>
        </w:rPr>
        <w:t> </w:t>
      </w:r>
      <w:r>
        <w:rPr/>
        <w:t>years</w:t>
      </w:r>
      <w:r>
        <w:rPr>
          <w:spacing w:val="-2"/>
        </w:rPr>
        <w:t> </w:t>
      </w:r>
      <w:r>
        <w:rPr/>
        <w:t>or</w:t>
      </w:r>
      <w:r>
        <w:rPr>
          <w:spacing w:val="-3"/>
        </w:rPr>
        <w:t> </w:t>
      </w:r>
      <w:r>
        <w:rPr/>
        <w:t>when</w:t>
      </w:r>
      <w:r>
        <w:rPr>
          <w:spacing w:val="-3"/>
        </w:rPr>
        <w:t> </w:t>
      </w:r>
      <w:r>
        <w:rPr/>
        <w:t>seropositivity</w:t>
      </w:r>
      <w:r>
        <w:rPr>
          <w:spacing w:val="-3"/>
        </w:rPr>
        <w:t> </w:t>
      </w:r>
      <w:r>
        <w:rPr/>
        <w:t>is</w:t>
      </w:r>
      <w:r>
        <w:rPr>
          <w:spacing w:val="-1"/>
        </w:rPr>
        <w:t> </w:t>
      </w:r>
      <w:r>
        <w:rPr/>
        <w:t>low,</w:t>
      </w:r>
      <w:r>
        <w:rPr>
          <w:spacing w:val="-2"/>
        </w:rPr>
        <w:t> </w:t>
      </w:r>
      <w:r>
        <w:rPr/>
        <w:t>planned</w:t>
      </w:r>
      <w:r>
        <w:rPr>
          <w:spacing w:val="-3"/>
        </w:rPr>
        <w:t> </w:t>
      </w:r>
      <w:r>
        <w:rPr/>
        <w:t>K5 virus releases could potentially reduce rabbit populations above and beyond what is achieved by naturally circulating viruses in combination with conventional control methods (Strive and Cox 2019).</w:t>
      </w:r>
    </w:p>
    <w:p>
      <w:pPr>
        <w:pStyle w:val="BodyText"/>
        <w:spacing w:before="119"/>
        <w:ind w:left="312" w:right="247"/>
      </w:pPr>
      <w:r>
        <w:rPr/>
        <w:t>While these studies indicate that the main potential for RHDV may be as an initial reduction agent that should</w:t>
      </w:r>
      <w:r>
        <w:rPr>
          <w:spacing w:val="-3"/>
        </w:rPr>
        <w:t> </w:t>
      </w:r>
      <w:r>
        <w:rPr/>
        <w:t>be</w:t>
      </w:r>
      <w:r>
        <w:rPr>
          <w:spacing w:val="-1"/>
        </w:rPr>
        <w:t> </w:t>
      </w:r>
      <w:r>
        <w:rPr/>
        <w:t>complemented</w:t>
      </w:r>
      <w:r>
        <w:rPr>
          <w:spacing w:val="-2"/>
        </w:rPr>
        <w:t> </w:t>
      </w:r>
      <w:r>
        <w:rPr/>
        <w:t>by</w:t>
      </w:r>
      <w:r>
        <w:rPr>
          <w:spacing w:val="-2"/>
        </w:rPr>
        <w:t> </w:t>
      </w:r>
      <w:r>
        <w:rPr/>
        <w:t>conventional</w:t>
      </w:r>
      <w:r>
        <w:rPr>
          <w:spacing w:val="-4"/>
        </w:rPr>
        <w:t> </w:t>
      </w:r>
      <w:r>
        <w:rPr/>
        <w:t>control</w:t>
      </w:r>
      <w:r>
        <w:rPr>
          <w:spacing w:val="-2"/>
        </w:rPr>
        <w:t> </w:t>
      </w:r>
      <w:r>
        <w:rPr/>
        <w:t>methods,</w:t>
      </w:r>
      <w:r>
        <w:rPr>
          <w:spacing w:val="-3"/>
        </w:rPr>
        <w:t> </w:t>
      </w:r>
      <w:r>
        <w:rPr/>
        <w:t>research</w:t>
      </w:r>
      <w:r>
        <w:rPr>
          <w:spacing w:val="-3"/>
        </w:rPr>
        <w:t> </w:t>
      </w:r>
      <w:r>
        <w:rPr/>
        <w:t>has</w:t>
      </w:r>
      <w:r>
        <w:rPr>
          <w:spacing w:val="-2"/>
        </w:rPr>
        <w:t> </w:t>
      </w:r>
      <w:r>
        <w:rPr/>
        <w:t>yet</w:t>
      </w:r>
      <w:r>
        <w:rPr>
          <w:spacing w:val="-3"/>
        </w:rPr>
        <w:t> </w:t>
      </w:r>
      <w:r>
        <w:rPr/>
        <w:t>to</w:t>
      </w:r>
      <w:r>
        <w:rPr>
          <w:spacing w:val="-1"/>
        </w:rPr>
        <w:t> </w:t>
      </w:r>
      <w:r>
        <w:rPr/>
        <w:t>establish</w:t>
      </w:r>
      <w:r>
        <w:rPr>
          <w:spacing w:val="-3"/>
        </w:rPr>
        <w:t> </w:t>
      </w:r>
      <w:r>
        <w:rPr/>
        <w:t>the</w:t>
      </w:r>
      <w:r>
        <w:rPr>
          <w:spacing w:val="-4"/>
        </w:rPr>
        <w:t> </w:t>
      </w:r>
      <w:r>
        <w:rPr/>
        <w:t>most</w:t>
      </w:r>
      <w:r>
        <w:rPr>
          <w:spacing w:val="-3"/>
        </w:rPr>
        <w:t> </w:t>
      </w:r>
      <w:r>
        <w:rPr/>
        <w:t>cost- effective combinations of tools and the conditions under which they are best applied.</w:t>
      </w:r>
    </w:p>
    <w:p>
      <w:pPr>
        <w:spacing w:after="0"/>
        <w:sectPr>
          <w:pgSz w:w="11910" w:h="16850"/>
          <w:pgMar w:header="0" w:footer="688" w:top="1060" w:bottom="880" w:left="820" w:right="980"/>
        </w:sectPr>
      </w:pPr>
    </w:p>
    <w:p>
      <w:pPr>
        <w:pStyle w:val="Heading7"/>
      </w:pPr>
      <w:bookmarkStart w:name="_bookmark2" w:id="40"/>
      <w:bookmarkEnd w:id="40"/>
      <w:r>
        <w:rPr>
          <w:b w:val="0"/>
        </w:rPr>
      </w:r>
      <w:r>
        <w:rPr>
          <w:color w:val="1F1546"/>
        </w:rPr>
        <w:t>Table</w:t>
      </w:r>
      <w:r>
        <w:rPr>
          <w:color w:val="1F1546"/>
          <w:spacing w:val="-7"/>
        </w:rPr>
        <w:t> </w:t>
      </w:r>
      <w:r>
        <w:rPr>
          <w:color w:val="1F1546"/>
        </w:rPr>
        <w:t>2.</w:t>
      </w:r>
      <w:r>
        <w:rPr>
          <w:color w:val="1F1546"/>
          <w:spacing w:val="-5"/>
        </w:rPr>
        <w:t> </w:t>
      </w:r>
      <w:r>
        <w:rPr>
          <w:color w:val="1F1546"/>
        </w:rPr>
        <w:t>Comparisons</w:t>
      </w:r>
      <w:r>
        <w:rPr>
          <w:color w:val="1F1546"/>
          <w:spacing w:val="-7"/>
        </w:rPr>
        <w:t> </w:t>
      </w:r>
      <w:r>
        <w:rPr>
          <w:color w:val="1F1546"/>
        </w:rPr>
        <w:t>of</w:t>
      </w:r>
      <w:r>
        <w:rPr>
          <w:color w:val="1F1546"/>
          <w:spacing w:val="-6"/>
        </w:rPr>
        <w:t> </w:t>
      </w:r>
      <w:r>
        <w:rPr>
          <w:color w:val="1F1546"/>
        </w:rPr>
        <w:t>reported</w:t>
      </w:r>
      <w:r>
        <w:rPr>
          <w:color w:val="1F1546"/>
          <w:spacing w:val="-6"/>
        </w:rPr>
        <w:t> </w:t>
      </w:r>
      <w:r>
        <w:rPr>
          <w:color w:val="1F1546"/>
        </w:rPr>
        <w:t>changes</w:t>
      </w:r>
      <w:r>
        <w:rPr>
          <w:color w:val="1F1546"/>
          <w:spacing w:val="-7"/>
        </w:rPr>
        <w:t> </w:t>
      </w:r>
      <w:r>
        <w:rPr>
          <w:color w:val="1F1546"/>
        </w:rPr>
        <w:t>in</w:t>
      </w:r>
      <w:r>
        <w:rPr>
          <w:color w:val="1F1546"/>
          <w:spacing w:val="-4"/>
        </w:rPr>
        <w:t> </w:t>
      </w:r>
      <w:r>
        <w:rPr>
          <w:color w:val="1F1546"/>
        </w:rPr>
        <w:t>European</w:t>
      </w:r>
      <w:r>
        <w:rPr>
          <w:color w:val="1F1546"/>
          <w:spacing w:val="-5"/>
        </w:rPr>
        <w:t> </w:t>
      </w:r>
      <w:r>
        <w:rPr>
          <w:color w:val="1F1546"/>
        </w:rPr>
        <w:t>Rabbit</w:t>
      </w:r>
      <w:r>
        <w:rPr>
          <w:color w:val="1F1546"/>
          <w:spacing w:val="-6"/>
        </w:rPr>
        <w:t> </w:t>
      </w:r>
      <w:r>
        <w:rPr>
          <w:color w:val="1F1546"/>
        </w:rPr>
        <w:t>abundance</w:t>
      </w:r>
      <w:r>
        <w:rPr>
          <w:color w:val="1F1546"/>
          <w:spacing w:val="-6"/>
        </w:rPr>
        <w:t> </w:t>
      </w:r>
      <w:r>
        <w:rPr>
          <w:color w:val="1F1546"/>
        </w:rPr>
        <w:t>using</w:t>
      </w:r>
      <w:r>
        <w:rPr>
          <w:color w:val="1F1546"/>
          <w:spacing w:val="-6"/>
        </w:rPr>
        <w:t> </w:t>
      </w:r>
      <w:r>
        <w:rPr>
          <w:color w:val="1F1546"/>
        </w:rPr>
        <w:t>different</w:t>
      </w:r>
      <w:r>
        <w:rPr>
          <w:color w:val="1F1546"/>
          <w:spacing w:val="-5"/>
        </w:rPr>
        <w:t> </w:t>
      </w:r>
      <w:r>
        <w:rPr>
          <w:color w:val="1F1546"/>
        </w:rPr>
        <w:t>lethal</w:t>
      </w:r>
      <w:r>
        <w:rPr>
          <w:color w:val="1F1546"/>
          <w:spacing w:val="-7"/>
        </w:rPr>
        <w:t> </w:t>
      </w:r>
      <w:r>
        <w:rPr>
          <w:color w:val="1F1546"/>
        </w:rPr>
        <w:t>control</w:t>
      </w:r>
      <w:r>
        <w:rPr>
          <w:color w:val="1F1546"/>
          <w:spacing w:val="-7"/>
        </w:rPr>
        <w:t> </w:t>
      </w:r>
      <w:r>
        <w:rPr>
          <w:color w:val="1F1546"/>
        </w:rPr>
        <w:t>methods</w:t>
      </w:r>
      <w:r>
        <w:rPr>
          <w:color w:val="1F1546"/>
          <w:spacing w:val="-6"/>
        </w:rPr>
        <w:t> </w:t>
      </w:r>
      <w:r>
        <w:rPr>
          <w:color w:val="1F1546"/>
        </w:rPr>
        <w:t>in</w:t>
      </w:r>
      <w:r>
        <w:rPr>
          <w:color w:val="1F1546"/>
          <w:spacing w:val="-7"/>
        </w:rPr>
        <w:t> </w:t>
      </w:r>
      <w:r>
        <w:rPr>
          <w:color w:val="1F1546"/>
          <w:spacing w:val="-2"/>
        </w:rPr>
        <w:t>Australia.</w:t>
      </w:r>
    </w:p>
    <w:p>
      <w:pPr>
        <w:pStyle w:val="BodyText"/>
        <w:spacing w:before="6"/>
        <w:rPr>
          <w:b/>
          <w:sz w:val="10"/>
        </w:rPr>
      </w:pPr>
    </w:p>
    <w:tbl>
      <w:tblPr>
        <w:tblW w:w="0" w:type="auto"/>
        <w:jc w:val="left"/>
        <w:tblInd w:w="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0"/>
        <w:gridCol w:w="1733"/>
        <w:gridCol w:w="2739"/>
        <w:gridCol w:w="2896"/>
        <w:gridCol w:w="4962"/>
      </w:tblGrid>
      <w:tr>
        <w:trPr>
          <w:trHeight w:val="578" w:hRule="atLeast"/>
        </w:trPr>
        <w:tc>
          <w:tcPr>
            <w:tcW w:w="1990" w:type="dxa"/>
            <w:tcBorders>
              <w:bottom w:val="single" w:sz="4" w:space="0" w:color="000000"/>
            </w:tcBorders>
            <w:shd w:val="clear" w:color="auto" w:fill="004B96"/>
          </w:tcPr>
          <w:p>
            <w:pPr>
              <w:pStyle w:val="TableParagraph"/>
              <w:spacing w:before="59"/>
              <w:ind w:left="107"/>
              <w:rPr>
                <w:b/>
                <w:sz w:val="20"/>
              </w:rPr>
            </w:pPr>
            <w:r>
              <w:rPr>
                <w:b/>
                <w:color w:val="FFFFFF"/>
                <w:spacing w:val="-2"/>
                <w:sz w:val="20"/>
              </w:rPr>
              <w:t>Method</w:t>
            </w:r>
          </w:p>
        </w:tc>
        <w:tc>
          <w:tcPr>
            <w:tcW w:w="1733" w:type="dxa"/>
            <w:shd w:val="clear" w:color="auto" w:fill="004B96"/>
          </w:tcPr>
          <w:p>
            <w:pPr>
              <w:pStyle w:val="TableParagraph"/>
              <w:spacing w:before="57"/>
              <w:ind w:left="110" w:right="544"/>
              <w:rPr>
                <w:b/>
                <w:sz w:val="20"/>
              </w:rPr>
            </w:pPr>
            <w:r>
              <w:rPr>
                <w:b/>
                <w:color w:val="FFFFFF"/>
                <w:spacing w:val="-2"/>
                <w:sz w:val="20"/>
              </w:rPr>
              <w:t>Percentage reduction</w:t>
            </w:r>
          </w:p>
        </w:tc>
        <w:tc>
          <w:tcPr>
            <w:tcW w:w="2739" w:type="dxa"/>
            <w:shd w:val="clear" w:color="auto" w:fill="004B96"/>
          </w:tcPr>
          <w:p>
            <w:pPr>
              <w:pStyle w:val="TableParagraph"/>
              <w:spacing w:before="59"/>
              <w:ind w:left="107"/>
              <w:rPr>
                <w:b/>
                <w:sz w:val="20"/>
              </w:rPr>
            </w:pPr>
            <w:r>
              <w:rPr>
                <w:b/>
                <w:color w:val="FFFFFF"/>
                <w:spacing w:val="-2"/>
                <w:sz w:val="20"/>
              </w:rPr>
              <w:t>Region</w:t>
            </w:r>
          </w:p>
        </w:tc>
        <w:tc>
          <w:tcPr>
            <w:tcW w:w="2896" w:type="dxa"/>
            <w:shd w:val="clear" w:color="auto" w:fill="004B96"/>
          </w:tcPr>
          <w:p>
            <w:pPr>
              <w:pStyle w:val="TableParagraph"/>
              <w:spacing w:before="57"/>
              <w:ind w:left="110"/>
              <w:rPr>
                <w:b/>
                <w:sz w:val="20"/>
              </w:rPr>
            </w:pPr>
            <w:r>
              <w:rPr>
                <w:b/>
                <w:color w:val="FFFFFF"/>
                <w:sz w:val="20"/>
              </w:rPr>
              <w:t>Method</w:t>
            </w:r>
            <w:r>
              <w:rPr>
                <w:b/>
                <w:color w:val="FFFFFF"/>
                <w:spacing w:val="-13"/>
                <w:sz w:val="20"/>
              </w:rPr>
              <w:t> </w:t>
            </w:r>
            <w:r>
              <w:rPr>
                <w:b/>
                <w:color w:val="FFFFFF"/>
                <w:sz w:val="20"/>
              </w:rPr>
              <w:t>used</w:t>
            </w:r>
            <w:r>
              <w:rPr>
                <w:b/>
                <w:color w:val="FFFFFF"/>
                <w:spacing w:val="-14"/>
                <w:sz w:val="20"/>
              </w:rPr>
              <w:t> </w:t>
            </w:r>
            <w:r>
              <w:rPr>
                <w:b/>
                <w:color w:val="FFFFFF"/>
                <w:sz w:val="20"/>
              </w:rPr>
              <w:t>to</w:t>
            </w:r>
            <w:r>
              <w:rPr>
                <w:b/>
                <w:color w:val="FFFFFF"/>
                <w:spacing w:val="-13"/>
                <w:sz w:val="20"/>
              </w:rPr>
              <w:t> </w:t>
            </w:r>
            <w:r>
              <w:rPr>
                <w:b/>
                <w:color w:val="FFFFFF"/>
                <w:sz w:val="20"/>
              </w:rPr>
              <w:t>measure </w:t>
            </w:r>
            <w:r>
              <w:rPr>
                <w:b/>
                <w:color w:val="FFFFFF"/>
                <w:spacing w:val="-2"/>
                <w:sz w:val="20"/>
              </w:rPr>
              <w:t>change</w:t>
            </w:r>
          </w:p>
        </w:tc>
        <w:tc>
          <w:tcPr>
            <w:tcW w:w="4962" w:type="dxa"/>
            <w:shd w:val="clear" w:color="auto" w:fill="004B96"/>
          </w:tcPr>
          <w:p>
            <w:pPr>
              <w:pStyle w:val="TableParagraph"/>
              <w:spacing w:before="59"/>
              <w:ind w:left="108"/>
              <w:rPr>
                <w:b/>
                <w:sz w:val="20"/>
              </w:rPr>
            </w:pPr>
            <w:r>
              <w:rPr>
                <w:b/>
                <w:color w:val="FFFFFF"/>
                <w:spacing w:val="-2"/>
                <w:sz w:val="20"/>
              </w:rPr>
              <w:t>Reference</w:t>
            </w:r>
          </w:p>
        </w:tc>
      </w:tr>
      <w:tr>
        <w:trPr>
          <w:trHeight w:val="371" w:hRule="atLeast"/>
        </w:trPr>
        <w:tc>
          <w:tcPr>
            <w:tcW w:w="1990" w:type="dxa"/>
            <w:tcBorders>
              <w:top w:val="single" w:sz="4" w:space="0" w:color="000000"/>
              <w:bottom w:val="single" w:sz="4" w:space="0" w:color="000000"/>
            </w:tcBorders>
          </w:tcPr>
          <w:p>
            <w:pPr>
              <w:pStyle w:val="TableParagraph"/>
              <w:spacing w:before="78"/>
              <w:ind w:left="107"/>
              <w:rPr>
                <w:sz w:val="20"/>
              </w:rPr>
            </w:pPr>
            <w:r>
              <w:rPr>
                <w:sz w:val="20"/>
              </w:rPr>
              <w:t>1080</w:t>
            </w:r>
            <w:r>
              <w:rPr>
                <w:spacing w:val="-5"/>
                <w:sz w:val="20"/>
              </w:rPr>
              <w:t> </w:t>
            </w:r>
            <w:r>
              <w:rPr>
                <w:spacing w:val="-2"/>
                <w:sz w:val="20"/>
              </w:rPr>
              <w:t>carrot/oats</w:t>
            </w:r>
          </w:p>
        </w:tc>
        <w:tc>
          <w:tcPr>
            <w:tcW w:w="1733" w:type="dxa"/>
            <w:tcBorders>
              <w:bottom w:val="single" w:sz="4" w:space="0" w:color="000000"/>
            </w:tcBorders>
            <w:shd w:val="clear" w:color="auto" w:fill="CCDBEA"/>
          </w:tcPr>
          <w:p>
            <w:pPr>
              <w:pStyle w:val="TableParagraph"/>
              <w:spacing w:before="78"/>
              <w:jc w:val="center"/>
              <w:rPr>
                <w:sz w:val="20"/>
              </w:rPr>
            </w:pPr>
            <w:r>
              <w:rPr>
                <w:spacing w:val="-5"/>
                <w:sz w:val="20"/>
              </w:rPr>
              <w:t>86</w:t>
            </w:r>
          </w:p>
        </w:tc>
        <w:tc>
          <w:tcPr>
            <w:tcW w:w="2739" w:type="dxa"/>
            <w:tcBorders>
              <w:bottom w:val="single" w:sz="4" w:space="0" w:color="000000"/>
            </w:tcBorders>
          </w:tcPr>
          <w:p>
            <w:pPr>
              <w:pStyle w:val="TableParagraph"/>
              <w:spacing w:before="78"/>
              <w:ind w:left="107"/>
              <w:rPr>
                <w:sz w:val="20"/>
              </w:rPr>
            </w:pPr>
            <w:r>
              <w:rPr>
                <w:sz w:val="20"/>
              </w:rPr>
              <w:t>Gibson,</w:t>
            </w:r>
            <w:r>
              <w:rPr>
                <w:spacing w:val="-10"/>
                <w:sz w:val="20"/>
              </w:rPr>
              <w:t> </w:t>
            </w:r>
            <w:r>
              <w:rPr>
                <w:spacing w:val="-5"/>
                <w:sz w:val="20"/>
              </w:rPr>
              <w:t>WA</w:t>
            </w:r>
          </w:p>
        </w:tc>
        <w:tc>
          <w:tcPr>
            <w:tcW w:w="2896" w:type="dxa"/>
            <w:tcBorders>
              <w:bottom w:val="single" w:sz="4" w:space="0" w:color="000000"/>
            </w:tcBorders>
            <w:shd w:val="clear" w:color="auto" w:fill="CCDBEA"/>
          </w:tcPr>
          <w:p>
            <w:pPr>
              <w:pStyle w:val="TableParagraph"/>
              <w:spacing w:before="78"/>
              <w:ind w:left="110"/>
              <w:rPr>
                <w:sz w:val="20"/>
              </w:rPr>
            </w:pPr>
            <w:r>
              <w:rPr>
                <w:sz w:val="20"/>
              </w:rPr>
              <w:t>No.</w:t>
            </w:r>
            <w:r>
              <w:rPr>
                <w:spacing w:val="-7"/>
                <w:sz w:val="20"/>
              </w:rPr>
              <w:t> </w:t>
            </w:r>
            <w:r>
              <w:rPr>
                <w:sz w:val="20"/>
              </w:rPr>
              <w:t>killed</w:t>
            </w:r>
            <w:r>
              <w:rPr>
                <w:spacing w:val="-7"/>
                <w:sz w:val="20"/>
              </w:rPr>
              <w:t> </w:t>
            </w:r>
            <w:r>
              <w:rPr>
                <w:sz w:val="20"/>
              </w:rPr>
              <w:t>radio</w:t>
            </w:r>
            <w:r>
              <w:rPr>
                <w:spacing w:val="-5"/>
                <w:sz w:val="20"/>
              </w:rPr>
              <w:t> </w:t>
            </w:r>
            <w:r>
              <w:rPr>
                <w:spacing w:val="-2"/>
                <w:sz w:val="20"/>
              </w:rPr>
              <w:t>tracked</w:t>
            </w:r>
          </w:p>
        </w:tc>
        <w:tc>
          <w:tcPr>
            <w:tcW w:w="4962" w:type="dxa"/>
            <w:tcBorders>
              <w:bottom w:val="single" w:sz="4" w:space="0" w:color="000000"/>
            </w:tcBorders>
          </w:tcPr>
          <w:p>
            <w:pPr>
              <w:pStyle w:val="TableParagraph"/>
              <w:spacing w:before="78"/>
              <w:ind w:left="108"/>
              <w:rPr>
                <w:sz w:val="20"/>
              </w:rPr>
            </w:pPr>
            <w:r>
              <w:rPr>
                <w:sz w:val="20"/>
              </w:rPr>
              <w:t>Robinson</w:t>
            </w:r>
            <w:r>
              <w:rPr>
                <w:spacing w:val="-8"/>
                <w:sz w:val="20"/>
              </w:rPr>
              <w:t> </w:t>
            </w:r>
            <w:r>
              <w:rPr>
                <w:sz w:val="20"/>
              </w:rPr>
              <w:t>and</w:t>
            </w:r>
            <w:r>
              <w:rPr>
                <w:spacing w:val="-7"/>
                <w:sz w:val="20"/>
              </w:rPr>
              <w:t> </w:t>
            </w:r>
            <w:r>
              <w:rPr>
                <w:sz w:val="20"/>
              </w:rPr>
              <w:t>Wheeler</w:t>
            </w:r>
            <w:r>
              <w:rPr>
                <w:spacing w:val="-9"/>
                <w:sz w:val="20"/>
              </w:rPr>
              <w:t> </w:t>
            </w:r>
            <w:r>
              <w:rPr>
                <w:sz w:val="20"/>
              </w:rPr>
              <w:t>1983;</w:t>
            </w:r>
            <w:r>
              <w:rPr>
                <w:spacing w:val="-9"/>
                <w:sz w:val="20"/>
              </w:rPr>
              <w:t> </w:t>
            </w:r>
            <w:r>
              <w:rPr>
                <w:sz w:val="20"/>
              </w:rPr>
              <w:t>Wheeler</w:t>
            </w:r>
            <w:r>
              <w:rPr>
                <w:spacing w:val="-8"/>
                <w:sz w:val="20"/>
              </w:rPr>
              <w:t> </w:t>
            </w:r>
            <w:r>
              <w:rPr>
                <w:spacing w:val="-4"/>
                <w:sz w:val="20"/>
              </w:rPr>
              <w:t>1984</w:t>
            </w:r>
          </w:p>
        </w:tc>
      </w:tr>
      <w:tr>
        <w:trPr>
          <w:trHeight w:val="366" w:hRule="atLeast"/>
        </w:trPr>
        <w:tc>
          <w:tcPr>
            <w:tcW w:w="1990" w:type="dxa"/>
            <w:vMerge w:val="restart"/>
            <w:tcBorders>
              <w:top w:val="single" w:sz="4" w:space="0" w:color="000000"/>
              <w:bottom w:val="single" w:sz="4" w:space="0" w:color="000000"/>
            </w:tcBorders>
          </w:tcPr>
          <w:p>
            <w:pPr>
              <w:pStyle w:val="TableParagraph"/>
              <w:rPr>
                <w:b/>
                <w:sz w:val="20"/>
              </w:rPr>
            </w:pPr>
          </w:p>
          <w:p>
            <w:pPr>
              <w:pStyle w:val="TableParagraph"/>
              <w:spacing w:before="187"/>
              <w:rPr>
                <w:b/>
                <w:sz w:val="20"/>
              </w:rPr>
            </w:pPr>
          </w:p>
          <w:p>
            <w:pPr>
              <w:pStyle w:val="TableParagraph"/>
              <w:ind w:left="107"/>
              <w:rPr>
                <w:sz w:val="20"/>
              </w:rPr>
            </w:pPr>
            <w:r>
              <w:rPr>
                <w:sz w:val="20"/>
              </w:rPr>
              <w:t>1080</w:t>
            </w:r>
            <w:r>
              <w:rPr>
                <w:spacing w:val="-5"/>
                <w:sz w:val="20"/>
              </w:rPr>
              <w:t> </w:t>
            </w:r>
            <w:r>
              <w:rPr>
                <w:spacing w:val="-4"/>
                <w:sz w:val="20"/>
              </w:rPr>
              <w:t>oats</w:t>
            </w:r>
          </w:p>
        </w:tc>
        <w:tc>
          <w:tcPr>
            <w:tcW w:w="1733" w:type="dxa"/>
            <w:tcBorders>
              <w:top w:val="single" w:sz="4" w:space="0" w:color="000000"/>
              <w:bottom w:val="single" w:sz="2" w:space="0" w:color="A6A6A6"/>
            </w:tcBorders>
            <w:shd w:val="clear" w:color="auto" w:fill="CCDBEA"/>
          </w:tcPr>
          <w:p>
            <w:pPr>
              <w:pStyle w:val="TableParagraph"/>
              <w:spacing w:before="78"/>
              <w:jc w:val="center"/>
              <w:rPr>
                <w:sz w:val="20"/>
              </w:rPr>
            </w:pPr>
            <w:r>
              <w:rPr>
                <w:spacing w:val="-2"/>
                <w:sz w:val="20"/>
              </w:rPr>
              <w:t>74–100</w:t>
            </w:r>
          </w:p>
        </w:tc>
        <w:tc>
          <w:tcPr>
            <w:tcW w:w="2739" w:type="dxa"/>
            <w:tcBorders>
              <w:top w:val="single" w:sz="4" w:space="0" w:color="000000"/>
              <w:bottom w:val="single" w:sz="2" w:space="0" w:color="A6A6A6"/>
            </w:tcBorders>
          </w:tcPr>
          <w:p>
            <w:pPr>
              <w:pStyle w:val="TableParagraph"/>
              <w:spacing w:before="78"/>
              <w:ind w:left="107"/>
              <w:rPr>
                <w:sz w:val="20"/>
              </w:rPr>
            </w:pPr>
            <w:r>
              <w:rPr>
                <w:sz w:val="20"/>
              </w:rPr>
              <w:t>Meningie,</w:t>
            </w:r>
            <w:r>
              <w:rPr>
                <w:spacing w:val="-13"/>
                <w:sz w:val="20"/>
              </w:rPr>
              <w:t> </w:t>
            </w:r>
            <w:r>
              <w:rPr>
                <w:spacing w:val="-5"/>
                <w:sz w:val="20"/>
              </w:rPr>
              <w:t>SA</w:t>
            </w:r>
          </w:p>
        </w:tc>
        <w:tc>
          <w:tcPr>
            <w:tcW w:w="2896" w:type="dxa"/>
            <w:tcBorders>
              <w:top w:val="single" w:sz="4" w:space="0" w:color="000000"/>
              <w:bottom w:val="single" w:sz="2" w:space="0" w:color="A6A6A6"/>
            </w:tcBorders>
            <w:shd w:val="clear" w:color="auto" w:fill="CCDBEA"/>
          </w:tcPr>
          <w:p>
            <w:pPr>
              <w:pStyle w:val="TableParagraph"/>
              <w:spacing w:before="78"/>
              <w:ind w:left="110"/>
              <w:rPr>
                <w:sz w:val="20"/>
              </w:rPr>
            </w:pPr>
            <w:r>
              <w:rPr>
                <w:sz w:val="20"/>
              </w:rPr>
              <w:t>Rabbits</w:t>
            </w:r>
            <w:r>
              <w:rPr>
                <w:spacing w:val="-9"/>
                <w:sz w:val="20"/>
              </w:rPr>
              <w:t> </w:t>
            </w:r>
            <w:r>
              <w:rPr>
                <w:sz w:val="20"/>
              </w:rPr>
              <w:t>per</w:t>
            </w:r>
            <w:r>
              <w:rPr>
                <w:spacing w:val="-8"/>
                <w:sz w:val="20"/>
              </w:rPr>
              <w:t> </w:t>
            </w:r>
            <w:r>
              <w:rPr>
                <w:sz w:val="20"/>
              </w:rPr>
              <w:t>spotlight</w:t>
            </w:r>
            <w:r>
              <w:rPr>
                <w:spacing w:val="-10"/>
                <w:sz w:val="20"/>
              </w:rPr>
              <w:t> </w:t>
            </w:r>
            <w:r>
              <w:rPr>
                <w:spacing w:val="-5"/>
                <w:sz w:val="20"/>
              </w:rPr>
              <w:t>km</w:t>
            </w:r>
          </w:p>
        </w:tc>
        <w:tc>
          <w:tcPr>
            <w:tcW w:w="4962" w:type="dxa"/>
            <w:tcBorders>
              <w:top w:val="single" w:sz="4" w:space="0" w:color="000000"/>
              <w:bottom w:val="single" w:sz="2" w:space="0" w:color="A6A6A6"/>
            </w:tcBorders>
          </w:tcPr>
          <w:p>
            <w:pPr>
              <w:pStyle w:val="TableParagraph"/>
              <w:spacing w:before="78"/>
              <w:ind w:left="108"/>
              <w:rPr>
                <w:sz w:val="20"/>
              </w:rPr>
            </w:pPr>
            <w:r>
              <w:rPr>
                <w:sz w:val="20"/>
              </w:rPr>
              <w:t>Burley</w:t>
            </w:r>
            <w:r>
              <w:rPr>
                <w:spacing w:val="-8"/>
                <w:sz w:val="20"/>
              </w:rPr>
              <w:t> </w:t>
            </w:r>
            <w:r>
              <w:rPr>
                <w:spacing w:val="-4"/>
                <w:sz w:val="20"/>
              </w:rPr>
              <w:t>1986</w:t>
            </w:r>
          </w:p>
        </w:tc>
      </w:tr>
      <w:tr>
        <w:trPr>
          <w:trHeight w:val="369" w:hRule="atLeast"/>
        </w:trPr>
        <w:tc>
          <w:tcPr>
            <w:tcW w:w="1990" w:type="dxa"/>
            <w:vMerge/>
            <w:tcBorders>
              <w:top w:val="nil"/>
              <w:bottom w:val="single" w:sz="4" w:space="0" w:color="000000"/>
            </w:tcBorders>
          </w:tcPr>
          <w:p>
            <w:pPr>
              <w:rPr>
                <w:sz w:val="2"/>
                <w:szCs w:val="2"/>
              </w:rPr>
            </w:pPr>
          </w:p>
        </w:tc>
        <w:tc>
          <w:tcPr>
            <w:tcW w:w="1733" w:type="dxa"/>
            <w:tcBorders>
              <w:top w:val="single" w:sz="2" w:space="0" w:color="A6A6A6"/>
              <w:bottom w:val="single" w:sz="2" w:space="0" w:color="A6A6A6"/>
            </w:tcBorders>
            <w:shd w:val="clear" w:color="auto" w:fill="CCDBEA"/>
          </w:tcPr>
          <w:p>
            <w:pPr>
              <w:pStyle w:val="TableParagraph"/>
              <w:spacing w:before="81"/>
              <w:jc w:val="center"/>
              <w:rPr>
                <w:sz w:val="20"/>
              </w:rPr>
            </w:pPr>
            <w:r>
              <w:rPr>
                <w:spacing w:val="-4"/>
                <w:sz w:val="20"/>
              </w:rPr>
              <w:t>91–98</w:t>
            </w:r>
          </w:p>
        </w:tc>
        <w:tc>
          <w:tcPr>
            <w:tcW w:w="2739" w:type="dxa"/>
            <w:tcBorders>
              <w:top w:val="single" w:sz="2" w:space="0" w:color="A6A6A6"/>
              <w:bottom w:val="single" w:sz="2" w:space="0" w:color="A6A6A6"/>
            </w:tcBorders>
          </w:tcPr>
          <w:p>
            <w:pPr>
              <w:pStyle w:val="TableParagraph"/>
              <w:spacing w:before="81"/>
              <w:ind w:left="107"/>
              <w:rPr>
                <w:sz w:val="20"/>
              </w:rPr>
            </w:pPr>
            <w:r>
              <w:rPr>
                <w:sz w:val="20"/>
              </w:rPr>
              <w:t>south-east</w:t>
            </w:r>
            <w:r>
              <w:rPr>
                <w:spacing w:val="-14"/>
                <w:sz w:val="20"/>
              </w:rPr>
              <w:t> </w:t>
            </w:r>
            <w:r>
              <w:rPr>
                <w:spacing w:val="-5"/>
                <w:sz w:val="20"/>
              </w:rPr>
              <w:t>NSW</w:t>
            </w:r>
          </w:p>
        </w:tc>
        <w:tc>
          <w:tcPr>
            <w:tcW w:w="2896" w:type="dxa"/>
            <w:tcBorders>
              <w:top w:val="single" w:sz="2" w:space="0" w:color="A6A6A6"/>
              <w:bottom w:val="single" w:sz="2" w:space="0" w:color="A6A6A6"/>
            </w:tcBorders>
            <w:shd w:val="clear" w:color="auto" w:fill="CCDBEA"/>
          </w:tcPr>
          <w:p>
            <w:pPr>
              <w:pStyle w:val="TableParagraph"/>
              <w:spacing w:before="81"/>
              <w:ind w:left="110"/>
              <w:rPr>
                <w:sz w:val="20"/>
              </w:rPr>
            </w:pPr>
            <w:r>
              <w:rPr>
                <w:sz w:val="20"/>
              </w:rPr>
              <w:t>Standard</w:t>
            </w:r>
            <w:r>
              <w:rPr>
                <w:spacing w:val="-10"/>
                <w:sz w:val="20"/>
              </w:rPr>
              <w:t> </w:t>
            </w:r>
            <w:r>
              <w:rPr>
                <w:sz w:val="20"/>
              </w:rPr>
              <w:t>walk</w:t>
            </w:r>
            <w:r>
              <w:rPr>
                <w:spacing w:val="-10"/>
                <w:sz w:val="20"/>
              </w:rPr>
              <w:t> </w:t>
            </w:r>
            <w:r>
              <w:rPr>
                <w:spacing w:val="-2"/>
                <w:sz w:val="20"/>
              </w:rPr>
              <w:t>counts</w:t>
            </w:r>
          </w:p>
        </w:tc>
        <w:tc>
          <w:tcPr>
            <w:tcW w:w="4962" w:type="dxa"/>
            <w:tcBorders>
              <w:top w:val="single" w:sz="2" w:space="0" w:color="A6A6A6"/>
              <w:bottom w:val="single" w:sz="2" w:space="0" w:color="A6A6A6"/>
            </w:tcBorders>
          </w:tcPr>
          <w:p>
            <w:pPr>
              <w:pStyle w:val="TableParagraph"/>
              <w:spacing w:before="81"/>
              <w:ind w:left="108"/>
              <w:rPr>
                <w:sz w:val="20"/>
              </w:rPr>
            </w:pPr>
            <w:r>
              <w:rPr>
                <w:sz w:val="20"/>
              </w:rPr>
              <w:t>Rowley</w:t>
            </w:r>
            <w:r>
              <w:rPr>
                <w:spacing w:val="-9"/>
                <w:sz w:val="20"/>
              </w:rPr>
              <w:t> </w:t>
            </w:r>
            <w:r>
              <w:rPr>
                <w:spacing w:val="-4"/>
                <w:sz w:val="20"/>
              </w:rPr>
              <w:t>1968</w:t>
            </w:r>
          </w:p>
        </w:tc>
      </w:tr>
      <w:tr>
        <w:trPr>
          <w:trHeight w:val="371" w:hRule="atLeast"/>
        </w:trPr>
        <w:tc>
          <w:tcPr>
            <w:tcW w:w="1990" w:type="dxa"/>
            <w:vMerge/>
            <w:tcBorders>
              <w:top w:val="nil"/>
              <w:bottom w:val="single" w:sz="4" w:space="0" w:color="000000"/>
            </w:tcBorders>
          </w:tcPr>
          <w:p>
            <w:pPr>
              <w:rPr>
                <w:sz w:val="2"/>
                <w:szCs w:val="2"/>
              </w:rPr>
            </w:pPr>
          </w:p>
        </w:tc>
        <w:tc>
          <w:tcPr>
            <w:tcW w:w="1733" w:type="dxa"/>
            <w:tcBorders>
              <w:top w:val="single" w:sz="2" w:space="0" w:color="A6A6A6"/>
              <w:bottom w:val="single" w:sz="2" w:space="0" w:color="A6A6A6"/>
            </w:tcBorders>
            <w:shd w:val="clear" w:color="auto" w:fill="CCDBEA"/>
          </w:tcPr>
          <w:p>
            <w:pPr>
              <w:pStyle w:val="TableParagraph"/>
              <w:spacing w:before="81"/>
              <w:jc w:val="center"/>
              <w:rPr>
                <w:sz w:val="20"/>
              </w:rPr>
            </w:pPr>
            <w:r>
              <w:rPr>
                <w:spacing w:val="-4"/>
                <w:sz w:val="20"/>
              </w:rPr>
              <w:t>45–70</w:t>
            </w:r>
          </w:p>
        </w:tc>
        <w:tc>
          <w:tcPr>
            <w:tcW w:w="2739" w:type="dxa"/>
            <w:tcBorders>
              <w:top w:val="single" w:sz="2" w:space="0" w:color="A6A6A6"/>
              <w:bottom w:val="single" w:sz="2" w:space="0" w:color="A6A6A6"/>
            </w:tcBorders>
          </w:tcPr>
          <w:p>
            <w:pPr>
              <w:pStyle w:val="TableParagraph"/>
              <w:spacing w:before="81"/>
              <w:ind w:left="107"/>
              <w:rPr>
                <w:sz w:val="20"/>
              </w:rPr>
            </w:pPr>
            <w:r>
              <w:rPr>
                <w:sz w:val="20"/>
              </w:rPr>
              <w:t>south-west</w:t>
            </w:r>
            <w:r>
              <w:rPr>
                <w:spacing w:val="-11"/>
                <w:sz w:val="20"/>
              </w:rPr>
              <w:t> </w:t>
            </w:r>
            <w:r>
              <w:rPr>
                <w:spacing w:val="-5"/>
                <w:sz w:val="20"/>
              </w:rPr>
              <w:t>WA</w:t>
            </w:r>
          </w:p>
        </w:tc>
        <w:tc>
          <w:tcPr>
            <w:tcW w:w="2896" w:type="dxa"/>
            <w:tcBorders>
              <w:top w:val="single" w:sz="2" w:space="0" w:color="A6A6A6"/>
              <w:bottom w:val="single" w:sz="2" w:space="0" w:color="A6A6A6"/>
            </w:tcBorders>
            <w:shd w:val="clear" w:color="auto" w:fill="CCDBEA"/>
          </w:tcPr>
          <w:p>
            <w:pPr>
              <w:pStyle w:val="TableParagraph"/>
              <w:spacing w:before="81"/>
              <w:ind w:left="110"/>
              <w:rPr>
                <w:sz w:val="20"/>
              </w:rPr>
            </w:pPr>
            <w:r>
              <w:rPr>
                <w:sz w:val="20"/>
              </w:rPr>
              <w:t>Rabbits</w:t>
            </w:r>
            <w:r>
              <w:rPr>
                <w:spacing w:val="-9"/>
                <w:sz w:val="20"/>
              </w:rPr>
              <w:t> </w:t>
            </w:r>
            <w:r>
              <w:rPr>
                <w:sz w:val="20"/>
              </w:rPr>
              <w:t>per</w:t>
            </w:r>
            <w:r>
              <w:rPr>
                <w:spacing w:val="-8"/>
                <w:sz w:val="20"/>
              </w:rPr>
              <w:t> </w:t>
            </w:r>
            <w:r>
              <w:rPr>
                <w:sz w:val="20"/>
              </w:rPr>
              <w:t>spotlight</w:t>
            </w:r>
            <w:r>
              <w:rPr>
                <w:spacing w:val="-10"/>
                <w:sz w:val="20"/>
              </w:rPr>
              <w:t> </w:t>
            </w:r>
            <w:r>
              <w:rPr>
                <w:spacing w:val="-5"/>
                <w:sz w:val="20"/>
              </w:rPr>
              <w:t>km</w:t>
            </w:r>
          </w:p>
        </w:tc>
        <w:tc>
          <w:tcPr>
            <w:tcW w:w="4962" w:type="dxa"/>
            <w:tcBorders>
              <w:top w:val="single" w:sz="2" w:space="0" w:color="A6A6A6"/>
              <w:bottom w:val="single" w:sz="2" w:space="0" w:color="A6A6A6"/>
            </w:tcBorders>
          </w:tcPr>
          <w:p>
            <w:pPr>
              <w:pStyle w:val="TableParagraph"/>
              <w:spacing w:before="81"/>
              <w:ind w:left="108"/>
              <w:rPr>
                <w:sz w:val="20"/>
              </w:rPr>
            </w:pPr>
            <w:r>
              <w:rPr>
                <w:sz w:val="20"/>
              </w:rPr>
              <w:t>Oliver</w:t>
            </w:r>
            <w:r>
              <w:rPr>
                <w:spacing w:val="-7"/>
                <w:sz w:val="20"/>
              </w:rPr>
              <w:t> </w:t>
            </w:r>
            <w:r>
              <w:rPr>
                <w:sz w:val="20"/>
              </w:rPr>
              <w:t>et</w:t>
            </w:r>
            <w:r>
              <w:rPr>
                <w:spacing w:val="-4"/>
                <w:sz w:val="20"/>
              </w:rPr>
              <w:t> </w:t>
            </w:r>
            <w:r>
              <w:rPr>
                <w:sz w:val="20"/>
              </w:rPr>
              <w:t>al.</w:t>
            </w:r>
            <w:r>
              <w:rPr>
                <w:spacing w:val="-3"/>
                <w:sz w:val="20"/>
              </w:rPr>
              <w:t> </w:t>
            </w:r>
            <w:r>
              <w:rPr>
                <w:spacing w:val="-4"/>
                <w:sz w:val="20"/>
              </w:rPr>
              <w:t>1982</w:t>
            </w:r>
          </w:p>
        </w:tc>
      </w:tr>
      <w:tr>
        <w:trPr>
          <w:trHeight w:val="372" w:hRule="atLeast"/>
        </w:trPr>
        <w:tc>
          <w:tcPr>
            <w:tcW w:w="1990" w:type="dxa"/>
            <w:vMerge/>
            <w:tcBorders>
              <w:top w:val="nil"/>
              <w:bottom w:val="single" w:sz="4" w:space="0" w:color="000000"/>
            </w:tcBorders>
          </w:tcPr>
          <w:p>
            <w:pPr>
              <w:rPr>
                <w:sz w:val="2"/>
                <w:szCs w:val="2"/>
              </w:rPr>
            </w:pPr>
          </w:p>
        </w:tc>
        <w:tc>
          <w:tcPr>
            <w:tcW w:w="1733" w:type="dxa"/>
            <w:tcBorders>
              <w:top w:val="single" w:sz="2" w:space="0" w:color="A6A6A6"/>
              <w:bottom w:val="single" w:sz="4" w:space="0" w:color="000000"/>
            </w:tcBorders>
            <w:shd w:val="clear" w:color="auto" w:fill="CCDBEA"/>
          </w:tcPr>
          <w:p>
            <w:pPr>
              <w:pStyle w:val="TableParagraph"/>
              <w:spacing w:before="81"/>
              <w:jc w:val="center"/>
              <w:rPr>
                <w:sz w:val="20"/>
              </w:rPr>
            </w:pPr>
            <w:r>
              <w:rPr>
                <w:spacing w:val="-4"/>
                <w:sz w:val="20"/>
              </w:rPr>
              <w:t>85–90</w:t>
            </w:r>
          </w:p>
        </w:tc>
        <w:tc>
          <w:tcPr>
            <w:tcW w:w="2739" w:type="dxa"/>
            <w:tcBorders>
              <w:top w:val="single" w:sz="2" w:space="0" w:color="A6A6A6"/>
              <w:bottom w:val="single" w:sz="4" w:space="0" w:color="000000"/>
            </w:tcBorders>
          </w:tcPr>
          <w:p>
            <w:pPr>
              <w:pStyle w:val="TableParagraph"/>
              <w:spacing w:before="81"/>
              <w:ind w:left="107"/>
              <w:rPr>
                <w:sz w:val="20"/>
              </w:rPr>
            </w:pPr>
            <w:r>
              <w:rPr>
                <w:sz w:val="20"/>
              </w:rPr>
              <w:t>Esperence,</w:t>
            </w:r>
            <w:r>
              <w:rPr>
                <w:spacing w:val="-14"/>
                <w:sz w:val="20"/>
              </w:rPr>
              <w:t> </w:t>
            </w:r>
            <w:r>
              <w:rPr>
                <w:spacing w:val="-5"/>
                <w:sz w:val="20"/>
              </w:rPr>
              <w:t>WA</w:t>
            </w:r>
          </w:p>
        </w:tc>
        <w:tc>
          <w:tcPr>
            <w:tcW w:w="2896" w:type="dxa"/>
            <w:tcBorders>
              <w:top w:val="single" w:sz="2" w:space="0" w:color="A6A6A6"/>
              <w:bottom w:val="single" w:sz="4" w:space="0" w:color="000000"/>
            </w:tcBorders>
            <w:shd w:val="clear" w:color="auto" w:fill="CCDBEA"/>
          </w:tcPr>
          <w:p>
            <w:pPr>
              <w:pStyle w:val="TableParagraph"/>
              <w:spacing w:before="81"/>
              <w:ind w:left="110"/>
              <w:rPr>
                <w:sz w:val="20"/>
              </w:rPr>
            </w:pPr>
            <w:r>
              <w:rPr>
                <w:sz w:val="20"/>
              </w:rPr>
              <w:t>No.</w:t>
            </w:r>
            <w:r>
              <w:rPr>
                <w:spacing w:val="-7"/>
                <w:sz w:val="20"/>
              </w:rPr>
              <w:t> </w:t>
            </w:r>
            <w:r>
              <w:rPr>
                <w:sz w:val="20"/>
              </w:rPr>
              <w:t>killed</w:t>
            </w:r>
            <w:r>
              <w:rPr>
                <w:spacing w:val="-7"/>
                <w:sz w:val="20"/>
              </w:rPr>
              <w:t> </w:t>
            </w:r>
            <w:r>
              <w:rPr>
                <w:sz w:val="20"/>
              </w:rPr>
              <w:t>radio</w:t>
            </w:r>
            <w:r>
              <w:rPr>
                <w:spacing w:val="-5"/>
                <w:sz w:val="20"/>
              </w:rPr>
              <w:t> </w:t>
            </w:r>
            <w:r>
              <w:rPr>
                <w:spacing w:val="-2"/>
                <w:sz w:val="20"/>
              </w:rPr>
              <w:t>tracked</w:t>
            </w:r>
          </w:p>
        </w:tc>
        <w:tc>
          <w:tcPr>
            <w:tcW w:w="4962" w:type="dxa"/>
            <w:tcBorders>
              <w:top w:val="single" w:sz="2" w:space="0" w:color="A6A6A6"/>
              <w:bottom w:val="single" w:sz="4" w:space="0" w:color="000000"/>
            </w:tcBorders>
          </w:tcPr>
          <w:p>
            <w:pPr>
              <w:pStyle w:val="TableParagraph"/>
              <w:spacing w:before="81"/>
              <w:ind w:left="108"/>
              <w:rPr>
                <w:sz w:val="20"/>
              </w:rPr>
            </w:pPr>
            <w:r>
              <w:rPr>
                <w:sz w:val="20"/>
              </w:rPr>
              <w:t>Wheeler</w:t>
            </w:r>
            <w:r>
              <w:rPr>
                <w:spacing w:val="-11"/>
                <w:sz w:val="20"/>
              </w:rPr>
              <w:t> </w:t>
            </w:r>
            <w:r>
              <w:rPr>
                <w:spacing w:val="-4"/>
                <w:sz w:val="20"/>
              </w:rPr>
              <w:t>1984</w:t>
            </w:r>
          </w:p>
        </w:tc>
      </w:tr>
      <w:tr>
        <w:trPr>
          <w:trHeight w:val="366" w:hRule="atLeast"/>
        </w:trPr>
        <w:tc>
          <w:tcPr>
            <w:tcW w:w="1990" w:type="dxa"/>
            <w:vMerge w:val="restart"/>
            <w:tcBorders>
              <w:top w:val="single" w:sz="4" w:space="0" w:color="000000"/>
              <w:bottom w:val="single" w:sz="4" w:space="0" w:color="000000"/>
            </w:tcBorders>
          </w:tcPr>
          <w:p>
            <w:pPr>
              <w:pStyle w:val="TableParagraph"/>
              <w:spacing w:before="227"/>
              <w:rPr>
                <w:b/>
                <w:sz w:val="20"/>
              </w:rPr>
            </w:pPr>
          </w:p>
          <w:p>
            <w:pPr>
              <w:pStyle w:val="TableParagraph"/>
              <w:spacing w:before="1"/>
              <w:ind w:left="107"/>
              <w:rPr>
                <w:sz w:val="20"/>
              </w:rPr>
            </w:pPr>
            <w:r>
              <w:rPr>
                <w:sz w:val="20"/>
              </w:rPr>
              <w:t>1080</w:t>
            </w:r>
            <w:r>
              <w:rPr>
                <w:spacing w:val="-5"/>
                <w:sz w:val="20"/>
              </w:rPr>
              <w:t> </w:t>
            </w:r>
            <w:r>
              <w:rPr>
                <w:spacing w:val="-2"/>
                <w:sz w:val="20"/>
              </w:rPr>
              <w:t>carrots</w:t>
            </w:r>
          </w:p>
        </w:tc>
        <w:tc>
          <w:tcPr>
            <w:tcW w:w="1733" w:type="dxa"/>
            <w:tcBorders>
              <w:top w:val="single" w:sz="4" w:space="0" w:color="000000"/>
              <w:bottom w:val="single" w:sz="2" w:space="0" w:color="A6A6A6"/>
            </w:tcBorders>
            <w:shd w:val="clear" w:color="auto" w:fill="CCDBEA"/>
          </w:tcPr>
          <w:p>
            <w:pPr>
              <w:pStyle w:val="TableParagraph"/>
              <w:spacing w:before="78"/>
              <w:jc w:val="center"/>
              <w:rPr>
                <w:sz w:val="20"/>
              </w:rPr>
            </w:pPr>
            <w:r>
              <w:rPr>
                <w:sz w:val="20"/>
              </w:rPr>
              <w:t>79</w:t>
            </w:r>
            <w:r>
              <w:rPr>
                <w:spacing w:val="-5"/>
                <w:sz w:val="20"/>
              </w:rPr>
              <w:t> </w:t>
            </w:r>
            <w:r>
              <w:rPr>
                <w:spacing w:val="-4"/>
                <w:sz w:val="20"/>
              </w:rPr>
              <w:t>–100</w:t>
            </w:r>
          </w:p>
        </w:tc>
        <w:tc>
          <w:tcPr>
            <w:tcW w:w="2739" w:type="dxa"/>
            <w:tcBorders>
              <w:top w:val="single" w:sz="4" w:space="0" w:color="000000"/>
              <w:bottom w:val="single" w:sz="2" w:space="0" w:color="A6A6A6"/>
            </w:tcBorders>
          </w:tcPr>
          <w:p>
            <w:pPr>
              <w:pStyle w:val="TableParagraph"/>
              <w:spacing w:before="78"/>
              <w:ind w:left="107"/>
              <w:rPr>
                <w:sz w:val="20"/>
              </w:rPr>
            </w:pPr>
            <w:r>
              <w:rPr>
                <w:sz w:val="20"/>
              </w:rPr>
              <w:t>Meningie,</w:t>
            </w:r>
            <w:r>
              <w:rPr>
                <w:spacing w:val="-13"/>
                <w:sz w:val="20"/>
              </w:rPr>
              <w:t> </w:t>
            </w:r>
            <w:r>
              <w:rPr>
                <w:spacing w:val="-5"/>
                <w:sz w:val="20"/>
              </w:rPr>
              <w:t>SA</w:t>
            </w:r>
          </w:p>
        </w:tc>
        <w:tc>
          <w:tcPr>
            <w:tcW w:w="2896" w:type="dxa"/>
            <w:tcBorders>
              <w:top w:val="single" w:sz="4" w:space="0" w:color="000000"/>
              <w:bottom w:val="single" w:sz="2" w:space="0" w:color="A6A6A6"/>
            </w:tcBorders>
            <w:shd w:val="clear" w:color="auto" w:fill="CCDBEA"/>
          </w:tcPr>
          <w:p>
            <w:pPr>
              <w:pStyle w:val="TableParagraph"/>
              <w:spacing w:before="78"/>
              <w:ind w:left="110"/>
              <w:rPr>
                <w:sz w:val="20"/>
              </w:rPr>
            </w:pPr>
            <w:r>
              <w:rPr>
                <w:sz w:val="20"/>
              </w:rPr>
              <w:t>Rabbits</w:t>
            </w:r>
            <w:r>
              <w:rPr>
                <w:spacing w:val="-9"/>
                <w:sz w:val="20"/>
              </w:rPr>
              <w:t> </w:t>
            </w:r>
            <w:r>
              <w:rPr>
                <w:sz w:val="20"/>
              </w:rPr>
              <w:t>per</w:t>
            </w:r>
            <w:r>
              <w:rPr>
                <w:spacing w:val="-8"/>
                <w:sz w:val="20"/>
              </w:rPr>
              <w:t> </w:t>
            </w:r>
            <w:r>
              <w:rPr>
                <w:sz w:val="20"/>
              </w:rPr>
              <w:t>spotlight</w:t>
            </w:r>
            <w:r>
              <w:rPr>
                <w:spacing w:val="-10"/>
                <w:sz w:val="20"/>
              </w:rPr>
              <w:t> </w:t>
            </w:r>
            <w:r>
              <w:rPr>
                <w:spacing w:val="-5"/>
                <w:sz w:val="20"/>
              </w:rPr>
              <w:t>km</w:t>
            </w:r>
          </w:p>
        </w:tc>
        <w:tc>
          <w:tcPr>
            <w:tcW w:w="4962" w:type="dxa"/>
            <w:tcBorders>
              <w:top w:val="single" w:sz="4" w:space="0" w:color="000000"/>
              <w:bottom w:val="single" w:sz="2" w:space="0" w:color="A6A6A6"/>
            </w:tcBorders>
          </w:tcPr>
          <w:p>
            <w:pPr>
              <w:pStyle w:val="TableParagraph"/>
              <w:spacing w:before="78"/>
              <w:ind w:left="108"/>
              <w:rPr>
                <w:sz w:val="20"/>
              </w:rPr>
            </w:pPr>
            <w:r>
              <w:rPr>
                <w:sz w:val="20"/>
              </w:rPr>
              <w:t>Burley</w:t>
            </w:r>
            <w:r>
              <w:rPr>
                <w:spacing w:val="-8"/>
                <w:sz w:val="20"/>
              </w:rPr>
              <w:t> </w:t>
            </w:r>
            <w:r>
              <w:rPr>
                <w:spacing w:val="-4"/>
                <w:sz w:val="20"/>
              </w:rPr>
              <w:t>1986</w:t>
            </w:r>
          </w:p>
        </w:tc>
      </w:tr>
      <w:tr>
        <w:trPr>
          <w:trHeight w:val="371" w:hRule="atLeast"/>
        </w:trPr>
        <w:tc>
          <w:tcPr>
            <w:tcW w:w="1990" w:type="dxa"/>
            <w:vMerge/>
            <w:tcBorders>
              <w:top w:val="nil"/>
              <w:bottom w:val="single" w:sz="4" w:space="0" w:color="000000"/>
            </w:tcBorders>
          </w:tcPr>
          <w:p>
            <w:pPr>
              <w:rPr>
                <w:sz w:val="2"/>
                <w:szCs w:val="2"/>
              </w:rPr>
            </w:pPr>
          </w:p>
        </w:tc>
        <w:tc>
          <w:tcPr>
            <w:tcW w:w="1733" w:type="dxa"/>
            <w:tcBorders>
              <w:top w:val="single" w:sz="2" w:space="0" w:color="A6A6A6"/>
              <w:bottom w:val="single" w:sz="2" w:space="0" w:color="A6A6A6"/>
            </w:tcBorders>
            <w:shd w:val="clear" w:color="auto" w:fill="CCDBEA"/>
          </w:tcPr>
          <w:p>
            <w:pPr>
              <w:pStyle w:val="TableParagraph"/>
              <w:spacing w:before="81"/>
              <w:jc w:val="center"/>
              <w:rPr>
                <w:sz w:val="20"/>
              </w:rPr>
            </w:pPr>
            <w:r>
              <w:rPr>
                <w:spacing w:val="-5"/>
                <w:sz w:val="20"/>
              </w:rPr>
              <w:t>80</w:t>
            </w:r>
          </w:p>
        </w:tc>
        <w:tc>
          <w:tcPr>
            <w:tcW w:w="2739" w:type="dxa"/>
            <w:tcBorders>
              <w:top w:val="single" w:sz="2" w:space="0" w:color="A6A6A6"/>
              <w:bottom w:val="single" w:sz="2" w:space="0" w:color="A6A6A6"/>
            </w:tcBorders>
          </w:tcPr>
          <w:p>
            <w:pPr>
              <w:pStyle w:val="TableParagraph"/>
              <w:spacing w:before="81"/>
              <w:ind w:left="107"/>
              <w:rPr>
                <w:sz w:val="20"/>
              </w:rPr>
            </w:pPr>
            <w:r>
              <w:rPr>
                <w:sz w:val="20"/>
              </w:rPr>
              <w:t>Esperence,</w:t>
            </w:r>
            <w:r>
              <w:rPr>
                <w:spacing w:val="-14"/>
                <w:sz w:val="20"/>
              </w:rPr>
              <w:t> </w:t>
            </w:r>
            <w:r>
              <w:rPr>
                <w:spacing w:val="-5"/>
                <w:sz w:val="20"/>
              </w:rPr>
              <w:t>WA</w:t>
            </w:r>
          </w:p>
        </w:tc>
        <w:tc>
          <w:tcPr>
            <w:tcW w:w="2896" w:type="dxa"/>
            <w:tcBorders>
              <w:top w:val="single" w:sz="2" w:space="0" w:color="A6A6A6"/>
              <w:bottom w:val="single" w:sz="2" w:space="0" w:color="A6A6A6"/>
            </w:tcBorders>
            <w:shd w:val="clear" w:color="auto" w:fill="CCDBEA"/>
          </w:tcPr>
          <w:p>
            <w:pPr>
              <w:pStyle w:val="TableParagraph"/>
              <w:spacing w:before="81"/>
              <w:ind w:left="110"/>
              <w:rPr>
                <w:sz w:val="20"/>
              </w:rPr>
            </w:pPr>
            <w:r>
              <w:rPr>
                <w:sz w:val="20"/>
              </w:rPr>
              <w:t>No.</w:t>
            </w:r>
            <w:r>
              <w:rPr>
                <w:spacing w:val="-7"/>
                <w:sz w:val="20"/>
              </w:rPr>
              <w:t> </w:t>
            </w:r>
            <w:r>
              <w:rPr>
                <w:sz w:val="20"/>
              </w:rPr>
              <w:t>killed</w:t>
            </w:r>
            <w:r>
              <w:rPr>
                <w:spacing w:val="-7"/>
                <w:sz w:val="20"/>
              </w:rPr>
              <w:t> </w:t>
            </w:r>
            <w:r>
              <w:rPr>
                <w:sz w:val="20"/>
              </w:rPr>
              <w:t>radio</w:t>
            </w:r>
            <w:r>
              <w:rPr>
                <w:spacing w:val="-5"/>
                <w:sz w:val="20"/>
              </w:rPr>
              <w:t> </w:t>
            </w:r>
            <w:r>
              <w:rPr>
                <w:spacing w:val="-2"/>
                <w:sz w:val="20"/>
              </w:rPr>
              <w:t>tracked</w:t>
            </w:r>
          </w:p>
        </w:tc>
        <w:tc>
          <w:tcPr>
            <w:tcW w:w="4962" w:type="dxa"/>
            <w:tcBorders>
              <w:top w:val="single" w:sz="2" w:space="0" w:color="A6A6A6"/>
              <w:bottom w:val="single" w:sz="2" w:space="0" w:color="A6A6A6"/>
            </w:tcBorders>
          </w:tcPr>
          <w:p>
            <w:pPr>
              <w:pStyle w:val="TableParagraph"/>
              <w:spacing w:before="81"/>
              <w:ind w:left="108"/>
              <w:rPr>
                <w:sz w:val="20"/>
              </w:rPr>
            </w:pPr>
            <w:r>
              <w:rPr>
                <w:sz w:val="20"/>
              </w:rPr>
              <w:t>Wheeler</w:t>
            </w:r>
            <w:r>
              <w:rPr>
                <w:spacing w:val="-11"/>
                <w:sz w:val="20"/>
              </w:rPr>
              <w:t> </w:t>
            </w:r>
            <w:r>
              <w:rPr>
                <w:spacing w:val="-4"/>
                <w:sz w:val="20"/>
              </w:rPr>
              <w:t>1984</w:t>
            </w:r>
          </w:p>
        </w:tc>
      </w:tr>
      <w:tr>
        <w:trPr>
          <w:trHeight w:val="371" w:hRule="atLeast"/>
        </w:trPr>
        <w:tc>
          <w:tcPr>
            <w:tcW w:w="1990" w:type="dxa"/>
            <w:vMerge/>
            <w:tcBorders>
              <w:top w:val="nil"/>
              <w:bottom w:val="single" w:sz="4" w:space="0" w:color="000000"/>
            </w:tcBorders>
          </w:tcPr>
          <w:p>
            <w:pPr>
              <w:rPr>
                <w:sz w:val="2"/>
                <w:szCs w:val="2"/>
              </w:rPr>
            </w:pPr>
          </w:p>
        </w:tc>
        <w:tc>
          <w:tcPr>
            <w:tcW w:w="1733" w:type="dxa"/>
            <w:tcBorders>
              <w:top w:val="single" w:sz="2" w:space="0" w:color="A6A6A6"/>
              <w:bottom w:val="single" w:sz="4" w:space="0" w:color="000000"/>
            </w:tcBorders>
            <w:shd w:val="clear" w:color="auto" w:fill="CCDBEA"/>
          </w:tcPr>
          <w:p>
            <w:pPr>
              <w:pStyle w:val="TableParagraph"/>
              <w:spacing w:before="81"/>
              <w:jc w:val="center"/>
              <w:rPr>
                <w:sz w:val="20"/>
              </w:rPr>
            </w:pPr>
            <w:r>
              <w:rPr>
                <w:spacing w:val="-5"/>
                <w:sz w:val="20"/>
              </w:rPr>
              <w:t>33</w:t>
            </w:r>
          </w:p>
        </w:tc>
        <w:tc>
          <w:tcPr>
            <w:tcW w:w="2739" w:type="dxa"/>
            <w:tcBorders>
              <w:top w:val="single" w:sz="2" w:space="0" w:color="A6A6A6"/>
              <w:bottom w:val="single" w:sz="4" w:space="0" w:color="000000"/>
            </w:tcBorders>
          </w:tcPr>
          <w:p>
            <w:pPr>
              <w:pStyle w:val="TableParagraph"/>
              <w:spacing w:before="81"/>
              <w:ind w:left="107"/>
              <w:rPr>
                <w:sz w:val="20"/>
              </w:rPr>
            </w:pPr>
            <w:r>
              <w:rPr>
                <w:spacing w:val="-2"/>
                <w:sz w:val="20"/>
              </w:rPr>
              <w:t>Tasmania</w:t>
            </w:r>
          </w:p>
        </w:tc>
        <w:tc>
          <w:tcPr>
            <w:tcW w:w="2896" w:type="dxa"/>
            <w:tcBorders>
              <w:top w:val="single" w:sz="2" w:space="0" w:color="A6A6A6"/>
              <w:bottom w:val="single" w:sz="4" w:space="0" w:color="000000"/>
            </w:tcBorders>
            <w:shd w:val="clear" w:color="auto" w:fill="CCDBEA"/>
          </w:tcPr>
          <w:p>
            <w:pPr>
              <w:pStyle w:val="TableParagraph"/>
              <w:spacing w:before="81"/>
              <w:ind w:left="110"/>
              <w:rPr>
                <w:sz w:val="20"/>
              </w:rPr>
            </w:pPr>
            <w:r>
              <w:rPr>
                <w:sz w:val="20"/>
              </w:rPr>
              <w:t>Standard</w:t>
            </w:r>
            <w:r>
              <w:rPr>
                <w:spacing w:val="-10"/>
                <w:sz w:val="20"/>
              </w:rPr>
              <w:t> </w:t>
            </w:r>
            <w:r>
              <w:rPr>
                <w:sz w:val="20"/>
              </w:rPr>
              <w:t>walk</w:t>
            </w:r>
            <w:r>
              <w:rPr>
                <w:spacing w:val="-10"/>
                <w:sz w:val="20"/>
              </w:rPr>
              <w:t> </w:t>
            </w:r>
            <w:r>
              <w:rPr>
                <w:spacing w:val="-2"/>
                <w:sz w:val="20"/>
              </w:rPr>
              <w:t>counts</w:t>
            </w:r>
          </w:p>
        </w:tc>
        <w:tc>
          <w:tcPr>
            <w:tcW w:w="4962" w:type="dxa"/>
            <w:tcBorders>
              <w:top w:val="single" w:sz="2" w:space="0" w:color="A6A6A6"/>
              <w:bottom w:val="single" w:sz="4" w:space="0" w:color="000000"/>
            </w:tcBorders>
          </w:tcPr>
          <w:p>
            <w:pPr>
              <w:pStyle w:val="TableParagraph"/>
              <w:spacing w:before="81"/>
              <w:ind w:left="108"/>
              <w:rPr>
                <w:sz w:val="20"/>
              </w:rPr>
            </w:pPr>
            <w:r>
              <w:rPr>
                <w:sz w:val="20"/>
              </w:rPr>
              <w:t>Meldrum</w:t>
            </w:r>
            <w:r>
              <w:rPr>
                <w:spacing w:val="-8"/>
                <w:sz w:val="20"/>
              </w:rPr>
              <w:t> </w:t>
            </w:r>
            <w:r>
              <w:rPr>
                <w:spacing w:val="-4"/>
                <w:sz w:val="20"/>
              </w:rPr>
              <w:t>1957</w:t>
            </w:r>
          </w:p>
        </w:tc>
      </w:tr>
      <w:tr>
        <w:trPr>
          <w:trHeight w:val="366" w:hRule="atLeast"/>
        </w:trPr>
        <w:tc>
          <w:tcPr>
            <w:tcW w:w="1990" w:type="dxa"/>
            <w:vMerge w:val="restart"/>
            <w:tcBorders>
              <w:top w:val="single" w:sz="4" w:space="0" w:color="000000"/>
              <w:bottom w:val="single" w:sz="4" w:space="0" w:color="000000"/>
            </w:tcBorders>
          </w:tcPr>
          <w:p>
            <w:pPr>
              <w:pStyle w:val="TableParagraph"/>
              <w:spacing w:before="227"/>
              <w:rPr>
                <w:b/>
                <w:sz w:val="20"/>
              </w:rPr>
            </w:pPr>
          </w:p>
          <w:p>
            <w:pPr>
              <w:pStyle w:val="TableParagraph"/>
              <w:spacing w:before="1"/>
              <w:ind w:left="107"/>
              <w:rPr>
                <w:sz w:val="20"/>
              </w:rPr>
            </w:pPr>
            <w:r>
              <w:rPr>
                <w:spacing w:val="-2"/>
                <w:sz w:val="20"/>
              </w:rPr>
              <w:t>Pindone</w:t>
            </w:r>
          </w:p>
        </w:tc>
        <w:tc>
          <w:tcPr>
            <w:tcW w:w="1733" w:type="dxa"/>
            <w:tcBorders>
              <w:top w:val="single" w:sz="4" w:space="0" w:color="000000"/>
              <w:bottom w:val="single" w:sz="2" w:space="0" w:color="A6A6A6"/>
            </w:tcBorders>
            <w:shd w:val="clear" w:color="auto" w:fill="CCDBEA"/>
          </w:tcPr>
          <w:p>
            <w:pPr>
              <w:pStyle w:val="TableParagraph"/>
              <w:spacing w:before="78"/>
              <w:jc w:val="center"/>
              <w:rPr>
                <w:sz w:val="20"/>
              </w:rPr>
            </w:pPr>
            <w:r>
              <w:rPr>
                <w:spacing w:val="-4"/>
                <w:sz w:val="20"/>
              </w:rPr>
              <w:t>60–63</w:t>
            </w:r>
          </w:p>
        </w:tc>
        <w:tc>
          <w:tcPr>
            <w:tcW w:w="2739" w:type="dxa"/>
            <w:tcBorders>
              <w:top w:val="single" w:sz="4" w:space="0" w:color="000000"/>
              <w:bottom w:val="single" w:sz="2" w:space="0" w:color="A6A6A6"/>
            </w:tcBorders>
          </w:tcPr>
          <w:p>
            <w:pPr>
              <w:pStyle w:val="TableParagraph"/>
              <w:spacing w:before="78"/>
              <w:ind w:left="107"/>
              <w:rPr>
                <w:sz w:val="20"/>
              </w:rPr>
            </w:pPr>
            <w:r>
              <w:rPr>
                <w:sz w:val="20"/>
              </w:rPr>
              <w:t>South-west</w:t>
            </w:r>
            <w:r>
              <w:rPr>
                <w:spacing w:val="-12"/>
                <w:sz w:val="20"/>
              </w:rPr>
              <w:t> </w:t>
            </w:r>
            <w:r>
              <w:rPr>
                <w:spacing w:val="-5"/>
                <w:sz w:val="20"/>
              </w:rPr>
              <w:t>WA</w:t>
            </w:r>
          </w:p>
        </w:tc>
        <w:tc>
          <w:tcPr>
            <w:tcW w:w="2896" w:type="dxa"/>
            <w:tcBorders>
              <w:top w:val="single" w:sz="4" w:space="0" w:color="000000"/>
              <w:bottom w:val="single" w:sz="2" w:space="0" w:color="A6A6A6"/>
            </w:tcBorders>
            <w:shd w:val="clear" w:color="auto" w:fill="CCDBEA"/>
          </w:tcPr>
          <w:p>
            <w:pPr>
              <w:pStyle w:val="TableParagraph"/>
              <w:spacing w:before="78"/>
              <w:ind w:left="110"/>
              <w:rPr>
                <w:sz w:val="20"/>
              </w:rPr>
            </w:pPr>
            <w:r>
              <w:rPr>
                <w:sz w:val="20"/>
              </w:rPr>
              <w:t>Rabbits</w:t>
            </w:r>
            <w:r>
              <w:rPr>
                <w:spacing w:val="-9"/>
                <w:sz w:val="20"/>
              </w:rPr>
              <w:t> </w:t>
            </w:r>
            <w:r>
              <w:rPr>
                <w:sz w:val="20"/>
              </w:rPr>
              <w:t>per</w:t>
            </w:r>
            <w:r>
              <w:rPr>
                <w:spacing w:val="-8"/>
                <w:sz w:val="20"/>
              </w:rPr>
              <w:t> </w:t>
            </w:r>
            <w:r>
              <w:rPr>
                <w:sz w:val="20"/>
              </w:rPr>
              <w:t>spotlight</w:t>
            </w:r>
            <w:r>
              <w:rPr>
                <w:spacing w:val="-10"/>
                <w:sz w:val="20"/>
              </w:rPr>
              <w:t> </w:t>
            </w:r>
            <w:r>
              <w:rPr>
                <w:spacing w:val="-5"/>
                <w:sz w:val="20"/>
              </w:rPr>
              <w:t>km</w:t>
            </w:r>
          </w:p>
        </w:tc>
        <w:tc>
          <w:tcPr>
            <w:tcW w:w="4962" w:type="dxa"/>
            <w:tcBorders>
              <w:top w:val="single" w:sz="4" w:space="0" w:color="000000"/>
              <w:bottom w:val="single" w:sz="2" w:space="0" w:color="A6A6A6"/>
            </w:tcBorders>
          </w:tcPr>
          <w:p>
            <w:pPr>
              <w:pStyle w:val="TableParagraph"/>
              <w:spacing w:before="78"/>
              <w:ind w:left="108"/>
              <w:rPr>
                <w:sz w:val="20"/>
              </w:rPr>
            </w:pPr>
            <w:r>
              <w:rPr>
                <w:sz w:val="20"/>
              </w:rPr>
              <w:t>Oliver</w:t>
            </w:r>
            <w:r>
              <w:rPr>
                <w:spacing w:val="-7"/>
                <w:sz w:val="20"/>
              </w:rPr>
              <w:t> </w:t>
            </w:r>
            <w:r>
              <w:rPr>
                <w:sz w:val="20"/>
              </w:rPr>
              <w:t>et</w:t>
            </w:r>
            <w:r>
              <w:rPr>
                <w:spacing w:val="-4"/>
                <w:sz w:val="20"/>
              </w:rPr>
              <w:t> </w:t>
            </w:r>
            <w:r>
              <w:rPr>
                <w:sz w:val="20"/>
              </w:rPr>
              <w:t>al.</w:t>
            </w:r>
            <w:r>
              <w:rPr>
                <w:spacing w:val="-3"/>
                <w:sz w:val="20"/>
              </w:rPr>
              <w:t> </w:t>
            </w:r>
            <w:r>
              <w:rPr>
                <w:spacing w:val="-4"/>
                <w:sz w:val="20"/>
              </w:rPr>
              <w:t>1982</w:t>
            </w:r>
          </w:p>
        </w:tc>
      </w:tr>
      <w:tr>
        <w:trPr>
          <w:trHeight w:val="371" w:hRule="atLeast"/>
        </w:trPr>
        <w:tc>
          <w:tcPr>
            <w:tcW w:w="1990" w:type="dxa"/>
            <w:vMerge/>
            <w:tcBorders>
              <w:top w:val="nil"/>
              <w:bottom w:val="single" w:sz="4" w:space="0" w:color="000000"/>
            </w:tcBorders>
          </w:tcPr>
          <w:p>
            <w:pPr>
              <w:rPr>
                <w:sz w:val="2"/>
                <w:szCs w:val="2"/>
              </w:rPr>
            </w:pPr>
          </w:p>
        </w:tc>
        <w:tc>
          <w:tcPr>
            <w:tcW w:w="1733" w:type="dxa"/>
            <w:tcBorders>
              <w:top w:val="single" w:sz="2" w:space="0" w:color="A6A6A6"/>
              <w:bottom w:val="single" w:sz="2" w:space="0" w:color="A6A6A6"/>
            </w:tcBorders>
            <w:shd w:val="clear" w:color="auto" w:fill="CCDBEA"/>
          </w:tcPr>
          <w:p>
            <w:pPr>
              <w:pStyle w:val="TableParagraph"/>
              <w:spacing w:before="81"/>
              <w:jc w:val="center"/>
              <w:rPr>
                <w:sz w:val="20"/>
              </w:rPr>
            </w:pPr>
            <w:r>
              <w:rPr>
                <w:spacing w:val="-5"/>
                <w:sz w:val="20"/>
              </w:rPr>
              <w:t>100</w:t>
            </w:r>
          </w:p>
        </w:tc>
        <w:tc>
          <w:tcPr>
            <w:tcW w:w="2739" w:type="dxa"/>
            <w:tcBorders>
              <w:top w:val="single" w:sz="2" w:space="0" w:color="A6A6A6"/>
              <w:bottom w:val="single" w:sz="2" w:space="0" w:color="A6A6A6"/>
            </w:tcBorders>
          </w:tcPr>
          <w:p>
            <w:pPr>
              <w:pStyle w:val="TableParagraph"/>
              <w:spacing w:before="81"/>
              <w:ind w:left="107"/>
              <w:rPr>
                <w:sz w:val="20"/>
              </w:rPr>
            </w:pPr>
            <w:r>
              <w:rPr>
                <w:sz w:val="20"/>
              </w:rPr>
              <w:t>Gibson,</w:t>
            </w:r>
            <w:r>
              <w:rPr>
                <w:spacing w:val="-10"/>
                <w:sz w:val="20"/>
              </w:rPr>
              <w:t> </w:t>
            </w:r>
            <w:r>
              <w:rPr>
                <w:spacing w:val="-5"/>
                <w:sz w:val="20"/>
              </w:rPr>
              <w:t>WA</w:t>
            </w:r>
          </w:p>
        </w:tc>
        <w:tc>
          <w:tcPr>
            <w:tcW w:w="2896" w:type="dxa"/>
            <w:tcBorders>
              <w:top w:val="single" w:sz="2" w:space="0" w:color="A6A6A6"/>
              <w:bottom w:val="single" w:sz="2" w:space="0" w:color="A6A6A6"/>
            </w:tcBorders>
            <w:shd w:val="clear" w:color="auto" w:fill="CCDBEA"/>
          </w:tcPr>
          <w:p>
            <w:pPr>
              <w:pStyle w:val="TableParagraph"/>
              <w:spacing w:before="81"/>
              <w:ind w:left="110"/>
              <w:rPr>
                <w:sz w:val="20"/>
              </w:rPr>
            </w:pPr>
            <w:r>
              <w:rPr>
                <w:sz w:val="20"/>
              </w:rPr>
              <w:t>No.</w:t>
            </w:r>
            <w:r>
              <w:rPr>
                <w:spacing w:val="-7"/>
                <w:sz w:val="20"/>
              </w:rPr>
              <w:t> </w:t>
            </w:r>
            <w:r>
              <w:rPr>
                <w:sz w:val="20"/>
              </w:rPr>
              <w:t>killed</w:t>
            </w:r>
            <w:r>
              <w:rPr>
                <w:spacing w:val="-7"/>
                <w:sz w:val="20"/>
              </w:rPr>
              <w:t> </w:t>
            </w:r>
            <w:r>
              <w:rPr>
                <w:sz w:val="20"/>
              </w:rPr>
              <w:t>radio</w:t>
            </w:r>
            <w:r>
              <w:rPr>
                <w:spacing w:val="-5"/>
                <w:sz w:val="20"/>
              </w:rPr>
              <w:t> </w:t>
            </w:r>
            <w:r>
              <w:rPr>
                <w:spacing w:val="-2"/>
                <w:sz w:val="20"/>
              </w:rPr>
              <w:t>tracked</w:t>
            </w:r>
          </w:p>
        </w:tc>
        <w:tc>
          <w:tcPr>
            <w:tcW w:w="4962" w:type="dxa"/>
            <w:tcBorders>
              <w:top w:val="single" w:sz="2" w:space="0" w:color="A6A6A6"/>
              <w:bottom w:val="single" w:sz="2" w:space="0" w:color="A6A6A6"/>
            </w:tcBorders>
          </w:tcPr>
          <w:p>
            <w:pPr>
              <w:pStyle w:val="TableParagraph"/>
              <w:spacing w:before="81"/>
              <w:ind w:left="108"/>
              <w:rPr>
                <w:sz w:val="20"/>
              </w:rPr>
            </w:pPr>
            <w:r>
              <w:rPr>
                <w:sz w:val="20"/>
              </w:rPr>
              <w:t>Robinson</w:t>
            </w:r>
            <w:r>
              <w:rPr>
                <w:spacing w:val="-8"/>
                <w:sz w:val="20"/>
              </w:rPr>
              <w:t> </w:t>
            </w:r>
            <w:r>
              <w:rPr>
                <w:sz w:val="20"/>
              </w:rPr>
              <w:t>and</w:t>
            </w:r>
            <w:r>
              <w:rPr>
                <w:spacing w:val="-7"/>
                <w:sz w:val="20"/>
              </w:rPr>
              <w:t> </w:t>
            </w:r>
            <w:r>
              <w:rPr>
                <w:sz w:val="20"/>
              </w:rPr>
              <w:t>Wheeler</w:t>
            </w:r>
            <w:r>
              <w:rPr>
                <w:spacing w:val="-9"/>
                <w:sz w:val="20"/>
              </w:rPr>
              <w:t> </w:t>
            </w:r>
            <w:r>
              <w:rPr>
                <w:sz w:val="20"/>
              </w:rPr>
              <w:t>1983;</w:t>
            </w:r>
            <w:r>
              <w:rPr>
                <w:spacing w:val="-9"/>
                <w:sz w:val="20"/>
              </w:rPr>
              <w:t> </w:t>
            </w:r>
            <w:r>
              <w:rPr>
                <w:sz w:val="20"/>
              </w:rPr>
              <w:t>Wheeler</w:t>
            </w:r>
            <w:r>
              <w:rPr>
                <w:spacing w:val="-8"/>
                <w:sz w:val="20"/>
              </w:rPr>
              <w:t> </w:t>
            </w:r>
            <w:r>
              <w:rPr>
                <w:spacing w:val="-4"/>
                <w:sz w:val="20"/>
              </w:rPr>
              <w:t>1984</w:t>
            </w:r>
          </w:p>
        </w:tc>
      </w:tr>
      <w:tr>
        <w:trPr>
          <w:trHeight w:val="371" w:hRule="atLeast"/>
        </w:trPr>
        <w:tc>
          <w:tcPr>
            <w:tcW w:w="1990" w:type="dxa"/>
            <w:vMerge/>
            <w:tcBorders>
              <w:top w:val="nil"/>
              <w:bottom w:val="single" w:sz="4" w:space="0" w:color="000000"/>
            </w:tcBorders>
          </w:tcPr>
          <w:p>
            <w:pPr>
              <w:rPr>
                <w:sz w:val="2"/>
                <w:szCs w:val="2"/>
              </w:rPr>
            </w:pPr>
          </w:p>
        </w:tc>
        <w:tc>
          <w:tcPr>
            <w:tcW w:w="1733" w:type="dxa"/>
            <w:tcBorders>
              <w:top w:val="single" w:sz="2" w:space="0" w:color="A6A6A6"/>
              <w:bottom w:val="single" w:sz="4" w:space="0" w:color="000000"/>
            </w:tcBorders>
            <w:shd w:val="clear" w:color="auto" w:fill="CCDBEA"/>
          </w:tcPr>
          <w:p>
            <w:pPr>
              <w:pStyle w:val="TableParagraph"/>
              <w:spacing w:before="81"/>
              <w:jc w:val="center"/>
              <w:rPr>
                <w:sz w:val="20"/>
              </w:rPr>
            </w:pPr>
            <w:r>
              <w:rPr>
                <w:sz w:val="20"/>
              </w:rPr>
              <w:t>-92.3</w:t>
            </w:r>
            <w:r>
              <w:rPr>
                <w:spacing w:val="-6"/>
                <w:sz w:val="20"/>
              </w:rPr>
              <w:t> </w:t>
            </w:r>
            <w:r>
              <w:rPr>
                <w:sz w:val="20"/>
              </w:rPr>
              <w:t>–</w:t>
            </w:r>
            <w:r>
              <w:rPr>
                <w:spacing w:val="-3"/>
                <w:sz w:val="20"/>
              </w:rPr>
              <w:t> </w:t>
            </w:r>
            <w:r>
              <w:rPr>
                <w:spacing w:val="-2"/>
                <w:sz w:val="20"/>
              </w:rPr>
              <w:t>+22.7</w:t>
            </w:r>
          </w:p>
        </w:tc>
        <w:tc>
          <w:tcPr>
            <w:tcW w:w="2739" w:type="dxa"/>
            <w:tcBorders>
              <w:top w:val="single" w:sz="2" w:space="0" w:color="A6A6A6"/>
              <w:bottom w:val="single" w:sz="4" w:space="0" w:color="000000"/>
            </w:tcBorders>
          </w:tcPr>
          <w:p>
            <w:pPr>
              <w:pStyle w:val="TableParagraph"/>
              <w:spacing w:before="81"/>
              <w:ind w:left="107"/>
              <w:rPr>
                <w:sz w:val="20"/>
              </w:rPr>
            </w:pPr>
            <w:r>
              <w:rPr>
                <w:sz w:val="20"/>
              </w:rPr>
              <w:t>Adelaide</w:t>
            </w:r>
            <w:r>
              <w:rPr>
                <w:spacing w:val="-10"/>
                <w:sz w:val="20"/>
              </w:rPr>
              <w:t> </w:t>
            </w:r>
            <w:r>
              <w:rPr>
                <w:sz w:val="20"/>
              </w:rPr>
              <w:t>Hills,</w:t>
            </w:r>
            <w:r>
              <w:rPr>
                <w:spacing w:val="-9"/>
                <w:sz w:val="20"/>
              </w:rPr>
              <w:t> </w:t>
            </w:r>
            <w:r>
              <w:rPr>
                <w:spacing w:val="-5"/>
                <w:sz w:val="20"/>
              </w:rPr>
              <w:t>SA</w:t>
            </w:r>
          </w:p>
        </w:tc>
        <w:tc>
          <w:tcPr>
            <w:tcW w:w="2896" w:type="dxa"/>
            <w:tcBorders>
              <w:top w:val="single" w:sz="2" w:space="0" w:color="A6A6A6"/>
              <w:bottom w:val="single" w:sz="4" w:space="0" w:color="000000"/>
            </w:tcBorders>
            <w:shd w:val="clear" w:color="auto" w:fill="CCDBEA"/>
          </w:tcPr>
          <w:p>
            <w:pPr>
              <w:pStyle w:val="TableParagraph"/>
              <w:spacing w:before="81"/>
              <w:ind w:left="110"/>
              <w:rPr>
                <w:sz w:val="20"/>
              </w:rPr>
            </w:pPr>
            <w:r>
              <w:rPr>
                <w:sz w:val="20"/>
              </w:rPr>
              <w:t>Walked</w:t>
            </w:r>
            <w:r>
              <w:rPr>
                <w:spacing w:val="-10"/>
                <w:sz w:val="20"/>
              </w:rPr>
              <w:t> </w:t>
            </w:r>
            <w:r>
              <w:rPr>
                <w:sz w:val="20"/>
              </w:rPr>
              <w:t>random</w:t>
            </w:r>
            <w:r>
              <w:rPr>
                <w:spacing w:val="-9"/>
                <w:sz w:val="20"/>
              </w:rPr>
              <w:t> </w:t>
            </w:r>
            <w:r>
              <w:rPr>
                <w:spacing w:val="-2"/>
                <w:sz w:val="20"/>
              </w:rPr>
              <w:t>survey</w:t>
            </w:r>
          </w:p>
        </w:tc>
        <w:tc>
          <w:tcPr>
            <w:tcW w:w="4962" w:type="dxa"/>
            <w:tcBorders>
              <w:top w:val="single" w:sz="2" w:space="0" w:color="A6A6A6"/>
              <w:bottom w:val="single" w:sz="4" w:space="0" w:color="000000"/>
            </w:tcBorders>
          </w:tcPr>
          <w:p>
            <w:pPr>
              <w:pStyle w:val="TableParagraph"/>
              <w:spacing w:before="81"/>
              <w:ind w:left="108"/>
              <w:rPr>
                <w:sz w:val="20"/>
              </w:rPr>
            </w:pPr>
            <w:r>
              <w:rPr>
                <w:sz w:val="20"/>
              </w:rPr>
              <w:t>Patel</w:t>
            </w:r>
            <w:r>
              <w:rPr>
                <w:spacing w:val="-6"/>
                <w:sz w:val="20"/>
              </w:rPr>
              <w:t> </w:t>
            </w:r>
            <w:r>
              <w:rPr>
                <w:sz w:val="20"/>
              </w:rPr>
              <w:t>et</w:t>
            </w:r>
            <w:r>
              <w:rPr>
                <w:spacing w:val="-4"/>
                <w:sz w:val="20"/>
              </w:rPr>
              <w:t> </w:t>
            </w:r>
            <w:r>
              <w:rPr>
                <w:sz w:val="20"/>
              </w:rPr>
              <w:t>al.</w:t>
            </w:r>
            <w:r>
              <w:rPr>
                <w:spacing w:val="-5"/>
                <w:sz w:val="20"/>
              </w:rPr>
              <w:t> </w:t>
            </w:r>
            <w:r>
              <w:rPr>
                <w:spacing w:val="-4"/>
                <w:sz w:val="20"/>
              </w:rPr>
              <w:t>2023</w:t>
            </w:r>
          </w:p>
        </w:tc>
      </w:tr>
      <w:tr>
        <w:trPr>
          <w:trHeight w:val="367" w:hRule="atLeast"/>
        </w:trPr>
        <w:tc>
          <w:tcPr>
            <w:tcW w:w="1990" w:type="dxa"/>
            <w:vMerge w:val="restart"/>
            <w:tcBorders>
              <w:top w:val="single" w:sz="4" w:space="0" w:color="000000"/>
              <w:bottom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80"/>
              <w:rPr>
                <w:b/>
                <w:sz w:val="20"/>
              </w:rPr>
            </w:pPr>
          </w:p>
          <w:p>
            <w:pPr>
              <w:pStyle w:val="TableParagraph"/>
              <w:ind w:left="107"/>
              <w:rPr>
                <w:sz w:val="20"/>
              </w:rPr>
            </w:pPr>
            <w:r>
              <w:rPr>
                <w:sz w:val="20"/>
              </w:rPr>
              <w:t>Warren</w:t>
            </w:r>
            <w:r>
              <w:rPr>
                <w:spacing w:val="-9"/>
                <w:sz w:val="20"/>
              </w:rPr>
              <w:t> </w:t>
            </w:r>
            <w:r>
              <w:rPr>
                <w:spacing w:val="-2"/>
                <w:sz w:val="20"/>
              </w:rPr>
              <w:t>ripping</w:t>
            </w:r>
          </w:p>
        </w:tc>
        <w:tc>
          <w:tcPr>
            <w:tcW w:w="1733" w:type="dxa"/>
            <w:tcBorders>
              <w:top w:val="single" w:sz="4" w:space="0" w:color="000000"/>
              <w:bottom w:val="single" w:sz="2" w:space="0" w:color="A6A6A6"/>
            </w:tcBorders>
            <w:shd w:val="clear" w:color="auto" w:fill="CCDBEA"/>
          </w:tcPr>
          <w:p>
            <w:pPr>
              <w:pStyle w:val="TableParagraph"/>
              <w:spacing w:before="79"/>
              <w:jc w:val="center"/>
              <w:rPr>
                <w:sz w:val="20"/>
              </w:rPr>
            </w:pPr>
            <w:r>
              <w:rPr>
                <w:spacing w:val="-4"/>
                <w:sz w:val="20"/>
              </w:rPr>
              <w:t>39–99</w:t>
            </w:r>
          </w:p>
        </w:tc>
        <w:tc>
          <w:tcPr>
            <w:tcW w:w="2739" w:type="dxa"/>
            <w:tcBorders>
              <w:top w:val="single" w:sz="4" w:space="0" w:color="000000"/>
              <w:bottom w:val="single" w:sz="2" w:space="0" w:color="A6A6A6"/>
            </w:tcBorders>
          </w:tcPr>
          <w:p>
            <w:pPr>
              <w:pStyle w:val="TableParagraph"/>
              <w:spacing w:before="79"/>
              <w:ind w:left="107"/>
              <w:rPr>
                <w:sz w:val="20"/>
              </w:rPr>
            </w:pPr>
            <w:r>
              <w:rPr>
                <w:sz w:val="20"/>
              </w:rPr>
              <w:t>Manunda</w:t>
            </w:r>
            <w:r>
              <w:rPr>
                <w:spacing w:val="-12"/>
                <w:sz w:val="20"/>
              </w:rPr>
              <w:t> </w:t>
            </w:r>
            <w:r>
              <w:rPr>
                <w:sz w:val="20"/>
              </w:rPr>
              <w:t>Station,</w:t>
            </w:r>
            <w:r>
              <w:rPr>
                <w:spacing w:val="-10"/>
                <w:sz w:val="20"/>
              </w:rPr>
              <w:t> </w:t>
            </w:r>
            <w:r>
              <w:rPr>
                <w:spacing w:val="-5"/>
                <w:sz w:val="20"/>
              </w:rPr>
              <w:t>SA</w:t>
            </w:r>
          </w:p>
        </w:tc>
        <w:tc>
          <w:tcPr>
            <w:tcW w:w="2896" w:type="dxa"/>
            <w:tcBorders>
              <w:top w:val="single" w:sz="4" w:space="0" w:color="000000"/>
              <w:bottom w:val="single" w:sz="2" w:space="0" w:color="A6A6A6"/>
            </w:tcBorders>
            <w:shd w:val="clear" w:color="auto" w:fill="CCDBEA"/>
          </w:tcPr>
          <w:p>
            <w:pPr>
              <w:pStyle w:val="TableParagraph"/>
              <w:spacing w:before="79"/>
              <w:ind w:left="110"/>
              <w:rPr>
                <w:sz w:val="20"/>
              </w:rPr>
            </w:pPr>
            <w:r>
              <w:rPr>
                <w:sz w:val="20"/>
              </w:rPr>
              <w:t>Active</w:t>
            </w:r>
            <w:r>
              <w:rPr>
                <w:spacing w:val="-9"/>
                <w:sz w:val="20"/>
              </w:rPr>
              <w:t> </w:t>
            </w:r>
            <w:r>
              <w:rPr>
                <w:spacing w:val="-2"/>
                <w:sz w:val="20"/>
              </w:rPr>
              <w:t>entrances/warren</w:t>
            </w:r>
          </w:p>
        </w:tc>
        <w:tc>
          <w:tcPr>
            <w:tcW w:w="4962" w:type="dxa"/>
            <w:tcBorders>
              <w:top w:val="single" w:sz="4" w:space="0" w:color="000000"/>
              <w:bottom w:val="single" w:sz="2" w:space="0" w:color="A6A6A6"/>
            </w:tcBorders>
          </w:tcPr>
          <w:p>
            <w:pPr>
              <w:pStyle w:val="TableParagraph"/>
              <w:spacing w:before="79"/>
              <w:ind w:left="108"/>
              <w:rPr>
                <w:sz w:val="20"/>
              </w:rPr>
            </w:pPr>
            <w:r>
              <w:rPr>
                <w:sz w:val="20"/>
              </w:rPr>
              <w:t>Mutze</w:t>
            </w:r>
            <w:r>
              <w:rPr>
                <w:spacing w:val="-9"/>
                <w:sz w:val="20"/>
              </w:rPr>
              <w:t> </w:t>
            </w:r>
            <w:r>
              <w:rPr>
                <w:spacing w:val="-4"/>
                <w:sz w:val="20"/>
              </w:rPr>
              <w:t>1991</w:t>
            </w:r>
          </w:p>
        </w:tc>
      </w:tr>
      <w:tr>
        <w:trPr>
          <w:trHeight w:val="371" w:hRule="atLeast"/>
        </w:trPr>
        <w:tc>
          <w:tcPr>
            <w:tcW w:w="1990" w:type="dxa"/>
            <w:vMerge/>
            <w:tcBorders>
              <w:top w:val="nil"/>
              <w:bottom w:val="single" w:sz="4" w:space="0" w:color="000000"/>
            </w:tcBorders>
          </w:tcPr>
          <w:p>
            <w:pPr>
              <w:rPr>
                <w:sz w:val="2"/>
                <w:szCs w:val="2"/>
              </w:rPr>
            </w:pPr>
          </w:p>
        </w:tc>
        <w:tc>
          <w:tcPr>
            <w:tcW w:w="1733" w:type="dxa"/>
            <w:tcBorders>
              <w:top w:val="single" w:sz="2" w:space="0" w:color="A6A6A6"/>
              <w:bottom w:val="single" w:sz="2" w:space="0" w:color="A6A6A6"/>
            </w:tcBorders>
            <w:shd w:val="clear" w:color="auto" w:fill="CCDBEA"/>
          </w:tcPr>
          <w:p>
            <w:pPr>
              <w:pStyle w:val="TableParagraph"/>
              <w:spacing w:before="81"/>
              <w:jc w:val="center"/>
              <w:rPr>
                <w:sz w:val="20"/>
              </w:rPr>
            </w:pPr>
            <w:r>
              <w:rPr>
                <w:spacing w:val="-2"/>
                <w:sz w:val="20"/>
              </w:rPr>
              <w:t>37–98.5</w:t>
            </w:r>
          </w:p>
        </w:tc>
        <w:tc>
          <w:tcPr>
            <w:tcW w:w="2739" w:type="dxa"/>
            <w:tcBorders>
              <w:top w:val="single" w:sz="2" w:space="0" w:color="A6A6A6"/>
              <w:bottom w:val="single" w:sz="2" w:space="0" w:color="A6A6A6"/>
            </w:tcBorders>
          </w:tcPr>
          <w:p>
            <w:pPr>
              <w:pStyle w:val="TableParagraph"/>
              <w:spacing w:before="81"/>
              <w:ind w:left="107"/>
              <w:rPr>
                <w:sz w:val="20"/>
              </w:rPr>
            </w:pPr>
            <w:r>
              <w:rPr>
                <w:sz w:val="20"/>
              </w:rPr>
              <w:t>12</w:t>
            </w:r>
            <w:r>
              <w:rPr>
                <w:spacing w:val="-6"/>
                <w:sz w:val="20"/>
              </w:rPr>
              <w:t> </w:t>
            </w:r>
            <w:r>
              <w:rPr>
                <w:sz w:val="20"/>
              </w:rPr>
              <w:t>sites</w:t>
            </w:r>
            <w:r>
              <w:rPr>
                <w:spacing w:val="-4"/>
                <w:sz w:val="20"/>
              </w:rPr>
              <w:t> </w:t>
            </w:r>
            <w:r>
              <w:rPr>
                <w:sz w:val="20"/>
              </w:rPr>
              <w:t>across</w:t>
            </w:r>
            <w:r>
              <w:rPr>
                <w:spacing w:val="-4"/>
                <w:sz w:val="20"/>
              </w:rPr>
              <w:t> </w:t>
            </w:r>
            <w:r>
              <w:rPr>
                <w:spacing w:val="-2"/>
                <w:sz w:val="20"/>
              </w:rPr>
              <w:t>Victoria</w:t>
            </w:r>
          </w:p>
        </w:tc>
        <w:tc>
          <w:tcPr>
            <w:tcW w:w="2896" w:type="dxa"/>
            <w:tcBorders>
              <w:top w:val="single" w:sz="2" w:space="0" w:color="A6A6A6"/>
              <w:bottom w:val="single" w:sz="2" w:space="0" w:color="A6A6A6"/>
            </w:tcBorders>
            <w:shd w:val="clear" w:color="auto" w:fill="CCDBEA"/>
          </w:tcPr>
          <w:p>
            <w:pPr>
              <w:pStyle w:val="TableParagraph"/>
              <w:spacing w:before="81"/>
              <w:ind w:left="110"/>
              <w:rPr>
                <w:sz w:val="20"/>
              </w:rPr>
            </w:pPr>
            <w:r>
              <w:rPr>
                <w:sz w:val="20"/>
              </w:rPr>
              <w:t>Rabbits</w:t>
            </w:r>
            <w:r>
              <w:rPr>
                <w:spacing w:val="-9"/>
                <w:sz w:val="20"/>
              </w:rPr>
              <w:t> </w:t>
            </w:r>
            <w:r>
              <w:rPr>
                <w:sz w:val="20"/>
              </w:rPr>
              <w:t>per</w:t>
            </w:r>
            <w:r>
              <w:rPr>
                <w:spacing w:val="-8"/>
                <w:sz w:val="20"/>
              </w:rPr>
              <w:t> </w:t>
            </w:r>
            <w:r>
              <w:rPr>
                <w:sz w:val="20"/>
              </w:rPr>
              <w:t>spotlight</w:t>
            </w:r>
            <w:r>
              <w:rPr>
                <w:spacing w:val="-10"/>
                <w:sz w:val="20"/>
              </w:rPr>
              <w:t> </w:t>
            </w:r>
            <w:r>
              <w:rPr>
                <w:spacing w:val="-5"/>
                <w:sz w:val="20"/>
              </w:rPr>
              <w:t>km</w:t>
            </w:r>
          </w:p>
        </w:tc>
        <w:tc>
          <w:tcPr>
            <w:tcW w:w="4962" w:type="dxa"/>
            <w:tcBorders>
              <w:top w:val="single" w:sz="2" w:space="0" w:color="A6A6A6"/>
              <w:bottom w:val="single" w:sz="2" w:space="0" w:color="A6A6A6"/>
            </w:tcBorders>
          </w:tcPr>
          <w:p>
            <w:pPr>
              <w:pStyle w:val="TableParagraph"/>
              <w:spacing w:before="81"/>
              <w:ind w:left="108"/>
              <w:rPr>
                <w:sz w:val="20"/>
              </w:rPr>
            </w:pPr>
            <w:r>
              <w:rPr>
                <w:sz w:val="20"/>
              </w:rPr>
              <w:t>Ramsey</w:t>
            </w:r>
            <w:r>
              <w:rPr>
                <w:spacing w:val="-6"/>
                <w:sz w:val="20"/>
              </w:rPr>
              <w:t> </w:t>
            </w:r>
            <w:r>
              <w:rPr>
                <w:sz w:val="20"/>
              </w:rPr>
              <w:t>et</w:t>
            </w:r>
            <w:r>
              <w:rPr>
                <w:spacing w:val="-4"/>
                <w:sz w:val="20"/>
              </w:rPr>
              <w:t> </w:t>
            </w:r>
            <w:r>
              <w:rPr>
                <w:sz w:val="20"/>
              </w:rPr>
              <w:t>al.</w:t>
            </w:r>
            <w:r>
              <w:rPr>
                <w:spacing w:val="-4"/>
                <w:sz w:val="20"/>
              </w:rPr>
              <w:t> </w:t>
            </w:r>
            <w:r>
              <w:rPr>
                <w:sz w:val="20"/>
              </w:rPr>
              <w:t>2014;</w:t>
            </w:r>
            <w:r>
              <w:rPr>
                <w:spacing w:val="-5"/>
                <w:sz w:val="20"/>
              </w:rPr>
              <w:t> </w:t>
            </w:r>
            <w:r>
              <w:rPr>
                <w:sz w:val="20"/>
              </w:rPr>
              <w:t>McPhee</w:t>
            </w:r>
            <w:r>
              <w:rPr>
                <w:spacing w:val="-7"/>
                <w:sz w:val="20"/>
              </w:rPr>
              <w:t> </w:t>
            </w:r>
            <w:r>
              <w:rPr>
                <w:sz w:val="20"/>
              </w:rPr>
              <w:t>and</w:t>
            </w:r>
            <w:r>
              <w:rPr>
                <w:spacing w:val="-5"/>
                <w:sz w:val="20"/>
              </w:rPr>
              <w:t> </w:t>
            </w:r>
            <w:r>
              <w:rPr>
                <w:sz w:val="20"/>
              </w:rPr>
              <w:t>Butler</w:t>
            </w:r>
            <w:r>
              <w:rPr>
                <w:spacing w:val="-7"/>
                <w:sz w:val="20"/>
              </w:rPr>
              <w:t> </w:t>
            </w:r>
            <w:r>
              <w:rPr>
                <w:spacing w:val="-4"/>
                <w:sz w:val="20"/>
              </w:rPr>
              <w:t>2010</w:t>
            </w:r>
          </w:p>
        </w:tc>
      </w:tr>
      <w:tr>
        <w:trPr>
          <w:trHeight w:val="369" w:hRule="atLeast"/>
        </w:trPr>
        <w:tc>
          <w:tcPr>
            <w:tcW w:w="1990" w:type="dxa"/>
            <w:vMerge/>
            <w:tcBorders>
              <w:top w:val="nil"/>
              <w:bottom w:val="single" w:sz="4" w:space="0" w:color="000000"/>
            </w:tcBorders>
          </w:tcPr>
          <w:p>
            <w:pPr>
              <w:rPr>
                <w:sz w:val="2"/>
                <w:szCs w:val="2"/>
              </w:rPr>
            </w:pPr>
          </w:p>
        </w:tc>
        <w:tc>
          <w:tcPr>
            <w:tcW w:w="1733" w:type="dxa"/>
            <w:tcBorders>
              <w:top w:val="single" w:sz="2" w:space="0" w:color="A6A6A6"/>
              <w:bottom w:val="single" w:sz="2" w:space="0" w:color="A6A6A6"/>
            </w:tcBorders>
            <w:shd w:val="clear" w:color="auto" w:fill="CCDBEA"/>
          </w:tcPr>
          <w:p>
            <w:pPr>
              <w:pStyle w:val="TableParagraph"/>
              <w:spacing w:before="81"/>
              <w:jc w:val="center"/>
              <w:rPr>
                <w:sz w:val="20"/>
              </w:rPr>
            </w:pPr>
            <w:r>
              <w:rPr>
                <w:spacing w:val="-5"/>
                <w:sz w:val="20"/>
              </w:rPr>
              <w:t>87</w:t>
            </w:r>
          </w:p>
        </w:tc>
        <w:tc>
          <w:tcPr>
            <w:tcW w:w="2739" w:type="dxa"/>
            <w:tcBorders>
              <w:top w:val="single" w:sz="2" w:space="0" w:color="A6A6A6"/>
              <w:bottom w:val="single" w:sz="2" w:space="0" w:color="A6A6A6"/>
            </w:tcBorders>
          </w:tcPr>
          <w:p>
            <w:pPr>
              <w:pStyle w:val="TableParagraph"/>
              <w:spacing w:before="81"/>
              <w:ind w:left="107"/>
              <w:rPr>
                <w:sz w:val="20"/>
              </w:rPr>
            </w:pPr>
            <w:r>
              <w:rPr>
                <w:sz w:val="20"/>
              </w:rPr>
              <w:t>Calindary</w:t>
            </w:r>
            <w:r>
              <w:rPr>
                <w:spacing w:val="-10"/>
                <w:sz w:val="20"/>
              </w:rPr>
              <w:t> </w:t>
            </w:r>
            <w:r>
              <w:rPr>
                <w:sz w:val="20"/>
              </w:rPr>
              <w:t>Station,</w:t>
            </w:r>
            <w:r>
              <w:rPr>
                <w:spacing w:val="-11"/>
                <w:sz w:val="20"/>
              </w:rPr>
              <w:t> </w:t>
            </w:r>
            <w:r>
              <w:rPr>
                <w:spacing w:val="-5"/>
                <w:sz w:val="20"/>
              </w:rPr>
              <w:t>NSW</w:t>
            </w:r>
          </w:p>
        </w:tc>
        <w:tc>
          <w:tcPr>
            <w:tcW w:w="2896" w:type="dxa"/>
            <w:tcBorders>
              <w:top w:val="single" w:sz="2" w:space="0" w:color="A6A6A6"/>
              <w:bottom w:val="single" w:sz="2" w:space="0" w:color="A6A6A6"/>
            </w:tcBorders>
            <w:shd w:val="clear" w:color="auto" w:fill="CCDBEA"/>
          </w:tcPr>
          <w:p>
            <w:pPr>
              <w:pStyle w:val="TableParagraph"/>
              <w:spacing w:before="81"/>
              <w:ind w:left="110"/>
              <w:rPr>
                <w:sz w:val="20"/>
              </w:rPr>
            </w:pPr>
            <w:r>
              <w:rPr>
                <w:sz w:val="20"/>
              </w:rPr>
              <w:t>Active</w:t>
            </w:r>
            <w:r>
              <w:rPr>
                <w:spacing w:val="-9"/>
                <w:sz w:val="20"/>
              </w:rPr>
              <w:t> </w:t>
            </w:r>
            <w:r>
              <w:rPr>
                <w:spacing w:val="-2"/>
                <w:sz w:val="20"/>
              </w:rPr>
              <w:t>entrances/warren</w:t>
            </w:r>
          </w:p>
        </w:tc>
        <w:tc>
          <w:tcPr>
            <w:tcW w:w="4962" w:type="dxa"/>
            <w:tcBorders>
              <w:top w:val="single" w:sz="2" w:space="0" w:color="A6A6A6"/>
              <w:bottom w:val="single" w:sz="2" w:space="0" w:color="A6A6A6"/>
            </w:tcBorders>
          </w:tcPr>
          <w:p>
            <w:pPr>
              <w:pStyle w:val="TableParagraph"/>
              <w:spacing w:before="81"/>
              <w:ind w:left="108"/>
              <w:rPr>
                <w:sz w:val="20"/>
              </w:rPr>
            </w:pPr>
            <w:r>
              <w:rPr>
                <w:sz w:val="20"/>
              </w:rPr>
              <w:t>Wood</w:t>
            </w:r>
            <w:r>
              <w:rPr>
                <w:spacing w:val="-8"/>
                <w:sz w:val="20"/>
              </w:rPr>
              <w:t> </w:t>
            </w:r>
            <w:r>
              <w:rPr>
                <w:spacing w:val="-4"/>
                <w:sz w:val="20"/>
              </w:rPr>
              <w:t>1985</w:t>
            </w:r>
          </w:p>
        </w:tc>
      </w:tr>
      <w:tr>
        <w:trPr>
          <w:trHeight w:val="369" w:hRule="atLeast"/>
        </w:trPr>
        <w:tc>
          <w:tcPr>
            <w:tcW w:w="1990" w:type="dxa"/>
            <w:vMerge/>
            <w:tcBorders>
              <w:top w:val="nil"/>
              <w:bottom w:val="single" w:sz="4" w:space="0" w:color="000000"/>
            </w:tcBorders>
          </w:tcPr>
          <w:p>
            <w:pPr>
              <w:rPr>
                <w:sz w:val="2"/>
                <w:szCs w:val="2"/>
              </w:rPr>
            </w:pPr>
          </w:p>
        </w:tc>
        <w:tc>
          <w:tcPr>
            <w:tcW w:w="1733" w:type="dxa"/>
            <w:tcBorders>
              <w:top w:val="single" w:sz="2" w:space="0" w:color="A6A6A6"/>
              <w:bottom w:val="single" w:sz="2" w:space="0" w:color="A6A6A6"/>
            </w:tcBorders>
            <w:shd w:val="clear" w:color="auto" w:fill="CCDBEA"/>
          </w:tcPr>
          <w:p>
            <w:pPr>
              <w:pStyle w:val="TableParagraph"/>
              <w:spacing w:before="81"/>
              <w:jc w:val="center"/>
              <w:rPr>
                <w:sz w:val="20"/>
              </w:rPr>
            </w:pPr>
            <w:r>
              <w:rPr>
                <w:spacing w:val="-5"/>
                <w:sz w:val="20"/>
              </w:rPr>
              <w:t>96</w:t>
            </w:r>
          </w:p>
        </w:tc>
        <w:tc>
          <w:tcPr>
            <w:tcW w:w="2739" w:type="dxa"/>
            <w:tcBorders>
              <w:top w:val="single" w:sz="2" w:space="0" w:color="A6A6A6"/>
              <w:bottom w:val="single" w:sz="2" w:space="0" w:color="A6A6A6"/>
            </w:tcBorders>
          </w:tcPr>
          <w:p>
            <w:pPr>
              <w:pStyle w:val="TableParagraph"/>
              <w:spacing w:before="81"/>
              <w:ind w:left="107"/>
              <w:rPr>
                <w:sz w:val="20"/>
              </w:rPr>
            </w:pPr>
            <w:r>
              <w:rPr>
                <w:sz w:val="20"/>
              </w:rPr>
              <w:t>Bulloo</w:t>
            </w:r>
            <w:r>
              <w:rPr>
                <w:spacing w:val="-9"/>
                <w:sz w:val="20"/>
              </w:rPr>
              <w:t> </w:t>
            </w:r>
            <w:r>
              <w:rPr>
                <w:sz w:val="20"/>
              </w:rPr>
              <w:t>Downs,</w:t>
            </w:r>
            <w:r>
              <w:rPr>
                <w:spacing w:val="-9"/>
                <w:sz w:val="20"/>
              </w:rPr>
              <w:t> </w:t>
            </w:r>
            <w:r>
              <w:rPr>
                <w:spacing w:val="-5"/>
                <w:sz w:val="20"/>
              </w:rPr>
              <w:t>QLD</w:t>
            </w:r>
          </w:p>
        </w:tc>
        <w:tc>
          <w:tcPr>
            <w:tcW w:w="2896" w:type="dxa"/>
            <w:tcBorders>
              <w:top w:val="single" w:sz="2" w:space="0" w:color="A6A6A6"/>
              <w:bottom w:val="single" w:sz="2" w:space="0" w:color="A6A6A6"/>
            </w:tcBorders>
            <w:shd w:val="clear" w:color="auto" w:fill="CCDBEA"/>
          </w:tcPr>
          <w:p>
            <w:pPr>
              <w:pStyle w:val="TableParagraph"/>
              <w:spacing w:before="81"/>
              <w:ind w:left="110"/>
              <w:rPr>
                <w:sz w:val="20"/>
              </w:rPr>
            </w:pPr>
            <w:r>
              <w:rPr>
                <w:sz w:val="20"/>
              </w:rPr>
              <w:t>Rabbits</w:t>
            </w:r>
            <w:r>
              <w:rPr>
                <w:spacing w:val="-9"/>
                <w:sz w:val="20"/>
              </w:rPr>
              <w:t> </w:t>
            </w:r>
            <w:r>
              <w:rPr>
                <w:sz w:val="20"/>
              </w:rPr>
              <w:t>per</w:t>
            </w:r>
            <w:r>
              <w:rPr>
                <w:spacing w:val="-8"/>
                <w:sz w:val="20"/>
              </w:rPr>
              <w:t> </w:t>
            </w:r>
            <w:r>
              <w:rPr>
                <w:sz w:val="20"/>
              </w:rPr>
              <w:t>spotlight</w:t>
            </w:r>
            <w:r>
              <w:rPr>
                <w:spacing w:val="-10"/>
                <w:sz w:val="20"/>
              </w:rPr>
              <w:t> </w:t>
            </w:r>
            <w:r>
              <w:rPr>
                <w:spacing w:val="-5"/>
                <w:sz w:val="20"/>
              </w:rPr>
              <w:t>km</w:t>
            </w:r>
          </w:p>
        </w:tc>
        <w:tc>
          <w:tcPr>
            <w:tcW w:w="4962" w:type="dxa"/>
            <w:tcBorders>
              <w:top w:val="single" w:sz="2" w:space="0" w:color="A6A6A6"/>
              <w:bottom w:val="single" w:sz="2" w:space="0" w:color="A6A6A6"/>
            </w:tcBorders>
          </w:tcPr>
          <w:p>
            <w:pPr>
              <w:pStyle w:val="TableParagraph"/>
              <w:spacing w:before="81"/>
              <w:ind w:left="108"/>
              <w:rPr>
                <w:sz w:val="20"/>
              </w:rPr>
            </w:pPr>
            <w:r>
              <w:rPr>
                <w:sz w:val="20"/>
              </w:rPr>
              <w:t>Berman</w:t>
            </w:r>
            <w:r>
              <w:rPr>
                <w:spacing w:val="-6"/>
                <w:sz w:val="20"/>
              </w:rPr>
              <w:t> </w:t>
            </w:r>
            <w:r>
              <w:rPr>
                <w:sz w:val="20"/>
              </w:rPr>
              <w:t>et</w:t>
            </w:r>
            <w:r>
              <w:rPr>
                <w:spacing w:val="-4"/>
                <w:sz w:val="20"/>
              </w:rPr>
              <w:t> </w:t>
            </w:r>
            <w:r>
              <w:rPr>
                <w:sz w:val="20"/>
              </w:rPr>
              <w:t>al.</w:t>
            </w:r>
            <w:r>
              <w:rPr>
                <w:spacing w:val="-6"/>
                <w:sz w:val="20"/>
              </w:rPr>
              <w:t> </w:t>
            </w:r>
            <w:r>
              <w:rPr>
                <w:spacing w:val="-4"/>
                <w:sz w:val="20"/>
              </w:rPr>
              <w:t>2011</w:t>
            </w:r>
          </w:p>
        </w:tc>
      </w:tr>
      <w:tr>
        <w:trPr>
          <w:trHeight w:val="371" w:hRule="atLeast"/>
        </w:trPr>
        <w:tc>
          <w:tcPr>
            <w:tcW w:w="1990" w:type="dxa"/>
            <w:vMerge/>
            <w:tcBorders>
              <w:top w:val="nil"/>
              <w:bottom w:val="single" w:sz="4" w:space="0" w:color="000000"/>
            </w:tcBorders>
          </w:tcPr>
          <w:p>
            <w:pPr>
              <w:rPr>
                <w:sz w:val="2"/>
                <w:szCs w:val="2"/>
              </w:rPr>
            </w:pPr>
          </w:p>
        </w:tc>
        <w:tc>
          <w:tcPr>
            <w:tcW w:w="1733" w:type="dxa"/>
            <w:tcBorders>
              <w:top w:val="single" w:sz="2" w:space="0" w:color="A6A6A6"/>
              <w:bottom w:val="single" w:sz="2" w:space="0" w:color="A6A6A6"/>
            </w:tcBorders>
            <w:shd w:val="clear" w:color="auto" w:fill="CCDBEA"/>
          </w:tcPr>
          <w:p>
            <w:pPr>
              <w:pStyle w:val="TableParagraph"/>
              <w:spacing w:before="81"/>
              <w:jc w:val="center"/>
              <w:rPr>
                <w:sz w:val="20"/>
              </w:rPr>
            </w:pPr>
            <w:r>
              <w:rPr>
                <w:spacing w:val="-5"/>
                <w:sz w:val="20"/>
              </w:rPr>
              <w:t>98</w:t>
            </w:r>
          </w:p>
        </w:tc>
        <w:tc>
          <w:tcPr>
            <w:tcW w:w="2739" w:type="dxa"/>
            <w:tcBorders>
              <w:top w:val="single" w:sz="2" w:space="0" w:color="A6A6A6"/>
              <w:bottom w:val="single" w:sz="2" w:space="0" w:color="A6A6A6"/>
            </w:tcBorders>
          </w:tcPr>
          <w:p>
            <w:pPr>
              <w:pStyle w:val="TableParagraph"/>
              <w:spacing w:before="81"/>
              <w:ind w:left="107"/>
              <w:rPr>
                <w:sz w:val="20"/>
              </w:rPr>
            </w:pPr>
            <w:r>
              <w:rPr>
                <w:sz w:val="20"/>
              </w:rPr>
              <w:t>Shannon</w:t>
            </w:r>
            <w:r>
              <w:rPr>
                <w:spacing w:val="-9"/>
                <w:sz w:val="20"/>
              </w:rPr>
              <w:t> </w:t>
            </w:r>
            <w:r>
              <w:rPr>
                <w:sz w:val="20"/>
              </w:rPr>
              <w:t>Flats,</w:t>
            </w:r>
            <w:r>
              <w:rPr>
                <w:spacing w:val="-8"/>
                <w:sz w:val="20"/>
              </w:rPr>
              <w:t> </w:t>
            </w:r>
            <w:r>
              <w:rPr>
                <w:spacing w:val="-5"/>
                <w:sz w:val="20"/>
              </w:rPr>
              <w:t>NSW</w:t>
            </w:r>
          </w:p>
        </w:tc>
        <w:tc>
          <w:tcPr>
            <w:tcW w:w="2896" w:type="dxa"/>
            <w:tcBorders>
              <w:top w:val="single" w:sz="2" w:space="0" w:color="A6A6A6"/>
              <w:bottom w:val="single" w:sz="2" w:space="0" w:color="A6A6A6"/>
            </w:tcBorders>
            <w:shd w:val="clear" w:color="auto" w:fill="CCDBEA"/>
          </w:tcPr>
          <w:p>
            <w:pPr>
              <w:pStyle w:val="TableParagraph"/>
              <w:spacing w:before="81"/>
              <w:ind w:left="110"/>
              <w:rPr>
                <w:sz w:val="20"/>
              </w:rPr>
            </w:pPr>
            <w:r>
              <w:rPr>
                <w:spacing w:val="-2"/>
                <w:sz w:val="20"/>
              </w:rPr>
              <w:t>Rabbits/ha</w:t>
            </w:r>
          </w:p>
        </w:tc>
        <w:tc>
          <w:tcPr>
            <w:tcW w:w="4962" w:type="dxa"/>
            <w:tcBorders>
              <w:top w:val="single" w:sz="2" w:space="0" w:color="A6A6A6"/>
              <w:bottom w:val="single" w:sz="2" w:space="0" w:color="A6A6A6"/>
            </w:tcBorders>
          </w:tcPr>
          <w:p>
            <w:pPr>
              <w:pStyle w:val="TableParagraph"/>
              <w:spacing w:before="81"/>
              <w:ind w:left="108"/>
              <w:rPr>
                <w:sz w:val="20"/>
              </w:rPr>
            </w:pPr>
            <w:r>
              <w:rPr>
                <w:sz w:val="20"/>
              </w:rPr>
              <w:t>Parer</w:t>
            </w:r>
            <w:r>
              <w:rPr>
                <w:spacing w:val="-7"/>
                <w:sz w:val="20"/>
              </w:rPr>
              <w:t> </w:t>
            </w:r>
            <w:r>
              <w:rPr>
                <w:sz w:val="20"/>
              </w:rPr>
              <w:t>and</w:t>
            </w:r>
            <w:r>
              <w:rPr>
                <w:spacing w:val="-7"/>
                <w:sz w:val="20"/>
              </w:rPr>
              <w:t> </w:t>
            </w:r>
            <w:r>
              <w:rPr>
                <w:sz w:val="20"/>
              </w:rPr>
              <w:t>Milkovits</w:t>
            </w:r>
            <w:r>
              <w:rPr>
                <w:spacing w:val="-7"/>
                <w:sz w:val="20"/>
              </w:rPr>
              <w:t> </w:t>
            </w:r>
            <w:r>
              <w:rPr>
                <w:spacing w:val="-4"/>
                <w:sz w:val="20"/>
              </w:rPr>
              <w:t>1994</w:t>
            </w:r>
          </w:p>
        </w:tc>
      </w:tr>
      <w:tr>
        <w:trPr>
          <w:trHeight w:val="369" w:hRule="atLeast"/>
        </w:trPr>
        <w:tc>
          <w:tcPr>
            <w:tcW w:w="1990" w:type="dxa"/>
            <w:vMerge/>
            <w:tcBorders>
              <w:top w:val="nil"/>
              <w:bottom w:val="single" w:sz="4" w:space="0" w:color="000000"/>
            </w:tcBorders>
          </w:tcPr>
          <w:p>
            <w:pPr>
              <w:rPr>
                <w:sz w:val="2"/>
                <w:szCs w:val="2"/>
              </w:rPr>
            </w:pPr>
          </w:p>
        </w:tc>
        <w:tc>
          <w:tcPr>
            <w:tcW w:w="1733" w:type="dxa"/>
            <w:tcBorders>
              <w:top w:val="single" w:sz="2" w:space="0" w:color="A6A6A6"/>
              <w:bottom w:val="single" w:sz="2" w:space="0" w:color="A6A6A6"/>
            </w:tcBorders>
            <w:shd w:val="clear" w:color="auto" w:fill="CCDBEA"/>
          </w:tcPr>
          <w:p>
            <w:pPr>
              <w:pStyle w:val="TableParagraph"/>
              <w:spacing w:before="81"/>
              <w:jc w:val="center"/>
              <w:rPr>
                <w:sz w:val="20"/>
              </w:rPr>
            </w:pPr>
            <w:r>
              <w:rPr>
                <w:spacing w:val="-5"/>
                <w:sz w:val="20"/>
              </w:rPr>
              <w:t>65</w:t>
            </w:r>
          </w:p>
        </w:tc>
        <w:tc>
          <w:tcPr>
            <w:tcW w:w="2739" w:type="dxa"/>
            <w:tcBorders>
              <w:top w:val="single" w:sz="2" w:space="0" w:color="A6A6A6"/>
              <w:bottom w:val="single" w:sz="2" w:space="0" w:color="A6A6A6"/>
            </w:tcBorders>
          </w:tcPr>
          <w:p>
            <w:pPr>
              <w:pStyle w:val="TableParagraph"/>
              <w:spacing w:before="81"/>
              <w:ind w:left="107"/>
              <w:rPr>
                <w:sz w:val="20"/>
              </w:rPr>
            </w:pPr>
            <w:r>
              <w:rPr>
                <w:sz w:val="20"/>
              </w:rPr>
              <w:t>Kinchega</w:t>
            </w:r>
            <w:r>
              <w:rPr>
                <w:spacing w:val="-8"/>
                <w:sz w:val="20"/>
              </w:rPr>
              <w:t> </w:t>
            </w:r>
            <w:r>
              <w:rPr>
                <w:sz w:val="20"/>
              </w:rPr>
              <w:t>NP,</w:t>
            </w:r>
            <w:r>
              <w:rPr>
                <w:spacing w:val="-7"/>
                <w:sz w:val="20"/>
              </w:rPr>
              <w:t> </w:t>
            </w:r>
            <w:r>
              <w:rPr>
                <w:spacing w:val="-5"/>
                <w:sz w:val="20"/>
              </w:rPr>
              <w:t>NSW</w:t>
            </w:r>
          </w:p>
        </w:tc>
        <w:tc>
          <w:tcPr>
            <w:tcW w:w="2896" w:type="dxa"/>
            <w:tcBorders>
              <w:top w:val="single" w:sz="2" w:space="0" w:color="A6A6A6"/>
              <w:bottom w:val="single" w:sz="2" w:space="0" w:color="A6A6A6"/>
            </w:tcBorders>
            <w:shd w:val="clear" w:color="auto" w:fill="CCDBEA"/>
          </w:tcPr>
          <w:p>
            <w:pPr>
              <w:pStyle w:val="TableParagraph"/>
              <w:spacing w:before="81"/>
              <w:ind w:left="110"/>
              <w:rPr>
                <w:sz w:val="20"/>
              </w:rPr>
            </w:pPr>
            <w:r>
              <w:rPr>
                <w:sz w:val="20"/>
              </w:rPr>
              <w:t>Rabbits</w:t>
            </w:r>
            <w:r>
              <w:rPr>
                <w:spacing w:val="-9"/>
                <w:sz w:val="20"/>
              </w:rPr>
              <w:t> </w:t>
            </w:r>
            <w:r>
              <w:rPr>
                <w:sz w:val="20"/>
              </w:rPr>
              <w:t>per</w:t>
            </w:r>
            <w:r>
              <w:rPr>
                <w:spacing w:val="-8"/>
                <w:sz w:val="20"/>
              </w:rPr>
              <w:t> </w:t>
            </w:r>
            <w:r>
              <w:rPr>
                <w:sz w:val="20"/>
              </w:rPr>
              <w:t>spotlight</w:t>
            </w:r>
            <w:r>
              <w:rPr>
                <w:spacing w:val="-10"/>
                <w:sz w:val="20"/>
              </w:rPr>
              <w:t> </w:t>
            </w:r>
            <w:r>
              <w:rPr>
                <w:spacing w:val="-5"/>
                <w:sz w:val="20"/>
              </w:rPr>
              <w:t>km</w:t>
            </w:r>
          </w:p>
        </w:tc>
        <w:tc>
          <w:tcPr>
            <w:tcW w:w="4962" w:type="dxa"/>
            <w:tcBorders>
              <w:top w:val="single" w:sz="2" w:space="0" w:color="A6A6A6"/>
              <w:bottom w:val="single" w:sz="2" w:space="0" w:color="A6A6A6"/>
            </w:tcBorders>
          </w:tcPr>
          <w:p>
            <w:pPr>
              <w:pStyle w:val="TableParagraph"/>
              <w:spacing w:before="81"/>
              <w:ind w:left="108"/>
              <w:rPr>
                <w:sz w:val="20"/>
              </w:rPr>
            </w:pPr>
            <w:r>
              <w:rPr>
                <w:sz w:val="20"/>
              </w:rPr>
              <w:t>Martin</w:t>
            </w:r>
            <w:r>
              <w:rPr>
                <w:spacing w:val="-9"/>
                <w:sz w:val="20"/>
              </w:rPr>
              <w:t> </w:t>
            </w:r>
            <w:r>
              <w:rPr>
                <w:sz w:val="20"/>
              </w:rPr>
              <w:t>and</w:t>
            </w:r>
            <w:r>
              <w:rPr>
                <w:spacing w:val="-8"/>
                <w:sz w:val="20"/>
              </w:rPr>
              <w:t> </w:t>
            </w:r>
            <w:r>
              <w:rPr>
                <w:sz w:val="20"/>
              </w:rPr>
              <w:t>Eveleigh</w:t>
            </w:r>
            <w:r>
              <w:rPr>
                <w:spacing w:val="-8"/>
                <w:sz w:val="20"/>
              </w:rPr>
              <w:t> </w:t>
            </w:r>
            <w:r>
              <w:rPr>
                <w:spacing w:val="-4"/>
                <w:sz w:val="20"/>
              </w:rPr>
              <w:t>1979</w:t>
            </w:r>
          </w:p>
        </w:tc>
      </w:tr>
      <w:tr>
        <w:trPr>
          <w:trHeight w:val="384" w:hRule="atLeast"/>
        </w:trPr>
        <w:tc>
          <w:tcPr>
            <w:tcW w:w="1990" w:type="dxa"/>
            <w:vMerge/>
            <w:tcBorders>
              <w:top w:val="nil"/>
              <w:bottom w:val="single" w:sz="4" w:space="0" w:color="000000"/>
            </w:tcBorders>
          </w:tcPr>
          <w:p>
            <w:pPr>
              <w:rPr>
                <w:sz w:val="2"/>
                <w:szCs w:val="2"/>
              </w:rPr>
            </w:pPr>
          </w:p>
        </w:tc>
        <w:tc>
          <w:tcPr>
            <w:tcW w:w="1733" w:type="dxa"/>
            <w:tcBorders>
              <w:top w:val="single" w:sz="2" w:space="0" w:color="A6A6A6"/>
            </w:tcBorders>
            <w:shd w:val="clear" w:color="auto" w:fill="CCDBEA"/>
          </w:tcPr>
          <w:p>
            <w:pPr>
              <w:pStyle w:val="TableParagraph"/>
              <w:spacing w:before="81"/>
              <w:jc w:val="center"/>
              <w:rPr>
                <w:sz w:val="20"/>
              </w:rPr>
            </w:pPr>
            <w:r>
              <w:rPr>
                <w:spacing w:val="-5"/>
                <w:sz w:val="20"/>
              </w:rPr>
              <w:t>93</w:t>
            </w:r>
          </w:p>
        </w:tc>
        <w:tc>
          <w:tcPr>
            <w:tcW w:w="2739" w:type="dxa"/>
            <w:tcBorders>
              <w:top w:val="single" w:sz="2" w:space="0" w:color="A6A6A6"/>
            </w:tcBorders>
          </w:tcPr>
          <w:p>
            <w:pPr>
              <w:pStyle w:val="TableParagraph"/>
              <w:spacing w:before="81"/>
              <w:ind w:left="107"/>
              <w:rPr>
                <w:sz w:val="20"/>
              </w:rPr>
            </w:pPr>
            <w:r>
              <w:rPr>
                <w:sz w:val="20"/>
              </w:rPr>
              <w:t>Central</w:t>
            </w:r>
            <w:r>
              <w:rPr>
                <w:spacing w:val="-9"/>
                <w:sz w:val="20"/>
              </w:rPr>
              <w:t> </w:t>
            </w:r>
            <w:r>
              <w:rPr>
                <w:spacing w:val="-2"/>
                <w:sz w:val="20"/>
              </w:rPr>
              <w:t>Australia</w:t>
            </w:r>
          </w:p>
        </w:tc>
        <w:tc>
          <w:tcPr>
            <w:tcW w:w="2896" w:type="dxa"/>
            <w:tcBorders>
              <w:top w:val="single" w:sz="2" w:space="0" w:color="A6A6A6"/>
            </w:tcBorders>
            <w:shd w:val="clear" w:color="auto" w:fill="CCDBEA"/>
          </w:tcPr>
          <w:p>
            <w:pPr>
              <w:pStyle w:val="TableParagraph"/>
              <w:spacing w:before="81"/>
              <w:ind w:left="110"/>
              <w:rPr>
                <w:sz w:val="20"/>
              </w:rPr>
            </w:pPr>
            <w:r>
              <w:rPr>
                <w:spacing w:val="-2"/>
                <w:sz w:val="20"/>
              </w:rPr>
              <w:t>Rabbits/spotlight</w:t>
            </w:r>
            <w:r>
              <w:rPr>
                <w:spacing w:val="11"/>
                <w:sz w:val="20"/>
              </w:rPr>
              <w:t> </w:t>
            </w:r>
            <w:r>
              <w:rPr>
                <w:spacing w:val="-5"/>
                <w:sz w:val="20"/>
              </w:rPr>
              <w:t>km</w:t>
            </w:r>
          </w:p>
        </w:tc>
        <w:tc>
          <w:tcPr>
            <w:tcW w:w="4962" w:type="dxa"/>
            <w:vMerge w:val="restart"/>
            <w:tcBorders>
              <w:top w:val="single" w:sz="2" w:space="0" w:color="A6A6A6"/>
              <w:bottom w:val="single" w:sz="4" w:space="0" w:color="000000"/>
            </w:tcBorders>
          </w:tcPr>
          <w:p>
            <w:pPr>
              <w:pStyle w:val="TableParagraph"/>
              <w:rPr>
                <w:b/>
                <w:sz w:val="20"/>
              </w:rPr>
            </w:pPr>
          </w:p>
          <w:p>
            <w:pPr>
              <w:pStyle w:val="TableParagraph"/>
              <w:spacing w:before="192"/>
              <w:rPr>
                <w:b/>
                <w:sz w:val="20"/>
              </w:rPr>
            </w:pPr>
          </w:p>
          <w:p>
            <w:pPr>
              <w:pStyle w:val="TableParagraph"/>
              <w:spacing w:before="1"/>
              <w:ind w:left="108"/>
              <w:rPr>
                <w:sz w:val="20"/>
              </w:rPr>
            </w:pPr>
            <w:r>
              <w:rPr>
                <w:sz w:val="20"/>
              </w:rPr>
              <w:t>NHT</w:t>
            </w:r>
            <w:r>
              <w:rPr>
                <w:spacing w:val="-5"/>
                <w:sz w:val="20"/>
              </w:rPr>
              <w:t> </w:t>
            </w:r>
            <w:r>
              <w:rPr>
                <w:spacing w:val="-4"/>
                <w:sz w:val="20"/>
              </w:rPr>
              <w:t>2003</w:t>
            </w:r>
          </w:p>
        </w:tc>
      </w:tr>
      <w:tr>
        <w:trPr>
          <w:trHeight w:val="370" w:hRule="atLeast"/>
        </w:trPr>
        <w:tc>
          <w:tcPr>
            <w:tcW w:w="1990" w:type="dxa"/>
            <w:vMerge/>
            <w:tcBorders>
              <w:top w:val="nil"/>
              <w:bottom w:val="single" w:sz="4" w:space="0" w:color="000000"/>
            </w:tcBorders>
          </w:tcPr>
          <w:p>
            <w:pPr>
              <w:rPr>
                <w:sz w:val="2"/>
                <w:szCs w:val="2"/>
              </w:rPr>
            </w:pPr>
          </w:p>
        </w:tc>
        <w:tc>
          <w:tcPr>
            <w:tcW w:w="1733" w:type="dxa"/>
            <w:shd w:val="clear" w:color="auto" w:fill="CCDBEA"/>
          </w:tcPr>
          <w:p>
            <w:pPr>
              <w:pStyle w:val="TableParagraph"/>
              <w:spacing w:before="66"/>
              <w:jc w:val="center"/>
              <w:rPr>
                <w:sz w:val="20"/>
              </w:rPr>
            </w:pPr>
            <w:r>
              <w:rPr>
                <w:spacing w:val="-5"/>
                <w:sz w:val="20"/>
              </w:rPr>
              <w:t>100</w:t>
            </w:r>
          </w:p>
        </w:tc>
        <w:tc>
          <w:tcPr>
            <w:tcW w:w="2739" w:type="dxa"/>
          </w:tcPr>
          <w:p>
            <w:pPr>
              <w:pStyle w:val="TableParagraph"/>
              <w:spacing w:before="66"/>
              <w:ind w:left="107"/>
              <w:rPr>
                <w:sz w:val="20"/>
              </w:rPr>
            </w:pPr>
            <w:r>
              <w:rPr>
                <w:sz w:val="20"/>
              </w:rPr>
              <w:t>Western</w:t>
            </w:r>
            <w:r>
              <w:rPr>
                <w:spacing w:val="-11"/>
                <w:sz w:val="20"/>
              </w:rPr>
              <w:t> </w:t>
            </w:r>
            <w:r>
              <w:rPr>
                <w:spacing w:val="-5"/>
                <w:sz w:val="20"/>
              </w:rPr>
              <w:t>NSW</w:t>
            </w:r>
          </w:p>
        </w:tc>
        <w:tc>
          <w:tcPr>
            <w:tcW w:w="2896" w:type="dxa"/>
            <w:shd w:val="clear" w:color="auto" w:fill="CCDBEA"/>
          </w:tcPr>
          <w:p>
            <w:pPr>
              <w:pStyle w:val="TableParagraph"/>
              <w:spacing w:before="66"/>
              <w:ind w:left="110"/>
              <w:rPr>
                <w:sz w:val="20"/>
              </w:rPr>
            </w:pPr>
            <w:r>
              <w:rPr>
                <w:spacing w:val="-2"/>
                <w:sz w:val="20"/>
              </w:rPr>
              <w:t>Rabbits/warren</w:t>
            </w:r>
          </w:p>
        </w:tc>
        <w:tc>
          <w:tcPr>
            <w:tcW w:w="4962" w:type="dxa"/>
            <w:vMerge/>
            <w:tcBorders>
              <w:top w:val="nil"/>
              <w:bottom w:val="single" w:sz="4" w:space="0" w:color="000000"/>
            </w:tcBorders>
          </w:tcPr>
          <w:p>
            <w:pPr>
              <w:rPr>
                <w:sz w:val="2"/>
                <w:szCs w:val="2"/>
              </w:rPr>
            </w:pPr>
          </w:p>
        </w:tc>
      </w:tr>
      <w:tr>
        <w:trPr>
          <w:trHeight w:val="358" w:hRule="atLeast"/>
        </w:trPr>
        <w:tc>
          <w:tcPr>
            <w:tcW w:w="1990" w:type="dxa"/>
            <w:vMerge/>
            <w:tcBorders>
              <w:top w:val="nil"/>
              <w:bottom w:val="single" w:sz="4" w:space="0" w:color="000000"/>
            </w:tcBorders>
          </w:tcPr>
          <w:p>
            <w:pPr>
              <w:rPr>
                <w:sz w:val="2"/>
                <w:szCs w:val="2"/>
              </w:rPr>
            </w:pPr>
          </w:p>
        </w:tc>
        <w:tc>
          <w:tcPr>
            <w:tcW w:w="1733" w:type="dxa"/>
            <w:tcBorders>
              <w:bottom w:val="single" w:sz="4" w:space="0" w:color="000000"/>
            </w:tcBorders>
            <w:shd w:val="clear" w:color="auto" w:fill="CCDBEA"/>
          </w:tcPr>
          <w:p>
            <w:pPr>
              <w:pStyle w:val="TableParagraph"/>
              <w:spacing w:before="67"/>
              <w:jc w:val="center"/>
              <w:rPr>
                <w:sz w:val="20"/>
              </w:rPr>
            </w:pPr>
            <w:r>
              <w:rPr>
                <w:spacing w:val="-5"/>
                <w:sz w:val="20"/>
              </w:rPr>
              <w:t>98</w:t>
            </w:r>
          </w:p>
        </w:tc>
        <w:tc>
          <w:tcPr>
            <w:tcW w:w="2739" w:type="dxa"/>
            <w:tcBorders>
              <w:bottom w:val="single" w:sz="4" w:space="0" w:color="000000"/>
            </w:tcBorders>
          </w:tcPr>
          <w:p>
            <w:pPr>
              <w:pStyle w:val="TableParagraph"/>
              <w:spacing w:before="67"/>
              <w:ind w:left="107"/>
              <w:rPr>
                <w:sz w:val="20"/>
              </w:rPr>
            </w:pPr>
            <w:r>
              <w:rPr>
                <w:spacing w:val="-2"/>
                <w:sz w:val="20"/>
              </w:rPr>
              <w:t>South-western</w:t>
            </w:r>
            <w:r>
              <w:rPr>
                <w:spacing w:val="10"/>
                <w:sz w:val="20"/>
              </w:rPr>
              <w:t> </w:t>
            </w:r>
            <w:r>
              <w:rPr>
                <w:spacing w:val="-5"/>
                <w:sz w:val="20"/>
              </w:rPr>
              <w:t>NSW</w:t>
            </w:r>
          </w:p>
        </w:tc>
        <w:tc>
          <w:tcPr>
            <w:tcW w:w="2896" w:type="dxa"/>
            <w:tcBorders>
              <w:bottom w:val="single" w:sz="4" w:space="0" w:color="000000"/>
            </w:tcBorders>
            <w:shd w:val="clear" w:color="auto" w:fill="CCDBEA"/>
          </w:tcPr>
          <w:p>
            <w:pPr>
              <w:pStyle w:val="TableParagraph"/>
              <w:spacing w:before="67"/>
              <w:ind w:left="110"/>
              <w:rPr>
                <w:sz w:val="20"/>
              </w:rPr>
            </w:pPr>
            <w:r>
              <w:rPr>
                <w:spacing w:val="-2"/>
                <w:sz w:val="20"/>
              </w:rPr>
              <w:t>Rabbits/spotlight</w:t>
            </w:r>
            <w:r>
              <w:rPr>
                <w:spacing w:val="11"/>
                <w:sz w:val="20"/>
              </w:rPr>
              <w:t> </w:t>
            </w:r>
            <w:r>
              <w:rPr>
                <w:spacing w:val="-5"/>
                <w:sz w:val="20"/>
              </w:rPr>
              <w:t>km</w:t>
            </w:r>
          </w:p>
        </w:tc>
        <w:tc>
          <w:tcPr>
            <w:tcW w:w="4962" w:type="dxa"/>
            <w:vMerge/>
            <w:tcBorders>
              <w:top w:val="nil"/>
              <w:bottom w:val="single" w:sz="4" w:space="0" w:color="000000"/>
            </w:tcBorders>
          </w:tcPr>
          <w:p>
            <w:pPr>
              <w:rPr>
                <w:sz w:val="2"/>
                <w:szCs w:val="2"/>
              </w:rPr>
            </w:pPr>
          </w:p>
        </w:tc>
      </w:tr>
      <w:tr>
        <w:trPr>
          <w:trHeight w:val="369" w:hRule="atLeast"/>
        </w:trPr>
        <w:tc>
          <w:tcPr>
            <w:tcW w:w="1990" w:type="dxa"/>
            <w:vMerge/>
            <w:tcBorders>
              <w:top w:val="nil"/>
              <w:bottom w:val="single" w:sz="4" w:space="0" w:color="000000"/>
            </w:tcBorders>
          </w:tcPr>
          <w:p>
            <w:pPr>
              <w:rPr>
                <w:sz w:val="2"/>
                <w:szCs w:val="2"/>
              </w:rPr>
            </w:pPr>
          </w:p>
        </w:tc>
        <w:tc>
          <w:tcPr>
            <w:tcW w:w="1733" w:type="dxa"/>
            <w:tcBorders>
              <w:top w:val="single" w:sz="4" w:space="0" w:color="000000"/>
              <w:bottom w:val="single" w:sz="4" w:space="0" w:color="000000"/>
            </w:tcBorders>
            <w:shd w:val="clear" w:color="auto" w:fill="CCDBEA"/>
          </w:tcPr>
          <w:p>
            <w:pPr>
              <w:pStyle w:val="TableParagraph"/>
              <w:spacing w:before="78"/>
              <w:jc w:val="center"/>
              <w:rPr>
                <w:sz w:val="20"/>
              </w:rPr>
            </w:pPr>
            <w:r>
              <w:rPr>
                <w:spacing w:val="-5"/>
                <w:sz w:val="20"/>
              </w:rPr>
              <w:t>99</w:t>
            </w:r>
          </w:p>
        </w:tc>
        <w:tc>
          <w:tcPr>
            <w:tcW w:w="2739" w:type="dxa"/>
            <w:tcBorders>
              <w:top w:val="single" w:sz="4" w:space="0" w:color="000000"/>
              <w:bottom w:val="single" w:sz="4" w:space="0" w:color="000000"/>
            </w:tcBorders>
          </w:tcPr>
          <w:p>
            <w:pPr>
              <w:pStyle w:val="TableParagraph"/>
              <w:spacing w:before="78"/>
              <w:ind w:left="107"/>
              <w:rPr>
                <w:sz w:val="20"/>
              </w:rPr>
            </w:pPr>
            <w:r>
              <w:rPr>
                <w:sz w:val="20"/>
              </w:rPr>
              <w:t>Western</w:t>
            </w:r>
            <w:r>
              <w:rPr>
                <w:spacing w:val="-10"/>
                <w:sz w:val="20"/>
              </w:rPr>
              <w:t> </w:t>
            </w:r>
            <w:r>
              <w:rPr>
                <w:sz w:val="20"/>
              </w:rPr>
              <w:t>District,</w:t>
            </w:r>
            <w:r>
              <w:rPr>
                <w:spacing w:val="-9"/>
                <w:sz w:val="20"/>
              </w:rPr>
              <w:t> </w:t>
            </w:r>
            <w:r>
              <w:rPr>
                <w:spacing w:val="-2"/>
                <w:sz w:val="20"/>
              </w:rPr>
              <w:t>Victoria</w:t>
            </w:r>
          </w:p>
        </w:tc>
        <w:tc>
          <w:tcPr>
            <w:tcW w:w="2896" w:type="dxa"/>
            <w:tcBorders>
              <w:top w:val="single" w:sz="4" w:space="0" w:color="000000"/>
              <w:bottom w:val="single" w:sz="4" w:space="0" w:color="000000"/>
            </w:tcBorders>
            <w:shd w:val="clear" w:color="auto" w:fill="CCDBEA"/>
          </w:tcPr>
          <w:p>
            <w:pPr>
              <w:pStyle w:val="TableParagraph"/>
              <w:spacing w:before="78"/>
              <w:ind w:left="110"/>
              <w:rPr>
                <w:sz w:val="20"/>
              </w:rPr>
            </w:pPr>
            <w:r>
              <w:rPr>
                <w:spacing w:val="-2"/>
                <w:sz w:val="20"/>
              </w:rPr>
              <w:t>Rabbits/spotlight</w:t>
            </w:r>
            <w:r>
              <w:rPr>
                <w:spacing w:val="11"/>
                <w:sz w:val="20"/>
              </w:rPr>
              <w:t> </w:t>
            </w:r>
            <w:r>
              <w:rPr>
                <w:spacing w:val="-5"/>
                <w:sz w:val="20"/>
              </w:rPr>
              <w:t>km</w:t>
            </w:r>
          </w:p>
        </w:tc>
        <w:tc>
          <w:tcPr>
            <w:tcW w:w="4962" w:type="dxa"/>
            <w:vMerge/>
            <w:tcBorders>
              <w:top w:val="nil"/>
              <w:bottom w:val="single" w:sz="4" w:space="0" w:color="000000"/>
            </w:tcBorders>
          </w:tcPr>
          <w:p>
            <w:pPr>
              <w:rPr>
                <w:sz w:val="2"/>
                <w:szCs w:val="2"/>
              </w:rPr>
            </w:pPr>
          </w:p>
        </w:tc>
      </w:tr>
      <w:tr>
        <w:trPr>
          <w:trHeight w:val="371" w:hRule="atLeast"/>
        </w:trPr>
        <w:tc>
          <w:tcPr>
            <w:tcW w:w="1990" w:type="dxa"/>
            <w:tcBorders>
              <w:top w:val="single" w:sz="4" w:space="0" w:color="000000"/>
            </w:tcBorders>
          </w:tcPr>
          <w:p>
            <w:pPr>
              <w:pStyle w:val="TableParagraph"/>
              <w:spacing w:before="78"/>
              <w:ind w:left="107"/>
              <w:rPr>
                <w:sz w:val="20"/>
              </w:rPr>
            </w:pPr>
            <w:r>
              <w:rPr>
                <w:spacing w:val="-2"/>
                <w:sz w:val="20"/>
              </w:rPr>
              <w:t>Fumigation</w:t>
            </w:r>
          </w:p>
        </w:tc>
        <w:tc>
          <w:tcPr>
            <w:tcW w:w="1733" w:type="dxa"/>
            <w:tcBorders>
              <w:top w:val="single" w:sz="4" w:space="0" w:color="000000"/>
              <w:bottom w:val="single" w:sz="2" w:space="0" w:color="A6A6A6"/>
            </w:tcBorders>
            <w:shd w:val="clear" w:color="auto" w:fill="CCDBEA"/>
          </w:tcPr>
          <w:p>
            <w:pPr>
              <w:pStyle w:val="TableParagraph"/>
              <w:spacing w:before="78"/>
              <w:jc w:val="center"/>
              <w:rPr>
                <w:sz w:val="20"/>
              </w:rPr>
            </w:pPr>
            <w:r>
              <w:rPr>
                <w:spacing w:val="-4"/>
                <w:sz w:val="20"/>
              </w:rPr>
              <w:t>48–80</w:t>
            </w:r>
          </w:p>
        </w:tc>
        <w:tc>
          <w:tcPr>
            <w:tcW w:w="2739" w:type="dxa"/>
            <w:tcBorders>
              <w:top w:val="single" w:sz="4" w:space="0" w:color="000000"/>
              <w:bottom w:val="single" w:sz="2" w:space="0" w:color="A6A6A6"/>
            </w:tcBorders>
          </w:tcPr>
          <w:p>
            <w:pPr>
              <w:pStyle w:val="TableParagraph"/>
              <w:spacing w:before="78"/>
              <w:ind w:left="107"/>
              <w:rPr>
                <w:sz w:val="20"/>
              </w:rPr>
            </w:pPr>
            <w:r>
              <w:rPr>
                <w:sz w:val="20"/>
              </w:rPr>
              <w:t>Ballan,</w:t>
            </w:r>
            <w:r>
              <w:rPr>
                <w:spacing w:val="-9"/>
                <w:sz w:val="20"/>
              </w:rPr>
              <w:t> </w:t>
            </w:r>
            <w:r>
              <w:rPr>
                <w:spacing w:val="-5"/>
                <w:sz w:val="20"/>
              </w:rPr>
              <w:t>Vic</w:t>
            </w:r>
          </w:p>
        </w:tc>
        <w:tc>
          <w:tcPr>
            <w:tcW w:w="2896" w:type="dxa"/>
            <w:tcBorders>
              <w:top w:val="single" w:sz="4" w:space="0" w:color="000000"/>
              <w:bottom w:val="single" w:sz="2" w:space="0" w:color="A6A6A6"/>
            </w:tcBorders>
            <w:shd w:val="clear" w:color="auto" w:fill="CCDBEA"/>
          </w:tcPr>
          <w:p>
            <w:pPr>
              <w:pStyle w:val="TableParagraph"/>
              <w:spacing w:before="78"/>
              <w:ind w:left="110"/>
              <w:rPr>
                <w:sz w:val="20"/>
              </w:rPr>
            </w:pPr>
            <w:r>
              <w:rPr>
                <w:sz w:val="20"/>
              </w:rPr>
              <w:t>Count</w:t>
            </w:r>
            <w:r>
              <w:rPr>
                <w:spacing w:val="-7"/>
                <w:sz w:val="20"/>
              </w:rPr>
              <w:t> </w:t>
            </w:r>
            <w:r>
              <w:rPr>
                <w:sz w:val="20"/>
              </w:rPr>
              <w:t>of</w:t>
            </w:r>
            <w:r>
              <w:rPr>
                <w:spacing w:val="-4"/>
                <w:sz w:val="20"/>
              </w:rPr>
              <w:t> </w:t>
            </w:r>
            <w:r>
              <w:rPr>
                <w:spacing w:val="-2"/>
                <w:sz w:val="20"/>
              </w:rPr>
              <w:t>bodies</w:t>
            </w:r>
          </w:p>
        </w:tc>
        <w:tc>
          <w:tcPr>
            <w:tcW w:w="4962" w:type="dxa"/>
            <w:tcBorders>
              <w:top w:val="single" w:sz="4" w:space="0" w:color="000000"/>
              <w:bottom w:val="single" w:sz="2" w:space="0" w:color="A6A6A6"/>
            </w:tcBorders>
          </w:tcPr>
          <w:p>
            <w:pPr>
              <w:pStyle w:val="TableParagraph"/>
              <w:spacing w:before="78"/>
              <w:ind w:left="108"/>
              <w:rPr>
                <w:sz w:val="20"/>
              </w:rPr>
            </w:pPr>
            <w:r>
              <w:rPr>
                <w:sz w:val="20"/>
              </w:rPr>
              <w:t>Giggliotti</w:t>
            </w:r>
            <w:r>
              <w:rPr>
                <w:spacing w:val="-6"/>
                <w:sz w:val="20"/>
              </w:rPr>
              <w:t> </w:t>
            </w:r>
            <w:r>
              <w:rPr>
                <w:sz w:val="20"/>
              </w:rPr>
              <w:t>et</w:t>
            </w:r>
            <w:r>
              <w:rPr>
                <w:spacing w:val="-7"/>
                <w:sz w:val="20"/>
              </w:rPr>
              <w:t> </w:t>
            </w:r>
            <w:r>
              <w:rPr>
                <w:sz w:val="20"/>
              </w:rPr>
              <w:t>al.</w:t>
            </w:r>
            <w:r>
              <w:rPr>
                <w:spacing w:val="-5"/>
                <w:sz w:val="20"/>
              </w:rPr>
              <w:t> </w:t>
            </w:r>
            <w:r>
              <w:rPr>
                <w:spacing w:val="-4"/>
                <w:sz w:val="20"/>
              </w:rPr>
              <w:t>2009</w:t>
            </w:r>
          </w:p>
        </w:tc>
      </w:tr>
    </w:tbl>
    <w:p>
      <w:pPr>
        <w:tabs>
          <w:tab w:pos="14685" w:val="right" w:leader="none"/>
        </w:tabs>
        <w:spacing w:before="142"/>
        <w:ind w:left="10254"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31</w:t>
      </w:r>
    </w:p>
    <w:p>
      <w:pPr>
        <w:spacing w:after="0"/>
        <w:jc w:val="left"/>
        <w:rPr>
          <w:sz w:val="20"/>
        </w:rPr>
        <w:sectPr>
          <w:footerReference w:type="default" r:id="rId30"/>
          <w:pgSz w:w="16850" w:h="11910" w:orient="landscape"/>
          <w:pgMar w:header="0" w:footer="0" w:top="1140" w:bottom="280" w:left="1020" w:right="1020"/>
        </w:sectPr>
      </w:pPr>
    </w:p>
    <w:tbl>
      <w:tblPr>
        <w:tblW w:w="0" w:type="auto"/>
        <w:jc w:val="left"/>
        <w:tblInd w:w="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0"/>
        <w:gridCol w:w="1735"/>
        <w:gridCol w:w="2736"/>
        <w:gridCol w:w="2898"/>
        <w:gridCol w:w="4960"/>
      </w:tblGrid>
      <w:tr>
        <w:trPr>
          <w:trHeight w:val="581" w:hRule="atLeast"/>
        </w:trPr>
        <w:tc>
          <w:tcPr>
            <w:tcW w:w="1990" w:type="dxa"/>
            <w:tcBorders>
              <w:bottom w:val="single" w:sz="4" w:space="0" w:color="000000"/>
            </w:tcBorders>
            <w:shd w:val="clear" w:color="auto" w:fill="004B96"/>
          </w:tcPr>
          <w:p>
            <w:pPr>
              <w:pStyle w:val="TableParagraph"/>
              <w:spacing w:before="60"/>
              <w:ind w:left="107"/>
              <w:rPr>
                <w:b/>
                <w:sz w:val="20"/>
              </w:rPr>
            </w:pPr>
            <w:r>
              <w:rPr>
                <w:b/>
                <w:color w:val="FFFFFF"/>
                <w:spacing w:val="-2"/>
                <w:sz w:val="20"/>
              </w:rPr>
              <w:t>Method</w:t>
            </w:r>
          </w:p>
        </w:tc>
        <w:tc>
          <w:tcPr>
            <w:tcW w:w="1735" w:type="dxa"/>
            <w:tcBorders>
              <w:bottom w:val="single" w:sz="2" w:space="0" w:color="A6A6A6"/>
            </w:tcBorders>
            <w:shd w:val="clear" w:color="auto" w:fill="004B96"/>
          </w:tcPr>
          <w:p>
            <w:pPr>
              <w:pStyle w:val="TableParagraph"/>
              <w:spacing w:before="60"/>
              <w:ind w:left="110" w:right="546"/>
              <w:rPr>
                <w:b/>
                <w:sz w:val="20"/>
              </w:rPr>
            </w:pPr>
            <w:r>
              <w:rPr>
                <w:b/>
                <w:color w:val="FFFFFF"/>
                <w:spacing w:val="-2"/>
                <w:sz w:val="20"/>
              </w:rPr>
              <w:t>Percentage reduction</w:t>
            </w:r>
          </w:p>
        </w:tc>
        <w:tc>
          <w:tcPr>
            <w:tcW w:w="2736" w:type="dxa"/>
            <w:tcBorders>
              <w:bottom w:val="single" w:sz="2" w:space="0" w:color="A6A6A6"/>
            </w:tcBorders>
            <w:shd w:val="clear" w:color="auto" w:fill="004B96"/>
          </w:tcPr>
          <w:p>
            <w:pPr>
              <w:pStyle w:val="TableParagraph"/>
              <w:spacing w:before="60"/>
              <w:ind w:left="105"/>
              <w:rPr>
                <w:b/>
                <w:sz w:val="20"/>
              </w:rPr>
            </w:pPr>
            <w:r>
              <w:rPr>
                <w:b/>
                <w:color w:val="FFFFFF"/>
                <w:spacing w:val="-2"/>
                <w:sz w:val="20"/>
              </w:rPr>
              <w:t>Region</w:t>
            </w:r>
          </w:p>
        </w:tc>
        <w:tc>
          <w:tcPr>
            <w:tcW w:w="2898" w:type="dxa"/>
            <w:tcBorders>
              <w:bottom w:val="single" w:sz="2" w:space="0" w:color="A6A6A6"/>
            </w:tcBorders>
            <w:shd w:val="clear" w:color="auto" w:fill="004B96"/>
          </w:tcPr>
          <w:p>
            <w:pPr>
              <w:pStyle w:val="TableParagraph"/>
              <w:spacing w:before="60"/>
              <w:ind w:left="111"/>
              <w:rPr>
                <w:b/>
                <w:sz w:val="20"/>
              </w:rPr>
            </w:pPr>
            <w:r>
              <w:rPr>
                <w:b/>
                <w:color w:val="FFFFFF"/>
                <w:sz w:val="20"/>
              </w:rPr>
              <w:t>Method</w:t>
            </w:r>
            <w:r>
              <w:rPr>
                <w:b/>
                <w:color w:val="FFFFFF"/>
                <w:spacing w:val="-13"/>
                <w:sz w:val="20"/>
              </w:rPr>
              <w:t> </w:t>
            </w:r>
            <w:r>
              <w:rPr>
                <w:b/>
                <w:color w:val="FFFFFF"/>
                <w:sz w:val="20"/>
              </w:rPr>
              <w:t>used</w:t>
            </w:r>
            <w:r>
              <w:rPr>
                <w:b/>
                <w:color w:val="FFFFFF"/>
                <w:spacing w:val="-14"/>
                <w:sz w:val="20"/>
              </w:rPr>
              <w:t> </w:t>
            </w:r>
            <w:r>
              <w:rPr>
                <w:b/>
                <w:color w:val="FFFFFF"/>
                <w:sz w:val="20"/>
              </w:rPr>
              <w:t>to</w:t>
            </w:r>
            <w:r>
              <w:rPr>
                <w:b/>
                <w:color w:val="FFFFFF"/>
                <w:spacing w:val="-13"/>
                <w:sz w:val="20"/>
              </w:rPr>
              <w:t> </w:t>
            </w:r>
            <w:r>
              <w:rPr>
                <w:b/>
                <w:color w:val="FFFFFF"/>
                <w:sz w:val="20"/>
              </w:rPr>
              <w:t>measure </w:t>
            </w:r>
            <w:r>
              <w:rPr>
                <w:b/>
                <w:color w:val="FFFFFF"/>
                <w:spacing w:val="-2"/>
                <w:sz w:val="20"/>
              </w:rPr>
              <w:t>change</w:t>
            </w:r>
          </w:p>
        </w:tc>
        <w:tc>
          <w:tcPr>
            <w:tcW w:w="4960" w:type="dxa"/>
            <w:tcBorders>
              <w:bottom w:val="single" w:sz="2" w:space="0" w:color="A6A6A6"/>
            </w:tcBorders>
            <w:shd w:val="clear" w:color="auto" w:fill="004B96"/>
          </w:tcPr>
          <w:p>
            <w:pPr>
              <w:pStyle w:val="TableParagraph"/>
              <w:spacing w:before="60"/>
              <w:ind w:left="107"/>
              <w:rPr>
                <w:b/>
                <w:sz w:val="20"/>
              </w:rPr>
            </w:pPr>
            <w:r>
              <w:rPr>
                <w:b/>
                <w:color w:val="FFFFFF"/>
                <w:spacing w:val="-2"/>
                <w:sz w:val="20"/>
              </w:rPr>
              <w:t>Reference</w:t>
            </w:r>
          </w:p>
        </w:tc>
      </w:tr>
      <w:tr>
        <w:trPr>
          <w:trHeight w:val="366" w:hRule="atLeast"/>
        </w:trPr>
        <w:tc>
          <w:tcPr>
            <w:tcW w:w="1990" w:type="dxa"/>
            <w:tcBorders>
              <w:top w:val="single" w:sz="4" w:space="0" w:color="000000"/>
              <w:bottom w:val="single" w:sz="4" w:space="0" w:color="000000"/>
            </w:tcBorders>
          </w:tcPr>
          <w:p>
            <w:pPr>
              <w:pStyle w:val="TableParagraph"/>
              <w:rPr>
                <w:rFonts w:ascii="Times New Roman"/>
                <w:sz w:val="18"/>
              </w:rPr>
            </w:pPr>
          </w:p>
        </w:tc>
        <w:tc>
          <w:tcPr>
            <w:tcW w:w="1735" w:type="dxa"/>
            <w:tcBorders>
              <w:top w:val="single" w:sz="2" w:space="0" w:color="A6A6A6"/>
              <w:bottom w:val="single" w:sz="2" w:space="0" w:color="A6A6A6"/>
            </w:tcBorders>
            <w:shd w:val="clear" w:color="auto" w:fill="CCDBEA"/>
          </w:tcPr>
          <w:p>
            <w:pPr>
              <w:pStyle w:val="TableParagraph"/>
              <w:spacing w:before="78"/>
              <w:jc w:val="center"/>
              <w:rPr>
                <w:sz w:val="20"/>
              </w:rPr>
            </w:pPr>
            <w:r>
              <w:rPr>
                <w:spacing w:val="-4"/>
                <w:sz w:val="20"/>
              </w:rPr>
              <w:t>40–78</w:t>
            </w:r>
          </w:p>
        </w:tc>
        <w:tc>
          <w:tcPr>
            <w:tcW w:w="2736" w:type="dxa"/>
            <w:tcBorders>
              <w:top w:val="single" w:sz="2" w:space="0" w:color="A6A6A6"/>
              <w:bottom w:val="single" w:sz="2" w:space="0" w:color="A6A6A6"/>
            </w:tcBorders>
          </w:tcPr>
          <w:p>
            <w:pPr>
              <w:pStyle w:val="TableParagraph"/>
              <w:spacing w:before="78"/>
              <w:ind w:left="105"/>
              <w:rPr>
                <w:sz w:val="20"/>
              </w:rPr>
            </w:pPr>
            <w:r>
              <w:rPr>
                <w:spacing w:val="-2"/>
                <w:sz w:val="20"/>
              </w:rPr>
              <w:t>Adaminaby,</w:t>
            </w:r>
            <w:r>
              <w:rPr>
                <w:spacing w:val="4"/>
                <w:sz w:val="20"/>
              </w:rPr>
              <w:t> </w:t>
            </w:r>
            <w:r>
              <w:rPr>
                <w:spacing w:val="-5"/>
                <w:sz w:val="20"/>
              </w:rPr>
              <w:t>NSW</w:t>
            </w:r>
          </w:p>
        </w:tc>
        <w:tc>
          <w:tcPr>
            <w:tcW w:w="2898" w:type="dxa"/>
            <w:tcBorders>
              <w:top w:val="single" w:sz="2" w:space="0" w:color="A6A6A6"/>
              <w:bottom w:val="single" w:sz="2" w:space="0" w:color="A6A6A6"/>
            </w:tcBorders>
            <w:shd w:val="clear" w:color="auto" w:fill="CCDBEA"/>
          </w:tcPr>
          <w:p>
            <w:pPr>
              <w:pStyle w:val="TableParagraph"/>
              <w:spacing w:before="78"/>
              <w:ind w:left="111"/>
              <w:rPr>
                <w:sz w:val="20"/>
              </w:rPr>
            </w:pPr>
            <w:r>
              <w:rPr>
                <w:sz w:val="20"/>
              </w:rPr>
              <w:t>Rabbits</w:t>
            </w:r>
            <w:r>
              <w:rPr>
                <w:spacing w:val="-11"/>
                <w:sz w:val="20"/>
              </w:rPr>
              <w:t> </w:t>
            </w:r>
            <w:r>
              <w:rPr>
                <w:spacing w:val="-5"/>
                <w:sz w:val="20"/>
              </w:rPr>
              <w:t>/ha</w:t>
            </w:r>
          </w:p>
        </w:tc>
        <w:tc>
          <w:tcPr>
            <w:tcW w:w="4960" w:type="dxa"/>
            <w:tcBorders>
              <w:top w:val="single" w:sz="2" w:space="0" w:color="A6A6A6"/>
              <w:bottom w:val="single" w:sz="2" w:space="0" w:color="A6A6A6"/>
            </w:tcBorders>
          </w:tcPr>
          <w:p>
            <w:pPr>
              <w:pStyle w:val="TableParagraph"/>
              <w:spacing w:before="78"/>
              <w:ind w:left="107"/>
              <w:rPr>
                <w:sz w:val="20"/>
              </w:rPr>
            </w:pPr>
            <w:r>
              <w:rPr>
                <w:sz w:val="20"/>
              </w:rPr>
              <w:t>Parer</w:t>
            </w:r>
            <w:r>
              <w:rPr>
                <w:spacing w:val="-7"/>
                <w:sz w:val="20"/>
              </w:rPr>
              <w:t> </w:t>
            </w:r>
            <w:r>
              <w:rPr>
                <w:sz w:val="20"/>
              </w:rPr>
              <w:t>and</w:t>
            </w:r>
            <w:r>
              <w:rPr>
                <w:spacing w:val="-7"/>
                <w:sz w:val="20"/>
              </w:rPr>
              <w:t> </w:t>
            </w:r>
            <w:r>
              <w:rPr>
                <w:sz w:val="20"/>
              </w:rPr>
              <w:t>Milkovits</w:t>
            </w:r>
            <w:r>
              <w:rPr>
                <w:spacing w:val="-7"/>
                <w:sz w:val="20"/>
              </w:rPr>
              <w:t> </w:t>
            </w:r>
            <w:r>
              <w:rPr>
                <w:spacing w:val="-4"/>
                <w:sz w:val="20"/>
              </w:rPr>
              <w:t>1994</w:t>
            </w:r>
          </w:p>
        </w:tc>
      </w:tr>
      <w:tr>
        <w:trPr>
          <w:trHeight w:val="373" w:hRule="atLeast"/>
        </w:trPr>
        <w:tc>
          <w:tcPr>
            <w:tcW w:w="1990" w:type="dxa"/>
            <w:tcBorders>
              <w:top w:val="single" w:sz="4" w:space="0" w:color="000000"/>
              <w:bottom w:val="single" w:sz="4" w:space="0" w:color="000000"/>
            </w:tcBorders>
          </w:tcPr>
          <w:p>
            <w:pPr>
              <w:pStyle w:val="TableParagraph"/>
              <w:spacing w:before="83"/>
              <w:ind w:left="107"/>
              <w:rPr>
                <w:sz w:val="20"/>
              </w:rPr>
            </w:pPr>
            <w:r>
              <w:rPr>
                <w:spacing w:val="-2"/>
                <w:sz w:val="20"/>
              </w:rPr>
              <w:t>RHDV2</w:t>
            </w:r>
          </w:p>
        </w:tc>
        <w:tc>
          <w:tcPr>
            <w:tcW w:w="12329" w:type="dxa"/>
            <w:gridSpan w:val="4"/>
            <w:tcBorders>
              <w:top w:val="single" w:sz="2" w:space="0" w:color="A6A6A6"/>
              <w:bottom w:val="single" w:sz="4" w:space="0" w:color="000000"/>
            </w:tcBorders>
            <w:shd w:val="clear" w:color="auto" w:fill="CCDBEA"/>
          </w:tcPr>
          <w:p>
            <w:pPr>
              <w:pStyle w:val="TableParagraph"/>
              <w:spacing w:before="83"/>
              <w:ind w:left="110"/>
              <w:rPr>
                <w:sz w:val="20"/>
              </w:rPr>
            </w:pPr>
            <w:r>
              <w:rPr>
                <w:sz w:val="20"/>
              </w:rPr>
              <w:t>Given</w:t>
            </w:r>
            <w:r>
              <w:rPr>
                <w:spacing w:val="-8"/>
                <w:sz w:val="20"/>
              </w:rPr>
              <w:t> </w:t>
            </w:r>
            <w:r>
              <w:rPr>
                <w:sz w:val="20"/>
              </w:rPr>
              <w:t>an</w:t>
            </w:r>
            <w:r>
              <w:rPr>
                <w:spacing w:val="-7"/>
                <w:sz w:val="20"/>
              </w:rPr>
              <w:t> </w:t>
            </w:r>
            <w:r>
              <w:rPr>
                <w:sz w:val="20"/>
              </w:rPr>
              <w:t>epidemic</w:t>
            </w:r>
            <w:r>
              <w:rPr>
                <w:spacing w:val="-7"/>
                <w:sz w:val="20"/>
              </w:rPr>
              <w:t> </w:t>
            </w:r>
            <w:r>
              <w:rPr>
                <w:sz w:val="20"/>
              </w:rPr>
              <w:t>of</w:t>
            </w:r>
            <w:r>
              <w:rPr>
                <w:spacing w:val="-7"/>
                <w:sz w:val="20"/>
              </w:rPr>
              <w:t> </w:t>
            </w:r>
            <w:r>
              <w:rPr>
                <w:sz w:val="20"/>
              </w:rPr>
              <w:t>RHDV2</w:t>
            </w:r>
            <w:r>
              <w:rPr>
                <w:spacing w:val="-7"/>
                <w:sz w:val="20"/>
              </w:rPr>
              <w:t> </w:t>
            </w:r>
            <w:r>
              <w:rPr>
                <w:sz w:val="20"/>
              </w:rPr>
              <w:t>occurs</w:t>
            </w:r>
            <w:r>
              <w:rPr>
                <w:spacing w:val="-5"/>
                <w:sz w:val="20"/>
              </w:rPr>
              <w:t> </w:t>
            </w:r>
            <w:r>
              <w:rPr>
                <w:sz w:val="20"/>
              </w:rPr>
              <w:t>the</w:t>
            </w:r>
            <w:r>
              <w:rPr>
                <w:spacing w:val="-7"/>
                <w:sz w:val="20"/>
              </w:rPr>
              <w:t> </w:t>
            </w:r>
            <w:r>
              <w:rPr>
                <w:sz w:val="20"/>
              </w:rPr>
              <w:t>average</w:t>
            </w:r>
            <w:r>
              <w:rPr>
                <w:spacing w:val="-8"/>
                <w:sz w:val="20"/>
              </w:rPr>
              <w:t> </w:t>
            </w:r>
            <w:r>
              <w:rPr>
                <w:sz w:val="20"/>
              </w:rPr>
              <w:t>reduction</w:t>
            </w:r>
            <w:r>
              <w:rPr>
                <w:spacing w:val="-5"/>
                <w:sz w:val="20"/>
              </w:rPr>
              <w:t> </w:t>
            </w:r>
            <w:r>
              <w:rPr>
                <w:sz w:val="20"/>
              </w:rPr>
              <w:t>reported</w:t>
            </w:r>
            <w:r>
              <w:rPr>
                <w:spacing w:val="-8"/>
                <w:sz w:val="20"/>
              </w:rPr>
              <w:t> </w:t>
            </w:r>
            <w:r>
              <w:rPr>
                <w:sz w:val="20"/>
              </w:rPr>
              <w:t>ranges</w:t>
            </w:r>
            <w:r>
              <w:rPr>
                <w:spacing w:val="-6"/>
                <w:sz w:val="20"/>
              </w:rPr>
              <w:t> </w:t>
            </w:r>
            <w:r>
              <w:rPr>
                <w:sz w:val="20"/>
              </w:rPr>
              <w:t>between</w:t>
            </w:r>
            <w:r>
              <w:rPr>
                <w:spacing w:val="-7"/>
                <w:sz w:val="20"/>
              </w:rPr>
              <w:t> </w:t>
            </w:r>
            <w:r>
              <w:rPr>
                <w:sz w:val="20"/>
              </w:rPr>
              <w:t>52-</w:t>
            </w:r>
            <w:r>
              <w:rPr>
                <w:spacing w:val="-5"/>
                <w:sz w:val="20"/>
              </w:rPr>
              <w:t>82%</w:t>
            </w:r>
          </w:p>
        </w:tc>
      </w:tr>
      <w:tr>
        <w:trPr>
          <w:trHeight w:val="830" w:hRule="atLeast"/>
        </w:trPr>
        <w:tc>
          <w:tcPr>
            <w:tcW w:w="1990" w:type="dxa"/>
            <w:tcBorders>
              <w:top w:val="single" w:sz="4" w:space="0" w:color="000000"/>
              <w:bottom w:val="single" w:sz="4" w:space="0" w:color="000000"/>
            </w:tcBorders>
          </w:tcPr>
          <w:p>
            <w:pPr>
              <w:pStyle w:val="TableParagraph"/>
              <w:spacing w:before="78"/>
              <w:ind w:left="107"/>
              <w:rPr>
                <w:sz w:val="20"/>
              </w:rPr>
            </w:pPr>
            <w:r>
              <w:rPr>
                <w:spacing w:val="-2"/>
                <w:sz w:val="20"/>
              </w:rPr>
              <w:t>RHDV-</w:t>
            </w:r>
            <w:r>
              <w:rPr>
                <w:spacing w:val="-5"/>
                <w:sz w:val="20"/>
              </w:rPr>
              <w:t>K5</w:t>
            </w:r>
          </w:p>
        </w:tc>
        <w:tc>
          <w:tcPr>
            <w:tcW w:w="7369" w:type="dxa"/>
            <w:gridSpan w:val="3"/>
            <w:tcBorders>
              <w:top w:val="single" w:sz="4" w:space="0" w:color="000000"/>
              <w:bottom w:val="single" w:sz="4" w:space="0" w:color="000000"/>
            </w:tcBorders>
            <w:shd w:val="clear" w:color="auto" w:fill="CCDBEA"/>
          </w:tcPr>
          <w:p>
            <w:pPr>
              <w:pStyle w:val="TableParagraph"/>
              <w:spacing w:before="78"/>
              <w:ind w:left="110" w:right="465"/>
              <w:jc w:val="both"/>
              <w:rPr>
                <w:sz w:val="20"/>
              </w:rPr>
            </w:pPr>
            <w:r>
              <w:rPr>
                <w:sz w:val="20"/>
              </w:rPr>
              <w:t>RHDV</w:t>
            </w:r>
            <w:r>
              <w:rPr>
                <w:spacing w:val="-1"/>
                <w:sz w:val="20"/>
              </w:rPr>
              <w:t> </w:t>
            </w:r>
            <w:r>
              <w:rPr>
                <w:sz w:val="20"/>
              </w:rPr>
              <w:t>K5/RHDVa</w:t>
            </w:r>
            <w:r>
              <w:rPr>
                <w:spacing w:val="-3"/>
                <w:sz w:val="20"/>
              </w:rPr>
              <w:t> </w:t>
            </w:r>
            <w:r>
              <w:rPr>
                <w:sz w:val="20"/>
              </w:rPr>
              <w:t>co-circulates</w:t>
            </w:r>
            <w:r>
              <w:rPr>
                <w:spacing w:val="-2"/>
                <w:sz w:val="20"/>
              </w:rPr>
              <w:t> </w:t>
            </w:r>
            <w:r>
              <w:rPr>
                <w:sz w:val="20"/>
              </w:rPr>
              <w:t>with</w:t>
            </w:r>
            <w:r>
              <w:rPr>
                <w:spacing w:val="-4"/>
                <w:sz w:val="20"/>
              </w:rPr>
              <w:t> </w:t>
            </w:r>
            <w:r>
              <w:rPr>
                <w:sz w:val="20"/>
              </w:rPr>
              <w:t>RHDV2,</w:t>
            </w:r>
            <w:r>
              <w:rPr>
                <w:spacing w:val="-3"/>
                <w:sz w:val="20"/>
              </w:rPr>
              <w:t> </w:t>
            </w:r>
            <w:r>
              <w:rPr>
                <w:sz w:val="20"/>
              </w:rPr>
              <w:t>with</w:t>
            </w:r>
            <w:r>
              <w:rPr>
                <w:spacing w:val="-4"/>
                <w:sz w:val="20"/>
              </w:rPr>
              <w:t> </w:t>
            </w:r>
            <w:r>
              <w:rPr>
                <w:sz w:val="20"/>
              </w:rPr>
              <w:t>the</w:t>
            </w:r>
            <w:r>
              <w:rPr>
                <w:spacing w:val="-2"/>
                <w:sz w:val="20"/>
              </w:rPr>
              <w:t> </w:t>
            </w:r>
            <w:r>
              <w:rPr>
                <w:sz w:val="20"/>
              </w:rPr>
              <w:t>latter</w:t>
            </w:r>
            <w:r>
              <w:rPr>
                <w:spacing w:val="-3"/>
                <w:sz w:val="20"/>
              </w:rPr>
              <w:t> </w:t>
            </w:r>
            <w:r>
              <w:rPr>
                <w:sz w:val="20"/>
              </w:rPr>
              <w:t>thought</w:t>
            </w:r>
            <w:r>
              <w:rPr>
                <w:spacing w:val="-3"/>
                <w:sz w:val="20"/>
              </w:rPr>
              <w:t> </w:t>
            </w:r>
            <w:r>
              <w:rPr>
                <w:sz w:val="20"/>
              </w:rPr>
              <w:t>to</w:t>
            </w:r>
            <w:r>
              <w:rPr>
                <w:spacing w:val="-3"/>
                <w:sz w:val="20"/>
              </w:rPr>
              <w:t> </w:t>
            </w:r>
            <w:r>
              <w:rPr>
                <w:sz w:val="20"/>
              </w:rPr>
              <w:t>be</w:t>
            </w:r>
            <w:r>
              <w:rPr>
                <w:spacing w:val="-1"/>
                <w:sz w:val="20"/>
              </w:rPr>
              <w:t> </w:t>
            </w:r>
            <w:r>
              <w:rPr>
                <w:sz w:val="20"/>
              </w:rPr>
              <w:t>the dominant</w:t>
            </w:r>
            <w:r>
              <w:rPr>
                <w:spacing w:val="-5"/>
                <w:sz w:val="20"/>
              </w:rPr>
              <w:t> </w:t>
            </w:r>
            <w:r>
              <w:rPr>
                <w:sz w:val="20"/>
              </w:rPr>
              <w:t>strain.</w:t>
            </w:r>
            <w:r>
              <w:rPr>
                <w:spacing w:val="-3"/>
                <w:sz w:val="20"/>
              </w:rPr>
              <w:t> </w:t>
            </w:r>
            <w:r>
              <w:rPr>
                <w:sz w:val="20"/>
              </w:rPr>
              <w:t>Seropositivity</w:t>
            </w:r>
            <w:r>
              <w:rPr>
                <w:spacing w:val="-4"/>
                <w:sz w:val="20"/>
              </w:rPr>
              <w:t> </w:t>
            </w:r>
            <w:r>
              <w:rPr>
                <w:sz w:val="20"/>
              </w:rPr>
              <w:t>to</w:t>
            </w:r>
            <w:r>
              <w:rPr>
                <w:spacing w:val="-6"/>
                <w:sz w:val="20"/>
              </w:rPr>
              <w:t> </w:t>
            </w:r>
            <w:r>
              <w:rPr>
                <w:sz w:val="20"/>
              </w:rPr>
              <w:t>K5</w:t>
            </w:r>
            <w:r>
              <w:rPr>
                <w:spacing w:val="-5"/>
                <w:sz w:val="20"/>
              </w:rPr>
              <w:t> </w:t>
            </w:r>
            <w:r>
              <w:rPr>
                <w:sz w:val="20"/>
              </w:rPr>
              <w:t>remains</w:t>
            </w:r>
            <w:r>
              <w:rPr>
                <w:spacing w:val="-4"/>
                <w:sz w:val="20"/>
              </w:rPr>
              <w:t> </w:t>
            </w:r>
            <w:r>
              <w:rPr>
                <w:sz w:val="20"/>
              </w:rPr>
              <w:t>at</w:t>
            </w:r>
            <w:r>
              <w:rPr>
                <w:spacing w:val="-3"/>
                <w:sz w:val="20"/>
              </w:rPr>
              <w:t> </w:t>
            </w:r>
            <w:r>
              <w:rPr>
                <w:sz w:val="20"/>
              </w:rPr>
              <w:t>low</w:t>
            </w:r>
            <w:r>
              <w:rPr>
                <w:spacing w:val="-3"/>
                <w:sz w:val="20"/>
              </w:rPr>
              <w:t> </w:t>
            </w:r>
            <w:r>
              <w:rPr>
                <w:sz w:val="20"/>
              </w:rPr>
              <w:t>levels and</w:t>
            </w:r>
            <w:r>
              <w:rPr>
                <w:spacing w:val="-2"/>
                <w:sz w:val="20"/>
              </w:rPr>
              <w:t> </w:t>
            </w:r>
            <w:r>
              <w:rPr>
                <w:sz w:val="20"/>
              </w:rPr>
              <w:t>it</w:t>
            </w:r>
            <w:r>
              <w:rPr>
                <w:spacing w:val="-3"/>
                <w:sz w:val="20"/>
              </w:rPr>
              <w:t> </w:t>
            </w:r>
            <w:r>
              <w:rPr>
                <w:sz w:val="20"/>
              </w:rPr>
              <w:t>is</w:t>
            </w:r>
            <w:r>
              <w:rPr>
                <w:spacing w:val="-4"/>
                <w:sz w:val="20"/>
              </w:rPr>
              <w:t> </w:t>
            </w:r>
            <w:r>
              <w:rPr>
                <w:sz w:val="20"/>
              </w:rPr>
              <w:t>unlikely</w:t>
            </w:r>
            <w:r>
              <w:rPr>
                <w:spacing w:val="-3"/>
                <w:sz w:val="20"/>
              </w:rPr>
              <w:t> </w:t>
            </w:r>
            <w:r>
              <w:rPr>
                <w:sz w:val="20"/>
              </w:rPr>
              <w:t>to play a major role in regulating rabbit abundance.</w:t>
            </w:r>
          </w:p>
        </w:tc>
        <w:tc>
          <w:tcPr>
            <w:tcW w:w="4960" w:type="dxa"/>
            <w:tcBorders>
              <w:top w:val="single" w:sz="4" w:space="0" w:color="000000"/>
              <w:bottom w:val="single" w:sz="4" w:space="0" w:color="000000"/>
            </w:tcBorders>
          </w:tcPr>
          <w:p>
            <w:pPr>
              <w:pStyle w:val="TableParagraph"/>
              <w:spacing w:before="79"/>
              <w:rPr>
                <w:sz w:val="20"/>
              </w:rPr>
            </w:pPr>
          </w:p>
          <w:p>
            <w:pPr>
              <w:pStyle w:val="TableParagraph"/>
              <w:ind w:left="107"/>
              <w:rPr>
                <w:sz w:val="20"/>
              </w:rPr>
            </w:pPr>
            <w:r>
              <w:rPr>
                <w:sz w:val="20"/>
              </w:rPr>
              <w:t>Ramsey</w:t>
            </w:r>
            <w:r>
              <w:rPr>
                <w:spacing w:val="-5"/>
                <w:sz w:val="20"/>
              </w:rPr>
              <w:t> </w:t>
            </w:r>
            <w:r>
              <w:rPr>
                <w:sz w:val="20"/>
              </w:rPr>
              <w:t>et</w:t>
            </w:r>
            <w:r>
              <w:rPr>
                <w:spacing w:val="-4"/>
                <w:sz w:val="20"/>
              </w:rPr>
              <w:t> </w:t>
            </w:r>
            <w:r>
              <w:rPr>
                <w:sz w:val="20"/>
              </w:rPr>
              <w:t>al.</w:t>
            </w:r>
            <w:r>
              <w:rPr>
                <w:spacing w:val="-3"/>
                <w:sz w:val="20"/>
              </w:rPr>
              <w:t> </w:t>
            </w:r>
            <w:r>
              <w:rPr>
                <w:sz w:val="20"/>
              </w:rPr>
              <w:t>2020;</w:t>
            </w:r>
            <w:r>
              <w:rPr>
                <w:spacing w:val="-3"/>
                <w:sz w:val="20"/>
              </w:rPr>
              <w:t> </w:t>
            </w:r>
            <w:r>
              <w:rPr>
                <w:spacing w:val="-4"/>
                <w:sz w:val="20"/>
              </w:rPr>
              <w:t>2023</w:t>
            </w:r>
          </w:p>
        </w:tc>
      </w:tr>
    </w:tbl>
    <w:p>
      <w:pPr>
        <w:spacing w:after="0"/>
        <w:rPr>
          <w:sz w:val="20"/>
        </w:rPr>
        <w:sectPr>
          <w:footerReference w:type="even" r:id="rId31"/>
          <w:pgSz w:w="16850" w:h="11910" w:orient="landscape"/>
          <w:pgMar w:header="0" w:footer="686" w:top="1100" w:bottom="880" w:left="1020" w:right="1020"/>
          <w:pgNumType w:start="32"/>
        </w:sectPr>
      </w:pPr>
    </w:p>
    <w:p>
      <w:pPr>
        <w:pStyle w:val="Heading7"/>
        <w:spacing w:before="66"/>
      </w:pPr>
      <w:bookmarkStart w:name="_bookmark3" w:id="41"/>
      <w:bookmarkEnd w:id="41"/>
      <w:r>
        <w:rPr>
          <w:b w:val="0"/>
        </w:rPr>
      </w:r>
      <w:r>
        <w:rPr>
          <w:color w:val="1F1546"/>
        </w:rPr>
        <w:t>Table</w:t>
      </w:r>
      <w:r>
        <w:rPr>
          <w:color w:val="1F1546"/>
          <w:spacing w:val="-2"/>
        </w:rPr>
        <w:t> </w:t>
      </w:r>
      <w:r>
        <w:rPr>
          <w:color w:val="1F1546"/>
        </w:rPr>
        <w:t>3.</w:t>
      </w:r>
      <w:r>
        <w:rPr>
          <w:color w:val="1F1546"/>
          <w:spacing w:val="-1"/>
        </w:rPr>
        <w:t> </w:t>
      </w:r>
      <w:r>
        <w:rPr>
          <w:color w:val="1F1546"/>
        </w:rPr>
        <w:t>Summary</w:t>
      </w:r>
      <w:r>
        <w:rPr>
          <w:color w:val="1F1546"/>
          <w:spacing w:val="-3"/>
        </w:rPr>
        <w:t> </w:t>
      </w:r>
      <w:r>
        <w:rPr>
          <w:color w:val="1F1546"/>
        </w:rPr>
        <w:t>of</w:t>
      </w:r>
      <w:r>
        <w:rPr>
          <w:color w:val="1F1546"/>
          <w:spacing w:val="-1"/>
        </w:rPr>
        <w:t> </w:t>
      </w:r>
      <w:r>
        <w:rPr>
          <w:color w:val="1F1546"/>
        </w:rPr>
        <w:t>cost-effectiveness,</w:t>
      </w:r>
      <w:r>
        <w:rPr>
          <w:color w:val="1F1546"/>
          <w:spacing w:val="-3"/>
        </w:rPr>
        <w:t> </w:t>
      </w:r>
      <w:r>
        <w:rPr>
          <w:color w:val="1F1546"/>
        </w:rPr>
        <w:t>target</w:t>
      </w:r>
      <w:r>
        <w:rPr>
          <w:color w:val="1F1546"/>
          <w:spacing w:val="-3"/>
        </w:rPr>
        <w:t> </w:t>
      </w:r>
      <w:r>
        <w:rPr>
          <w:color w:val="1F1546"/>
        </w:rPr>
        <w:t>specificity</w:t>
      </w:r>
      <w:r>
        <w:rPr>
          <w:color w:val="1F1546"/>
          <w:spacing w:val="-1"/>
        </w:rPr>
        <w:t> </w:t>
      </w:r>
      <w:r>
        <w:rPr>
          <w:color w:val="1F1546"/>
        </w:rPr>
        <w:t>advantages</w:t>
      </w:r>
      <w:r>
        <w:rPr>
          <w:color w:val="1F1546"/>
          <w:spacing w:val="-3"/>
        </w:rPr>
        <w:t> </w:t>
      </w:r>
      <w:r>
        <w:rPr>
          <w:color w:val="1F1546"/>
        </w:rPr>
        <w:t>and</w:t>
      </w:r>
      <w:r>
        <w:rPr>
          <w:color w:val="1F1546"/>
          <w:spacing w:val="-2"/>
        </w:rPr>
        <w:t> </w:t>
      </w:r>
      <w:r>
        <w:rPr>
          <w:color w:val="1F1546"/>
        </w:rPr>
        <w:t>disadvantages</w:t>
      </w:r>
      <w:r>
        <w:rPr>
          <w:color w:val="1F1546"/>
          <w:spacing w:val="-4"/>
        </w:rPr>
        <w:t> </w:t>
      </w:r>
      <w:r>
        <w:rPr>
          <w:color w:val="1F1546"/>
        </w:rPr>
        <w:t>of lethal</w:t>
      </w:r>
      <w:r>
        <w:rPr>
          <w:color w:val="1F1546"/>
          <w:spacing w:val="-3"/>
        </w:rPr>
        <w:t> </w:t>
      </w:r>
      <w:r>
        <w:rPr>
          <w:color w:val="1F1546"/>
        </w:rPr>
        <w:t>European</w:t>
      </w:r>
      <w:r>
        <w:rPr>
          <w:color w:val="1F1546"/>
          <w:spacing w:val="-1"/>
        </w:rPr>
        <w:t> </w:t>
      </w:r>
      <w:r>
        <w:rPr>
          <w:color w:val="1F1546"/>
        </w:rPr>
        <w:t>Rabbit</w:t>
      </w:r>
      <w:r>
        <w:rPr>
          <w:color w:val="1F1546"/>
          <w:spacing w:val="-2"/>
        </w:rPr>
        <w:t> </w:t>
      </w:r>
      <w:r>
        <w:rPr>
          <w:color w:val="1F1546"/>
        </w:rPr>
        <w:t>control</w:t>
      </w:r>
      <w:r>
        <w:rPr>
          <w:color w:val="1F1546"/>
          <w:spacing w:val="-1"/>
        </w:rPr>
        <w:t> </w:t>
      </w:r>
      <w:r>
        <w:rPr>
          <w:color w:val="1F1546"/>
        </w:rPr>
        <w:t>methods</w:t>
      </w:r>
      <w:r>
        <w:rPr>
          <w:color w:val="1F1546"/>
          <w:spacing w:val="-1"/>
        </w:rPr>
        <w:t> </w:t>
      </w:r>
      <w:r>
        <w:rPr>
          <w:color w:val="1F1546"/>
        </w:rPr>
        <w:t>used</w:t>
      </w:r>
      <w:r>
        <w:rPr>
          <w:color w:val="1F1546"/>
          <w:spacing w:val="-2"/>
        </w:rPr>
        <w:t> </w:t>
      </w:r>
      <w:r>
        <w:rPr>
          <w:color w:val="1F1546"/>
        </w:rPr>
        <w:t>in</w:t>
      </w:r>
      <w:r>
        <w:rPr>
          <w:color w:val="1F1546"/>
          <w:spacing w:val="-1"/>
        </w:rPr>
        <w:t> </w:t>
      </w:r>
      <w:r>
        <w:rPr>
          <w:color w:val="1F1546"/>
        </w:rPr>
        <w:t>Victoria. Adapted from the State and National Codes of Practices and updated using outcomes from this literature review.</w:t>
      </w:r>
    </w:p>
    <w:p>
      <w:pPr>
        <w:pStyle w:val="BodyText"/>
        <w:spacing w:before="6"/>
        <w:rPr>
          <w:b/>
          <w:sz w:val="10"/>
        </w:rPr>
      </w:pPr>
    </w:p>
    <w:tbl>
      <w:tblPr>
        <w:tblW w:w="0" w:type="auto"/>
        <w:jc w:val="left"/>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2"/>
        <w:gridCol w:w="3118"/>
        <w:gridCol w:w="3120"/>
        <w:gridCol w:w="3118"/>
        <w:gridCol w:w="2899"/>
      </w:tblGrid>
      <w:tr>
        <w:trPr>
          <w:trHeight w:val="350" w:hRule="atLeast"/>
        </w:trPr>
        <w:tc>
          <w:tcPr>
            <w:tcW w:w="2112" w:type="dxa"/>
            <w:tcBorders>
              <w:left w:val="nil"/>
            </w:tcBorders>
            <w:shd w:val="clear" w:color="auto" w:fill="004B96"/>
          </w:tcPr>
          <w:p>
            <w:pPr>
              <w:pStyle w:val="TableParagraph"/>
              <w:spacing w:before="59"/>
              <w:ind w:left="122"/>
              <w:rPr>
                <w:b/>
                <w:sz w:val="20"/>
              </w:rPr>
            </w:pPr>
            <w:r>
              <w:rPr>
                <w:b/>
                <w:color w:val="FFFFFF"/>
                <w:sz w:val="20"/>
              </w:rPr>
              <w:t>Control</w:t>
            </w:r>
            <w:r>
              <w:rPr>
                <w:b/>
                <w:color w:val="FFFFFF"/>
                <w:spacing w:val="-10"/>
                <w:sz w:val="20"/>
              </w:rPr>
              <w:t> </w:t>
            </w:r>
            <w:r>
              <w:rPr>
                <w:b/>
                <w:color w:val="FFFFFF"/>
                <w:spacing w:val="-2"/>
                <w:sz w:val="20"/>
              </w:rPr>
              <w:t>technique</w:t>
            </w:r>
          </w:p>
        </w:tc>
        <w:tc>
          <w:tcPr>
            <w:tcW w:w="3118" w:type="dxa"/>
            <w:shd w:val="clear" w:color="auto" w:fill="004B96"/>
          </w:tcPr>
          <w:p>
            <w:pPr>
              <w:pStyle w:val="TableParagraph"/>
              <w:spacing w:before="59"/>
              <w:ind w:left="105"/>
              <w:rPr>
                <w:b/>
                <w:sz w:val="20"/>
              </w:rPr>
            </w:pPr>
            <w:r>
              <w:rPr>
                <w:b/>
                <w:color w:val="FFFFFF"/>
                <w:spacing w:val="-2"/>
                <w:sz w:val="20"/>
              </w:rPr>
              <w:t>Cost-effectiveness</w:t>
            </w:r>
          </w:p>
        </w:tc>
        <w:tc>
          <w:tcPr>
            <w:tcW w:w="3120" w:type="dxa"/>
            <w:shd w:val="clear" w:color="auto" w:fill="004B96"/>
          </w:tcPr>
          <w:p>
            <w:pPr>
              <w:pStyle w:val="TableParagraph"/>
              <w:spacing w:before="59"/>
              <w:ind w:left="106"/>
              <w:rPr>
                <w:b/>
                <w:sz w:val="20"/>
              </w:rPr>
            </w:pPr>
            <w:r>
              <w:rPr>
                <w:b/>
                <w:color w:val="FFFFFF"/>
                <w:sz w:val="20"/>
              </w:rPr>
              <w:t>Target</w:t>
            </w:r>
            <w:r>
              <w:rPr>
                <w:b/>
                <w:color w:val="FFFFFF"/>
                <w:spacing w:val="-10"/>
                <w:sz w:val="20"/>
              </w:rPr>
              <w:t> </w:t>
            </w:r>
            <w:r>
              <w:rPr>
                <w:b/>
                <w:color w:val="FFFFFF"/>
                <w:spacing w:val="-2"/>
                <w:sz w:val="20"/>
              </w:rPr>
              <w:t>specificity</w:t>
            </w:r>
          </w:p>
        </w:tc>
        <w:tc>
          <w:tcPr>
            <w:tcW w:w="3118" w:type="dxa"/>
            <w:shd w:val="clear" w:color="auto" w:fill="004B96"/>
          </w:tcPr>
          <w:p>
            <w:pPr>
              <w:pStyle w:val="TableParagraph"/>
              <w:spacing w:before="59"/>
              <w:ind w:left="103"/>
              <w:rPr>
                <w:b/>
                <w:sz w:val="20"/>
              </w:rPr>
            </w:pPr>
            <w:r>
              <w:rPr>
                <w:b/>
                <w:color w:val="FFFFFF"/>
                <w:spacing w:val="-2"/>
                <w:sz w:val="20"/>
              </w:rPr>
              <w:t>Advantages</w:t>
            </w:r>
          </w:p>
        </w:tc>
        <w:tc>
          <w:tcPr>
            <w:tcW w:w="2899" w:type="dxa"/>
            <w:tcBorders>
              <w:right w:val="nil"/>
            </w:tcBorders>
            <w:shd w:val="clear" w:color="auto" w:fill="004B96"/>
          </w:tcPr>
          <w:p>
            <w:pPr>
              <w:pStyle w:val="TableParagraph"/>
              <w:spacing w:before="59"/>
              <w:ind w:left="104"/>
              <w:rPr>
                <w:b/>
                <w:sz w:val="20"/>
              </w:rPr>
            </w:pPr>
            <w:r>
              <w:rPr>
                <w:b/>
                <w:color w:val="FFFFFF"/>
                <w:spacing w:val="-2"/>
                <w:sz w:val="20"/>
              </w:rPr>
              <w:t>Disadvantages</w:t>
            </w:r>
          </w:p>
        </w:tc>
      </w:tr>
      <w:tr>
        <w:trPr>
          <w:trHeight w:val="1749" w:hRule="atLeast"/>
        </w:trPr>
        <w:tc>
          <w:tcPr>
            <w:tcW w:w="2112" w:type="dxa"/>
            <w:tcBorders>
              <w:left w:val="nil"/>
            </w:tcBorders>
          </w:tcPr>
          <w:p>
            <w:pPr>
              <w:pStyle w:val="TableParagraph"/>
              <w:spacing w:before="78"/>
              <w:ind w:left="122"/>
              <w:rPr>
                <w:sz w:val="20"/>
              </w:rPr>
            </w:pPr>
            <w:r>
              <w:rPr>
                <w:sz w:val="20"/>
              </w:rPr>
              <w:t>Ground baiting with 1080</w:t>
            </w:r>
            <w:r>
              <w:rPr>
                <w:spacing w:val="-5"/>
                <w:sz w:val="20"/>
              </w:rPr>
              <w:t> </w:t>
            </w:r>
            <w:r>
              <w:rPr>
                <w:sz w:val="20"/>
              </w:rPr>
              <w:t>oats</w:t>
            </w:r>
            <w:r>
              <w:rPr>
                <w:spacing w:val="-3"/>
                <w:sz w:val="20"/>
              </w:rPr>
              <w:t> </w:t>
            </w:r>
            <w:r>
              <w:rPr>
                <w:sz w:val="20"/>
              </w:rPr>
              <w:t>or</w:t>
            </w:r>
            <w:r>
              <w:rPr>
                <w:spacing w:val="-3"/>
                <w:sz w:val="20"/>
              </w:rPr>
              <w:t> </w:t>
            </w:r>
            <w:r>
              <w:rPr>
                <w:spacing w:val="-2"/>
                <w:sz w:val="20"/>
              </w:rPr>
              <w:t>carrots</w:t>
            </w:r>
          </w:p>
        </w:tc>
        <w:tc>
          <w:tcPr>
            <w:tcW w:w="3118" w:type="dxa"/>
            <w:shd w:val="clear" w:color="auto" w:fill="CCDBEA"/>
          </w:tcPr>
          <w:p>
            <w:pPr>
              <w:pStyle w:val="TableParagraph"/>
              <w:spacing w:before="78"/>
              <w:ind w:left="105"/>
              <w:rPr>
                <w:sz w:val="20"/>
              </w:rPr>
            </w:pPr>
            <w:r>
              <w:rPr>
                <w:spacing w:val="-2"/>
                <w:sz w:val="20"/>
              </w:rPr>
              <w:t>Cost-effective</w:t>
            </w:r>
          </w:p>
        </w:tc>
        <w:tc>
          <w:tcPr>
            <w:tcW w:w="3120" w:type="dxa"/>
          </w:tcPr>
          <w:p>
            <w:pPr>
              <w:pStyle w:val="TableParagraph"/>
              <w:spacing w:before="78"/>
              <w:ind w:left="106"/>
              <w:rPr>
                <w:sz w:val="20"/>
              </w:rPr>
            </w:pPr>
            <w:r>
              <w:rPr>
                <w:sz w:val="20"/>
              </w:rPr>
              <w:t>Potential risk of poisoning and secondary</w:t>
            </w:r>
            <w:r>
              <w:rPr>
                <w:spacing w:val="-14"/>
                <w:sz w:val="20"/>
              </w:rPr>
              <w:t> </w:t>
            </w:r>
            <w:r>
              <w:rPr>
                <w:sz w:val="20"/>
              </w:rPr>
              <w:t>poisoning</w:t>
            </w:r>
            <w:r>
              <w:rPr>
                <w:spacing w:val="-14"/>
                <w:sz w:val="20"/>
              </w:rPr>
              <w:t> </w:t>
            </w:r>
            <w:r>
              <w:rPr>
                <w:sz w:val="20"/>
              </w:rPr>
              <w:t>non-target </w:t>
            </w:r>
            <w:r>
              <w:rPr>
                <w:spacing w:val="-2"/>
                <w:sz w:val="20"/>
              </w:rPr>
              <w:t>animals</w:t>
            </w:r>
          </w:p>
        </w:tc>
        <w:tc>
          <w:tcPr>
            <w:tcW w:w="3118" w:type="dxa"/>
            <w:shd w:val="clear" w:color="auto" w:fill="CCDBEA"/>
          </w:tcPr>
          <w:p>
            <w:pPr>
              <w:pStyle w:val="TableParagraph"/>
              <w:spacing w:before="78"/>
              <w:ind w:left="103"/>
              <w:rPr>
                <w:sz w:val="20"/>
              </w:rPr>
            </w:pPr>
            <w:r>
              <w:rPr>
                <w:sz w:val="20"/>
              </w:rPr>
              <w:t>Effective</w:t>
            </w:r>
            <w:r>
              <w:rPr>
                <w:spacing w:val="-14"/>
                <w:sz w:val="20"/>
              </w:rPr>
              <w:t> </w:t>
            </w:r>
            <w:r>
              <w:rPr>
                <w:sz w:val="20"/>
              </w:rPr>
              <w:t>for</w:t>
            </w:r>
            <w:r>
              <w:rPr>
                <w:spacing w:val="-14"/>
                <w:sz w:val="20"/>
              </w:rPr>
              <w:t> </w:t>
            </w:r>
            <w:r>
              <w:rPr>
                <w:sz w:val="20"/>
              </w:rPr>
              <w:t>reducing</w:t>
            </w:r>
            <w:r>
              <w:rPr>
                <w:spacing w:val="-14"/>
                <w:sz w:val="20"/>
              </w:rPr>
              <w:t> </w:t>
            </w:r>
            <w:r>
              <w:rPr>
                <w:sz w:val="20"/>
              </w:rPr>
              <w:t>rabbit populations prior to warren </w:t>
            </w:r>
            <w:r>
              <w:rPr>
                <w:spacing w:val="-2"/>
                <w:sz w:val="20"/>
              </w:rPr>
              <w:t>destruction.</w:t>
            </w:r>
          </w:p>
        </w:tc>
        <w:tc>
          <w:tcPr>
            <w:tcW w:w="2899" w:type="dxa"/>
            <w:tcBorders>
              <w:right w:val="nil"/>
            </w:tcBorders>
          </w:tcPr>
          <w:p>
            <w:pPr>
              <w:pStyle w:val="TableParagraph"/>
              <w:spacing w:before="78"/>
              <w:ind w:left="104" w:right="113"/>
              <w:rPr>
                <w:sz w:val="20"/>
              </w:rPr>
            </w:pPr>
            <w:r>
              <w:rPr>
                <w:sz w:val="20"/>
              </w:rPr>
              <w:t>1080 ingestion can also kill non-target animals including native</w:t>
            </w:r>
            <w:r>
              <w:rPr>
                <w:spacing w:val="-10"/>
                <w:sz w:val="20"/>
              </w:rPr>
              <w:t> </w:t>
            </w:r>
            <w:r>
              <w:rPr>
                <w:sz w:val="20"/>
              </w:rPr>
              <w:t>species,</w:t>
            </w:r>
            <w:r>
              <w:rPr>
                <w:spacing w:val="-12"/>
                <w:sz w:val="20"/>
              </w:rPr>
              <w:t> </w:t>
            </w:r>
            <w:r>
              <w:rPr>
                <w:sz w:val="20"/>
              </w:rPr>
              <w:t>cats,</w:t>
            </w:r>
            <w:r>
              <w:rPr>
                <w:spacing w:val="-12"/>
                <w:sz w:val="20"/>
              </w:rPr>
              <w:t> </w:t>
            </w:r>
            <w:r>
              <w:rPr>
                <w:sz w:val="20"/>
              </w:rPr>
              <w:t>dogs</w:t>
            </w:r>
            <w:r>
              <w:rPr>
                <w:spacing w:val="-11"/>
                <w:sz w:val="20"/>
              </w:rPr>
              <w:t> </w:t>
            </w:r>
            <w:r>
              <w:rPr>
                <w:sz w:val="20"/>
              </w:rPr>
              <w:t>and livestock. 1080 is toxic to humans; operators need to take precautions to</w:t>
            </w:r>
            <w:r>
              <w:rPr>
                <w:spacing w:val="-1"/>
                <w:sz w:val="20"/>
              </w:rPr>
              <w:t> </w:t>
            </w:r>
            <w:r>
              <w:rPr>
                <w:sz w:val="20"/>
              </w:rPr>
              <w:t>safeguard against exposure.</w:t>
            </w:r>
          </w:p>
        </w:tc>
      </w:tr>
      <w:tr>
        <w:trPr>
          <w:trHeight w:val="2222" w:hRule="atLeast"/>
        </w:trPr>
        <w:tc>
          <w:tcPr>
            <w:tcW w:w="2112" w:type="dxa"/>
            <w:tcBorders>
              <w:left w:val="nil"/>
            </w:tcBorders>
          </w:tcPr>
          <w:p>
            <w:pPr>
              <w:pStyle w:val="TableParagraph"/>
              <w:spacing w:before="81"/>
              <w:ind w:left="122"/>
              <w:rPr>
                <w:sz w:val="20"/>
              </w:rPr>
            </w:pPr>
            <w:r>
              <w:rPr>
                <w:sz w:val="20"/>
              </w:rPr>
              <w:t>Pindone</w:t>
            </w:r>
            <w:r>
              <w:rPr>
                <w:spacing w:val="-13"/>
                <w:sz w:val="20"/>
              </w:rPr>
              <w:t> </w:t>
            </w:r>
            <w:r>
              <w:rPr>
                <w:spacing w:val="-2"/>
                <w:sz w:val="20"/>
              </w:rPr>
              <w:t>baiting</w:t>
            </w:r>
          </w:p>
        </w:tc>
        <w:tc>
          <w:tcPr>
            <w:tcW w:w="3118" w:type="dxa"/>
            <w:shd w:val="clear" w:color="auto" w:fill="CCDBEA"/>
          </w:tcPr>
          <w:p>
            <w:pPr>
              <w:pStyle w:val="TableParagraph"/>
              <w:spacing w:before="81"/>
              <w:ind w:left="105" w:right="132"/>
              <w:rPr>
                <w:sz w:val="20"/>
              </w:rPr>
            </w:pPr>
            <w:r>
              <w:rPr>
                <w:sz w:val="20"/>
              </w:rPr>
              <w:t>Relatively</w:t>
            </w:r>
            <w:r>
              <w:rPr>
                <w:spacing w:val="-14"/>
                <w:sz w:val="20"/>
              </w:rPr>
              <w:t> </w:t>
            </w:r>
            <w:r>
              <w:rPr>
                <w:sz w:val="20"/>
              </w:rPr>
              <w:t>expensive</w:t>
            </w:r>
            <w:r>
              <w:rPr>
                <w:spacing w:val="-14"/>
                <w:sz w:val="20"/>
              </w:rPr>
              <w:t> </w:t>
            </w:r>
            <w:r>
              <w:rPr>
                <w:sz w:val="20"/>
              </w:rPr>
              <w:t>(compared to 1080). Effective.</w:t>
            </w:r>
          </w:p>
        </w:tc>
        <w:tc>
          <w:tcPr>
            <w:tcW w:w="3120" w:type="dxa"/>
          </w:tcPr>
          <w:p>
            <w:pPr>
              <w:pStyle w:val="TableParagraph"/>
              <w:spacing w:before="81"/>
              <w:ind w:left="106"/>
              <w:rPr>
                <w:sz w:val="20"/>
              </w:rPr>
            </w:pPr>
            <w:r>
              <w:rPr>
                <w:sz w:val="20"/>
              </w:rPr>
              <w:t>Potential risk of poisoning and secondary</w:t>
            </w:r>
            <w:r>
              <w:rPr>
                <w:spacing w:val="-14"/>
                <w:sz w:val="20"/>
              </w:rPr>
              <w:t> </w:t>
            </w:r>
            <w:r>
              <w:rPr>
                <w:sz w:val="20"/>
              </w:rPr>
              <w:t>poisoning</w:t>
            </w:r>
            <w:r>
              <w:rPr>
                <w:spacing w:val="-14"/>
                <w:sz w:val="20"/>
              </w:rPr>
              <w:t> </w:t>
            </w:r>
            <w:r>
              <w:rPr>
                <w:sz w:val="20"/>
              </w:rPr>
              <w:t>non-target </w:t>
            </w:r>
            <w:r>
              <w:rPr>
                <w:spacing w:val="-2"/>
                <w:sz w:val="20"/>
              </w:rPr>
              <w:t>animals</w:t>
            </w:r>
          </w:p>
        </w:tc>
        <w:tc>
          <w:tcPr>
            <w:tcW w:w="3118" w:type="dxa"/>
            <w:shd w:val="clear" w:color="auto" w:fill="CCDBEA"/>
          </w:tcPr>
          <w:p>
            <w:pPr>
              <w:pStyle w:val="TableParagraph"/>
              <w:spacing w:before="81"/>
              <w:ind w:left="103" w:right="248"/>
              <w:rPr>
                <w:sz w:val="20"/>
              </w:rPr>
            </w:pPr>
            <w:r>
              <w:rPr>
                <w:sz w:val="20"/>
              </w:rPr>
              <w:t>Used in areas where it is impractical</w:t>
            </w:r>
            <w:r>
              <w:rPr>
                <w:spacing w:val="-10"/>
                <w:sz w:val="20"/>
              </w:rPr>
              <w:t> </w:t>
            </w:r>
            <w:r>
              <w:rPr>
                <w:sz w:val="20"/>
              </w:rPr>
              <w:t>or</w:t>
            </w:r>
            <w:r>
              <w:rPr>
                <w:spacing w:val="-11"/>
                <w:sz w:val="20"/>
              </w:rPr>
              <w:t> </w:t>
            </w:r>
            <w:r>
              <w:rPr>
                <w:sz w:val="20"/>
              </w:rPr>
              <w:t>unsuitable</w:t>
            </w:r>
            <w:r>
              <w:rPr>
                <w:spacing w:val="-11"/>
                <w:sz w:val="20"/>
              </w:rPr>
              <w:t> </w:t>
            </w:r>
            <w:r>
              <w:rPr>
                <w:sz w:val="20"/>
              </w:rPr>
              <w:t>to</w:t>
            </w:r>
            <w:r>
              <w:rPr>
                <w:spacing w:val="-9"/>
                <w:sz w:val="20"/>
              </w:rPr>
              <w:t> </w:t>
            </w:r>
            <w:r>
              <w:rPr>
                <w:sz w:val="20"/>
              </w:rPr>
              <w:t>use 1080</w:t>
            </w:r>
            <w:r>
              <w:rPr>
                <w:spacing w:val="-14"/>
                <w:sz w:val="20"/>
              </w:rPr>
              <w:t> </w:t>
            </w:r>
            <w:r>
              <w:rPr>
                <w:sz w:val="20"/>
              </w:rPr>
              <w:t>e.g.</w:t>
            </w:r>
            <w:r>
              <w:rPr>
                <w:spacing w:val="-14"/>
                <w:sz w:val="20"/>
              </w:rPr>
              <w:t> </w:t>
            </w:r>
            <w:r>
              <w:rPr>
                <w:sz w:val="20"/>
              </w:rPr>
              <w:t>urban/residential</w:t>
            </w:r>
            <w:r>
              <w:rPr>
                <w:spacing w:val="-13"/>
                <w:sz w:val="20"/>
              </w:rPr>
              <w:t> </w:t>
            </w:r>
            <w:r>
              <w:rPr>
                <w:sz w:val="20"/>
              </w:rPr>
              <w:t>and semi-rural areas.</w:t>
            </w:r>
          </w:p>
          <w:p>
            <w:pPr>
              <w:pStyle w:val="TableParagraph"/>
              <w:spacing w:before="79"/>
              <w:ind w:left="103"/>
              <w:rPr>
                <w:sz w:val="20"/>
              </w:rPr>
            </w:pPr>
            <w:r>
              <w:rPr>
                <w:sz w:val="20"/>
              </w:rPr>
              <w:t>Veterinary</w:t>
            </w:r>
            <w:r>
              <w:rPr>
                <w:spacing w:val="-14"/>
                <w:sz w:val="20"/>
              </w:rPr>
              <w:t> </w:t>
            </w:r>
            <w:r>
              <w:rPr>
                <w:sz w:val="20"/>
              </w:rPr>
              <w:t>administered</w:t>
            </w:r>
            <w:r>
              <w:rPr>
                <w:spacing w:val="-14"/>
                <w:sz w:val="20"/>
              </w:rPr>
              <w:t> </w:t>
            </w:r>
            <w:r>
              <w:rPr>
                <w:sz w:val="20"/>
              </w:rPr>
              <w:t>antidote </w:t>
            </w:r>
            <w:r>
              <w:rPr>
                <w:spacing w:val="-2"/>
                <w:sz w:val="20"/>
              </w:rPr>
              <w:t>available.</w:t>
            </w:r>
          </w:p>
          <w:p>
            <w:pPr>
              <w:pStyle w:val="TableParagraph"/>
              <w:spacing w:before="80"/>
              <w:ind w:left="103"/>
              <w:rPr>
                <w:sz w:val="20"/>
              </w:rPr>
            </w:pPr>
            <w:r>
              <w:rPr>
                <w:sz w:val="20"/>
              </w:rPr>
              <w:t>Low</w:t>
            </w:r>
            <w:r>
              <w:rPr>
                <w:spacing w:val="-5"/>
                <w:sz w:val="20"/>
              </w:rPr>
              <w:t> </w:t>
            </w:r>
            <w:r>
              <w:rPr>
                <w:sz w:val="20"/>
              </w:rPr>
              <w:t>risk</w:t>
            </w:r>
            <w:r>
              <w:rPr>
                <w:spacing w:val="-4"/>
                <w:sz w:val="20"/>
              </w:rPr>
              <w:t> </w:t>
            </w:r>
            <w:r>
              <w:rPr>
                <w:sz w:val="20"/>
              </w:rPr>
              <w:t>to</w:t>
            </w:r>
            <w:r>
              <w:rPr>
                <w:spacing w:val="-6"/>
                <w:sz w:val="20"/>
              </w:rPr>
              <w:t> </w:t>
            </w:r>
            <w:r>
              <w:rPr>
                <w:sz w:val="20"/>
              </w:rPr>
              <w:t>cats</w:t>
            </w:r>
            <w:r>
              <w:rPr>
                <w:spacing w:val="-3"/>
                <w:sz w:val="20"/>
              </w:rPr>
              <w:t> </w:t>
            </w:r>
            <w:r>
              <w:rPr>
                <w:sz w:val="20"/>
              </w:rPr>
              <w:t>and</w:t>
            </w:r>
            <w:r>
              <w:rPr>
                <w:spacing w:val="-5"/>
                <w:sz w:val="20"/>
              </w:rPr>
              <w:t> </w:t>
            </w:r>
            <w:r>
              <w:rPr>
                <w:spacing w:val="-4"/>
                <w:sz w:val="20"/>
              </w:rPr>
              <w:t>dogs.</w:t>
            </w:r>
          </w:p>
        </w:tc>
        <w:tc>
          <w:tcPr>
            <w:tcW w:w="2899" w:type="dxa"/>
            <w:tcBorders>
              <w:right w:val="nil"/>
            </w:tcBorders>
          </w:tcPr>
          <w:p>
            <w:pPr>
              <w:pStyle w:val="TableParagraph"/>
              <w:spacing w:before="81"/>
              <w:ind w:left="104"/>
              <w:rPr>
                <w:sz w:val="20"/>
              </w:rPr>
            </w:pPr>
            <w:r>
              <w:rPr>
                <w:sz w:val="20"/>
              </w:rPr>
              <w:t>Generally,</w:t>
            </w:r>
            <w:r>
              <w:rPr>
                <w:spacing w:val="-11"/>
                <w:sz w:val="20"/>
              </w:rPr>
              <w:t> </w:t>
            </w:r>
            <w:r>
              <w:rPr>
                <w:sz w:val="20"/>
              </w:rPr>
              <w:t>not</w:t>
            </w:r>
            <w:r>
              <w:rPr>
                <w:spacing w:val="-11"/>
                <w:sz w:val="20"/>
              </w:rPr>
              <w:t> </w:t>
            </w:r>
            <w:r>
              <w:rPr>
                <w:sz w:val="20"/>
              </w:rPr>
              <w:t>used</w:t>
            </w:r>
            <w:r>
              <w:rPr>
                <w:spacing w:val="-11"/>
                <w:sz w:val="20"/>
              </w:rPr>
              <w:t> </w:t>
            </w:r>
            <w:r>
              <w:rPr>
                <w:sz w:val="20"/>
              </w:rPr>
              <w:t>for</w:t>
            </w:r>
            <w:r>
              <w:rPr>
                <w:spacing w:val="-8"/>
                <w:sz w:val="20"/>
              </w:rPr>
              <w:t> </w:t>
            </w:r>
            <w:r>
              <w:rPr>
                <w:sz w:val="20"/>
              </w:rPr>
              <w:t>large- scale open areas.</w:t>
            </w:r>
          </w:p>
          <w:p>
            <w:pPr>
              <w:pStyle w:val="TableParagraph"/>
              <w:spacing w:before="80"/>
              <w:ind w:left="104" w:right="194"/>
              <w:rPr>
                <w:sz w:val="20"/>
              </w:rPr>
            </w:pPr>
            <w:r>
              <w:rPr>
                <w:sz w:val="20"/>
              </w:rPr>
              <w:t>Slow</w:t>
            </w:r>
            <w:r>
              <w:rPr>
                <w:spacing w:val="-14"/>
                <w:sz w:val="20"/>
              </w:rPr>
              <w:t> </w:t>
            </w:r>
            <w:r>
              <w:rPr>
                <w:sz w:val="20"/>
              </w:rPr>
              <w:t>acting</w:t>
            </w:r>
            <w:r>
              <w:rPr>
                <w:spacing w:val="-13"/>
                <w:sz w:val="20"/>
              </w:rPr>
              <w:t> </w:t>
            </w:r>
            <w:r>
              <w:rPr>
                <w:sz w:val="20"/>
              </w:rPr>
              <w:t>–</w:t>
            </w:r>
            <w:r>
              <w:rPr>
                <w:spacing w:val="-14"/>
                <w:sz w:val="20"/>
              </w:rPr>
              <w:t> </w:t>
            </w:r>
            <w:r>
              <w:rPr>
                <w:sz w:val="20"/>
              </w:rPr>
              <w:t>requires multiple feeds.</w:t>
            </w:r>
          </w:p>
          <w:p>
            <w:pPr>
              <w:pStyle w:val="TableParagraph"/>
              <w:spacing w:before="80"/>
              <w:ind w:left="104"/>
              <w:rPr>
                <w:sz w:val="20"/>
              </w:rPr>
            </w:pPr>
            <w:r>
              <w:rPr>
                <w:sz w:val="20"/>
              </w:rPr>
              <w:t>High</w:t>
            </w:r>
            <w:r>
              <w:rPr>
                <w:spacing w:val="-14"/>
                <w:sz w:val="20"/>
              </w:rPr>
              <w:t> </w:t>
            </w:r>
            <w:r>
              <w:rPr>
                <w:sz w:val="20"/>
              </w:rPr>
              <w:t>risk</w:t>
            </w:r>
            <w:r>
              <w:rPr>
                <w:spacing w:val="-14"/>
                <w:sz w:val="20"/>
              </w:rPr>
              <w:t> </w:t>
            </w:r>
            <w:r>
              <w:rPr>
                <w:sz w:val="20"/>
              </w:rPr>
              <w:t>to</w:t>
            </w:r>
            <w:r>
              <w:rPr>
                <w:spacing w:val="-14"/>
                <w:sz w:val="20"/>
              </w:rPr>
              <w:t> </w:t>
            </w:r>
            <w:r>
              <w:rPr>
                <w:sz w:val="20"/>
              </w:rPr>
              <w:t>kangaroos, </w:t>
            </w:r>
            <w:r>
              <w:rPr>
                <w:spacing w:val="-2"/>
                <w:sz w:val="20"/>
              </w:rPr>
              <w:t>wallabies.</w:t>
            </w:r>
          </w:p>
          <w:p>
            <w:pPr>
              <w:pStyle w:val="TableParagraph"/>
              <w:spacing w:before="80"/>
              <w:ind w:left="104" w:right="194"/>
              <w:rPr>
                <w:sz w:val="20"/>
              </w:rPr>
            </w:pPr>
            <w:r>
              <w:rPr>
                <w:sz w:val="20"/>
              </w:rPr>
              <w:t>Degradation rates and process</w:t>
            </w:r>
            <w:r>
              <w:rPr>
                <w:spacing w:val="-13"/>
                <w:sz w:val="20"/>
              </w:rPr>
              <w:t> </w:t>
            </w:r>
            <w:r>
              <w:rPr>
                <w:sz w:val="20"/>
              </w:rPr>
              <w:t>not</w:t>
            </w:r>
            <w:r>
              <w:rPr>
                <w:spacing w:val="-14"/>
                <w:sz w:val="20"/>
              </w:rPr>
              <w:t> </w:t>
            </w:r>
            <w:r>
              <w:rPr>
                <w:sz w:val="20"/>
              </w:rPr>
              <w:t>well</w:t>
            </w:r>
            <w:r>
              <w:rPr>
                <w:spacing w:val="-14"/>
                <w:sz w:val="20"/>
              </w:rPr>
              <w:t> </w:t>
            </w:r>
            <w:r>
              <w:rPr>
                <w:sz w:val="20"/>
              </w:rPr>
              <w:t>understood.</w:t>
            </w:r>
          </w:p>
        </w:tc>
      </w:tr>
      <w:tr>
        <w:trPr>
          <w:trHeight w:val="1058" w:hRule="atLeast"/>
        </w:trPr>
        <w:tc>
          <w:tcPr>
            <w:tcW w:w="2112" w:type="dxa"/>
            <w:tcBorders>
              <w:left w:val="nil"/>
            </w:tcBorders>
          </w:tcPr>
          <w:p>
            <w:pPr>
              <w:pStyle w:val="TableParagraph"/>
              <w:spacing w:before="78"/>
              <w:ind w:left="122" w:right="289"/>
              <w:rPr>
                <w:sz w:val="20"/>
              </w:rPr>
            </w:pPr>
            <w:r>
              <w:rPr>
                <w:sz w:val="20"/>
              </w:rPr>
              <w:t>Warren</w:t>
            </w:r>
            <w:r>
              <w:rPr>
                <w:spacing w:val="-14"/>
                <w:sz w:val="20"/>
              </w:rPr>
              <w:t> </w:t>
            </w:r>
            <w:r>
              <w:rPr>
                <w:sz w:val="20"/>
              </w:rPr>
              <w:t>destruction by ripping</w:t>
            </w:r>
          </w:p>
        </w:tc>
        <w:tc>
          <w:tcPr>
            <w:tcW w:w="3118" w:type="dxa"/>
            <w:shd w:val="clear" w:color="auto" w:fill="CCDBEA"/>
          </w:tcPr>
          <w:p>
            <w:pPr>
              <w:pStyle w:val="TableParagraph"/>
              <w:spacing w:before="78"/>
              <w:ind w:left="105"/>
              <w:rPr>
                <w:sz w:val="20"/>
              </w:rPr>
            </w:pPr>
            <w:r>
              <w:rPr>
                <w:sz w:val="20"/>
              </w:rPr>
              <w:t>Cost-effective when integrated with</w:t>
            </w:r>
            <w:r>
              <w:rPr>
                <w:spacing w:val="-9"/>
                <w:sz w:val="20"/>
              </w:rPr>
              <w:t> </w:t>
            </w:r>
            <w:r>
              <w:rPr>
                <w:sz w:val="20"/>
              </w:rPr>
              <w:t>poisoning</w:t>
            </w:r>
            <w:r>
              <w:rPr>
                <w:spacing w:val="-10"/>
                <w:sz w:val="20"/>
              </w:rPr>
              <w:t> </w:t>
            </w:r>
            <w:r>
              <w:rPr>
                <w:sz w:val="20"/>
              </w:rPr>
              <w:t>or</w:t>
            </w:r>
            <w:r>
              <w:rPr>
                <w:spacing w:val="-11"/>
                <w:sz w:val="20"/>
              </w:rPr>
              <w:t> </w:t>
            </w:r>
            <w:r>
              <w:rPr>
                <w:sz w:val="20"/>
              </w:rPr>
              <w:t>fumigation</w:t>
            </w:r>
            <w:r>
              <w:rPr>
                <w:spacing w:val="-11"/>
                <w:sz w:val="20"/>
              </w:rPr>
              <w:t> </w:t>
            </w:r>
            <w:r>
              <w:rPr>
                <w:sz w:val="20"/>
              </w:rPr>
              <w:t>and follow up control</w:t>
            </w:r>
          </w:p>
        </w:tc>
        <w:tc>
          <w:tcPr>
            <w:tcW w:w="3120" w:type="dxa"/>
          </w:tcPr>
          <w:p>
            <w:pPr>
              <w:pStyle w:val="TableParagraph"/>
              <w:spacing w:before="78"/>
              <w:ind w:left="106"/>
              <w:rPr>
                <w:sz w:val="20"/>
              </w:rPr>
            </w:pPr>
            <w:r>
              <w:rPr>
                <w:sz w:val="20"/>
              </w:rPr>
              <w:t>Non-target</w:t>
            </w:r>
            <w:r>
              <w:rPr>
                <w:spacing w:val="-14"/>
                <w:sz w:val="20"/>
              </w:rPr>
              <w:t> </w:t>
            </w:r>
            <w:r>
              <w:rPr>
                <w:sz w:val="20"/>
              </w:rPr>
              <w:t>wildlife</w:t>
            </w:r>
            <w:r>
              <w:rPr>
                <w:spacing w:val="-14"/>
                <w:sz w:val="20"/>
              </w:rPr>
              <w:t> </w:t>
            </w:r>
            <w:r>
              <w:rPr>
                <w:sz w:val="20"/>
              </w:rPr>
              <w:t>using</w:t>
            </w:r>
            <w:r>
              <w:rPr>
                <w:spacing w:val="-14"/>
                <w:sz w:val="20"/>
              </w:rPr>
              <w:t> </w:t>
            </w:r>
            <w:r>
              <w:rPr>
                <w:sz w:val="20"/>
              </w:rPr>
              <w:t>warrens are vulnerable</w:t>
            </w:r>
          </w:p>
        </w:tc>
        <w:tc>
          <w:tcPr>
            <w:tcW w:w="3118" w:type="dxa"/>
            <w:shd w:val="clear" w:color="auto" w:fill="CCDBEA"/>
          </w:tcPr>
          <w:p>
            <w:pPr>
              <w:pStyle w:val="TableParagraph"/>
              <w:spacing w:before="78"/>
              <w:ind w:left="103" w:right="171"/>
              <w:rPr>
                <w:sz w:val="20"/>
              </w:rPr>
            </w:pPr>
            <w:r>
              <w:rPr>
                <w:sz w:val="20"/>
              </w:rPr>
              <w:t>Where</w:t>
            </w:r>
            <w:r>
              <w:rPr>
                <w:spacing w:val="-10"/>
                <w:sz w:val="20"/>
              </w:rPr>
              <w:t> </w:t>
            </w:r>
            <w:r>
              <w:rPr>
                <w:sz w:val="20"/>
              </w:rPr>
              <w:t>warrens</w:t>
            </w:r>
            <w:r>
              <w:rPr>
                <w:spacing w:val="-9"/>
                <w:sz w:val="20"/>
              </w:rPr>
              <w:t> </w:t>
            </w:r>
            <w:r>
              <w:rPr>
                <w:sz w:val="20"/>
              </w:rPr>
              <w:t>are</w:t>
            </w:r>
            <w:r>
              <w:rPr>
                <w:spacing w:val="-12"/>
                <w:sz w:val="20"/>
              </w:rPr>
              <w:t> </w:t>
            </w:r>
            <w:r>
              <w:rPr>
                <w:sz w:val="20"/>
              </w:rPr>
              <w:t>the</w:t>
            </w:r>
            <w:r>
              <w:rPr>
                <w:spacing w:val="-12"/>
                <w:sz w:val="20"/>
              </w:rPr>
              <w:t> </w:t>
            </w:r>
            <w:r>
              <w:rPr>
                <w:sz w:val="20"/>
              </w:rPr>
              <w:t>principal shelter for rabbits, ripping is the most cost-effective and most long-lasting method of control.</w:t>
            </w:r>
          </w:p>
        </w:tc>
        <w:tc>
          <w:tcPr>
            <w:tcW w:w="2899" w:type="dxa"/>
            <w:tcBorders>
              <w:right w:val="nil"/>
            </w:tcBorders>
          </w:tcPr>
          <w:p>
            <w:pPr>
              <w:pStyle w:val="TableParagraph"/>
              <w:spacing w:before="78"/>
              <w:ind w:left="104" w:right="113"/>
              <w:rPr>
                <w:sz w:val="20"/>
              </w:rPr>
            </w:pPr>
            <w:r>
              <w:rPr>
                <w:sz w:val="20"/>
              </w:rPr>
              <w:t>Cannot be used in inaccessible, rocky or environmentally</w:t>
            </w:r>
            <w:r>
              <w:rPr>
                <w:spacing w:val="-14"/>
                <w:sz w:val="20"/>
              </w:rPr>
              <w:t> </w:t>
            </w:r>
            <w:r>
              <w:rPr>
                <w:sz w:val="20"/>
              </w:rPr>
              <w:t>and</w:t>
            </w:r>
            <w:r>
              <w:rPr>
                <w:spacing w:val="-14"/>
                <w:sz w:val="20"/>
              </w:rPr>
              <w:t> </w:t>
            </w:r>
            <w:r>
              <w:rPr>
                <w:sz w:val="20"/>
              </w:rPr>
              <w:t>culturally sensitive areas.</w:t>
            </w:r>
          </w:p>
        </w:tc>
      </w:tr>
      <w:tr>
        <w:trPr>
          <w:trHeight w:val="1060" w:hRule="atLeast"/>
        </w:trPr>
        <w:tc>
          <w:tcPr>
            <w:tcW w:w="2112" w:type="dxa"/>
            <w:tcBorders>
              <w:left w:val="nil"/>
            </w:tcBorders>
          </w:tcPr>
          <w:p>
            <w:pPr>
              <w:pStyle w:val="TableParagraph"/>
              <w:spacing w:before="78"/>
              <w:ind w:left="122" w:right="222"/>
              <w:rPr>
                <w:sz w:val="20"/>
              </w:rPr>
            </w:pPr>
            <w:r>
              <w:rPr>
                <w:sz w:val="20"/>
              </w:rPr>
              <w:t>Diffusion</w:t>
            </w:r>
            <w:r>
              <w:rPr>
                <w:spacing w:val="-14"/>
                <w:sz w:val="20"/>
              </w:rPr>
              <w:t> </w:t>
            </w:r>
            <w:r>
              <w:rPr>
                <w:sz w:val="20"/>
              </w:rPr>
              <w:t>fumigation of warrens using </w:t>
            </w:r>
            <w:r>
              <w:rPr>
                <w:spacing w:val="-2"/>
                <w:sz w:val="20"/>
              </w:rPr>
              <w:t>phosphine</w:t>
            </w:r>
          </w:p>
        </w:tc>
        <w:tc>
          <w:tcPr>
            <w:tcW w:w="3118" w:type="dxa"/>
            <w:shd w:val="clear" w:color="auto" w:fill="CCDBEA"/>
          </w:tcPr>
          <w:p>
            <w:pPr>
              <w:pStyle w:val="TableParagraph"/>
              <w:spacing w:before="78"/>
              <w:ind w:left="105" w:right="132"/>
              <w:rPr>
                <w:sz w:val="20"/>
              </w:rPr>
            </w:pPr>
            <w:r>
              <w:rPr>
                <w:sz w:val="20"/>
              </w:rPr>
              <w:t>Expensive – variable effectiveness. Effective as a follow</w:t>
            </w:r>
            <w:r>
              <w:rPr>
                <w:spacing w:val="-8"/>
                <w:sz w:val="20"/>
              </w:rPr>
              <w:t> </w:t>
            </w:r>
            <w:r>
              <w:rPr>
                <w:sz w:val="20"/>
              </w:rPr>
              <w:t>up</w:t>
            </w:r>
            <w:r>
              <w:rPr>
                <w:spacing w:val="-10"/>
                <w:sz w:val="20"/>
              </w:rPr>
              <w:t> </w:t>
            </w:r>
            <w:r>
              <w:rPr>
                <w:sz w:val="20"/>
              </w:rPr>
              <w:t>control</w:t>
            </w:r>
            <w:r>
              <w:rPr>
                <w:spacing w:val="-9"/>
                <w:sz w:val="20"/>
              </w:rPr>
              <w:t> </w:t>
            </w:r>
            <w:r>
              <w:rPr>
                <w:sz w:val="20"/>
              </w:rPr>
              <w:t>option</w:t>
            </w:r>
            <w:r>
              <w:rPr>
                <w:spacing w:val="-8"/>
                <w:sz w:val="20"/>
              </w:rPr>
              <w:t> </w:t>
            </w:r>
            <w:r>
              <w:rPr>
                <w:sz w:val="20"/>
              </w:rPr>
              <w:t>in</w:t>
            </w:r>
            <w:r>
              <w:rPr>
                <w:spacing w:val="-8"/>
                <w:sz w:val="20"/>
              </w:rPr>
              <w:t> </w:t>
            </w:r>
            <w:r>
              <w:rPr>
                <w:sz w:val="20"/>
              </w:rPr>
              <w:t>an integrated operation.</w:t>
            </w:r>
          </w:p>
        </w:tc>
        <w:tc>
          <w:tcPr>
            <w:tcW w:w="3120" w:type="dxa"/>
          </w:tcPr>
          <w:p>
            <w:pPr>
              <w:pStyle w:val="TableParagraph"/>
              <w:spacing w:line="242" w:lineRule="auto" w:before="78"/>
              <w:ind w:left="106"/>
              <w:rPr>
                <w:sz w:val="20"/>
              </w:rPr>
            </w:pPr>
            <w:r>
              <w:rPr>
                <w:sz w:val="20"/>
              </w:rPr>
              <w:t>Non-target</w:t>
            </w:r>
            <w:r>
              <w:rPr>
                <w:spacing w:val="-14"/>
                <w:sz w:val="20"/>
              </w:rPr>
              <w:t> </w:t>
            </w:r>
            <w:r>
              <w:rPr>
                <w:sz w:val="20"/>
              </w:rPr>
              <w:t>wildlife</w:t>
            </w:r>
            <w:r>
              <w:rPr>
                <w:spacing w:val="-14"/>
                <w:sz w:val="20"/>
              </w:rPr>
              <w:t> </w:t>
            </w:r>
            <w:r>
              <w:rPr>
                <w:sz w:val="20"/>
              </w:rPr>
              <w:t>using</w:t>
            </w:r>
            <w:r>
              <w:rPr>
                <w:spacing w:val="-14"/>
                <w:sz w:val="20"/>
              </w:rPr>
              <w:t> </w:t>
            </w:r>
            <w:r>
              <w:rPr>
                <w:sz w:val="20"/>
              </w:rPr>
              <w:t>warrens are vulnerable</w:t>
            </w:r>
          </w:p>
        </w:tc>
        <w:tc>
          <w:tcPr>
            <w:tcW w:w="3118" w:type="dxa"/>
            <w:shd w:val="clear" w:color="auto" w:fill="CCDBEA"/>
          </w:tcPr>
          <w:p>
            <w:pPr>
              <w:pStyle w:val="TableParagraph"/>
              <w:spacing w:before="78"/>
              <w:ind w:left="103"/>
              <w:rPr>
                <w:sz w:val="20"/>
              </w:rPr>
            </w:pPr>
            <w:r>
              <w:rPr>
                <w:sz w:val="20"/>
              </w:rPr>
              <w:t>Can</w:t>
            </w:r>
            <w:r>
              <w:rPr>
                <w:spacing w:val="-9"/>
                <w:sz w:val="20"/>
              </w:rPr>
              <w:t> </w:t>
            </w:r>
            <w:r>
              <w:rPr>
                <w:sz w:val="20"/>
              </w:rPr>
              <w:t>be</w:t>
            </w:r>
            <w:r>
              <w:rPr>
                <w:spacing w:val="-8"/>
                <w:sz w:val="20"/>
              </w:rPr>
              <w:t> </w:t>
            </w:r>
            <w:r>
              <w:rPr>
                <w:sz w:val="20"/>
              </w:rPr>
              <w:t>used</w:t>
            </w:r>
            <w:r>
              <w:rPr>
                <w:spacing w:val="-8"/>
                <w:sz w:val="20"/>
              </w:rPr>
              <w:t> </w:t>
            </w:r>
            <w:r>
              <w:rPr>
                <w:sz w:val="20"/>
              </w:rPr>
              <w:t>near</w:t>
            </w:r>
            <w:r>
              <w:rPr>
                <w:spacing w:val="-8"/>
                <w:sz w:val="20"/>
              </w:rPr>
              <w:t> </w:t>
            </w:r>
            <w:r>
              <w:rPr>
                <w:sz w:val="20"/>
              </w:rPr>
              <w:t>settled</w:t>
            </w:r>
            <w:r>
              <w:rPr>
                <w:spacing w:val="-7"/>
                <w:sz w:val="20"/>
              </w:rPr>
              <w:t> </w:t>
            </w:r>
            <w:r>
              <w:rPr>
                <w:sz w:val="20"/>
              </w:rPr>
              <w:t>areas. Can be used in steep slopes.</w:t>
            </w:r>
          </w:p>
          <w:p>
            <w:pPr>
              <w:pStyle w:val="TableParagraph"/>
              <w:spacing w:before="1"/>
              <w:ind w:left="103"/>
              <w:rPr>
                <w:sz w:val="20"/>
              </w:rPr>
            </w:pPr>
            <w:r>
              <w:rPr>
                <w:sz w:val="20"/>
              </w:rPr>
              <w:t>Little</w:t>
            </w:r>
            <w:r>
              <w:rPr>
                <w:spacing w:val="-10"/>
                <w:sz w:val="20"/>
              </w:rPr>
              <w:t> </w:t>
            </w:r>
            <w:r>
              <w:rPr>
                <w:sz w:val="20"/>
              </w:rPr>
              <w:t>equipment</w:t>
            </w:r>
            <w:r>
              <w:rPr>
                <w:spacing w:val="-10"/>
                <w:sz w:val="20"/>
              </w:rPr>
              <w:t> </w:t>
            </w:r>
            <w:r>
              <w:rPr>
                <w:spacing w:val="-2"/>
                <w:sz w:val="20"/>
              </w:rPr>
              <w:t>needed.</w:t>
            </w:r>
          </w:p>
        </w:tc>
        <w:tc>
          <w:tcPr>
            <w:tcW w:w="2899" w:type="dxa"/>
            <w:tcBorders>
              <w:right w:val="nil"/>
            </w:tcBorders>
          </w:tcPr>
          <w:p>
            <w:pPr>
              <w:pStyle w:val="TableParagraph"/>
              <w:spacing w:before="78"/>
              <w:ind w:left="104" w:right="194"/>
              <w:rPr>
                <w:sz w:val="20"/>
              </w:rPr>
            </w:pPr>
            <w:r>
              <w:rPr>
                <w:sz w:val="20"/>
              </w:rPr>
              <w:t>Labour-intensive,</w:t>
            </w:r>
            <w:r>
              <w:rPr>
                <w:spacing w:val="-14"/>
                <w:sz w:val="20"/>
              </w:rPr>
              <w:t> </w:t>
            </w:r>
            <w:r>
              <w:rPr>
                <w:sz w:val="20"/>
              </w:rPr>
              <w:t>slow</w:t>
            </w:r>
            <w:r>
              <w:rPr>
                <w:spacing w:val="-14"/>
                <w:sz w:val="20"/>
              </w:rPr>
              <w:t> </w:t>
            </w:r>
            <w:r>
              <w:rPr>
                <w:sz w:val="20"/>
              </w:rPr>
              <w:t>and expensive. Unsuitable for large areas.</w:t>
            </w:r>
          </w:p>
        </w:tc>
      </w:tr>
      <w:tr>
        <w:trPr>
          <w:trHeight w:val="2292" w:hRule="atLeast"/>
        </w:trPr>
        <w:tc>
          <w:tcPr>
            <w:tcW w:w="2112" w:type="dxa"/>
            <w:tcBorders>
              <w:left w:val="nil"/>
            </w:tcBorders>
          </w:tcPr>
          <w:p>
            <w:pPr>
              <w:pStyle w:val="TableParagraph"/>
              <w:spacing w:before="78"/>
              <w:ind w:left="122" w:right="467"/>
              <w:rPr>
                <w:sz w:val="20"/>
              </w:rPr>
            </w:pPr>
            <w:r>
              <w:rPr>
                <w:sz w:val="20"/>
              </w:rPr>
              <w:t>Biological</w:t>
            </w:r>
            <w:r>
              <w:rPr>
                <w:spacing w:val="-14"/>
                <w:sz w:val="20"/>
              </w:rPr>
              <w:t> </w:t>
            </w:r>
            <w:r>
              <w:rPr>
                <w:sz w:val="20"/>
              </w:rPr>
              <w:t>control with RHDV – K5</w:t>
            </w:r>
          </w:p>
        </w:tc>
        <w:tc>
          <w:tcPr>
            <w:tcW w:w="3118" w:type="dxa"/>
            <w:shd w:val="clear" w:color="auto" w:fill="CCDBEA"/>
          </w:tcPr>
          <w:p>
            <w:pPr>
              <w:pStyle w:val="TableParagraph"/>
              <w:spacing w:before="78"/>
              <w:ind w:left="105"/>
              <w:rPr>
                <w:sz w:val="20"/>
              </w:rPr>
            </w:pPr>
            <w:r>
              <w:rPr>
                <w:sz w:val="20"/>
              </w:rPr>
              <w:t>No costs reported – variable effectiveness,</w:t>
            </w:r>
            <w:r>
              <w:rPr>
                <w:spacing w:val="-14"/>
                <w:sz w:val="20"/>
              </w:rPr>
              <w:t> </w:t>
            </w:r>
            <w:r>
              <w:rPr>
                <w:sz w:val="20"/>
              </w:rPr>
              <w:t>can</w:t>
            </w:r>
            <w:r>
              <w:rPr>
                <w:spacing w:val="-13"/>
                <w:sz w:val="20"/>
              </w:rPr>
              <w:t> </w:t>
            </w:r>
            <w:r>
              <w:rPr>
                <w:sz w:val="20"/>
              </w:rPr>
              <w:t>depend</w:t>
            </w:r>
            <w:r>
              <w:rPr>
                <w:spacing w:val="-13"/>
                <w:sz w:val="20"/>
              </w:rPr>
              <w:t> </w:t>
            </w:r>
            <w:r>
              <w:rPr>
                <w:sz w:val="20"/>
              </w:rPr>
              <w:t>on </w:t>
            </w:r>
            <w:r>
              <w:rPr>
                <w:spacing w:val="-2"/>
                <w:sz w:val="20"/>
              </w:rPr>
              <w:t>habitat.</w:t>
            </w:r>
          </w:p>
        </w:tc>
        <w:tc>
          <w:tcPr>
            <w:tcW w:w="3120" w:type="dxa"/>
          </w:tcPr>
          <w:p>
            <w:pPr>
              <w:pStyle w:val="TableParagraph"/>
              <w:spacing w:before="78"/>
              <w:ind w:left="106"/>
              <w:rPr>
                <w:sz w:val="20"/>
              </w:rPr>
            </w:pPr>
            <w:r>
              <w:rPr>
                <w:sz w:val="20"/>
              </w:rPr>
              <w:t>Target</w:t>
            </w:r>
            <w:r>
              <w:rPr>
                <w:spacing w:val="-7"/>
                <w:sz w:val="20"/>
              </w:rPr>
              <w:t> </w:t>
            </w:r>
            <w:r>
              <w:rPr>
                <w:spacing w:val="-2"/>
                <w:sz w:val="20"/>
              </w:rPr>
              <w:t>specific</w:t>
            </w:r>
          </w:p>
        </w:tc>
        <w:tc>
          <w:tcPr>
            <w:tcW w:w="3118" w:type="dxa"/>
            <w:shd w:val="clear" w:color="auto" w:fill="CCDBEA"/>
          </w:tcPr>
          <w:p>
            <w:pPr>
              <w:pStyle w:val="TableParagraph"/>
              <w:spacing w:before="78"/>
              <w:ind w:left="103"/>
              <w:rPr>
                <w:sz w:val="20"/>
              </w:rPr>
            </w:pPr>
            <w:r>
              <w:rPr>
                <w:sz w:val="20"/>
              </w:rPr>
              <w:t>Easily applied, commercially available,</w:t>
            </w:r>
            <w:r>
              <w:rPr>
                <w:spacing w:val="-9"/>
                <w:sz w:val="20"/>
              </w:rPr>
              <w:t> </w:t>
            </w:r>
            <w:r>
              <w:rPr>
                <w:sz w:val="20"/>
              </w:rPr>
              <w:t>no</w:t>
            </w:r>
            <w:r>
              <w:rPr>
                <w:spacing w:val="-12"/>
                <w:sz w:val="20"/>
              </w:rPr>
              <w:t> </w:t>
            </w:r>
            <w:r>
              <w:rPr>
                <w:sz w:val="20"/>
              </w:rPr>
              <w:t>special</w:t>
            </w:r>
            <w:r>
              <w:rPr>
                <w:spacing w:val="-12"/>
                <w:sz w:val="20"/>
              </w:rPr>
              <w:t> </w:t>
            </w:r>
            <w:r>
              <w:rPr>
                <w:sz w:val="20"/>
              </w:rPr>
              <w:t>permits</w:t>
            </w:r>
            <w:r>
              <w:rPr>
                <w:spacing w:val="-10"/>
                <w:sz w:val="20"/>
              </w:rPr>
              <w:t> </w:t>
            </w:r>
            <w:r>
              <w:rPr>
                <w:sz w:val="20"/>
              </w:rPr>
              <w:t>or training required.</w:t>
            </w:r>
          </w:p>
        </w:tc>
        <w:tc>
          <w:tcPr>
            <w:tcW w:w="2899" w:type="dxa"/>
            <w:tcBorders>
              <w:right w:val="nil"/>
            </w:tcBorders>
          </w:tcPr>
          <w:p>
            <w:pPr>
              <w:pStyle w:val="TableParagraph"/>
              <w:spacing w:before="78"/>
              <w:ind w:left="104" w:right="113"/>
              <w:rPr>
                <w:sz w:val="20"/>
              </w:rPr>
            </w:pPr>
            <w:r>
              <w:rPr>
                <w:sz w:val="20"/>
              </w:rPr>
              <w:t>Needs to</w:t>
            </w:r>
            <w:r>
              <w:rPr>
                <w:spacing w:val="-1"/>
                <w:sz w:val="20"/>
              </w:rPr>
              <w:t> </w:t>
            </w:r>
            <w:r>
              <w:rPr>
                <w:sz w:val="20"/>
              </w:rPr>
              <w:t>be followed up with conventional</w:t>
            </w:r>
            <w:r>
              <w:rPr>
                <w:spacing w:val="-14"/>
                <w:sz w:val="20"/>
              </w:rPr>
              <w:t> </w:t>
            </w:r>
            <w:r>
              <w:rPr>
                <w:sz w:val="20"/>
              </w:rPr>
              <w:t>control</w:t>
            </w:r>
            <w:r>
              <w:rPr>
                <w:spacing w:val="-14"/>
                <w:sz w:val="20"/>
              </w:rPr>
              <w:t> </w:t>
            </w:r>
            <w:r>
              <w:rPr>
                <w:sz w:val="20"/>
              </w:rPr>
              <w:t>methods Bait delivery of the virus is a more humane technique because it does not require live capture and handling of rabbits for inoculation.</w:t>
            </w:r>
          </w:p>
          <w:p>
            <w:pPr>
              <w:pStyle w:val="TableParagraph"/>
              <w:spacing w:line="242" w:lineRule="auto" w:before="81"/>
              <w:ind w:left="104" w:right="113"/>
              <w:rPr>
                <w:sz w:val="20"/>
              </w:rPr>
            </w:pPr>
            <w:r>
              <w:rPr>
                <w:sz w:val="20"/>
              </w:rPr>
              <w:t>Less</w:t>
            </w:r>
            <w:r>
              <w:rPr>
                <w:spacing w:val="-9"/>
                <w:sz w:val="20"/>
              </w:rPr>
              <w:t> </w:t>
            </w:r>
            <w:r>
              <w:rPr>
                <w:sz w:val="20"/>
              </w:rPr>
              <w:t>effective</w:t>
            </w:r>
            <w:r>
              <w:rPr>
                <w:spacing w:val="-9"/>
                <w:sz w:val="20"/>
              </w:rPr>
              <w:t> </w:t>
            </w:r>
            <w:r>
              <w:rPr>
                <w:sz w:val="20"/>
              </w:rPr>
              <w:t>in</w:t>
            </w:r>
            <w:r>
              <w:rPr>
                <w:spacing w:val="-10"/>
                <w:sz w:val="20"/>
              </w:rPr>
              <w:t> </w:t>
            </w:r>
            <w:r>
              <w:rPr>
                <w:sz w:val="20"/>
              </w:rPr>
              <w:t>the</w:t>
            </w:r>
            <w:r>
              <w:rPr>
                <w:spacing w:val="-10"/>
                <w:sz w:val="20"/>
              </w:rPr>
              <w:t> </w:t>
            </w:r>
            <w:r>
              <w:rPr>
                <w:sz w:val="20"/>
              </w:rPr>
              <w:t>presence of RHDV2.</w:t>
            </w:r>
          </w:p>
        </w:tc>
      </w:tr>
    </w:tbl>
    <w:p>
      <w:pPr>
        <w:pStyle w:val="BodyText"/>
        <w:rPr>
          <w:b/>
          <w:sz w:val="18"/>
        </w:rPr>
      </w:pPr>
    </w:p>
    <w:p>
      <w:pPr>
        <w:pStyle w:val="BodyText"/>
        <w:spacing w:before="85"/>
        <w:rPr>
          <w:b/>
          <w:sz w:val="18"/>
        </w:rPr>
      </w:pPr>
    </w:p>
    <w:p>
      <w:pPr>
        <w:tabs>
          <w:tab w:pos="14689" w:val="right" w:leader="none"/>
        </w:tabs>
        <w:spacing w:before="0"/>
        <w:ind w:left="10167"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r>
        <w:rPr>
          <w:sz w:val="18"/>
        </w:rPr>
        <w:tab/>
      </w:r>
      <w:r>
        <w:rPr>
          <w:spacing w:val="-5"/>
          <w:sz w:val="18"/>
        </w:rPr>
        <w:t>33</w:t>
      </w:r>
    </w:p>
    <w:p>
      <w:pPr>
        <w:spacing w:before="175"/>
        <w:ind w:left="0" w:right="0" w:firstLine="0"/>
        <w:jc w:val="center"/>
        <w:rPr>
          <w:rFonts w:ascii="Calibri"/>
          <w:sz w:val="24"/>
        </w:rPr>
      </w:pPr>
      <w:r>
        <w:rPr>
          <w:rFonts w:ascii="Calibri"/>
          <w:spacing w:val="-2"/>
          <w:sz w:val="24"/>
        </w:rPr>
        <w:t>OFFICIAL</w:t>
      </w:r>
    </w:p>
    <w:p>
      <w:pPr>
        <w:spacing w:after="0"/>
        <w:jc w:val="center"/>
        <w:rPr>
          <w:rFonts w:ascii="Calibri"/>
          <w:sz w:val="24"/>
        </w:rPr>
        <w:sectPr>
          <w:footerReference w:type="default" r:id="rId32"/>
          <w:pgSz w:w="16850" w:h="11910" w:orient="landscape"/>
          <w:pgMar w:header="0" w:footer="0" w:top="1060" w:bottom="0" w:left="1020" w:right="1020"/>
        </w:sectPr>
      </w:pPr>
    </w:p>
    <w:p>
      <w:pPr>
        <w:pStyle w:val="BodyText"/>
        <w:spacing w:before="1"/>
        <w:rPr>
          <w:rFonts w:ascii="Calibri"/>
          <w:sz w:val="2"/>
        </w:rPr>
      </w:pPr>
    </w:p>
    <w:tbl>
      <w:tblPr>
        <w:tblW w:w="0" w:type="auto"/>
        <w:jc w:val="left"/>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3118"/>
        <w:gridCol w:w="3120"/>
        <w:gridCol w:w="3118"/>
        <w:gridCol w:w="2899"/>
      </w:tblGrid>
      <w:tr>
        <w:trPr>
          <w:trHeight w:val="350" w:hRule="atLeast"/>
        </w:trPr>
        <w:tc>
          <w:tcPr>
            <w:tcW w:w="2098" w:type="dxa"/>
            <w:tcBorders>
              <w:left w:val="nil"/>
            </w:tcBorders>
            <w:shd w:val="clear" w:color="auto" w:fill="004B96"/>
          </w:tcPr>
          <w:p>
            <w:pPr>
              <w:pStyle w:val="TableParagraph"/>
              <w:spacing w:before="62"/>
              <w:ind w:left="107"/>
              <w:rPr>
                <w:b/>
                <w:sz w:val="20"/>
              </w:rPr>
            </w:pPr>
            <w:r>
              <w:rPr>
                <w:b/>
                <w:color w:val="FFFFFF"/>
                <w:sz w:val="20"/>
              </w:rPr>
              <w:t>Control</w:t>
            </w:r>
            <w:r>
              <w:rPr>
                <w:b/>
                <w:color w:val="FFFFFF"/>
                <w:spacing w:val="-10"/>
                <w:sz w:val="20"/>
              </w:rPr>
              <w:t> </w:t>
            </w:r>
            <w:r>
              <w:rPr>
                <w:b/>
                <w:color w:val="FFFFFF"/>
                <w:spacing w:val="-2"/>
                <w:sz w:val="20"/>
              </w:rPr>
              <w:t>technique</w:t>
            </w:r>
          </w:p>
        </w:tc>
        <w:tc>
          <w:tcPr>
            <w:tcW w:w="3118" w:type="dxa"/>
            <w:shd w:val="clear" w:color="auto" w:fill="004B96"/>
          </w:tcPr>
          <w:p>
            <w:pPr>
              <w:pStyle w:val="TableParagraph"/>
              <w:spacing w:before="62"/>
              <w:ind w:left="105"/>
              <w:rPr>
                <w:b/>
                <w:sz w:val="20"/>
              </w:rPr>
            </w:pPr>
            <w:r>
              <w:rPr>
                <w:b/>
                <w:color w:val="FFFFFF"/>
                <w:spacing w:val="-2"/>
                <w:sz w:val="20"/>
              </w:rPr>
              <w:t>Cost-effectiveness</w:t>
            </w:r>
          </w:p>
        </w:tc>
        <w:tc>
          <w:tcPr>
            <w:tcW w:w="3120" w:type="dxa"/>
            <w:shd w:val="clear" w:color="auto" w:fill="004B96"/>
          </w:tcPr>
          <w:p>
            <w:pPr>
              <w:pStyle w:val="TableParagraph"/>
              <w:spacing w:before="62"/>
              <w:ind w:left="105"/>
              <w:rPr>
                <w:b/>
                <w:sz w:val="20"/>
              </w:rPr>
            </w:pPr>
            <w:r>
              <w:rPr>
                <w:b/>
                <w:color w:val="FFFFFF"/>
                <w:sz w:val="20"/>
              </w:rPr>
              <w:t>Target</w:t>
            </w:r>
            <w:r>
              <w:rPr>
                <w:b/>
                <w:color w:val="FFFFFF"/>
                <w:spacing w:val="-10"/>
                <w:sz w:val="20"/>
              </w:rPr>
              <w:t> </w:t>
            </w:r>
            <w:r>
              <w:rPr>
                <w:b/>
                <w:color w:val="FFFFFF"/>
                <w:spacing w:val="-2"/>
                <w:sz w:val="20"/>
              </w:rPr>
              <w:t>specificity</w:t>
            </w:r>
          </w:p>
        </w:tc>
        <w:tc>
          <w:tcPr>
            <w:tcW w:w="3118" w:type="dxa"/>
            <w:shd w:val="clear" w:color="auto" w:fill="004B96"/>
          </w:tcPr>
          <w:p>
            <w:pPr>
              <w:pStyle w:val="TableParagraph"/>
              <w:spacing w:before="62"/>
              <w:ind w:left="103"/>
              <w:rPr>
                <w:b/>
                <w:sz w:val="20"/>
              </w:rPr>
            </w:pPr>
            <w:r>
              <w:rPr>
                <w:b/>
                <w:color w:val="FFFFFF"/>
                <w:spacing w:val="-2"/>
                <w:sz w:val="20"/>
              </w:rPr>
              <w:t>Advantages</w:t>
            </w:r>
          </w:p>
        </w:tc>
        <w:tc>
          <w:tcPr>
            <w:tcW w:w="2899" w:type="dxa"/>
            <w:tcBorders>
              <w:right w:val="nil"/>
            </w:tcBorders>
            <w:shd w:val="clear" w:color="auto" w:fill="004B96"/>
          </w:tcPr>
          <w:p>
            <w:pPr>
              <w:pStyle w:val="TableParagraph"/>
              <w:spacing w:before="62"/>
              <w:ind w:left="103"/>
              <w:rPr>
                <w:b/>
                <w:sz w:val="20"/>
              </w:rPr>
            </w:pPr>
            <w:r>
              <w:rPr>
                <w:b/>
                <w:color w:val="FFFFFF"/>
                <w:spacing w:val="-2"/>
                <w:sz w:val="20"/>
              </w:rPr>
              <w:t>Disadvantages</w:t>
            </w:r>
          </w:p>
        </w:tc>
      </w:tr>
      <w:tr>
        <w:trPr>
          <w:trHeight w:val="1981" w:hRule="atLeast"/>
        </w:trPr>
        <w:tc>
          <w:tcPr>
            <w:tcW w:w="2098" w:type="dxa"/>
            <w:tcBorders>
              <w:left w:val="nil"/>
            </w:tcBorders>
          </w:tcPr>
          <w:p>
            <w:pPr>
              <w:pStyle w:val="TableParagraph"/>
              <w:spacing w:before="81"/>
              <w:ind w:left="107"/>
              <w:rPr>
                <w:sz w:val="20"/>
              </w:rPr>
            </w:pPr>
            <w:r>
              <w:rPr>
                <w:sz w:val="20"/>
              </w:rPr>
              <w:t>Ground</w:t>
            </w:r>
            <w:r>
              <w:rPr>
                <w:spacing w:val="-12"/>
                <w:sz w:val="20"/>
              </w:rPr>
              <w:t> </w:t>
            </w:r>
            <w:r>
              <w:rPr>
                <w:spacing w:val="-2"/>
                <w:sz w:val="20"/>
              </w:rPr>
              <w:t>shooting</w:t>
            </w:r>
          </w:p>
        </w:tc>
        <w:tc>
          <w:tcPr>
            <w:tcW w:w="3118" w:type="dxa"/>
            <w:shd w:val="clear" w:color="auto" w:fill="CCDBEA"/>
          </w:tcPr>
          <w:p>
            <w:pPr>
              <w:pStyle w:val="TableParagraph"/>
              <w:spacing w:before="81"/>
              <w:ind w:left="105" w:right="132"/>
              <w:rPr>
                <w:sz w:val="20"/>
              </w:rPr>
            </w:pPr>
            <w:r>
              <w:rPr>
                <w:sz w:val="20"/>
              </w:rPr>
              <w:t>Not cost-effective. May be effective to control small, isolated</w:t>
            </w:r>
            <w:r>
              <w:rPr>
                <w:spacing w:val="-14"/>
                <w:sz w:val="20"/>
              </w:rPr>
              <w:t> </w:t>
            </w:r>
            <w:r>
              <w:rPr>
                <w:sz w:val="20"/>
              </w:rPr>
              <w:t>rabbit</w:t>
            </w:r>
            <w:r>
              <w:rPr>
                <w:spacing w:val="-14"/>
                <w:sz w:val="20"/>
              </w:rPr>
              <w:t> </w:t>
            </w:r>
            <w:r>
              <w:rPr>
                <w:sz w:val="20"/>
              </w:rPr>
              <w:t>populations.</w:t>
            </w:r>
          </w:p>
        </w:tc>
        <w:tc>
          <w:tcPr>
            <w:tcW w:w="3120" w:type="dxa"/>
          </w:tcPr>
          <w:p>
            <w:pPr>
              <w:pStyle w:val="TableParagraph"/>
              <w:spacing w:before="81"/>
              <w:ind w:left="105"/>
              <w:rPr>
                <w:sz w:val="20"/>
              </w:rPr>
            </w:pPr>
            <w:r>
              <w:rPr>
                <w:sz w:val="20"/>
              </w:rPr>
              <w:t>Target</w:t>
            </w:r>
            <w:r>
              <w:rPr>
                <w:spacing w:val="-7"/>
                <w:sz w:val="20"/>
              </w:rPr>
              <w:t> </w:t>
            </w:r>
            <w:r>
              <w:rPr>
                <w:spacing w:val="-2"/>
                <w:sz w:val="20"/>
              </w:rPr>
              <w:t>specific</w:t>
            </w:r>
          </w:p>
        </w:tc>
        <w:tc>
          <w:tcPr>
            <w:tcW w:w="3118" w:type="dxa"/>
            <w:shd w:val="clear" w:color="auto" w:fill="CCDBEA"/>
          </w:tcPr>
          <w:p>
            <w:pPr>
              <w:pStyle w:val="TableParagraph"/>
              <w:spacing w:before="81"/>
              <w:ind w:left="103"/>
              <w:rPr>
                <w:sz w:val="20"/>
              </w:rPr>
            </w:pPr>
            <w:r>
              <w:rPr>
                <w:sz w:val="20"/>
              </w:rPr>
              <w:t>Can</w:t>
            </w:r>
            <w:r>
              <w:rPr>
                <w:spacing w:val="-11"/>
                <w:sz w:val="20"/>
              </w:rPr>
              <w:t> </w:t>
            </w:r>
            <w:r>
              <w:rPr>
                <w:sz w:val="20"/>
              </w:rPr>
              <w:t>be</w:t>
            </w:r>
            <w:r>
              <w:rPr>
                <w:spacing w:val="-10"/>
                <w:sz w:val="20"/>
              </w:rPr>
              <w:t> </w:t>
            </w:r>
            <w:r>
              <w:rPr>
                <w:sz w:val="20"/>
              </w:rPr>
              <w:t>effective</w:t>
            </w:r>
            <w:r>
              <w:rPr>
                <w:spacing w:val="-9"/>
                <w:sz w:val="20"/>
              </w:rPr>
              <w:t> </w:t>
            </w:r>
            <w:r>
              <w:rPr>
                <w:sz w:val="20"/>
              </w:rPr>
              <w:t>over</w:t>
            </w:r>
            <w:r>
              <w:rPr>
                <w:spacing w:val="-10"/>
                <w:sz w:val="20"/>
              </w:rPr>
              <w:t> </w:t>
            </w:r>
            <w:r>
              <w:rPr>
                <w:sz w:val="20"/>
              </w:rPr>
              <w:t>small, isolated areas.</w:t>
            </w:r>
          </w:p>
        </w:tc>
        <w:tc>
          <w:tcPr>
            <w:tcW w:w="2899" w:type="dxa"/>
            <w:tcBorders>
              <w:right w:val="nil"/>
            </w:tcBorders>
          </w:tcPr>
          <w:p>
            <w:pPr>
              <w:pStyle w:val="TableParagraph"/>
              <w:spacing w:before="81"/>
              <w:ind w:left="103" w:right="194"/>
              <w:rPr>
                <w:sz w:val="20"/>
              </w:rPr>
            </w:pPr>
            <w:r>
              <w:rPr>
                <w:sz w:val="20"/>
              </w:rPr>
              <w:t>Is inefficient for general control. Is time consuming and</w:t>
            </w:r>
            <w:r>
              <w:rPr>
                <w:spacing w:val="-10"/>
                <w:sz w:val="20"/>
              </w:rPr>
              <w:t> </w:t>
            </w:r>
            <w:r>
              <w:rPr>
                <w:sz w:val="20"/>
              </w:rPr>
              <w:t>labour</w:t>
            </w:r>
            <w:r>
              <w:rPr>
                <w:spacing w:val="-9"/>
                <w:sz w:val="20"/>
              </w:rPr>
              <w:t> </w:t>
            </w:r>
            <w:r>
              <w:rPr>
                <w:sz w:val="20"/>
              </w:rPr>
              <w:t>intensive</w:t>
            </w:r>
            <w:r>
              <w:rPr>
                <w:spacing w:val="-12"/>
                <w:sz w:val="20"/>
              </w:rPr>
              <w:t> </w:t>
            </w:r>
            <w:r>
              <w:rPr>
                <w:sz w:val="20"/>
              </w:rPr>
              <w:t>and</w:t>
            </w:r>
            <w:r>
              <w:rPr>
                <w:spacing w:val="-11"/>
                <w:sz w:val="20"/>
              </w:rPr>
              <w:t> </w:t>
            </w:r>
            <w:r>
              <w:rPr>
                <w:sz w:val="20"/>
              </w:rPr>
              <w:t>not suitable in certain situations</w:t>
            </w:r>
          </w:p>
          <w:p>
            <w:pPr>
              <w:pStyle w:val="TableParagraph"/>
              <w:ind w:left="103" w:right="478"/>
              <w:jc w:val="both"/>
              <w:rPr>
                <w:sz w:val="20"/>
              </w:rPr>
            </w:pPr>
            <w:r>
              <w:rPr>
                <w:sz w:val="20"/>
              </w:rPr>
              <w:t>e.g.</w:t>
            </w:r>
            <w:r>
              <w:rPr>
                <w:spacing w:val="-3"/>
                <w:sz w:val="20"/>
              </w:rPr>
              <w:t> </w:t>
            </w:r>
            <w:r>
              <w:rPr>
                <w:sz w:val="20"/>
              </w:rPr>
              <w:t>where</w:t>
            </w:r>
            <w:r>
              <w:rPr>
                <w:spacing w:val="-1"/>
                <w:sz w:val="20"/>
              </w:rPr>
              <w:t> </w:t>
            </w:r>
            <w:r>
              <w:rPr>
                <w:sz w:val="20"/>
              </w:rPr>
              <w:t>dense</w:t>
            </w:r>
            <w:r>
              <w:rPr>
                <w:spacing w:val="-1"/>
                <w:sz w:val="20"/>
              </w:rPr>
              <w:t> </w:t>
            </w:r>
            <w:r>
              <w:rPr>
                <w:sz w:val="20"/>
              </w:rPr>
              <w:t>cover</w:t>
            </w:r>
            <w:r>
              <w:rPr>
                <w:spacing w:val="-3"/>
                <w:sz w:val="20"/>
              </w:rPr>
              <w:t> </w:t>
            </w:r>
            <w:r>
              <w:rPr>
                <w:sz w:val="20"/>
              </w:rPr>
              <w:t>is available, inaccessible or rough</w:t>
            </w:r>
            <w:r>
              <w:rPr>
                <w:spacing w:val="-14"/>
                <w:sz w:val="20"/>
              </w:rPr>
              <w:t> </w:t>
            </w:r>
            <w:r>
              <w:rPr>
                <w:sz w:val="20"/>
              </w:rPr>
              <w:t>terrain,</w:t>
            </w:r>
            <w:r>
              <w:rPr>
                <w:spacing w:val="-14"/>
                <w:sz w:val="20"/>
              </w:rPr>
              <w:t> </w:t>
            </w:r>
            <w:r>
              <w:rPr>
                <w:sz w:val="20"/>
              </w:rPr>
              <w:t>near</w:t>
            </w:r>
            <w:r>
              <w:rPr>
                <w:spacing w:val="-13"/>
                <w:sz w:val="20"/>
              </w:rPr>
              <w:t> </w:t>
            </w:r>
            <w:r>
              <w:rPr>
                <w:sz w:val="20"/>
              </w:rPr>
              <w:t>human </w:t>
            </w:r>
            <w:r>
              <w:rPr>
                <w:spacing w:val="-2"/>
                <w:sz w:val="20"/>
              </w:rPr>
              <w:t>habitation.</w:t>
            </w:r>
          </w:p>
        </w:tc>
      </w:tr>
    </w:tbl>
    <w:p>
      <w:pPr>
        <w:spacing w:after="0"/>
        <w:jc w:val="both"/>
        <w:rPr>
          <w:sz w:val="20"/>
        </w:rPr>
        <w:sectPr>
          <w:footerReference w:type="even" r:id="rId33"/>
          <w:pgSz w:w="16850" w:h="11910" w:orient="landscape"/>
          <w:pgMar w:header="0" w:footer="686" w:top="1100" w:bottom="880" w:left="1020" w:right="1020"/>
          <w:pgNumType w:start="34"/>
        </w:sectPr>
      </w:pPr>
    </w:p>
    <w:p>
      <w:pPr>
        <w:pStyle w:val="Heading2"/>
        <w:numPr>
          <w:ilvl w:val="0"/>
          <w:numId w:val="14"/>
        </w:numPr>
        <w:tabs>
          <w:tab w:pos="679" w:val="left" w:leader="none"/>
        </w:tabs>
        <w:spacing w:line="240" w:lineRule="auto" w:before="61" w:after="0"/>
        <w:ind w:left="679" w:right="0" w:hanging="567"/>
        <w:jc w:val="left"/>
      </w:pPr>
      <w:bookmarkStart w:name="_TOC_250057" w:id="42"/>
      <w:r>
        <w:rPr>
          <w:color w:val="001F5F"/>
        </w:rPr>
        <w:t>Lethal</w:t>
      </w:r>
      <w:r>
        <w:rPr>
          <w:color w:val="001F5F"/>
          <w:spacing w:val="-12"/>
        </w:rPr>
        <w:t> </w:t>
      </w:r>
      <w:r>
        <w:rPr>
          <w:color w:val="001F5F"/>
        </w:rPr>
        <w:t>methods</w:t>
      </w:r>
      <w:r>
        <w:rPr>
          <w:color w:val="001F5F"/>
          <w:spacing w:val="-8"/>
        </w:rPr>
        <w:t> </w:t>
      </w:r>
      <w:r>
        <w:rPr>
          <w:color w:val="001F5F"/>
        </w:rPr>
        <w:t>for</w:t>
      </w:r>
      <w:r>
        <w:rPr>
          <w:color w:val="001F5F"/>
          <w:spacing w:val="-11"/>
        </w:rPr>
        <w:t> </w:t>
      </w:r>
      <w:r>
        <w:rPr>
          <w:color w:val="001F5F"/>
        </w:rPr>
        <w:t>managing</w:t>
      </w:r>
      <w:r>
        <w:rPr>
          <w:color w:val="001F5F"/>
          <w:spacing w:val="-9"/>
        </w:rPr>
        <w:t> </w:t>
      </w:r>
      <w:r>
        <w:rPr>
          <w:color w:val="001F5F"/>
        </w:rPr>
        <w:t>Feral</w:t>
      </w:r>
      <w:r>
        <w:rPr>
          <w:color w:val="001F5F"/>
          <w:spacing w:val="-10"/>
        </w:rPr>
        <w:t> </w:t>
      </w:r>
      <w:bookmarkEnd w:id="42"/>
      <w:r>
        <w:rPr>
          <w:color w:val="001F5F"/>
          <w:spacing w:val="-4"/>
        </w:rPr>
        <w:t>Pigs</w:t>
      </w:r>
    </w:p>
    <w:p>
      <w:pPr>
        <w:pStyle w:val="BodyText"/>
        <w:spacing w:before="280"/>
        <w:rPr>
          <w:b/>
          <w:sz w:val="32"/>
        </w:rPr>
      </w:pPr>
    </w:p>
    <w:p>
      <w:pPr>
        <w:pStyle w:val="Heading3"/>
        <w:tabs>
          <w:tab w:pos="689" w:val="left" w:leader="none"/>
        </w:tabs>
        <w:ind w:left="112" w:firstLine="0"/>
      </w:pPr>
      <w:bookmarkStart w:name="_TOC_250056" w:id="43"/>
      <w:r>
        <w:rPr>
          <w:color w:val="2D1E66"/>
          <w:spacing w:val="-5"/>
        </w:rPr>
        <w:t>9.1</w:t>
      </w:r>
      <w:r>
        <w:rPr>
          <w:color w:val="2D1E66"/>
        </w:rPr>
        <w:tab/>
      </w:r>
      <w:bookmarkEnd w:id="43"/>
      <w:r>
        <w:rPr>
          <w:color w:val="2D1E66"/>
          <w:spacing w:val="-4"/>
        </w:rPr>
        <w:t>1080</w:t>
      </w:r>
    </w:p>
    <w:p>
      <w:pPr>
        <w:pStyle w:val="BodyText"/>
        <w:spacing w:before="112"/>
        <w:ind w:left="112" w:right="173"/>
      </w:pPr>
      <w:r>
        <w:rPr/>
        <w:t>Sodium fluoroacetate (1080) is the primary toxicant used for controlling Feral Pigs in Australia (Sharp 2012a).</w:t>
      </w:r>
      <w:r>
        <w:rPr>
          <w:spacing w:val="-1"/>
        </w:rPr>
        <w:t> </w:t>
      </w:r>
      <w:r>
        <w:rPr/>
        <w:t>Alternative</w:t>
      </w:r>
      <w:r>
        <w:rPr>
          <w:spacing w:val="-1"/>
        </w:rPr>
        <w:t> </w:t>
      </w:r>
      <w:r>
        <w:rPr/>
        <w:t>toxicants,</w:t>
      </w:r>
      <w:r>
        <w:rPr>
          <w:spacing w:val="-1"/>
        </w:rPr>
        <w:t> </w:t>
      </w:r>
      <w:r>
        <w:rPr/>
        <w:t>such</w:t>
      </w:r>
      <w:r>
        <w:rPr>
          <w:spacing w:val="-1"/>
        </w:rPr>
        <w:t> </w:t>
      </w:r>
      <w:r>
        <w:rPr/>
        <w:t>as warfarin</w:t>
      </w:r>
      <w:r>
        <w:rPr>
          <w:spacing w:val="-1"/>
        </w:rPr>
        <w:t> </w:t>
      </w:r>
      <w:r>
        <w:rPr/>
        <w:t>and</w:t>
      </w:r>
      <w:r>
        <w:rPr>
          <w:spacing w:val="-2"/>
        </w:rPr>
        <w:t> </w:t>
      </w:r>
      <w:r>
        <w:rPr/>
        <w:t>yellow</w:t>
      </w:r>
      <w:r>
        <w:rPr>
          <w:spacing w:val="-1"/>
        </w:rPr>
        <w:t> </w:t>
      </w:r>
      <w:r>
        <w:rPr/>
        <w:t>phosphorus,</w:t>
      </w:r>
      <w:r>
        <w:rPr>
          <w:spacing w:val="-1"/>
        </w:rPr>
        <w:t> </w:t>
      </w:r>
      <w:r>
        <w:rPr/>
        <w:t>have also been employed; however, both</w:t>
      </w:r>
      <w:r>
        <w:rPr>
          <w:spacing w:val="-2"/>
        </w:rPr>
        <w:t> </w:t>
      </w:r>
      <w:r>
        <w:rPr/>
        <w:t>have</w:t>
      </w:r>
      <w:r>
        <w:rPr>
          <w:spacing w:val="-2"/>
        </w:rPr>
        <w:t> </w:t>
      </w:r>
      <w:r>
        <w:rPr/>
        <w:t>been</w:t>
      </w:r>
      <w:r>
        <w:rPr>
          <w:spacing w:val="-4"/>
        </w:rPr>
        <w:t> </w:t>
      </w:r>
      <w:r>
        <w:rPr/>
        <w:t>deemed</w:t>
      </w:r>
      <w:r>
        <w:rPr>
          <w:spacing w:val="-3"/>
        </w:rPr>
        <w:t> </w:t>
      </w:r>
      <w:r>
        <w:rPr/>
        <w:t>inhumane</w:t>
      </w:r>
      <w:r>
        <w:rPr>
          <w:spacing w:val="-3"/>
        </w:rPr>
        <w:t> </w:t>
      </w:r>
      <w:r>
        <w:rPr/>
        <w:t>as</w:t>
      </w:r>
      <w:r>
        <w:rPr>
          <w:spacing w:val="-3"/>
        </w:rPr>
        <w:t> </w:t>
      </w:r>
      <w:r>
        <w:rPr/>
        <w:t>control</w:t>
      </w:r>
      <w:r>
        <w:rPr>
          <w:spacing w:val="-5"/>
        </w:rPr>
        <w:t> </w:t>
      </w:r>
      <w:r>
        <w:rPr/>
        <w:t>methods (pestSMART</w:t>
      </w:r>
      <w:r>
        <w:rPr>
          <w:spacing w:val="-3"/>
        </w:rPr>
        <w:t> </w:t>
      </w:r>
      <w:r>
        <w:rPr/>
        <w:t>2024a).</w:t>
      </w:r>
      <w:r>
        <w:rPr>
          <w:spacing w:val="-4"/>
        </w:rPr>
        <w:t> </w:t>
      </w:r>
      <w:r>
        <w:rPr/>
        <w:t>Neither</w:t>
      </w:r>
      <w:r>
        <w:rPr>
          <w:spacing w:val="-3"/>
        </w:rPr>
        <w:t> </w:t>
      </w:r>
      <w:r>
        <w:rPr/>
        <w:t>are</w:t>
      </w:r>
      <w:r>
        <w:rPr>
          <w:spacing w:val="-2"/>
        </w:rPr>
        <w:t> </w:t>
      </w:r>
      <w:r>
        <w:rPr/>
        <w:t>available</w:t>
      </w:r>
      <w:r>
        <w:rPr>
          <w:spacing w:val="-4"/>
        </w:rPr>
        <w:t> </w:t>
      </w:r>
      <w:r>
        <w:rPr/>
        <w:t>for</w:t>
      </w:r>
      <w:r>
        <w:rPr>
          <w:spacing w:val="-4"/>
        </w:rPr>
        <w:t> </w:t>
      </w:r>
      <w:r>
        <w:rPr/>
        <w:t>use</w:t>
      </w:r>
      <w:r>
        <w:rPr>
          <w:spacing w:val="-2"/>
        </w:rPr>
        <w:t> </w:t>
      </w:r>
      <w:r>
        <w:rPr/>
        <w:t>in Victoria so are not discussed further in this review. More recently, sodium nitrite (HOGGONE) has been developed as a Feral Pig toxicant (see Section </w:t>
      </w:r>
      <w:hyperlink w:history="true" w:anchor="_bookmark5">
        <w:r>
          <w:rPr/>
          <w:t>9.2</w:t>
        </w:r>
      </w:hyperlink>
      <w:r>
        <w:rPr/>
        <w:t>). </w:t>
      </w:r>
      <w:hyperlink w:history="true" w:anchor="_bookmark8">
        <w:r>
          <w:rPr/>
          <w:t>Table 4</w:t>
        </w:r>
      </w:hyperlink>
      <w:r>
        <w:rPr/>
        <w:t> details the reported percentage reductions in Feral Pig populations from the application of various lethal control measures.</w:t>
      </w:r>
    </w:p>
    <w:p>
      <w:pPr>
        <w:pStyle w:val="BodyText"/>
        <w:spacing w:before="121"/>
        <w:ind w:left="112"/>
      </w:pPr>
      <w:r>
        <w:rPr/>
        <w:t>Historically, 1080 was delivered to Feral Pigs via poisoned grain, compressed bran/pollard pellets, fresh or dried</w:t>
      </w:r>
      <w:r>
        <w:rPr>
          <w:spacing w:val="-2"/>
        </w:rPr>
        <w:t> </w:t>
      </w:r>
      <w:r>
        <w:rPr/>
        <w:t>meat,</w:t>
      </w:r>
      <w:r>
        <w:rPr>
          <w:spacing w:val="-4"/>
        </w:rPr>
        <w:t> </w:t>
      </w:r>
      <w:r>
        <w:rPr/>
        <w:t>offal,</w:t>
      </w:r>
      <w:r>
        <w:rPr>
          <w:spacing w:val="-4"/>
        </w:rPr>
        <w:t> </w:t>
      </w:r>
      <w:r>
        <w:rPr/>
        <w:t>carcasses,</w:t>
      </w:r>
      <w:r>
        <w:rPr>
          <w:spacing w:val="-4"/>
        </w:rPr>
        <w:t> </w:t>
      </w:r>
      <w:r>
        <w:rPr/>
        <w:t>lupin</w:t>
      </w:r>
      <w:r>
        <w:rPr>
          <w:spacing w:val="-2"/>
        </w:rPr>
        <w:t> </w:t>
      </w:r>
      <w:r>
        <w:rPr/>
        <w:t>seeds,</w:t>
      </w:r>
      <w:r>
        <w:rPr>
          <w:spacing w:val="-4"/>
        </w:rPr>
        <w:t> </w:t>
      </w:r>
      <w:r>
        <w:rPr/>
        <w:t>fruits,</w:t>
      </w:r>
      <w:r>
        <w:rPr>
          <w:spacing w:val="-4"/>
        </w:rPr>
        <w:t> </w:t>
      </w:r>
      <w:r>
        <w:rPr/>
        <w:t>or</w:t>
      </w:r>
      <w:r>
        <w:rPr>
          <w:spacing w:val="-3"/>
        </w:rPr>
        <w:t> </w:t>
      </w:r>
      <w:r>
        <w:rPr/>
        <w:t>vegetables (Twigg</w:t>
      </w:r>
      <w:r>
        <w:rPr>
          <w:spacing w:val="-3"/>
        </w:rPr>
        <w:t> </w:t>
      </w:r>
      <w:r>
        <w:rPr/>
        <w:t>et</w:t>
      </w:r>
      <w:r>
        <w:rPr>
          <w:spacing w:val="-2"/>
        </w:rPr>
        <w:t> </w:t>
      </w:r>
      <w:r>
        <w:rPr/>
        <w:t>al.</w:t>
      </w:r>
      <w:r>
        <w:rPr>
          <w:spacing w:val="-1"/>
        </w:rPr>
        <w:t> </w:t>
      </w:r>
      <w:r>
        <w:rPr/>
        <w:t>2007).</w:t>
      </w:r>
      <w:r>
        <w:rPr>
          <w:spacing w:val="-2"/>
        </w:rPr>
        <w:t> </w:t>
      </w:r>
      <w:r>
        <w:rPr/>
        <w:t>These</w:t>
      </w:r>
      <w:r>
        <w:rPr>
          <w:spacing w:val="-4"/>
        </w:rPr>
        <w:t> </w:t>
      </w:r>
      <w:r>
        <w:rPr/>
        <w:t>traditional</w:t>
      </w:r>
      <w:r>
        <w:rPr>
          <w:spacing w:val="-3"/>
        </w:rPr>
        <w:t> </w:t>
      </w:r>
      <w:r>
        <w:rPr/>
        <w:t>bait</w:t>
      </w:r>
      <w:r>
        <w:rPr>
          <w:spacing w:val="-4"/>
        </w:rPr>
        <w:t> </w:t>
      </w:r>
      <w:r>
        <w:rPr/>
        <w:t>types are no longer permitted in Victoria. Rather, only specific manufactured baits—PIGOUT® (1080) and HOGGONE® (sodium nitrite)—are authorised for use (Agriculture Victoria 2024).</w:t>
      </w:r>
    </w:p>
    <w:p>
      <w:pPr>
        <w:pStyle w:val="BodyText"/>
        <w:spacing w:before="119"/>
        <w:ind w:left="112" w:right="164"/>
      </w:pPr>
      <w:r>
        <w:rPr/>
        <w:t>Traditional bait substrates, and delivery methods, posed significant risks to non-target species, as grain, fruits, vegetables, and meat often attracted animals other than Feral Pigs. The high doses of 1080 required for effective pig control were also lethal to some non-target species (Fleming et al. 2000; Gentle et al. 2005; Millar et al. 2015; O’Brien et al. 1986). To address these risks, Animal Control Technologies Australia</w:t>
      </w:r>
      <w:r>
        <w:rPr/>
        <w:t> (ACTA)</w:t>
      </w:r>
      <w:r>
        <w:rPr>
          <w:spacing w:val="-1"/>
        </w:rPr>
        <w:t> </w:t>
      </w:r>
      <w:r>
        <w:rPr/>
        <w:t>and</w:t>
      </w:r>
      <w:r>
        <w:rPr>
          <w:spacing w:val="-4"/>
        </w:rPr>
        <w:t> </w:t>
      </w:r>
      <w:r>
        <w:rPr/>
        <w:t>the</w:t>
      </w:r>
      <w:r>
        <w:rPr>
          <w:spacing w:val="-2"/>
        </w:rPr>
        <w:t> </w:t>
      </w:r>
      <w:r>
        <w:rPr/>
        <w:t>Pest</w:t>
      </w:r>
      <w:r>
        <w:rPr>
          <w:spacing w:val="-1"/>
        </w:rPr>
        <w:t> </w:t>
      </w:r>
      <w:r>
        <w:rPr/>
        <w:t>Animal</w:t>
      </w:r>
      <w:r>
        <w:rPr>
          <w:spacing w:val="-4"/>
        </w:rPr>
        <w:t> </w:t>
      </w:r>
      <w:r>
        <w:rPr/>
        <w:t>Control</w:t>
      </w:r>
      <w:r>
        <w:rPr>
          <w:spacing w:val="-4"/>
        </w:rPr>
        <w:t> </w:t>
      </w:r>
      <w:r>
        <w:rPr/>
        <w:t>Cooperative</w:t>
      </w:r>
      <w:r>
        <w:rPr>
          <w:spacing w:val="-1"/>
        </w:rPr>
        <w:t> </w:t>
      </w:r>
      <w:r>
        <w:rPr/>
        <w:t>Research</w:t>
      </w:r>
      <w:r>
        <w:rPr>
          <w:spacing w:val="-3"/>
        </w:rPr>
        <w:t> </w:t>
      </w:r>
      <w:r>
        <w:rPr/>
        <w:t>Centre developed</w:t>
      </w:r>
      <w:r>
        <w:rPr>
          <w:spacing w:val="-3"/>
        </w:rPr>
        <w:t> </w:t>
      </w:r>
      <w:r>
        <w:rPr/>
        <w:t>PIGOUT as</w:t>
      </w:r>
      <w:r>
        <w:rPr>
          <w:spacing w:val="-2"/>
        </w:rPr>
        <w:t> </w:t>
      </w:r>
      <w:r>
        <w:rPr/>
        <w:t>a</w:t>
      </w:r>
      <w:r>
        <w:rPr>
          <w:spacing w:val="-4"/>
        </w:rPr>
        <w:t> </w:t>
      </w:r>
      <w:r>
        <w:rPr/>
        <w:t>pig-specific</w:t>
      </w:r>
      <w:r>
        <w:rPr>
          <w:spacing w:val="-2"/>
        </w:rPr>
        <w:t> </w:t>
      </w:r>
      <w:r>
        <w:rPr/>
        <w:t>bait (Smith et al. 2005). PIGOUT baits are designed to appeal to pigs through specific odour, size, and appearance, and have 1080 in their cores to reduce the chance of non-target consumption by birds and other</w:t>
      </w:r>
      <w:r>
        <w:rPr>
          <w:spacing w:val="-4"/>
        </w:rPr>
        <w:t> </w:t>
      </w:r>
      <w:r>
        <w:rPr/>
        <w:t>non-target</w:t>
      </w:r>
      <w:r>
        <w:rPr>
          <w:spacing w:val="-4"/>
        </w:rPr>
        <w:t> </w:t>
      </w:r>
      <w:r>
        <w:rPr/>
        <w:t>species</w:t>
      </w:r>
      <w:r>
        <w:rPr>
          <w:spacing w:val="-2"/>
        </w:rPr>
        <w:t> </w:t>
      </w:r>
      <w:r>
        <w:rPr/>
        <w:t>(Smith</w:t>
      </w:r>
      <w:r>
        <w:rPr>
          <w:spacing w:val="-2"/>
        </w:rPr>
        <w:t> </w:t>
      </w:r>
      <w:r>
        <w:rPr/>
        <w:t>et</w:t>
      </w:r>
      <w:r>
        <w:rPr>
          <w:spacing w:val="-2"/>
        </w:rPr>
        <w:t> </w:t>
      </w:r>
      <w:r>
        <w:rPr/>
        <w:t>al. 2005).</w:t>
      </w:r>
      <w:r>
        <w:rPr>
          <w:spacing w:val="-4"/>
        </w:rPr>
        <w:t> </w:t>
      </w:r>
      <w:r>
        <w:rPr/>
        <w:t>Although</w:t>
      </w:r>
      <w:r>
        <w:rPr>
          <w:spacing w:val="-3"/>
        </w:rPr>
        <w:t> </w:t>
      </w:r>
      <w:r>
        <w:rPr/>
        <w:t>PIGOUT</w:t>
      </w:r>
      <w:r>
        <w:rPr>
          <w:spacing w:val="-3"/>
        </w:rPr>
        <w:t> </w:t>
      </w:r>
      <w:r>
        <w:rPr/>
        <w:t>baits</w:t>
      </w:r>
      <w:r>
        <w:rPr>
          <w:spacing w:val="-3"/>
        </w:rPr>
        <w:t> </w:t>
      </w:r>
      <w:r>
        <w:rPr/>
        <w:t>reduce</w:t>
      </w:r>
      <w:r>
        <w:rPr>
          <w:spacing w:val="-4"/>
        </w:rPr>
        <w:t> </w:t>
      </w:r>
      <w:r>
        <w:rPr/>
        <w:t>non-target</w:t>
      </w:r>
      <w:r>
        <w:rPr>
          <w:spacing w:val="-2"/>
        </w:rPr>
        <w:t> </w:t>
      </w:r>
      <w:r>
        <w:rPr/>
        <w:t>impacts</w:t>
      </w:r>
      <w:r>
        <w:rPr>
          <w:spacing w:val="-3"/>
        </w:rPr>
        <w:t> </w:t>
      </w:r>
      <w:r>
        <w:rPr/>
        <w:t>compared</w:t>
      </w:r>
      <w:r>
        <w:rPr>
          <w:spacing w:val="-4"/>
        </w:rPr>
        <w:t> </w:t>
      </w:r>
      <w:r>
        <w:rPr/>
        <w:t>to traditional methods, several studies (Bengsen et al. 2010; Bengsen et al. 2011a; Campbell and Long 2009) have found that non-target species continue to consume PIGOUT baits, with uptake varying depending on region and delivery strategy. Techniques to minimise non-target impacts are discussed further in Section </w:t>
      </w:r>
      <w:hyperlink w:history="true" w:anchor="_bookmark19">
        <w:r>
          <w:rPr/>
          <w:t>1.</w:t>
        </w:r>
      </w:hyperlink>
    </w:p>
    <w:p>
      <w:pPr>
        <w:pStyle w:val="BodyText"/>
        <w:spacing w:before="120"/>
        <w:ind w:left="112" w:right="142"/>
      </w:pPr>
      <w:r>
        <w:rPr/>
        <w:t>PIGOUT baits were tested in Welford National Park, Queensland, where conservative population reductions of 73% were recorded using multiple abundance index methods (Cowled et al. 2006). In contrast, later studies</w:t>
      </w:r>
      <w:r>
        <w:rPr>
          <w:spacing w:val="-3"/>
        </w:rPr>
        <w:t> </w:t>
      </w:r>
      <w:r>
        <w:rPr/>
        <w:t>found</w:t>
      </w:r>
      <w:r>
        <w:rPr>
          <w:spacing w:val="-4"/>
        </w:rPr>
        <w:t> </w:t>
      </w:r>
      <w:r>
        <w:rPr/>
        <w:t>no</w:t>
      </w:r>
      <w:r>
        <w:rPr>
          <w:spacing w:val="-4"/>
        </w:rPr>
        <w:t> </w:t>
      </w:r>
      <w:r>
        <w:rPr/>
        <w:t>significant</w:t>
      </w:r>
      <w:r>
        <w:rPr>
          <w:spacing w:val="-2"/>
        </w:rPr>
        <w:t> </w:t>
      </w:r>
      <w:r>
        <w:rPr/>
        <w:t>reductions</w:t>
      </w:r>
      <w:r>
        <w:rPr>
          <w:spacing w:val="-3"/>
        </w:rPr>
        <w:t> </w:t>
      </w:r>
      <w:r>
        <w:rPr/>
        <w:t>in Feral</w:t>
      </w:r>
      <w:r>
        <w:rPr>
          <w:spacing w:val="-5"/>
        </w:rPr>
        <w:t> </w:t>
      </w:r>
      <w:r>
        <w:rPr/>
        <w:t>Pig</w:t>
      </w:r>
      <w:r>
        <w:rPr>
          <w:spacing w:val="-1"/>
        </w:rPr>
        <w:t> </w:t>
      </w:r>
      <w:r>
        <w:rPr/>
        <w:t>populations</w:t>
      </w:r>
      <w:r>
        <w:rPr>
          <w:spacing w:val="-2"/>
        </w:rPr>
        <w:t> </w:t>
      </w:r>
      <w:r>
        <w:rPr/>
        <w:t>when</w:t>
      </w:r>
      <w:r>
        <w:rPr>
          <w:spacing w:val="-4"/>
        </w:rPr>
        <w:t> </w:t>
      </w:r>
      <w:r>
        <w:rPr/>
        <w:t>comparing</w:t>
      </w:r>
      <w:r>
        <w:rPr>
          <w:spacing w:val="-4"/>
        </w:rPr>
        <w:t> </w:t>
      </w:r>
      <w:r>
        <w:rPr/>
        <w:t>treatment</w:t>
      </w:r>
      <w:r>
        <w:rPr>
          <w:spacing w:val="-1"/>
        </w:rPr>
        <w:t> </w:t>
      </w:r>
      <w:r>
        <w:rPr/>
        <w:t>and</w:t>
      </w:r>
      <w:r>
        <w:rPr>
          <w:spacing w:val="-4"/>
        </w:rPr>
        <w:t> </w:t>
      </w:r>
      <w:r>
        <w:rPr/>
        <w:t>control</w:t>
      </w:r>
      <w:r>
        <w:rPr>
          <w:spacing w:val="-5"/>
        </w:rPr>
        <w:t> </w:t>
      </w:r>
      <w:r>
        <w:rPr/>
        <w:t>areas. These discrepancies were attributed to factors such as differing habitat conditions,</w:t>
      </w:r>
      <w:r>
        <w:rPr>
          <w:spacing w:val="16"/>
        </w:rPr>
        <w:t> </w:t>
      </w:r>
      <w:r>
        <w:rPr/>
        <w:t>initial pig densities, and</w:t>
      </w:r>
      <w:r>
        <w:rPr/>
        <w:t> an inadequate programme scale. For example, Adams et al. (2019) noted that deploying only 60 PIGOUT baits in a region with an estimated population of ~9440 pigs was insufficient to produce measurable </w:t>
      </w:r>
      <w:r>
        <w:rPr>
          <w:spacing w:val="-2"/>
        </w:rPr>
        <w:t>reductions.</w:t>
      </w:r>
    </w:p>
    <w:p>
      <w:pPr>
        <w:pStyle w:val="BodyText"/>
        <w:spacing w:before="121"/>
        <w:ind w:left="112" w:right="173"/>
      </w:pPr>
      <w:r>
        <w:rPr/>
        <w:t>Recently, ACTA introduced PIGOUT Econobait, a more cost-effective and long-lasting alternative to the original</w:t>
      </w:r>
      <w:r>
        <w:rPr>
          <w:spacing w:val="-4"/>
        </w:rPr>
        <w:t> </w:t>
      </w:r>
      <w:r>
        <w:rPr/>
        <w:t>PIGOUT</w:t>
      </w:r>
      <w:r>
        <w:rPr>
          <w:spacing w:val="-3"/>
        </w:rPr>
        <w:t> </w:t>
      </w:r>
      <w:r>
        <w:rPr/>
        <w:t>bait,</w:t>
      </w:r>
      <w:r>
        <w:rPr>
          <w:spacing w:val="-4"/>
        </w:rPr>
        <w:t> </w:t>
      </w:r>
      <w:r>
        <w:rPr/>
        <w:t>which</w:t>
      </w:r>
      <w:r>
        <w:rPr>
          <w:spacing w:val="-4"/>
        </w:rPr>
        <w:t> </w:t>
      </w:r>
      <w:r>
        <w:rPr/>
        <w:t>has</w:t>
      </w:r>
      <w:r>
        <w:rPr>
          <w:spacing w:val="-3"/>
        </w:rPr>
        <w:t> </w:t>
      </w:r>
      <w:r>
        <w:rPr/>
        <w:t>been</w:t>
      </w:r>
      <w:r>
        <w:rPr>
          <w:spacing w:val="-2"/>
        </w:rPr>
        <w:t> </w:t>
      </w:r>
      <w:r>
        <w:rPr/>
        <w:t>approved</w:t>
      </w:r>
      <w:r>
        <w:rPr>
          <w:spacing w:val="-4"/>
        </w:rPr>
        <w:t> </w:t>
      </w:r>
      <w:r>
        <w:rPr/>
        <w:t>for</w:t>
      </w:r>
      <w:r>
        <w:rPr>
          <w:spacing w:val="-4"/>
        </w:rPr>
        <w:t> </w:t>
      </w:r>
      <w:r>
        <w:rPr/>
        <w:t>use</w:t>
      </w:r>
      <w:r>
        <w:rPr>
          <w:spacing w:val="-4"/>
        </w:rPr>
        <w:t> </w:t>
      </w:r>
      <w:r>
        <w:rPr/>
        <w:t>in</w:t>
      </w:r>
      <w:r>
        <w:rPr>
          <w:spacing w:val="-2"/>
        </w:rPr>
        <w:t> </w:t>
      </w:r>
      <w:r>
        <w:rPr/>
        <w:t>Victoria (ACTA</w:t>
      </w:r>
      <w:r>
        <w:rPr>
          <w:spacing w:val="-4"/>
        </w:rPr>
        <w:t> </w:t>
      </w:r>
      <w:r>
        <w:rPr/>
        <w:t>2024).</w:t>
      </w:r>
      <w:r>
        <w:rPr>
          <w:spacing w:val="-2"/>
        </w:rPr>
        <w:t> </w:t>
      </w:r>
      <w:r>
        <w:rPr/>
        <w:t>Econobaits</w:t>
      </w:r>
      <w:r>
        <w:rPr>
          <w:spacing w:val="-3"/>
        </w:rPr>
        <w:t> </w:t>
      </w:r>
      <w:r>
        <w:rPr/>
        <w:t>are</w:t>
      </w:r>
      <w:r>
        <w:rPr>
          <w:spacing w:val="-4"/>
        </w:rPr>
        <w:t> </w:t>
      </w:r>
      <w:r>
        <w:rPr/>
        <w:t>smaller</w:t>
      </w:r>
      <w:r>
        <w:rPr>
          <w:spacing w:val="-4"/>
        </w:rPr>
        <w:t> </w:t>
      </w:r>
      <w:r>
        <w:rPr/>
        <w:t>and designed to reduce spillage from pig-specific feeders. A manufacturer-run trial reported an 86% reduction in Feral Pig populations, with minimal non-target impacts (ACTA, unpublished data). However, as this study had not been peer-reviewed, further research is required to validate these results.</w:t>
      </w:r>
    </w:p>
    <w:p>
      <w:pPr>
        <w:pStyle w:val="BodyText"/>
        <w:spacing w:before="120"/>
        <w:ind w:left="112" w:right="375"/>
      </w:pPr>
      <w:r>
        <w:rPr/>
        <w:t>Both types of PIGOUT baits should be dispensed using HogHoppers™ wherever possible to reduce non- target</w:t>
      </w:r>
      <w:r>
        <w:rPr>
          <w:spacing w:val="-2"/>
        </w:rPr>
        <w:t> </w:t>
      </w:r>
      <w:r>
        <w:rPr/>
        <w:t>exposure.</w:t>
      </w:r>
      <w:r>
        <w:rPr>
          <w:spacing w:val="-2"/>
        </w:rPr>
        <w:t> </w:t>
      </w:r>
      <w:r>
        <w:rPr/>
        <w:t>Where</w:t>
      </w:r>
      <w:r>
        <w:rPr>
          <w:spacing w:val="-2"/>
        </w:rPr>
        <w:t> </w:t>
      </w:r>
      <w:r>
        <w:rPr/>
        <w:t>this</w:t>
      </w:r>
      <w:r>
        <w:rPr>
          <w:spacing w:val="-3"/>
        </w:rPr>
        <w:t> </w:t>
      </w:r>
      <w:r>
        <w:rPr/>
        <w:t>is</w:t>
      </w:r>
      <w:r>
        <w:rPr>
          <w:spacing w:val="-3"/>
        </w:rPr>
        <w:t> </w:t>
      </w:r>
      <w:r>
        <w:rPr/>
        <w:t>not</w:t>
      </w:r>
      <w:r>
        <w:rPr>
          <w:spacing w:val="-2"/>
        </w:rPr>
        <w:t> </w:t>
      </w:r>
      <w:r>
        <w:rPr/>
        <w:t>possible,</w:t>
      </w:r>
      <w:r>
        <w:rPr>
          <w:spacing w:val="-2"/>
        </w:rPr>
        <w:t> </w:t>
      </w:r>
      <w:r>
        <w:rPr/>
        <w:t>a</w:t>
      </w:r>
      <w:r>
        <w:rPr>
          <w:spacing w:val="-4"/>
        </w:rPr>
        <w:t> </w:t>
      </w:r>
      <w:r>
        <w:rPr/>
        <w:t>thorough</w:t>
      </w:r>
      <w:r>
        <w:rPr>
          <w:spacing w:val="-4"/>
        </w:rPr>
        <w:t> </w:t>
      </w:r>
      <w:r>
        <w:rPr/>
        <w:t>risk</w:t>
      </w:r>
      <w:r>
        <w:rPr>
          <w:spacing w:val="-3"/>
        </w:rPr>
        <w:t> </w:t>
      </w:r>
      <w:r>
        <w:rPr/>
        <w:t>assessment</w:t>
      </w:r>
      <w:r>
        <w:rPr>
          <w:spacing w:val="-4"/>
        </w:rPr>
        <w:t> </w:t>
      </w:r>
      <w:r>
        <w:rPr/>
        <w:t>should</w:t>
      </w:r>
      <w:r>
        <w:rPr>
          <w:spacing w:val="-4"/>
        </w:rPr>
        <w:t> </w:t>
      </w:r>
      <w:r>
        <w:rPr/>
        <w:t>be</w:t>
      </w:r>
      <w:r>
        <w:rPr>
          <w:spacing w:val="-4"/>
        </w:rPr>
        <w:t> </w:t>
      </w:r>
      <w:r>
        <w:rPr/>
        <w:t>undertaken</w:t>
      </w:r>
      <w:r>
        <w:rPr>
          <w:spacing w:val="-4"/>
        </w:rPr>
        <w:t> </w:t>
      </w:r>
      <w:r>
        <w:rPr/>
        <w:t>beforehand using non-toxic free-feeds and/or monitoring techniques to detect presence or absence of non-target species. HogHoppers are metal cubes with internal dividers that allow Feral Pigs to access bait through gravity-activated guillotine doors (</w:t>
      </w:r>
      <w:hyperlink w:history="true" w:anchor="_bookmark4">
        <w:r>
          <w:rPr/>
          <w:t>Figure 1</w:t>
        </w:r>
      </w:hyperlink>
      <w:r>
        <w:rPr/>
        <w:t>). These bait stations exploit the size, reach, and feeding behaviours of Feral Pigs, thereby minimising access by non-target species (Campbell et al. 2012).</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7"/>
        <w:rPr>
          <w:sz w:val="18"/>
        </w:rPr>
      </w:pPr>
    </w:p>
    <w:p>
      <w:pPr>
        <w:tabs>
          <w:tab w:pos="9750" w:val="right" w:leader="none"/>
        </w:tabs>
        <w:spacing w:before="0"/>
        <w:ind w:left="5319"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35</w:t>
      </w:r>
    </w:p>
    <w:p>
      <w:pPr>
        <w:spacing w:after="0"/>
        <w:jc w:val="left"/>
        <w:rPr>
          <w:sz w:val="20"/>
        </w:rPr>
        <w:sectPr>
          <w:footerReference w:type="default" r:id="rId34"/>
          <w:pgSz w:w="11910" w:h="16850"/>
          <w:pgMar w:header="0" w:footer="0" w:top="1140" w:bottom="280" w:left="1020" w:right="1020"/>
        </w:sectPr>
      </w:pPr>
    </w:p>
    <w:p>
      <w:pPr>
        <w:pStyle w:val="BodyText"/>
        <w:ind w:left="114"/>
      </w:pPr>
      <w:r>
        <w:rPr/>
        <w:drawing>
          <wp:inline distT="0" distB="0" distL="0" distR="0">
            <wp:extent cx="6078348" cy="3031236"/>
            <wp:effectExtent l="0" t="0" r="0" b="0"/>
            <wp:docPr id="61" name="Image 61" descr="A group of sheep standing in a field  AI-generated content may be incorrect."/>
            <wp:cNvGraphicFramePr>
              <a:graphicFrameLocks/>
            </wp:cNvGraphicFramePr>
            <a:graphic>
              <a:graphicData uri="http://schemas.openxmlformats.org/drawingml/2006/picture">
                <pic:pic>
                  <pic:nvPicPr>
                    <pic:cNvPr id="61" name="Image 61" descr="A group of sheep standing in a field  AI-generated content may be incorrect."/>
                    <pic:cNvPicPr/>
                  </pic:nvPicPr>
                  <pic:blipFill>
                    <a:blip r:embed="rId37" cstate="print"/>
                    <a:stretch>
                      <a:fillRect/>
                    </a:stretch>
                  </pic:blipFill>
                  <pic:spPr>
                    <a:xfrm>
                      <a:off x="0" y="0"/>
                      <a:ext cx="6078348" cy="3031236"/>
                    </a:xfrm>
                    <a:prstGeom prst="rect">
                      <a:avLst/>
                    </a:prstGeom>
                  </pic:spPr>
                </pic:pic>
              </a:graphicData>
            </a:graphic>
          </wp:inline>
        </w:drawing>
      </w:r>
      <w:r>
        <w:rPr/>
      </w:r>
    </w:p>
    <w:p>
      <w:pPr>
        <w:pStyle w:val="Heading7"/>
        <w:spacing w:before="119"/>
      </w:pPr>
      <w:bookmarkStart w:name="_bookmark4" w:id="44"/>
      <w:bookmarkEnd w:id="44"/>
      <w:r>
        <w:rPr>
          <w:b w:val="0"/>
        </w:rPr>
      </w:r>
      <w:r>
        <w:rPr>
          <w:color w:val="1F1546"/>
        </w:rPr>
        <w:t>Figure</w:t>
      </w:r>
      <w:r>
        <w:rPr>
          <w:color w:val="1F1546"/>
          <w:spacing w:val="-6"/>
        </w:rPr>
        <w:t> </w:t>
      </w:r>
      <w:r>
        <w:rPr>
          <w:color w:val="1F1546"/>
        </w:rPr>
        <w:t>1.</w:t>
      </w:r>
      <w:r>
        <w:rPr>
          <w:color w:val="1F1546"/>
          <w:spacing w:val="-5"/>
        </w:rPr>
        <w:t> </w:t>
      </w:r>
      <w:r>
        <w:rPr>
          <w:color w:val="1F1546"/>
        </w:rPr>
        <w:t>HogHopper</w:t>
      </w:r>
      <w:r>
        <w:rPr>
          <w:color w:val="1F1546"/>
          <w:spacing w:val="-7"/>
        </w:rPr>
        <w:t> </w:t>
      </w:r>
      <w:r>
        <w:rPr>
          <w:color w:val="1F1546"/>
        </w:rPr>
        <w:t>dispenser</w:t>
      </w:r>
      <w:r>
        <w:rPr>
          <w:color w:val="1F1546"/>
          <w:spacing w:val="-6"/>
        </w:rPr>
        <w:t> </w:t>
      </w:r>
      <w:r>
        <w:rPr>
          <w:color w:val="1F1546"/>
        </w:rPr>
        <w:t>used</w:t>
      </w:r>
      <w:r>
        <w:rPr>
          <w:color w:val="1F1546"/>
          <w:spacing w:val="-7"/>
        </w:rPr>
        <w:t> </w:t>
      </w:r>
      <w:r>
        <w:rPr>
          <w:color w:val="1F1546"/>
        </w:rPr>
        <w:t>to</w:t>
      </w:r>
      <w:r>
        <w:rPr>
          <w:color w:val="1F1546"/>
          <w:spacing w:val="-5"/>
        </w:rPr>
        <w:t> </w:t>
      </w:r>
      <w:r>
        <w:rPr>
          <w:color w:val="1F1546"/>
        </w:rPr>
        <w:t>allow</w:t>
      </w:r>
      <w:r>
        <w:rPr>
          <w:color w:val="1F1546"/>
          <w:spacing w:val="-3"/>
        </w:rPr>
        <w:t> </w:t>
      </w:r>
      <w:r>
        <w:rPr>
          <w:color w:val="1F1546"/>
        </w:rPr>
        <w:t>Feral</w:t>
      </w:r>
      <w:r>
        <w:rPr>
          <w:color w:val="1F1546"/>
          <w:spacing w:val="-4"/>
        </w:rPr>
        <w:t> </w:t>
      </w:r>
      <w:r>
        <w:rPr>
          <w:color w:val="1F1546"/>
        </w:rPr>
        <w:t>Pigs</w:t>
      </w:r>
      <w:r>
        <w:rPr>
          <w:color w:val="1F1546"/>
          <w:spacing w:val="-5"/>
        </w:rPr>
        <w:t> </w:t>
      </w:r>
      <w:r>
        <w:rPr>
          <w:color w:val="1F1546"/>
        </w:rPr>
        <w:t>access</w:t>
      </w:r>
      <w:r>
        <w:rPr>
          <w:color w:val="1F1546"/>
          <w:spacing w:val="-5"/>
        </w:rPr>
        <w:t> </w:t>
      </w:r>
      <w:r>
        <w:rPr>
          <w:color w:val="1F1546"/>
        </w:rPr>
        <w:t>and</w:t>
      </w:r>
      <w:r>
        <w:rPr>
          <w:color w:val="1F1546"/>
          <w:spacing w:val="-6"/>
        </w:rPr>
        <w:t> </w:t>
      </w:r>
      <w:r>
        <w:rPr>
          <w:color w:val="1F1546"/>
        </w:rPr>
        <w:t>reduce</w:t>
      </w:r>
      <w:r>
        <w:rPr>
          <w:color w:val="1F1546"/>
          <w:spacing w:val="-7"/>
        </w:rPr>
        <w:t> </w:t>
      </w:r>
      <w:r>
        <w:rPr>
          <w:color w:val="1F1546"/>
        </w:rPr>
        <w:t>non-target</w:t>
      </w:r>
      <w:r>
        <w:rPr>
          <w:color w:val="1F1546"/>
          <w:spacing w:val="-7"/>
        </w:rPr>
        <w:t> </w:t>
      </w:r>
      <w:r>
        <w:rPr>
          <w:color w:val="1F1546"/>
        </w:rPr>
        <w:t>bait</w:t>
      </w:r>
      <w:r>
        <w:rPr>
          <w:color w:val="1F1546"/>
          <w:spacing w:val="-6"/>
        </w:rPr>
        <w:t> </w:t>
      </w:r>
      <w:r>
        <w:rPr>
          <w:color w:val="1F1546"/>
          <w:spacing w:val="-2"/>
        </w:rPr>
        <w:t>take.</w:t>
      </w:r>
    </w:p>
    <w:p>
      <w:pPr>
        <w:spacing w:before="0"/>
        <w:ind w:left="112" w:right="0" w:firstLine="0"/>
        <w:jc w:val="left"/>
        <w:rPr>
          <w:sz w:val="18"/>
        </w:rPr>
      </w:pPr>
      <w:r>
        <w:rPr>
          <w:color w:val="1F1546"/>
          <w:sz w:val="18"/>
        </w:rPr>
        <w:t>(Photo</w:t>
      </w:r>
      <w:r>
        <w:rPr>
          <w:color w:val="1F1546"/>
          <w:spacing w:val="-4"/>
          <w:sz w:val="18"/>
        </w:rPr>
        <w:t> </w:t>
      </w:r>
      <w:r>
        <w:rPr>
          <w:color w:val="1F1546"/>
          <w:sz w:val="18"/>
        </w:rPr>
        <w:t>Jason</w:t>
      </w:r>
      <w:r>
        <w:rPr>
          <w:color w:val="1F1546"/>
          <w:spacing w:val="-2"/>
          <w:sz w:val="18"/>
        </w:rPr>
        <w:t> Wishart).</w:t>
      </w:r>
    </w:p>
    <w:p>
      <w:pPr>
        <w:pStyle w:val="BodyText"/>
        <w:spacing w:before="184"/>
        <w:rPr>
          <w:sz w:val="18"/>
        </w:rPr>
      </w:pPr>
    </w:p>
    <w:p>
      <w:pPr>
        <w:pStyle w:val="BodyText"/>
        <w:ind w:left="112" w:right="173"/>
      </w:pPr>
      <w:r>
        <w:rPr/>
        <w:t>Several design elements have been shown to improve bait uptake by Feral Pigs. Pre-feeding during the initial</w:t>
      </w:r>
      <w:r>
        <w:rPr>
          <w:spacing w:val="-5"/>
        </w:rPr>
        <w:t> </w:t>
      </w:r>
      <w:r>
        <w:rPr/>
        <w:t>3–7</w:t>
      </w:r>
      <w:r>
        <w:rPr>
          <w:spacing w:val="-2"/>
        </w:rPr>
        <w:t> </w:t>
      </w:r>
      <w:r>
        <w:rPr/>
        <w:t>days</w:t>
      </w:r>
      <w:r>
        <w:rPr>
          <w:spacing w:val="-3"/>
        </w:rPr>
        <w:t> </w:t>
      </w:r>
      <w:r>
        <w:rPr/>
        <w:t>of</w:t>
      </w:r>
      <w:r>
        <w:rPr>
          <w:spacing w:val="-4"/>
        </w:rPr>
        <w:t> </w:t>
      </w:r>
      <w:r>
        <w:rPr/>
        <w:t>a</w:t>
      </w:r>
      <w:r>
        <w:rPr>
          <w:spacing w:val="-2"/>
        </w:rPr>
        <w:t> </w:t>
      </w:r>
      <w:r>
        <w:rPr/>
        <w:t>baiting</w:t>
      </w:r>
      <w:r>
        <w:rPr>
          <w:spacing w:val="-1"/>
        </w:rPr>
        <w:t> </w:t>
      </w:r>
      <w:r>
        <w:rPr/>
        <w:t>programme</w:t>
      </w:r>
      <w:r>
        <w:rPr>
          <w:spacing w:val="-4"/>
        </w:rPr>
        <w:t> </w:t>
      </w:r>
      <w:r>
        <w:rPr/>
        <w:t>significantly</w:t>
      </w:r>
      <w:r>
        <w:rPr>
          <w:spacing w:val="-1"/>
        </w:rPr>
        <w:t> </w:t>
      </w:r>
      <w:r>
        <w:rPr/>
        <w:t>increases</w:t>
      </w:r>
      <w:r>
        <w:rPr>
          <w:spacing w:val="-1"/>
        </w:rPr>
        <w:t> </w:t>
      </w:r>
      <w:r>
        <w:rPr/>
        <w:t>subsequent</w:t>
      </w:r>
      <w:r>
        <w:rPr>
          <w:spacing w:val="-1"/>
        </w:rPr>
        <w:t> </w:t>
      </w:r>
      <w:r>
        <w:rPr/>
        <w:t>poison</w:t>
      </w:r>
      <w:r>
        <w:rPr>
          <w:spacing w:val="-3"/>
        </w:rPr>
        <w:t> </w:t>
      </w:r>
      <w:r>
        <w:rPr/>
        <w:t>bait</w:t>
      </w:r>
      <w:r>
        <w:rPr>
          <w:spacing w:val="-1"/>
        </w:rPr>
        <w:t> </w:t>
      </w:r>
      <w:r>
        <w:rPr/>
        <w:t>uptake</w:t>
      </w:r>
      <w:r>
        <w:rPr>
          <w:spacing w:val="-3"/>
        </w:rPr>
        <w:t> </w:t>
      </w:r>
      <w:r>
        <w:rPr/>
        <w:t>(Cowled</w:t>
      </w:r>
      <w:r>
        <w:rPr>
          <w:spacing w:val="-4"/>
        </w:rPr>
        <w:t> </w:t>
      </w:r>
      <w:r>
        <w:rPr/>
        <w:t>et</w:t>
      </w:r>
      <w:r>
        <w:rPr>
          <w:spacing w:val="-2"/>
        </w:rPr>
        <w:t> </w:t>
      </w:r>
      <w:r>
        <w:rPr/>
        <w:t>al. 2006; Pachauri et al. 2024; Saunders et al. 1993). Additionally, bait uptake improves when alternative food sources</w:t>
      </w:r>
      <w:r>
        <w:rPr>
          <w:spacing w:val="-2"/>
        </w:rPr>
        <w:t> </w:t>
      </w:r>
      <w:r>
        <w:rPr/>
        <w:t>are</w:t>
      </w:r>
      <w:r>
        <w:rPr>
          <w:spacing w:val="-3"/>
        </w:rPr>
        <w:t> </w:t>
      </w:r>
      <w:r>
        <w:rPr/>
        <w:t>seasonally</w:t>
      </w:r>
      <w:r>
        <w:rPr>
          <w:spacing w:val="-2"/>
        </w:rPr>
        <w:t> </w:t>
      </w:r>
      <w:r>
        <w:rPr/>
        <w:t>scarce (Choquenot</w:t>
      </w:r>
      <w:r>
        <w:rPr>
          <w:spacing w:val="-1"/>
        </w:rPr>
        <w:t> </w:t>
      </w:r>
      <w:r>
        <w:rPr/>
        <w:t>and</w:t>
      </w:r>
      <w:r>
        <w:rPr>
          <w:spacing w:val="-3"/>
        </w:rPr>
        <w:t> </w:t>
      </w:r>
      <w:r>
        <w:rPr/>
        <w:t>Lukins 1996;</w:t>
      </w:r>
      <w:r>
        <w:rPr>
          <w:spacing w:val="-3"/>
        </w:rPr>
        <w:t> </w:t>
      </w:r>
      <w:r>
        <w:rPr/>
        <w:t>Hone</w:t>
      </w:r>
      <w:r>
        <w:rPr>
          <w:spacing w:val="-2"/>
        </w:rPr>
        <w:t> </w:t>
      </w:r>
      <w:r>
        <w:rPr/>
        <w:t>et</w:t>
      </w:r>
      <w:r>
        <w:rPr>
          <w:spacing w:val="-3"/>
        </w:rPr>
        <w:t> </w:t>
      </w:r>
      <w:r>
        <w:rPr/>
        <w:t>al.</w:t>
      </w:r>
      <w:r>
        <w:rPr>
          <w:spacing w:val="-3"/>
        </w:rPr>
        <w:t> </w:t>
      </w:r>
      <w:r>
        <w:rPr/>
        <w:t>1985;</w:t>
      </w:r>
      <w:r>
        <w:rPr>
          <w:spacing w:val="-3"/>
        </w:rPr>
        <w:t> </w:t>
      </w:r>
      <w:r>
        <w:rPr/>
        <w:t>McIlroy et</w:t>
      </w:r>
      <w:r>
        <w:rPr>
          <w:spacing w:val="-3"/>
        </w:rPr>
        <w:t> </w:t>
      </w:r>
      <w:r>
        <w:rPr/>
        <w:t>al.</w:t>
      </w:r>
      <w:r>
        <w:rPr>
          <w:spacing w:val="-2"/>
        </w:rPr>
        <w:t> </w:t>
      </w:r>
      <w:r>
        <w:rPr/>
        <w:t>1993;</w:t>
      </w:r>
      <w:r>
        <w:rPr>
          <w:spacing w:val="-3"/>
        </w:rPr>
        <w:t> </w:t>
      </w:r>
      <w:r>
        <w:rPr/>
        <w:t>Snow</w:t>
      </w:r>
      <w:r>
        <w:rPr>
          <w:spacing w:val="-1"/>
        </w:rPr>
        <w:t> </w:t>
      </w:r>
      <w:r>
        <w:rPr/>
        <w:t>et al. 2022) or when Feral Pig body condition deteriorates (Bengsen et al. 2011a; Saunders et al. 1993).</w:t>
      </w:r>
    </w:p>
    <w:p>
      <w:pPr>
        <w:pStyle w:val="BodyText"/>
        <w:ind w:left="112"/>
      </w:pPr>
      <w:r>
        <w:rPr/>
        <w:t>Placing</w:t>
      </w:r>
      <w:r>
        <w:rPr>
          <w:spacing w:val="-3"/>
        </w:rPr>
        <w:t> </w:t>
      </w:r>
      <w:r>
        <w:rPr/>
        <w:t>baiting</w:t>
      </w:r>
      <w:r>
        <w:rPr>
          <w:spacing w:val="-3"/>
        </w:rPr>
        <w:t> </w:t>
      </w:r>
      <w:r>
        <w:rPr/>
        <w:t>in</w:t>
      </w:r>
      <w:r>
        <w:rPr>
          <w:spacing w:val="-2"/>
        </w:rPr>
        <w:t> </w:t>
      </w:r>
      <w:r>
        <w:rPr/>
        <w:t>areas</w:t>
      </w:r>
      <w:r>
        <w:rPr>
          <w:spacing w:val="-3"/>
        </w:rPr>
        <w:t> </w:t>
      </w:r>
      <w:r>
        <w:rPr/>
        <w:t>frequented</w:t>
      </w:r>
      <w:r>
        <w:rPr>
          <w:spacing w:val="-3"/>
        </w:rPr>
        <w:t> </w:t>
      </w:r>
      <w:r>
        <w:rPr/>
        <w:t>by Feral</w:t>
      </w:r>
      <w:r>
        <w:rPr>
          <w:spacing w:val="-2"/>
        </w:rPr>
        <w:t> </w:t>
      </w:r>
      <w:r>
        <w:rPr/>
        <w:t>Pigs</w:t>
      </w:r>
      <w:r>
        <w:rPr>
          <w:spacing w:val="-3"/>
        </w:rPr>
        <w:t> </w:t>
      </w:r>
      <w:r>
        <w:rPr/>
        <w:t>may</w:t>
      </w:r>
      <w:r>
        <w:rPr>
          <w:spacing w:val="-3"/>
        </w:rPr>
        <w:t> </w:t>
      </w:r>
      <w:r>
        <w:rPr/>
        <w:t>also</w:t>
      </w:r>
      <w:r>
        <w:rPr>
          <w:spacing w:val="-2"/>
        </w:rPr>
        <w:t> </w:t>
      </w:r>
      <w:r>
        <w:rPr/>
        <w:t>improve</w:t>
      </w:r>
      <w:r>
        <w:rPr>
          <w:spacing w:val="-2"/>
        </w:rPr>
        <w:t> </w:t>
      </w:r>
      <w:r>
        <w:rPr/>
        <w:t>bait</w:t>
      </w:r>
      <w:r>
        <w:rPr>
          <w:spacing w:val="-4"/>
        </w:rPr>
        <w:t> </w:t>
      </w:r>
      <w:r>
        <w:rPr/>
        <w:t>station</w:t>
      </w:r>
      <w:r>
        <w:rPr>
          <w:spacing w:val="-4"/>
        </w:rPr>
        <w:t> </w:t>
      </w:r>
      <w:r>
        <w:rPr/>
        <w:t>discovery. These</w:t>
      </w:r>
      <w:r>
        <w:rPr>
          <w:spacing w:val="-4"/>
        </w:rPr>
        <w:t> </w:t>
      </w:r>
      <w:r>
        <w:rPr/>
        <w:t>findings suggest that seasonal or climatic factors should be considered when designing baiting programmes for maximum efficacy.</w:t>
      </w:r>
    </w:p>
    <w:p>
      <w:pPr>
        <w:pStyle w:val="BodyText"/>
        <w:spacing w:before="119"/>
        <w:ind w:left="112" w:right="173"/>
      </w:pPr>
      <w:r>
        <w:rPr/>
        <w:t>A recent survey of ACUP holders revealed that 10% of land managers actively engaged in Feral Pig control had used 1080 baiting as the primary control tool, and 23% used it in the last 5-years. Of those, 96% reported incorporating 1080 baiting into an integrated management strategy, with 42% using more than four methods</w:t>
      </w:r>
      <w:r>
        <w:rPr>
          <w:spacing w:val="-2"/>
        </w:rPr>
        <w:t> </w:t>
      </w:r>
      <w:r>
        <w:rPr/>
        <w:t>in</w:t>
      </w:r>
      <w:r>
        <w:rPr>
          <w:spacing w:val="-3"/>
        </w:rPr>
        <w:t> </w:t>
      </w:r>
      <w:r>
        <w:rPr/>
        <w:t>the</w:t>
      </w:r>
      <w:r>
        <w:rPr>
          <w:spacing w:val="-3"/>
        </w:rPr>
        <w:t> </w:t>
      </w:r>
      <w:r>
        <w:rPr/>
        <w:t>past</w:t>
      </w:r>
      <w:r>
        <w:rPr>
          <w:spacing w:val="-3"/>
        </w:rPr>
        <w:t> </w:t>
      </w:r>
      <w:r>
        <w:rPr/>
        <w:t>5-years.</w:t>
      </w:r>
      <w:r>
        <w:rPr>
          <w:spacing w:val="-2"/>
        </w:rPr>
        <w:t> </w:t>
      </w:r>
      <w:r>
        <w:rPr/>
        <w:t>Ground</w:t>
      </w:r>
      <w:r>
        <w:rPr>
          <w:spacing w:val="-4"/>
        </w:rPr>
        <w:t> </w:t>
      </w:r>
      <w:r>
        <w:rPr/>
        <w:t>shooting</w:t>
      </w:r>
      <w:r>
        <w:rPr>
          <w:spacing w:val="-4"/>
        </w:rPr>
        <w:t> </w:t>
      </w:r>
      <w:r>
        <w:rPr/>
        <w:t>(77%</w:t>
      </w:r>
      <w:r>
        <w:rPr>
          <w:spacing w:val="-3"/>
        </w:rPr>
        <w:t> </w:t>
      </w:r>
      <w:r>
        <w:rPr/>
        <w:t>of</w:t>
      </w:r>
      <w:r>
        <w:rPr>
          <w:spacing w:val="-1"/>
        </w:rPr>
        <w:t> </w:t>
      </w:r>
      <w:r>
        <w:rPr/>
        <w:t>respondents)</w:t>
      </w:r>
      <w:r>
        <w:rPr>
          <w:spacing w:val="-2"/>
        </w:rPr>
        <w:t> </w:t>
      </w:r>
      <w:r>
        <w:rPr/>
        <w:t>and</w:t>
      </w:r>
      <w:r>
        <w:rPr>
          <w:spacing w:val="-3"/>
        </w:rPr>
        <w:t> </w:t>
      </w:r>
      <w:r>
        <w:rPr/>
        <w:t>trapping</w:t>
      </w:r>
      <w:r>
        <w:rPr>
          <w:spacing w:val="-2"/>
        </w:rPr>
        <w:t> </w:t>
      </w:r>
      <w:r>
        <w:rPr/>
        <w:t>(55%)</w:t>
      </w:r>
      <w:r>
        <w:rPr>
          <w:spacing w:val="-1"/>
        </w:rPr>
        <w:t> </w:t>
      </w:r>
      <w:r>
        <w:rPr/>
        <w:t>were</w:t>
      </w:r>
      <w:r>
        <w:rPr>
          <w:spacing w:val="-3"/>
        </w:rPr>
        <w:t> </w:t>
      </w:r>
      <w:r>
        <w:rPr/>
        <w:t>the</w:t>
      </w:r>
      <w:r>
        <w:rPr>
          <w:spacing w:val="-2"/>
        </w:rPr>
        <w:t> </w:t>
      </w:r>
      <w:r>
        <w:rPr/>
        <w:t>most</w:t>
      </w:r>
      <w:r>
        <w:rPr>
          <w:spacing w:val="-3"/>
        </w:rPr>
        <w:t> </w:t>
      </w:r>
      <w:r>
        <w:rPr/>
        <w:t>used tools in the past five years (Quantum Market Research 2024).</w:t>
      </w:r>
    </w:p>
    <w:p>
      <w:pPr>
        <w:pStyle w:val="BodyText"/>
        <w:spacing w:before="120"/>
        <w:ind w:left="112" w:right="142"/>
      </w:pPr>
      <w:r>
        <w:rPr/>
        <w:t>Notably, no studies have reported population reductions from 1080 aerial baiting, a method commonly employed</w:t>
      </w:r>
      <w:r>
        <w:rPr>
          <w:spacing w:val="-2"/>
        </w:rPr>
        <w:t> </w:t>
      </w:r>
      <w:r>
        <w:rPr/>
        <w:t>in</w:t>
      </w:r>
      <w:r>
        <w:rPr>
          <w:spacing w:val="-2"/>
        </w:rPr>
        <w:t> </w:t>
      </w:r>
      <w:r>
        <w:rPr/>
        <w:t>some</w:t>
      </w:r>
      <w:r>
        <w:rPr>
          <w:spacing w:val="-2"/>
        </w:rPr>
        <w:t> </w:t>
      </w:r>
      <w:r>
        <w:rPr/>
        <w:t>parts</w:t>
      </w:r>
      <w:r>
        <w:rPr>
          <w:spacing w:val="-3"/>
        </w:rPr>
        <w:t> </w:t>
      </w:r>
      <w:r>
        <w:rPr/>
        <w:t>of Australia</w:t>
      </w:r>
      <w:r>
        <w:rPr>
          <w:spacing w:val="-2"/>
        </w:rPr>
        <w:t> </w:t>
      </w:r>
      <w:r>
        <w:rPr/>
        <w:t>but</w:t>
      </w:r>
      <w:r>
        <w:rPr>
          <w:spacing w:val="-4"/>
        </w:rPr>
        <w:t> </w:t>
      </w:r>
      <w:r>
        <w:rPr/>
        <w:t>currently</w:t>
      </w:r>
      <w:r>
        <w:rPr>
          <w:spacing w:val="-3"/>
        </w:rPr>
        <w:t> </w:t>
      </w:r>
      <w:r>
        <w:rPr/>
        <w:t>prohibited</w:t>
      </w:r>
      <w:r>
        <w:rPr>
          <w:spacing w:val="-4"/>
        </w:rPr>
        <w:t> </w:t>
      </w:r>
      <w:r>
        <w:rPr/>
        <w:t>in</w:t>
      </w:r>
      <w:r>
        <w:rPr>
          <w:spacing w:val="-4"/>
        </w:rPr>
        <w:t> </w:t>
      </w:r>
      <w:r>
        <w:rPr/>
        <w:t>Victoria.</w:t>
      </w:r>
      <w:r>
        <w:rPr>
          <w:spacing w:val="-4"/>
        </w:rPr>
        <w:t> </w:t>
      </w:r>
      <w:r>
        <w:rPr/>
        <w:t>This</w:t>
      </w:r>
      <w:r>
        <w:rPr>
          <w:spacing w:val="-3"/>
        </w:rPr>
        <w:t> </w:t>
      </w:r>
      <w:r>
        <w:rPr/>
        <w:t>represents</w:t>
      </w:r>
      <w:r>
        <w:rPr>
          <w:spacing w:val="-3"/>
        </w:rPr>
        <w:t> </w:t>
      </w:r>
      <w:r>
        <w:rPr/>
        <w:t>a</w:t>
      </w:r>
      <w:r>
        <w:rPr>
          <w:spacing w:val="-5"/>
        </w:rPr>
        <w:t> </w:t>
      </w:r>
      <w:r>
        <w:rPr/>
        <w:t>significant</w:t>
      </w:r>
      <w:r>
        <w:rPr>
          <w:spacing w:val="-2"/>
        </w:rPr>
        <w:t> </w:t>
      </w:r>
      <w:r>
        <w:rPr/>
        <w:t>gap</w:t>
      </w:r>
      <w:r>
        <w:rPr>
          <w:spacing w:val="-4"/>
        </w:rPr>
        <w:t> </w:t>
      </w:r>
      <w:r>
        <w:rPr/>
        <w:t>in the literature and a priority area for future research.</w:t>
      </w:r>
    </w:p>
    <w:p>
      <w:pPr>
        <w:pStyle w:val="BodyText"/>
        <w:spacing w:before="156"/>
      </w:pPr>
    </w:p>
    <w:p>
      <w:pPr>
        <w:pStyle w:val="Heading3"/>
        <w:numPr>
          <w:ilvl w:val="1"/>
          <w:numId w:val="14"/>
        </w:numPr>
        <w:tabs>
          <w:tab w:pos="689" w:val="left" w:leader="none"/>
        </w:tabs>
        <w:spacing w:line="240" w:lineRule="auto" w:before="0" w:after="0"/>
        <w:ind w:left="689" w:right="0" w:hanging="577"/>
        <w:jc w:val="left"/>
      </w:pPr>
      <w:bookmarkStart w:name="_TOC_250055" w:id="45"/>
      <w:bookmarkStart w:name="_bookmark5" w:id="46"/>
      <w:r>
        <w:rPr>
          <w:b w:val="0"/>
        </w:rPr>
      </w:r>
      <w:r>
        <w:rPr>
          <w:color w:val="2D1E66"/>
        </w:rPr>
        <w:t>Sodium</w:t>
      </w:r>
      <w:r>
        <w:rPr>
          <w:color w:val="2D1E66"/>
          <w:spacing w:val="-4"/>
        </w:rPr>
        <w:t> </w:t>
      </w:r>
      <w:bookmarkEnd w:id="45"/>
      <w:r>
        <w:rPr>
          <w:color w:val="2D1E66"/>
          <w:spacing w:val="-2"/>
        </w:rPr>
        <w:t>nitrite</w:t>
      </w:r>
    </w:p>
    <w:p>
      <w:pPr>
        <w:pStyle w:val="BodyText"/>
        <w:spacing w:before="112"/>
        <w:ind w:left="112" w:right="173"/>
      </w:pPr>
      <w:r>
        <w:rPr/>
        <w:t>Due to concerns regarding the humaneness of 1080 (see Section</w:t>
      </w:r>
      <w:hyperlink w:history="true" w:anchor="_bookmark22">
        <w:r>
          <w:rPr/>
          <w:t>15;</w:t>
        </w:r>
      </w:hyperlink>
      <w:r>
        <w:rPr/>
        <w:t> Green and Rohan, 2012; Sherley, 2007),</w:t>
      </w:r>
      <w:r>
        <w:rPr>
          <w:spacing w:val="-2"/>
        </w:rPr>
        <w:t> </w:t>
      </w:r>
      <w:r>
        <w:rPr/>
        <w:t>researchers</w:t>
      </w:r>
      <w:r>
        <w:rPr>
          <w:spacing w:val="-1"/>
        </w:rPr>
        <w:t> </w:t>
      </w:r>
      <w:r>
        <w:rPr/>
        <w:t>initiated a</w:t>
      </w:r>
      <w:r>
        <w:rPr>
          <w:spacing w:val="-2"/>
        </w:rPr>
        <w:t> </w:t>
      </w:r>
      <w:r>
        <w:rPr/>
        <w:t>search</w:t>
      </w:r>
      <w:r>
        <w:rPr>
          <w:spacing w:val="-2"/>
        </w:rPr>
        <w:t> </w:t>
      </w:r>
      <w:r>
        <w:rPr/>
        <w:t>for alternative</w:t>
      </w:r>
      <w:r>
        <w:rPr>
          <w:spacing w:val="-2"/>
        </w:rPr>
        <w:t> </w:t>
      </w:r>
      <w:r>
        <w:rPr/>
        <w:t>chemicals</w:t>
      </w:r>
      <w:r>
        <w:rPr>
          <w:spacing w:val="-1"/>
        </w:rPr>
        <w:t> </w:t>
      </w:r>
      <w:r>
        <w:rPr/>
        <w:t>better</w:t>
      </w:r>
      <w:r>
        <w:rPr>
          <w:spacing w:val="-1"/>
        </w:rPr>
        <w:t> </w:t>
      </w:r>
      <w:r>
        <w:rPr/>
        <w:t>suited</w:t>
      </w:r>
      <w:r>
        <w:rPr>
          <w:spacing w:val="-1"/>
        </w:rPr>
        <w:t> </w:t>
      </w:r>
      <w:r>
        <w:rPr/>
        <w:t>for Feral</w:t>
      </w:r>
      <w:r>
        <w:rPr>
          <w:spacing w:val="-3"/>
        </w:rPr>
        <w:t> </w:t>
      </w:r>
      <w:r>
        <w:rPr/>
        <w:t>Pig management.</w:t>
      </w:r>
      <w:r>
        <w:rPr>
          <w:spacing w:val="-2"/>
        </w:rPr>
        <w:t> </w:t>
      </w:r>
      <w:r>
        <w:rPr/>
        <w:t>This research identified sodium nitrite as the most promising option (Cowled et al. 2008). Subsequently, ACTA developed the HOGGONE® bait matrix specifically to deliver sodium nitrite to Feral Pigs (pestSMART 2024b).</w:t>
      </w:r>
      <w:r>
        <w:rPr>
          <w:spacing w:val="-3"/>
        </w:rPr>
        <w:t> </w:t>
      </w:r>
      <w:r>
        <w:rPr/>
        <w:t>HOGGONE</w:t>
      </w:r>
      <w:r>
        <w:rPr>
          <w:spacing w:val="-1"/>
        </w:rPr>
        <w:t> </w:t>
      </w:r>
      <w:r>
        <w:rPr/>
        <w:t>is</w:t>
      </w:r>
      <w:r>
        <w:rPr>
          <w:spacing w:val="-2"/>
        </w:rPr>
        <w:t> </w:t>
      </w:r>
      <w:r>
        <w:rPr/>
        <w:t>supplied</w:t>
      </w:r>
      <w:r>
        <w:rPr>
          <w:spacing w:val="-2"/>
        </w:rPr>
        <w:t> </w:t>
      </w:r>
      <w:r>
        <w:rPr/>
        <w:t>as</w:t>
      </w:r>
      <w:r>
        <w:rPr>
          <w:spacing w:val="-2"/>
        </w:rPr>
        <w:t> </w:t>
      </w:r>
      <w:r>
        <w:rPr/>
        <w:t>a</w:t>
      </w:r>
      <w:r>
        <w:rPr>
          <w:spacing w:val="-4"/>
        </w:rPr>
        <w:t> </w:t>
      </w:r>
      <w:r>
        <w:rPr/>
        <w:t>dense</w:t>
      </w:r>
      <w:r>
        <w:rPr>
          <w:spacing w:val="-3"/>
        </w:rPr>
        <w:t> </w:t>
      </w:r>
      <w:r>
        <w:rPr/>
        <w:t>solid</w:t>
      </w:r>
      <w:r>
        <w:rPr>
          <w:spacing w:val="-3"/>
        </w:rPr>
        <w:t> </w:t>
      </w:r>
      <w:r>
        <w:rPr/>
        <w:t>paste</w:t>
      </w:r>
      <w:r>
        <w:rPr>
          <w:spacing w:val="-3"/>
        </w:rPr>
        <w:t> </w:t>
      </w:r>
      <w:r>
        <w:rPr/>
        <w:t>bait</w:t>
      </w:r>
      <w:r>
        <w:rPr>
          <w:spacing w:val="-3"/>
        </w:rPr>
        <w:t> </w:t>
      </w:r>
      <w:r>
        <w:rPr/>
        <w:t>and</w:t>
      </w:r>
      <w:r>
        <w:rPr>
          <w:spacing w:val="-2"/>
        </w:rPr>
        <w:t> </w:t>
      </w:r>
      <w:r>
        <w:rPr/>
        <w:t>is</w:t>
      </w:r>
      <w:r>
        <w:rPr>
          <w:spacing w:val="-2"/>
        </w:rPr>
        <w:t> </w:t>
      </w:r>
      <w:r>
        <w:rPr/>
        <w:t>offered</w:t>
      </w:r>
      <w:r>
        <w:rPr>
          <w:spacing w:val="-3"/>
        </w:rPr>
        <w:t> </w:t>
      </w:r>
      <w:r>
        <w:rPr/>
        <w:t>to Feral</w:t>
      </w:r>
      <w:r>
        <w:rPr>
          <w:spacing w:val="-4"/>
        </w:rPr>
        <w:t> </w:t>
      </w:r>
      <w:r>
        <w:rPr/>
        <w:t>Pigs</w:t>
      </w:r>
      <w:r>
        <w:rPr>
          <w:spacing w:val="-2"/>
        </w:rPr>
        <w:t> </w:t>
      </w:r>
      <w:r>
        <w:rPr/>
        <w:t>in</w:t>
      </w:r>
      <w:r>
        <w:rPr>
          <w:spacing w:val="-3"/>
        </w:rPr>
        <w:t> </w:t>
      </w:r>
      <w:r>
        <w:rPr/>
        <w:t>trays.</w:t>
      </w:r>
      <w:r>
        <w:rPr>
          <w:spacing w:val="-3"/>
        </w:rPr>
        <w:t> </w:t>
      </w:r>
      <w:r>
        <w:rPr/>
        <w:t>The</w:t>
      </w:r>
      <w:r>
        <w:rPr>
          <w:spacing w:val="-1"/>
        </w:rPr>
        <w:t> </w:t>
      </w:r>
      <w:r>
        <w:rPr/>
        <w:t>sodium nitrite is in a microencapsulated form (meSN®) that is spread throughout the paste. It is presented in bait boxes (e.g. HOGGONE Paste Bait Hopper, </w:t>
      </w:r>
      <w:hyperlink w:history="true" w:anchor="_bookmark6">
        <w:r>
          <w:rPr/>
          <w:t>Figure 2</w:t>
        </w:r>
      </w:hyperlink>
      <w:r>
        <w:rPr/>
        <w:t>).</w:t>
      </w:r>
    </w:p>
    <w:p>
      <w:pPr>
        <w:pStyle w:val="BodyText"/>
        <w:spacing w:before="121"/>
        <w:ind w:left="112" w:right="173"/>
      </w:pPr>
      <w:r>
        <w:rPr/>
        <w:t>Despite</w:t>
      </w:r>
      <w:r>
        <w:rPr>
          <w:spacing w:val="-3"/>
        </w:rPr>
        <w:t> </w:t>
      </w:r>
      <w:r>
        <w:rPr/>
        <w:t>its benefits,</w:t>
      </w:r>
      <w:r>
        <w:rPr>
          <w:spacing w:val="-3"/>
        </w:rPr>
        <w:t> </w:t>
      </w:r>
      <w:r>
        <w:rPr/>
        <w:t>sodium</w:t>
      </w:r>
      <w:r>
        <w:rPr>
          <w:spacing w:val="-1"/>
        </w:rPr>
        <w:t> </w:t>
      </w:r>
      <w:r>
        <w:rPr/>
        <w:t>nitrite</w:t>
      </w:r>
      <w:r>
        <w:rPr>
          <w:spacing w:val="-4"/>
        </w:rPr>
        <w:t> </w:t>
      </w:r>
      <w:r>
        <w:rPr/>
        <w:t>can</w:t>
      </w:r>
      <w:r>
        <w:rPr>
          <w:spacing w:val="-1"/>
        </w:rPr>
        <w:t> </w:t>
      </w:r>
      <w:r>
        <w:rPr/>
        <w:t>affect</w:t>
      </w:r>
      <w:r>
        <w:rPr>
          <w:spacing w:val="-3"/>
        </w:rPr>
        <w:t> </w:t>
      </w:r>
      <w:r>
        <w:rPr/>
        <w:t>non-target</w:t>
      </w:r>
      <w:r>
        <w:rPr>
          <w:spacing w:val="-1"/>
        </w:rPr>
        <w:t> </w:t>
      </w:r>
      <w:r>
        <w:rPr/>
        <w:t>species,</w:t>
      </w:r>
      <w:r>
        <w:rPr>
          <w:spacing w:val="-1"/>
        </w:rPr>
        <w:t> </w:t>
      </w:r>
      <w:r>
        <w:rPr/>
        <w:t>including</w:t>
      </w:r>
      <w:r>
        <w:rPr>
          <w:spacing w:val="-2"/>
        </w:rPr>
        <w:t> </w:t>
      </w:r>
      <w:r>
        <w:rPr/>
        <w:t>mammals</w:t>
      </w:r>
      <w:r>
        <w:rPr>
          <w:spacing w:val="-2"/>
        </w:rPr>
        <w:t> </w:t>
      </w:r>
      <w:r>
        <w:rPr/>
        <w:t>and</w:t>
      </w:r>
      <w:r>
        <w:rPr>
          <w:spacing w:val="-1"/>
        </w:rPr>
        <w:t> </w:t>
      </w:r>
      <w:r>
        <w:rPr/>
        <w:t>birds,</w:t>
      </w:r>
      <w:r>
        <w:rPr>
          <w:spacing w:val="-3"/>
        </w:rPr>
        <w:t> </w:t>
      </w:r>
      <w:r>
        <w:rPr/>
        <w:t>in</w:t>
      </w:r>
      <w:r>
        <w:rPr>
          <w:spacing w:val="-1"/>
        </w:rPr>
        <w:t> </w:t>
      </w:r>
      <w:r>
        <w:rPr/>
        <w:t>both</w:t>
      </w:r>
      <w:r>
        <w:rPr>
          <w:spacing w:val="-3"/>
        </w:rPr>
        <w:t> </w:t>
      </w:r>
      <w:r>
        <w:rPr/>
        <w:t>the United States and Australia (Lapidge and Eason 2010; Snow et al. 2021). To mitigate these risks, it is a regulatory</w:t>
      </w:r>
      <w:r>
        <w:rPr>
          <w:spacing w:val="-3"/>
        </w:rPr>
        <w:t> </w:t>
      </w:r>
      <w:r>
        <w:rPr/>
        <w:t>requirement</w:t>
      </w:r>
      <w:r>
        <w:rPr>
          <w:spacing w:val="-2"/>
        </w:rPr>
        <w:t> </w:t>
      </w:r>
      <w:r>
        <w:rPr/>
        <w:t>for</w:t>
      </w:r>
      <w:r>
        <w:rPr>
          <w:spacing w:val="-1"/>
        </w:rPr>
        <w:t> </w:t>
      </w:r>
      <w:r>
        <w:rPr/>
        <w:t>HOGGONE to</w:t>
      </w:r>
      <w:r>
        <w:rPr>
          <w:spacing w:val="-5"/>
        </w:rPr>
        <w:t> </w:t>
      </w:r>
      <w:r>
        <w:rPr/>
        <w:t>be</w:t>
      </w:r>
      <w:r>
        <w:rPr>
          <w:spacing w:val="-4"/>
        </w:rPr>
        <w:t> </w:t>
      </w:r>
      <w:r>
        <w:rPr/>
        <w:t>used</w:t>
      </w:r>
      <w:r>
        <w:rPr>
          <w:spacing w:val="-4"/>
        </w:rPr>
        <w:t> </w:t>
      </w:r>
      <w:r>
        <w:rPr/>
        <w:t>in</w:t>
      </w:r>
      <w:r>
        <w:rPr>
          <w:spacing w:val="-4"/>
        </w:rPr>
        <w:t> </w:t>
      </w:r>
      <w:r>
        <w:rPr/>
        <w:t>conjunction</w:t>
      </w:r>
      <w:r>
        <w:rPr>
          <w:spacing w:val="-5"/>
        </w:rPr>
        <w:t> </w:t>
      </w:r>
      <w:r>
        <w:rPr/>
        <w:t>with</w:t>
      </w:r>
      <w:r>
        <w:rPr>
          <w:spacing w:val="-2"/>
        </w:rPr>
        <w:t> </w:t>
      </w:r>
      <w:r>
        <w:rPr/>
        <w:t>bait</w:t>
      </w:r>
      <w:r>
        <w:rPr>
          <w:spacing w:val="-4"/>
        </w:rPr>
        <w:t> </w:t>
      </w:r>
      <w:r>
        <w:rPr/>
        <w:t>boxes in</w:t>
      </w:r>
      <w:r>
        <w:rPr>
          <w:spacing w:val="-4"/>
        </w:rPr>
        <w:t> </w:t>
      </w:r>
      <w:r>
        <w:rPr/>
        <w:t>Australia</w:t>
      </w:r>
      <w:r>
        <w:rPr>
          <w:spacing w:val="-4"/>
        </w:rPr>
        <w:t> </w:t>
      </w:r>
      <w:r>
        <w:rPr/>
        <w:t>(ACTA</w:t>
      </w:r>
      <w:r>
        <w:rPr>
          <w:spacing w:val="-4"/>
        </w:rPr>
        <w:t> </w:t>
      </w:r>
      <w:r>
        <w:rPr/>
        <w:t>2024). Further discussion on non-target impacts and mitigation strategies are provided in Section</w:t>
      </w:r>
      <w:hyperlink w:history="true" w:anchor="_bookmark19">
        <w:r>
          <w:rPr/>
          <w:t>1.</w:t>
        </w:r>
      </w:hyperlink>
    </w:p>
    <w:p>
      <w:pPr>
        <w:spacing w:after="0"/>
        <w:sectPr>
          <w:footerReference w:type="even" r:id="rId35"/>
          <w:footerReference w:type="default" r:id="rId36"/>
          <w:pgSz w:w="11910" w:h="16850"/>
          <w:pgMar w:header="0" w:footer="688" w:top="1140" w:bottom="880" w:left="1020" w:right="1020"/>
          <w:pgNumType w:start="36"/>
        </w:sectPr>
      </w:pPr>
    </w:p>
    <w:p>
      <w:pPr>
        <w:pStyle w:val="BodyText"/>
        <w:ind w:left="114"/>
      </w:pPr>
      <w:r>
        <w:rPr/>
        <w:drawing>
          <wp:inline distT="0" distB="0" distL="0" distR="0">
            <wp:extent cx="6156010" cy="3216402"/>
            <wp:effectExtent l="0" t="0" r="0" b="0"/>
            <wp:docPr id="62" name="Image 62" descr="Feral Pigs Eating from HOGGONE Baiting System"/>
            <wp:cNvGraphicFramePr>
              <a:graphicFrameLocks/>
            </wp:cNvGraphicFramePr>
            <a:graphic>
              <a:graphicData uri="http://schemas.openxmlformats.org/drawingml/2006/picture">
                <pic:pic>
                  <pic:nvPicPr>
                    <pic:cNvPr id="62" name="Image 62" descr="Feral Pigs Eating from HOGGONE Baiting System"/>
                    <pic:cNvPicPr/>
                  </pic:nvPicPr>
                  <pic:blipFill>
                    <a:blip r:embed="rId38" cstate="print"/>
                    <a:stretch>
                      <a:fillRect/>
                    </a:stretch>
                  </pic:blipFill>
                  <pic:spPr>
                    <a:xfrm>
                      <a:off x="0" y="0"/>
                      <a:ext cx="6156010" cy="3216402"/>
                    </a:xfrm>
                    <a:prstGeom prst="rect">
                      <a:avLst/>
                    </a:prstGeom>
                  </pic:spPr>
                </pic:pic>
              </a:graphicData>
            </a:graphic>
          </wp:inline>
        </w:drawing>
      </w:r>
      <w:r>
        <w:rPr/>
      </w:r>
    </w:p>
    <w:p>
      <w:pPr>
        <w:pStyle w:val="Heading7"/>
        <w:spacing w:before="91"/>
      </w:pPr>
      <w:bookmarkStart w:name="_bookmark6" w:id="47"/>
      <w:bookmarkEnd w:id="47"/>
      <w:r>
        <w:rPr>
          <w:b w:val="0"/>
        </w:rPr>
      </w:r>
      <w:r>
        <w:rPr>
          <w:color w:val="1F1546"/>
        </w:rPr>
        <w:t>Figure</w:t>
      </w:r>
      <w:r>
        <w:rPr>
          <w:color w:val="1F1546"/>
          <w:spacing w:val="-3"/>
        </w:rPr>
        <w:t> </w:t>
      </w:r>
      <w:r>
        <w:rPr>
          <w:color w:val="1F1546"/>
        </w:rPr>
        <w:t>2.</w:t>
      </w:r>
      <w:r>
        <w:rPr>
          <w:color w:val="1F1546"/>
          <w:spacing w:val="-2"/>
        </w:rPr>
        <w:t> </w:t>
      </w:r>
      <w:r>
        <w:rPr>
          <w:color w:val="1F1546"/>
        </w:rPr>
        <w:t>HOGGONE</w:t>
      </w:r>
      <w:r>
        <w:rPr>
          <w:color w:val="1F1546"/>
          <w:spacing w:val="-4"/>
        </w:rPr>
        <w:t> </w:t>
      </w:r>
      <w:r>
        <w:rPr>
          <w:color w:val="1F1546"/>
        </w:rPr>
        <w:t>Paste</w:t>
      </w:r>
      <w:r>
        <w:rPr>
          <w:color w:val="1F1546"/>
          <w:spacing w:val="-4"/>
        </w:rPr>
        <w:t> </w:t>
      </w:r>
      <w:r>
        <w:rPr>
          <w:color w:val="1F1546"/>
        </w:rPr>
        <w:t>Bait</w:t>
      </w:r>
      <w:r>
        <w:rPr>
          <w:color w:val="1F1546"/>
          <w:spacing w:val="-3"/>
        </w:rPr>
        <w:t> </w:t>
      </w:r>
      <w:r>
        <w:rPr>
          <w:color w:val="1F1546"/>
        </w:rPr>
        <w:t>Hopper</w:t>
      </w:r>
      <w:r>
        <w:rPr>
          <w:color w:val="1F1546"/>
          <w:spacing w:val="-1"/>
        </w:rPr>
        <w:t> </w:t>
      </w:r>
      <w:r>
        <w:rPr>
          <w:color w:val="1F1546"/>
        </w:rPr>
        <w:t>used</w:t>
      </w:r>
      <w:r>
        <w:rPr>
          <w:color w:val="1F1546"/>
          <w:spacing w:val="-4"/>
        </w:rPr>
        <w:t> </w:t>
      </w:r>
      <w:r>
        <w:rPr>
          <w:color w:val="1F1546"/>
        </w:rPr>
        <w:t>to</w:t>
      </w:r>
      <w:r>
        <w:rPr>
          <w:color w:val="1F1546"/>
          <w:spacing w:val="-3"/>
        </w:rPr>
        <w:t> </w:t>
      </w:r>
      <w:r>
        <w:rPr>
          <w:color w:val="1F1546"/>
        </w:rPr>
        <w:t>present</w:t>
      </w:r>
      <w:r>
        <w:rPr>
          <w:color w:val="1F1546"/>
          <w:spacing w:val="-3"/>
        </w:rPr>
        <w:t> </w:t>
      </w:r>
      <w:r>
        <w:rPr>
          <w:color w:val="1F1546"/>
        </w:rPr>
        <w:t>HOGONE</w:t>
      </w:r>
      <w:r>
        <w:rPr>
          <w:color w:val="1F1546"/>
          <w:spacing w:val="-4"/>
        </w:rPr>
        <w:t> </w:t>
      </w:r>
      <w:r>
        <w:rPr>
          <w:color w:val="1F1546"/>
        </w:rPr>
        <w:t>to Feral</w:t>
      </w:r>
      <w:r>
        <w:rPr>
          <w:color w:val="1F1546"/>
          <w:spacing w:val="-2"/>
        </w:rPr>
        <w:t> </w:t>
      </w:r>
      <w:r>
        <w:rPr>
          <w:color w:val="1F1546"/>
        </w:rPr>
        <w:t>Pigs</w:t>
      </w:r>
      <w:r>
        <w:rPr>
          <w:color w:val="1F1546"/>
          <w:spacing w:val="-4"/>
        </w:rPr>
        <w:t> </w:t>
      </w:r>
      <w:r>
        <w:rPr>
          <w:color w:val="1F1546"/>
        </w:rPr>
        <w:t>and</w:t>
      </w:r>
      <w:r>
        <w:rPr>
          <w:color w:val="1F1546"/>
          <w:spacing w:val="-3"/>
        </w:rPr>
        <w:t> </w:t>
      </w:r>
      <w:r>
        <w:rPr>
          <w:color w:val="1F1546"/>
        </w:rPr>
        <w:t>to</w:t>
      </w:r>
      <w:r>
        <w:rPr>
          <w:color w:val="1F1546"/>
          <w:spacing w:val="-3"/>
        </w:rPr>
        <w:t> </w:t>
      </w:r>
      <w:r>
        <w:rPr>
          <w:color w:val="1F1546"/>
        </w:rPr>
        <w:t>reduce</w:t>
      </w:r>
      <w:r>
        <w:rPr>
          <w:color w:val="1F1546"/>
          <w:spacing w:val="-4"/>
        </w:rPr>
        <w:t> </w:t>
      </w:r>
      <w:r>
        <w:rPr>
          <w:color w:val="1F1546"/>
        </w:rPr>
        <w:t>non- target species access (image – Leschenault Landscape Group, WA).</w:t>
      </w:r>
    </w:p>
    <w:p>
      <w:pPr>
        <w:pStyle w:val="BodyText"/>
        <w:spacing w:before="160"/>
        <w:rPr>
          <w:b/>
        </w:rPr>
      </w:pPr>
    </w:p>
    <w:p>
      <w:pPr>
        <w:pStyle w:val="BodyText"/>
        <w:ind w:left="112" w:right="173"/>
      </w:pPr>
      <w:r>
        <w:rPr/>
        <w:t>Field trials across New South Wales, the Australian Capital Territory, and Queensland demonstrated that HOGGONE baiting achieved Feral Pig population reductions of 63–91.7% (Lapidge et al. 2012; Shapiro et</w:t>
      </w:r>
      <w:r>
        <w:rPr/>
        <w:t> al. 2016). Later studies incorporating pig-specific bait stations recorded average population declines of 90.4%</w:t>
      </w:r>
      <w:r>
        <w:rPr>
          <w:spacing w:val="-2"/>
        </w:rPr>
        <w:t> </w:t>
      </w:r>
      <w:r>
        <w:rPr/>
        <w:t>in</w:t>
      </w:r>
      <w:r>
        <w:rPr>
          <w:spacing w:val="-4"/>
        </w:rPr>
        <w:t> </w:t>
      </w:r>
      <w:r>
        <w:rPr/>
        <w:t>Queensland</w:t>
      </w:r>
      <w:r>
        <w:rPr>
          <w:spacing w:val="-5"/>
        </w:rPr>
        <w:t> </w:t>
      </w:r>
      <w:r>
        <w:rPr/>
        <w:t>and</w:t>
      </w:r>
      <w:r>
        <w:rPr>
          <w:spacing w:val="-3"/>
        </w:rPr>
        <w:t> </w:t>
      </w:r>
      <w:r>
        <w:rPr/>
        <w:t>76.3–99%</w:t>
      </w:r>
      <w:r>
        <w:rPr>
          <w:spacing w:val="-1"/>
        </w:rPr>
        <w:t> </w:t>
      </w:r>
      <w:r>
        <w:rPr/>
        <w:t>at</w:t>
      </w:r>
      <w:r>
        <w:rPr>
          <w:spacing w:val="-4"/>
        </w:rPr>
        <w:t> </w:t>
      </w:r>
      <w:r>
        <w:rPr/>
        <w:t>trial</w:t>
      </w:r>
      <w:r>
        <w:rPr>
          <w:spacing w:val="-3"/>
        </w:rPr>
        <w:t> </w:t>
      </w:r>
      <w:r>
        <w:rPr/>
        <w:t>sites</w:t>
      </w:r>
      <w:r>
        <w:rPr>
          <w:spacing w:val="-1"/>
        </w:rPr>
        <w:t> </w:t>
      </w:r>
      <w:r>
        <w:rPr/>
        <w:t>in</w:t>
      </w:r>
      <w:r>
        <w:rPr>
          <w:spacing w:val="-4"/>
        </w:rPr>
        <w:t> </w:t>
      </w:r>
      <w:r>
        <w:rPr/>
        <w:t>the</w:t>
      </w:r>
      <w:r>
        <w:rPr>
          <w:spacing w:val="-4"/>
        </w:rPr>
        <w:t> </w:t>
      </w:r>
      <w:r>
        <w:rPr/>
        <w:t>United</w:t>
      </w:r>
      <w:r>
        <w:rPr>
          <w:spacing w:val="-2"/>
        </w:rPr>
        <w:t> </w:t>
      </w:r>
      <w:r>
        <w:rPr/>
        <w:t>States,</w:t>
      </w:r>
      <w:r>
        <w:rPr>
          <w:spacing w:val="-4"/>
        </w:rPr>
        <w:t> </w:t>
      </w:r>
      <w:r>
        <w:rPr/>
        <w:t>as</w:t>
      </w:r>
      <w:r>
        <w:rPr>
          <w:spacing w:val="-1"/>
        </w:rPr>
        <w:t> </w:t>
      </w:r>
      <w:r>
        <w:rPr/>
        <w:t>measured</w:t>
      </w:r>
      <w:r>
        <w:rPr>
          <w:spacing w:val="-5"/>
        </w:rPr>
        <w:t> </w:t>
      </w:r>
      <w:r>
        <w:rPr/>
        <w:t>by</w:t>
      </w:r>
      <w:r>
        <w:rPr>
          <w:spacing w:val="-3"/>
        </w:rPr>
        <w:t> </w:t>
      </w:r>
      <w:r>
        <w:rPr/>
        <w:t>visitation</w:t>
      </w:r>
      <w:r>
        <w:rPr>
          <w:spacing w:val="-5"/>
        </w:rPr>
        <w:t> </w:t>
      </w:r>
      <w:r>
        <w:rPr/>
        <w:t>rates</w:t>
      </w:r>
      <w:r>
        <w:rPr>
          <w:spacing w:val="-3"/>
        </w:rPr>
        <w:t> </w:t>
      </w:r>
      <w:r>
        <w:rPr/>
        <w:t>to</w:t>
      </w:r>
      <w:r>
        <w:rPr>
          <w:spacing w:val="-2"/>
        </w:rPr>
        <w:t> </w:t>
      </w:r>
      <w:r>
        <w:rPr/>
        <w:t>bait stations before and after baiting (Snow et al. 2021, 2024).</w:t>
      </w:r>
    </w:p>
    <w:p>
      <w:pPr>
        <w:pStyle w:val="BodyText"/>
        <w:spacing w:before="119"/>
        <w:ind w:left="112" w:right="133"/>
      </w:pPr>
      <w:r>
        <w:rPr/>
        <w:t>While</w:t>
      </w:r>
      <w:r>
        <w:rPr>
          <w:spacing w:val="-2"/>
        </w:rPr>
        <w:t> </w:t>
      </w:r>
      <w:r>
        <w:rPr/>
        <w:t>effective,</w:t>
      </w:r>
      <w:r>
        <w:rPr>
          <w:spacing w:val="-3"/>
        </w:rPr>
        <w:t> </w:t>
      </w:r>
      <w:r>
        <w:rPr/>
        <w:t>HOGGONE</w:t>
      </w:r>
      <w:r>
        <w:rPr>
          <w:spacing w:val="-2"/>
        </w:rPr>
        <w:t> </w:t>
      </w:r>
      <w:r>
        <w:rPr/>
        <w:t>is</w:t>
      </w:r>
      <w:r>
        <w:rPr>
          <w:spacing w:val="-2"/>
        </w:rPr>
        <w:t> </w:t>
      </w:r>
      <w:r>
        <w:rPr/>
        <w:t>more</w:t>
      </w:r>
      <w:r>
        <w:rPr>
          <w:spacing w:val="-2"/>
        </w:rPr>
        <w:t> </w:t>
      </w:r>
      <w:r>
        <w:rPr/>
        <w:t>expensive</w:t>
      </w:r>
      <w:r>
        <w:rPr>
          <w:spacing w:val="-3"/>
        </w:rPr>
        <w:t> </w:t>
      </w:r>
      <w:r>
        <w:rPr/>
        <w:t>than</w:t>
      </w:r>
      <w:r>
        <w:rPr>
          <w:spacing w:val="-2"/>
        </w:rPr>
        <w:t> </w:t>
      </w:r>
      <w:r>
        <w:rPr/>
        <w:t>1080</w:t>
      </w:r>
      <w:r>
        <w:rPr>
          <w:spacing w:val="-3"/>
        </w:rPr>
        <w:t> </w:t>
      </w:r>
      <w:r>
        <w:rPr/>
        <w:t>baits</w:t>
      </w:r>
      <w:r>
        <w:rPr>
          <w:spacing w:val="-2"/>
        </w:rPr>
        <w:t> </w:t>
      </w:r>
      <w:r>
        <w:rPr/>
        <w:t>due</w:t>
      </w:r>
      <w:r>
        <w:rPr>
          <w:spacing w:val="-4"/>
        </w:rPr>
        <w:t> </w:t>
      </w:r>
      <w:r>
        <w:rPr/>
        <w:t>to</w:t>
      </w:r>
      <w:r>
        <w:rPr>
          <w:spacing w:val="-3"/>
        </w:rPr>
        <w:t> </w:t>
      </w:r>
      <w:r>
        <w:rPr/>
        <w:t>the</w:t>
      </w:r>
      <w:r>
        <w:rPr>
          <w:spacing w:val="-3"/>
        </w:rPr>
        <w:t> </w:t>
      </w:r>
      <w:r>
        <w:rPr/>
        <w:t>higher</w:t>
      </w:r>
      <w:r>
        <w:rPr>
          <w:spacing w:val="-3"/>
        </w:rPr>
        <w:t> </w:t>
      </w:r>
      <w:r>
        <w:rPr/>
        <w:t>bait</w:t>
      </w:r>
      <w:r>
        <w:rPr>
          <w:spacing w:val="-3"/>
        </w:rPr>
        <w:t> </w:t>
      </w:r>
      <w:r>
        <w:rPr/>
        <w:t>cost,</w:t>
      </w:r>
      <w:r>
        <w:rPr>
          <w:spacing w:val="-2"/>
        </w:rPr>
        <w:t> </w:t>
      </w:r>
      <w:r>
        <w:rPr/>
        <w:t>and</w:t>
      </w:r>
      <w:r>
        <w:rPr>
          <w:spacing w:val="-2"/>
        </w:rPr>
        <w:t> </w:t>
      </w:r>
      <w:r>
        <w:rPr/>
        <w:t>the</w:t>
      </w:r>
      <w:r>
        <w:rPr>
          <w:spacing w:val="-2"/>
        </w:rPr>
        <w:t> </w:t>
      </w:r>
      <w:r>
        <w:rPr/>
        <w:t>regulatory requirement to use bait stations to minimise impacts on non-target species (Wilson and Gentle 2022). As</w:t>
      </w:r>
      <w:r>
        <w:rPr>
          <w:spacing w:val="40"/>
        </w:rPr>
        <w:t> </w:t>
      </w:r>
      <w:r>
        <w:rPr/>
        <w:t>with 1080-based control methods, HOGGONE’s efficacy can be enhanced by programme design factors such as training Feral Pigs to use the feeders by pre-feeding and optimal seasonal timing (Lapidge et al.</w:t>
      </w:r>
    </w:p>
    <w:p>
      <w:pPr>
        <w:pStyle w:val="BodyText"/>
        <w:ind w:left="112" w:right="375"/>
      </w:pPr>
      <w:r>
        <w:rPr/>
        <w:t>2012). Results from the ACUP survey indicated that 6% of land managers had used HOGOGNE as the primary</w:t>
      </w:r>
      <w:r>
        <w:rPr>
          <w:spacing w:val="-2"/>
        </w:rPr>
        <w:t> </w:t>
      </w:r>
      <w:r>
        <w:rPr/>
        <w:t>tool,</w:t>
      </w:r>
      <w:r>
        <w:rPr>
          <w:spacing w:val="-2"/>
        </w:rPr>
        <w:t> </w:t>
      </w:r>
      <w:r>
        <w:rPr/>
        <w:t>and</w:t>
      </w:r>
      <w:r>
        <w:rPr>
          <w:spacing w:val="-4"/>
        </w:rPr>
        <w:t> </w:t>
      </w:r>
      <w:r>
        <w:rPr/>
        <w:t>of</w:t>
      </w:r>
      <w:r>
        <w:rPr>
          <w:spacing w:val="-2"/>
        </w:rPr>
        <w:t> </w:t>
      </w:r>
      <w:r>
        <w:rPr/>
        <w:t>those,</w:t>
      </w:r>
      <w:r>
        <w:rPr>
          <w:spacing w:val="-2"/>
        </w:rPr>
        <w:t> </w:t>
      </w:r>
      <w:r>
        <w:rPr/>
        <w:t>20%</w:t>
      </w:r>
      <w:r>
        <w:rPr>
          <w:spacing w:val="-4"/>
        </w:rPr>
        <w:t> </w:t>
      </w:r>
      <w:r>
        <w:rPr/>
        <w:t>indicated</w:t>
      </w:r>
      <w:r>
        <w:rPr>
          <w:spacing w:val="-4"/>
        </w:rPr>
        <w:t> </w:t>
      </w:r>
      <w:r>
        <w:rPr/>
        <w:t>they</w:t>
      </w:r>
      <w:r>
        <w:rPr>
          <w:spacing w:val="-3"/>
        </w:rPr>
        <w:t> </w:t>
      </w:r>
      <w:r>
        <w:rPr/>
        <w:t>had</w:t>
      </w:r>
      <w:r>
        <w:rPr>
          <w:spacing w:val="-2"/>
        </w:rPr>
        <w:t> </w:t>
      </w:r>
      <w:r>
        <w:rPr/>
        <w:t>used</w:t>
      </w:r>
      <w:r>
        <w:rPr>
          <w:spacing w:val="-5"/>
        </w:rPr>
        <w:t> </w:t>
      </w:r>
      <w:r>
        <w:rPr/>
        <w:t>HOOGONE</w:t>
      </w:r>
      <w:r>
        <w:rPr>
          <w:spacing w:val="-2"/>
        </w:rPr>
        <w:t> </w:t>
      </w:r>
      <w:r>
        <w:rPr/>
        <w:t>in</w:t>
      </w:r>
      <w:r>
        <w:rPr>
          <w:spacing w:val="-4"/>
        </w:rPr>
        <w:t> </w:t>
      </w:r>
      <w:r>
        <w:rPr/>
        <w:t>the</w:t>
      </w:r>
      <w:r>
        <w:rPr>
          <w:spacing w:val="-3"/>
        </w:rPr>
        <w:t> </w:t>
      </w:r>
      <w:r>
        <w:rPr/>
        <w:t>past</w:t>
      </w:r>
      <w:r>
        <w:rPr>
          <w:spacing w:val="-2"/>
        </w:rPr>
        <w:t> </w:t>
      </w:r>
      <w:r>
        <w:rPr/>
        <w:t>5</w:t>
      </w:r>
      <w:r>
        <w:rPr>
          <w:spacing w:val="-4"/>
        </w:rPr>
        <w:t> </w:t>
      </w:r>
      <w:r>
        <w:rPr/>
        <w:t>years. In</w:t>
      </w:r>
      <w:r>
        <w:rPr>
          <w:spacing w:val="-2"/>
        </w:rPr>
        <w:t> </w:t>
      </w:r>
      <w:r>
        <w:rPr/>
        <w:t>addition, 58% said they would do more HOGGONE baiting if 1080 were no longer available.</w:t>
      </w:r>
    </w:p>
    <w:p>
      <w:pPr>
        <w:pStyle w:val="BodyText"/>
        <w:spacing w:before="156"/>
      </w:pPr>
    </w:p>
    <w:p>
      <w:pPr>
        <w:pStyle w:val="Heading3"/>
        <w:numPr>
          <w:ilvl w:val="1"/>
          <w:numId w:val="14"/>
        </w:numPr>
        <w:tabs>
          <w:tab w:pos="689" w:val="left" w:leader="none"/>
        </w:tabs>
        <w:spacing w:line="240" w:lineRule="auto" w:before="0" w:after="0"/>
        <w:ind w:left="689" w:right="0" w:hanging="577"/>
        <w:jc w:val="left"/>
      </w:pPr>
      <w:bookmarkStart w:name="_TOC_250054" w:id="48"/>
      <w:bookmarkEnd w:id="48"/>
      <w:r>
        <w:rPr>
          <w:color w:val="2D1E66"/>
          <w:spacing w:val="-2"/>
        </w:rPr>
        <w:t>Trapping</w:t>
      </w:r>
    </w:p>
    <w:p>
      <w:pPr>
        <w:pStyle w:val="BodyText"/>
        <w:spacing w:before="112"/>
        <w:ind w:left="112" w:right="142"/>
      </w:pPr>
      <w:r>
        <w:rPr/>
        <w:t>Trapping is a commonly used method for controlling Feral Pig populations and involves repeated pre- feeding, daily trap-setting and checking, humane destruction, and removal of captured pigs (Sharp 2012b). While labour-intensive,</w:t>
      </w:r>
      <w:r>
        <w:rPr>
          <w:spacing w:val="-2"/>
        </w:rPr>
        <w:t> </w:t>
      </w:r>
      <w:r>
        <w:rPr/>
        <w:t>trapping</w:t>
      </w:r>
      <w:r>
        <w:rPr>
          <w:spacing w:val="-2"/>
        </w:rPr>
        <w:t> </w:t>
      </w:r>
      <w:r>
        <w:rPr/>
        <w:t>remains an</w:t>
      </w:r>
      <w:r>
        <w:rPr>
          <w:spacing w:val="-3"/>
        </w:rPr>
        <w:t> </w:t>
      </w:r>
      <w:r>
        <w:rPr/>
        <w:t>effective</w:t>
      </w:r>
      <w:r>
        <w:rPr>
          <w:spacing w:val="-2"/>
        </w:rPr>
        <w:t> </w:t>
      </w:r>
      <w:r>
        <w:rPr/>
        <w:t>control</w:t>
      </w:r>
      <w:r>
        <w:rPr>
          <w:spacing w:val="-1"/>
        </w:rPr>
        <w:t> </w:t>
      </w:r>
      <w:r>
        <w:rPr/>
        <w:t>technique</w:t>
      </w:r>
      <w:r>
        <w:rPr>
          <w:spacing w:val="-1"/>
        </w:rPr>
        <w:t> </w:t>
      </w:r>
      <w:r>
        <w:rPr/>
        <w:t>in</w:t>
      </w:r>
      <w:r>
        <w:rPr>
          <w:spacing w:val="-2"/>
        </w:rPr>
        <w:t> </w:t>
      </w:r>
      <w:r>
        <w:rPr/>
        <w:t>specific circumstances.</w:t>
      </w:r>
      <w:r>
        <w:rPr>
          <w:spacing w:val="-2"/>
        </w:rPr>
        <w:t> </w:t>
      </w:r>
      <w:r>
        <w:rPr/>
        <w:t>In contrast to toxins such as 1080 and sodium nitrite, which face regulatory restrictions concerning deployment, safety, and</w:t>
      </w:r>
      <w:r>
        <w:rPr>
          <w:spacing w:val="-1"/>
        </w:rPr>
        <w:t> </w:t>
      </w:r>
      <w:r>
        <w:rPr/>
        <w:t>bait</w:t>
      </w:r>
      <w:r>
        <w:rPr>
          <w:spacing w:val="-3"/>
        </w:rPr>
        <w:t> </w:t>
      </w:r>
      <w:r>
        <w:rPr/>
        <w:t>delivery,</w:t>
      </w:r>
      <w:r>
        <w:rPr>
          <w:spacing w:val="-3"/>
        </w:rPr>
        <w:t> </w:t>
      </w:r>
      <w:r>
        <w:rPr/>
        <w:t>trapping</w:t>
      </w:r>
      <w:r>
        <w:rPr>
          <w:spacing w:val="-1"/>
        </w:rPr>
        <w:t> </w:t>
      </w:r>
      <w:r>
        <w:rPr/>
        <w:t>is</w:t>
      </w:r>
      <w:r>
        <w:rPr>
          <w:spacing w:val="-2"/>
        </w:rPr>
        <w:t> </w:t>
      </w:r>
      <w:r>
        <w:rPr/>
        <w:t>subject</w:t>
      </w:r>
      <w:r>
        <w:rPr>
          <w:spacing w:val="-3"/>
        </w:rPr>
        <w:t> </w:t>
      </w:r>
      <w:r>
        <w:rPr/>
        <w:t>to</w:t>
      </w:r>
      <w:r>
        <w:rPr>
          <w:spacing w:val="-4"/>
        </w:rPr>
        <w:t> </w:t>
      </w:r>
      <w:r>
        <w:rPr/>
        <w:t>fewer</w:t>
      </w:r>
      <w:r>
        <w:rPr>
          <w:spacing w:val="-3"/>
        </w:rPr>
        <w:t> </w:t>
      </w:r>
      <w:r>
        <w:rPr/>
        <w:t>regulations (which</w:t>
      </w:r>
      <w:r>
        <w:rPr>
          <w:spacing w:val="-1"/>
        </w:rPr>
        <w:t> </w:t>
      </w:r>
      <w:r>
        <w:rPr/>
        <w:t>are</w:t>
      </w:r>
      <w:r>
        <w:rPr>
          <w:spacing w:val="-3"/>
        </w:rPr>
        <w:t> </w:t>
      </w:r>
      <w:r>
        <w:rPr/>
        <w:t>stipulated</w:t>
      </w:r>
      <w:r>
        <w:rPr>
          <w:spacing w:val="-3"/>
        </w:rPr>
        <w:t> </w:t>
      </w:r>
      <w:r>
        <w:rPr/>
        <w:t>in</w:t>
      </w:r>
      <w:r>
        <w:rPr>
          <w:spacing w:val="-3"/>
        </w:rPr>
        <w:t> </w:t>
      </w:r>
      <w:r>
        <w:rPr/>
        <w:t>the</w:t>
      </w:r>
      <w:r>
        <w:rPr>
          <w:spacing w:val="-3"/>
        </w:rPr>
        <w:t> </w:t>
      </w:r>
      <w:r>
        <w:rPr>
          <w:i/>
        </w:rPr>
        <w:t>Prevention</w:t>
      </w:r>
      <w:r>
        <w:rPr>
          <w:i/>
          <w:spacing w:val="-2"/>
        </w:rPr>
        <w:t> </w:t>
      </w:r>
      <w:r>
        <w:rPr>
          <w:i/>
        </w:rPr>
        <w:t>of</w:t>
      </w:r>
      <w:r>
        <w:rPr>
          <w:i/>
          <w:spacing w:val="-3"/>
        </w:rPr>
        <w:t> </w:t>
      </w:r>
      <w:r>
        <w:rPr>
          <w:i/>
        </w:rPr>
        <w:t>Cruelty</w:t>
      </w:r>
      <w:r>
        <w:rPr>
          <w:i/>
          <w:spacing w:val="-2"/>
        </w:rPr>
        <w:t> </w:t>
      </w:r>
      <w:r>
        <w:rPr>
          <w:i/>
        </w:rPr>
        <w:t>to</w:t>
      </w:r>
      <w:r>
        <w:rPr>
          <w:i/>
        </w:rPr>
        <w:t> Animals</w:t>
      </w:r>
      <w:r>
        <w:rPr>
          <w:i/>
          <w:spacing w:val="-2"/>
        </w:rPr>
        <w:t> </w:t>
      </w:r>
      <w:r>
        <w:rPr>
          <w:i/>
        </w:rPr>
        <w:t>Act</w:t>
      </w:r>
      <w:r>
        <w:rPr>
          <w:i/>
          <w:spacing w:val="-3"/>
        </w:rPr>
        <w:t> </w:t>
      </w:r>
      <w:r>
        <w:rPr>
          <w:i/>
        </w:rPr>
        <w:t>1986</w:t>
      </w:r>
      <w:r>
        <w:rPr>
          <w:i/>
          <w:spacing w:val="-2"/>
        </w:rPr>
        <w:t> </w:t>
      </w:r>
      <w:r>
        <w:rPr/>
        <w:t>(POCTA</w:t>
      </w:r>
      <w:r>
        <w:rPr>
          <w:spacing w:val="-1"/>
        </w:rPr>
        <w:t> </w:t>
      </w:r>
      <w:r>
        <w:rPr/>
        <w:t>Act)</w:t>
      </w:r>
      <w:r>
        <w:rPr>
          <w:spacing w:val="-1"/>
        </w:rPr>
        <w:t> </w:t>
      </w:r>
      <w:r>
        <w:rPr/>
        <w:t>regulations).</w:t>
      </w:r>
      <w:r>
        <w:rPr>
          <w:spacing w:val="-3"/>
        </w:rPr>
        <w:t> </w:t>
      </w:r>
      <w:r>
        <w:rPr/>
        <w:t>This</w:t>
      </w:r>
      <w:r>
        <w:rPr>
          <w:spacing w:val="-2"/>
        </w:rPr>
        <w:t> </w:t>
      </w:r>
      <w:r>
        <w:rPr/>
        <w:t>makes</w:t>
      </w:r>
      <w:r>
        <w:rPr>
          <w:spacing w:val="-2"/>
        </w:rPr>
        <w:t> </w:t>
      </w:r>
      <w:r>
        <w:rPr/>
        <w:t>it</w:t>
      </w:r>
      <w:r>
        <w:rPr>
          <w:spacing w:val="-3"/>
        </w:rPr>
        <w:t> </w:t>
      </w:r>
      <w:r>
        <w:rPr/>
        <w:t>a</w:t>
      </w:r>
      <w:r>
        <w:rPr>
          <w:spacing w:val="-1"/>
        </w:rPr>
        <w:t> </w:t>
      </w:r>
      <w:r>
        <w:rPr/>
        <w:t>more</w:t>
      </w:r>
      <w:r>
        <w:rPr>
          <w:spacing w:val="-1"/>
        </w:rPr>
        <w:t> </w:t>
      </w:r>
      <w:r>
        <w:rPr/>
        <w:t>viable</w:t>
      </w:r>
      <w:r>
        <w:rPr>
          <w:spacing w:val="-1"/>
        </w:rPr>
        <w:t> </w:t>
      </w:r>
      <w:r>
        <w:rPr/>
        <w:t>option where</w:t>
      </w:r>
      <w:r>
        <w:rPr>
          <w:spacing w:val="-3"/>
        </w:rPr>
        <w:t> </w:t>
      </w:r>
      <w:r>
        <w:rPr/>
        <w:t>baiting</w:t>
      </w:r>
      <w:r>
        <w:rPr>
          <w:spacing w:val="-3"/>
        </w:rPr>
        <w:t> </w:t>
      </w:r>
      <w:r>
        <w:rPr/>
        <w:t>is</w:t>
      </w:r>
      <w:r>
        <w:rPr>
          <w:spacing w:val="-2"/>
        </w:rPr>
        <w:t> </w:t>
      </w:r>
      <w:r>
        <w:rPr/>
        <w:t>not</w:t>
      </w:r>
      <w:r>
        <w:rPr>
          <w:spacing w:val="-3"/>
        </w:rPr>
        <w:t> </w:t>
      </w:r>
      <w:r>
        <w:rPr/>
        <w:t>suitable (i.e. e.g. in peri-urban areas), or where aerial shooting is impractical due to poor visibility and limited access or not allowed due to aviation regulations. For instance, McCann and Garcelon (2008) documented the eradication of Feral Pigs in a fenced section of Pinnacle National Park, USA, where baiting and aerial shooting</w:t>
      </w:r>
      <w:r>
        <w:rPr>
          <w:spacing w:val="-4"/>
        </w:rPr>
        <w:t> </w:t>
      </w:r>
      <w:r>
        <w:rPr/>
        <w:t>were</w:t>
      </w:r>
      <w:r>
        <w:rPr>
          <w:spacing w:val="-3"/>
        </w:rPr>
        <w:t> </w:t>
      </w:r>
      <w:r>
        <w:rPr/>
        <w:t>constrained.</w:t>
      </w:r>
      <w:r>
        <w:rPr>
          <w:spacing w:val="-1"/>
        </w:rPr>
        <w:t> </w:t>
      </w:r>
      <w:r>
        <w:rPr/>
        <w:t>Trapping</w:t>
      </w:r>
      <w:r>
        <w:rPr>
          <w:spacing w:val="-4"/>
        </w:rPr>
        <w:t> </w:t>
      </w:r>
      <w:r>
        <w:rPr/>
        <w:t>proved</w:t>
      </w:r>
      <w:r>
        <w:rPr>
          <w:spacing w:val="-4"/>
        </w:rPr>
        <w:t> </w:t>
      </w:r>
      <w:r>
        <w:rPr/>
        <w:t>more</w:t>
      </w:r>
      <w:r>
        <w:rPr>
          <w:spacing w:val="-3"/>
        </w:rPr>
        <w:t> </w:t>
      </w:r>
      <w:r>
        <w:rPr/>
        <w:t>effective</w:t>
      </w:r>
      <w:r>
        <w:rPr>
          <w:spacing w:val="-3"/>
        </w:rPr>
        <w:t> </w:t>
      </w:r>
      <w:r>
        <w:rPr/>
        <w:t>than</w:t>
      </w:r>
      <w:r>
        <w:rPr>
          <w:spacing w:val="-3"/>
        </w:rPr>
        <w:t> </w:t>
      </w:r>
      <w:r>
        <w:rPr/>
        <w:t>ground</w:t>
      </w:r>
      <w:r>
        <w:rPr>
          <w:spacing w:val="-1"/>
        </w:rPr>
        <w:t> </w:t>
      </w:r>
      <w:r>
        <w:rPr/>
        <w:t>shooting,</w:t>
      </w:r>
      <w:r>
        <w:rPr>
          <w:spacing w:val="-1"/>
        </w:rPr>
        <w:t> </w:t>
      </w:r>
      <w:r>
        <w:rPr/>
        <w:t>although</w:t>
      </w:r>
      <w:r>
        <w:rPr>
          <w:spacing w:val="-4"/>
        </w:rPr>
        <w:t> </w:t>
      </w:r>
      <w:r>
        <w:rPr/>
        <w:t>a</w:t>
      </w:r>
      <w:r>
        <w:rPr>
          <w:spacing w:val="-1"/>
        </w:rPr>
        <w:t> </w:t>
      </w:r>
      <w:r>
        <w:rPr/>
        <w:t>combination</w:t>
      </w:r>
      <w:r>
        <w:rPr>
          <w:spacing w:val="-4"/>
        </w:rPr>
        <w:t> </w:t>
      </w:r>
      <w:r>
        <w:rPr/>
        <w:t>of methods was ultimately necessary for eradication.</w:t>
      </w:r>
    </w:p>
    <w:p>
      <w:pPr>
        <w:pStyle w:val="BodyText"/>
        <w:spacing w:before="121"/>
        <w:ind w:left="112" w:right="142"/>
      </w:pPr>
      <w:r>
        <w:rPr/>
        <w:t>Various trap types have been developed for Feral Pig management. The most commonly used are box or corral traps (which use manual gates which are triggered by the animals themselves) or remote activated gates (which are triggered by the operator via cell phone and remote camera technology to confine pigs within a fenced enclosure) (Williams et al. 2011b). Innovations in trap design aim to enhance portability, increase capture rates, reduce trap-shyness, or eliminate the need for manual triggers. Examples include drop</w:t>
      </w:r>
      <w:r>
        <w:rPr>
          <w:spacing w:val="-3"/>
        </w:rPr>
        <w:t> </w:t>
      </w:r>
      <w:r>
        <w:rPr/>
        <w:t>nets,</w:t>
      </w:r>
      <w:r>
        <w:rPr>
          <w:spacing w:val="-3"/>
        </w:rPr>
        <w:t> </w:t>
      </w:r>
      <w:r>
        <w:rPr/>
        <w:t>where</w:t>
      </w:r>
      <w:r>
        <w:rPr>
          <w:spacing w:val="-3"/>
        </w:rPr>
        <w:t> </w:t>
      </w:r>
      <w:r>
        <w:rPr/>
        <w:t>weighted</w:t>
      </w:r>
      <w:r>
        <w:rPr>
          <w:spacing w:val="-1"/>
        </w:rPr>
        <w:t> </w:t>
      </w:r>
      <w:r>
        <w:rPr/>
        <w:t>nets</w:t>
      </w:r>
      <w:r>
        <w:rPr>
          <w:spacing w:val="-2"/>
        </w:rPr>
        <w:t> </w:t>
      </w:r>
      <w:r>
        <w:rPr/>
        <w:t>are</w:t>
      </w:r>
      <w:r>
        <w:rPr>
          <w:spacing w:val="-3"/>
        </w:rPr>
        <w:t> </w:t>
      </w:r>
      <w:r>
        <w:rPr/>
        <w:t>triggered</w:t>
      </w:r>
      <w:r>
        <w:rPr>
          <w:spacing w:val="-1"/>
        </w:rPr>
        <w:t> </w:t>
      </w:r>
      <w:r>
        <w:rPr/>
        <w:t>to</w:t>
      </w:r>
      <w:r>
        <w:rPr>
          <w:spacing w:val="-4"/>
        </w:rPr>
        <w:t> </w:t>
      </w:r>
      <w:r>
        <w:rPr/>
        <w:t>fall</w:t>
      </w:r>
      <w:r>
        <w:rPr>
          <w:spacing w:val="-4"/>
        </w:rPr>
        <w:t> </w:t>
      </w:r>
      <w:r>
        <w:rPr/>
        <w:t>over</w:t>
      </w:r>
      <w:r>
        <w:rPr>
          <w:spacing w:val="-3"/>
        </w:rPr>
        <w:t> </w:t>
      </w:r>
      <w:r>
        <w:rPr/>
        <w:t>pigs (Conejero</w:t>
      </w:r>
      <w:r>
        <w:rPr>
          <w:spacing w:val="-1"/>
        </w:rPr>
        <w:t> </w:t>
      </w:r>
      <w:r>
        <w:rPr/>
        <w:t>et</w:t>
      </w:r>
      <w:r>
        <w:rPr>
          <w:spacing w:val="-3"/>
        </w:rPr>
        <w:t> </w:t>
      </w:r>
      <w:r>
        <w:rPr/>
        <w:t>al.</w:t>
      </w:r>
      <w:r>
        <w:rPr>
          <w:spacing w:val="-1"/>
        </w:rPr>
        <w:t> </w:t>
      </w:r>
      <w:r>
        <w:rPr/>
        <w:t>2022);</w:t>
      </w:r>
      <w:r>
        <w:rPr>
          <w:spacing w:val="-3"/>
        </w:rPr>
        <w:t> </w:t>
      </w:r>
      <w:r>
        <w:rPr/>
        <w:t>suspended</w:t>
      </w:r>
      <w:r>
        <w:rPr>
          <w:spacing w:val="-2"/>
        </w:rPr>
        <w:t> </w:t>
      </w:r>
      <w:r>
        <w:rPr/>
        <w:t>traps,</w:t>
      </w:r>
      <w:r>
        <w:rPr>
          <w:spacing w:val="-3"/>
        </w:rPr>
        <w:t> </w:t>
      </w:r>
      <w:r>
        <w:rPr/>
        <w:t>which enclose pigs</w:t>
      </w:r>
      <w:r>
        <w:rPr>
          <w:spacing w:val="-1"/>
        </w:rPr>
        <w:t> </w:t>
      </w:r>
      <w:r>
        <w:rPr/>
        <w:t>by</w:t>
      </w:r>
      <w:r>
        <w:rPr>
          <w:spacing w:val="-1"/>
        </w:rPr>
        <w:t> </w:t>
      </w:r>
      <w:r>
        <w:rPr/>
        <w:t>lowering</w:t>
      </w:r>
      <w:r>
        <w:rPr>
          <w:spacing w:val="-3"/>
        </w:rPr>
        <w:t> </w:t>
      </w:r>
      <w:r>
        <w:rPr/>
        <w:t>the</w:t>
      </w:r>
      <w:r>
        <w:rPr>
          <w:spacing w:val="-2"/>
        </w:rPr>
        <w:t> </w:t>
      </w:r>
      <w:r>
        <w:rPr/>
        <w:t>entire</w:t>
      </w:r>
      <w:r>
        <w:rPr>
          <w:spacing w:val="-2"/>
        </w:rPr>
        <w:t> </w:t>
      </w:r>
      <w:r>
        <w:rPr/>
        <w:t>trap</w:t>
      </w:r>
      <w:r>
        <w:rPr>
          <w:spacing w:val="-2"/>
        </w:rPr>
        <w:t> </w:t>
      </w:r>
      <w:r>
        <w:rPr/>
        <w:t>around them (Gaskamp</w:t>
      </w:r>
      <w:r>
        <w:rPr>
          <w:spacing w:val="-1"/>
        </w:rPr>
        <w:t> </w:t>
      </w:r>
      <w:r>
        <w:rPr/>
        <w:t>et al. 2021);</w:t>
      </w:r>
      <w:r>
        <w:rPr>
          <w:spacing w:val="-2"/>
        </w:rPr>
        <w:t> </w:t>
      </w:r>
      <w:r>
        <w:rPr/>
        <w:t>and</w:t>
      </w:r>
      <w:r>
        <w:rPr>
          <w:spacing w:val="-1"/>
        </w:rPr>
        <w:t> </w:t>
      </w:r>
      <w:r>
        <w:rPr/>
        <w:t>proprietary ‘Pig Brig’</w:t>
      </w:r>
      <w:r>
        <w:rPr>
          <w:spacing w:val="-1"/>
        </w:rPr>
        <w:t> </w:t>
      </w:r>
      <w:r>
        <w:rPr/>
        <w:t>traps, netted one-way systems that allow pigs to enter for bait but prevent escape (Pig Brig Trap Systems 2024) (Figure 3). Gaskamp et al. (2021) compared the effectiveness of three trap types—corral traps, drop nets,</w:t>
      </w:r>
    </w:p>
    <w:p>
      <w:pPr>
        <w:spacing w:after="0"/>
        <w:sectPr>
          <w:pgSz w:w="11910" w:h="16850"/>
          <w:pgMar w:header="0" w:footer="688" w:top="1140" w:bottom="880" w:left="1020" w:right="1020"/>
        </w:sectPr>
      </w:pPr>
    </w:p>
    <w:p>
      <w:pPr>
        <w:pStyle w:val="BodyText"/>
        <w:spacing w:before="71"/>
        <w:ind w:left="112" w:right="142"/>
      </w:pPr>
      <w:r>
        <w:rPr/>
        <w:t>and</w:t>
      </w:r>
      <w:r>
        <w:rPr>
          <w:spacing w:val="-3"/>
        </w:rPr>
        <w:t> </w:t>
      </w:r>
      <w:r>
        <w:rPr/>
        <w:t>suspended</w:t>
      </w:r>
      <w:r>
        <w:rPr>
          <w:spacing w:val="-4"/>
        </w:rPr>
        <w:t> </w:t>
      </w:r>
      <w:r>
        <w:rPr/>
        <w:t>traps—finding</w:t>
      </w:r>
      <w:r>
        <w:rPr>
          <w:spacing w:val="-4"/>
        </w:rPr>
        <w:t> </w:t>
      </w:r>
      <w:r>
        <w:rPr/>
        <w:t>they</w:t>
      </w:r>
      <w:r>
        <w:rPr>
          <w:spacing w:val="-2"/>
        </w:rPr>
        <w:t> </w:t>
      </w:r>
      <w:r>
        <w:rPr/>
        <w:t>achieved</w:t>
      </w:r>
      <w:r>
        <w:rPr>
          <w:spacing w:val="-4"/>
        </w:rPr>
        <w:t> </w:t>
      </w:r>
      <w:r>
        <w:rPr/>
        <w:t>reductions</w:t>
      </w:r>
      <w:r>
        <w:rPr>
          <w:spacing w:val="-2"/>
        </w:rPr>
        <w:t> </w:t>
      </w:r>
      <w:r>
        <w:rPr/>
        <w:t>of</w:t>
      </w:r>
      <w:r>
        <w:rPr>
          <w:spacing w:val="-3"/>
        </w:rPr>
        <w:t> </w:t>
      </w:r>
      <w:r>
        <w:rPr/>
        <w:t>88.1%,</w:t>
      </w:r>
      <w:r>
        <w:rPr>
          <w:spacing w:val="-3"/>
        </w:rPr>
        <w:t> </w:t>
      </w:r>
      <w:r>
        <w:rPr/>
        <w:t>85.7%,</w:t>
      </w:r>
      <w:r>
        <w:rPr>
          <w:spacing w:val="-3"/>
        </w:rPr>
        <w:t> </w:t>
      </w:r>
      <w:r>
        <w:rPr/>
        <w:t>and</w:t>
      </w:r>
      <w:r>
        <w:rPr>
          <w:spacing w:val="-3"/>
        </w:rPr>
        <w:t> </w:t>
      </w:r>
      <w:r>
        <w:rPr/>
        <w:t>48.7%</w:t>
      </w:r>
      <w:r>
        <w:rPr>
          <w:spacing w:val="-3"/>
        </w:rPr>
        <w:t> </w:t>
      </w:r>
      <w:r>
        <w:rPr/>
        <w:t>in</w:t>
      </w:r>
      <w:r>
        <w:rPr>
          <w:spacing w:val="-1"/>
        </w:rPr>
        <w:t> </w:t>
      </w:r>
      <w:r>
        <w:rPr/>
        <w:t>estimated Feral</w:t>
      </w:r>
      <w:r>
        <w:rPr>
          <w:spacing w:val="-2"/>
        </w:rPr>
        <w:t> </w:t>
      </w:r>
      <w:r>
        <w:rPr/>
        <w:t>Pig populations, respectively. The authors highlighted the ability of drop nets and suspended traps to capture entire sounders as a significant advantage.</w:t>
      </w:r>
    </w:p>
    <w:p>
      <w:pPr>
        <w:pStyle w:val="BodyText"/>
        <w:spacing w:before="6"/>
        <w:rPr>
          <w:sz w:val="8"/>
        </w:rPr>
      </w:pPr>
      <w:r>
        <w:rPr/>
        <mc:AlternateContent>
          <mc:Choice Requires="wps">
            <w:drawing>
              <wp:anchor distT="0" distB="0" distL="0" distR="0" allowOverlap="1" layoutInCell="1" locked="0" behindDoc="1" simplePos="0" relativeHeight="487603200">
                <wp:simplePos x="0" y="0"/>
                <wp:positionH relativeFrom="page">
                  <wp:posOffset>755370</wp:posOffset>
                </wp:positionH>
                <wp:positionV relativeFrom="paragraph">
                  <wp:posOffset>77634</wp:posOffset>
                </wp:positionV>
                <wp:extent cx="6072505" cy="2237105"/>
                <wp:effectExtent l="0" t="0" r="0" b="0"/>
                <wp:wrapTopAndBottom/>
                <wp:docPr id="63" name="Group 63"/>
                <wp:cNvGraphicFramePr>
                  <a:graphicFrameLocks/>
                </wp:cNvGraphicFramePr>
                <a:graphic>
                  <a:graphicData uri="http://schemas.microsoft.com/office/word/2010/wordprocessingGroup">
                    <wpg:wgp>
                      <wpg:cNvPr id="63" name="Group 63"/>
                      <wpg:cNvGrpSpPr/>
                      <wpg:grpSpPr>
                        <a:xfrm>
                          <a:off x="0" y="0"/>
                          <a:ext cx="6072505" cy="2237105"/>
                          <a:chExt cx="6072505" cy="2237105"/>
                        </a:xfrm>
                      </wpg:grpSpPr>
                      <pic:pic>
                        <pic:nvPicPr>
                          <pic:cNvPr id="64" name="Image 64" descr="Hog trap - Trapperman Forums"/>
                          <pic:cNvPicPr/>
                        </pic:nvPicPr>
                        <pic:blipFill>
                          <a:blip r:embed="rId39" cstate="print"/>
                          <a:stretch>
                            <a:fillRect/>
                          </a:stretch>
                        </pic:blipFill>
                        <pic:spPr>
                          <a:xfrm>
                            <a:off x="0" y="0"/>
                            <a:ext cx="3064510" cy="2236724"/>
                          </a:xfrm>
                          <a:prstGeom prst="rect">
                            <a:avLst/>
                          </a:prstGeom>
                        </pic:spPr>
                      </pic:pic>
                      <pic:pic>
                        <pic:nvPicPr>
                          <pic:cNvPr id="65" name="Image 65" descr="BoarBuster"/>
                          <pic:cNvPicPr/>
                        </pic:nvPicPr>
                        <pic:blipFill>
                          <a:blip r:embed="rId40" cstate="print"/>
                          <a:stretch>
                            <a:fillRect/>
                          </a:stretch>
                        </pic:blipFill>
                        <pic:spPr>
                          <a:xfrm>
                            <a:off x="3099841" y="0"/>
                            <a:ext cx="2972181" cy="2237104"/>
                          </a:xfrm>
                          <a:prstGeom prst="rect">
                            <a:avLst/>
                          </a:prstGeom>
                        </pic:spPr>
                      </pic:pic>
                      <wps:wsp>
                        <wps:cNvPr id="66" name="Textbox 66"/>
                        <wps:cNvSpPr txBox="1"/>
                        <wps:spPr>
                          <a:xfrm>
                            <a:off x="21234" y="65576"/>
                            <a:ext cx="269875" cy="141605"/>
                          </a:xfrm>
                          <a:prstGeom prst="rect">
                            <a:avLst/>
                          </a:prstGeom>
                        </wps:spPr>
                        <wps:txbx>
                          <w:txbxContent>
                            <w:p>
                              <w:pPr>
                                <w:spacing w:line="223" w:lineRule="exact" w:before="0"/>
                                <w:ind w:left="0" w:right="0" w:firstLine="0"/>
                                <w:jc w:val="left"/>
                                <w:rPr>
                                  <w:sz w:val="20"/>
                                </w:rPr>
                              </w:pPr>
                              <w:r>
                                <w:rPr>
                                  <w:color w:val="000000"/>
                                  <w:spacing w:val="29"/>
                                  <w:sz w:val="20"/>
                                  <w:shd w:fill="FFFFFF" w:color="auto" w:val="clear"/>
                                </w:rPr>
                                <w:t> </w:t>
                              </w:r>
                              <w:r>
                                <w:rPr>
                                  <w:color w:val="000000"/>
                                  <w:spacing w:val="-7"/>
                                  <w:sz w:val="20"/>
                                  <w:shd w:fill="FFFFFF" w:color="auto" w:val="clear"/>
                                </w:rPr>
                                <w:t>a)</w:t>
                              </w:r>
                              <w:r>
                                <w:rPr>
                                  <w:color w:val="000000"/>
                                  <w:spacing w:val="40"/>
                                  <w:sz w:val="20"/>
                                  <w:shd w:fill="FFFFFF" w:color="auto" w:val="clear"/>
                                </w:rPr>
                                <w:t> </w:t>
                              </w:r>
                            </w:p>
                          </w:txbxContent>
                        </wps:txbx>
                        <wps:bodyPr wrap="square" lIns="0" tIns="0" rIns="0" bIns="0" rtlCol="0">
                          <a:noAutofit/>
                        </wps:bodyPr>
                      </wps:wsp>
                      <wps:wsp>
                        <wps:cNvPr id="67" name="Textbox 67"/>
                        <wps:cNvSpPr txBox="1"/>
                        <wps:spPr>
                          <a:xfrm>
                            <a:off x="3140989" y="51860"/>
                            <a:ext cx="269875" cy="141605"/>
                          </a:xfrm>
                          <a:prstGeom prst="rect">
                            <a:avLst/>
                          </a:prstGeom>
                        </wps:spPr>
                        <wps:txbx>
                          <w:txbxContent>
                            <w:p>
                              <w:pPr>
                                <w:spacing w:line="223" w:lineRule="exact" w:before="0"/>
                                <w:ind w:left="0" w:right="0" w:firstLine="0"/>
                                <w:jc w:val="left"/>
                                <w:rPr>
                                  <w:sz w:val="20"/>
                                </w:rPr>
                              </w:pPr>
                              <w:r>
                                <w:rPr>
                                  <w:color w:val="000000"/>
                                  <w:spacing w:val="29"/>
                                  <w:sz w:val="20"/>
                                  <w:shd w:fill="FFFFFF" w:color="auto" w:val="clear"/>
                                </w:rPr>
                                <w:t> </w:t>
                              </w:r>
                              <w:r>
                                <w:rPr>
                                  <w:color w:val="000000"/>
                                  <w:spacing w:val="-7"/>
                                  <w:sz w:val="20"/>
                                  <w:shd w:fill="FFFFFF" w:color="auto" w:val="clear"/>
                                </w:rPr>
                                <w:t>b)</w:t>
                              </w:r>
                              <w:r>
                                <w:rPr>
                                  <w:color w:val="000000"/>
                                  <w:spacing w:val="40"/>
                                  <w:sz w:val="20"/>
                                  <w:shd w:fill="FFFFFF" w:color="auto" w:val="clear"/>
                                </w:rPr>
                                <w:t> </w:t>
                              </w:r>
                            </w:p>
                          </w:txbxContent>
                        </wps:txbx>
                        <wps:bodyPr wrap="square" lIns="0" tIns="0" rIns="0" bIns="0" rtlCol="0">
                          <a:noAutofit/>
                        </wps:bodyPr>
                      </wps:wsp>
                    </wpg:wgp>
                  </a:graphicData>
                </a:graphic>
              </wp:anchor>
            </w:drawing>
          </mc:Choice>
          <mc:Fallback>
            <w:pict>
              <v:group style="position:absolute;margin-left:59.478001pt;margin-top:6.11293pt;width:478.15pt;height:176.15pt;mso-position-horizontal-relative:page;mso-position-vertical-relative:paragraph;z-index:-15713280;mso-wrap-distance-left:0;mso-wrap-distance-right:0" id="docshapegroup39" coordorigin="1190,122" coordsize="9563,3523">
                <v:shape style="position:absolute;left:1189;top:122;width:4826;height:3523" type="#_x0000_t75" id="docshape40" alt="Hog trap - Trapperman Forums" stroked="false">
                  <v:imagedata r:id="rId39" o:title=""/>
                </v:shape>
                <v:shape style="position:absolute;left:6071;top:122;width:4681;height:3523" type="#_x0000_t75" id="docshape41" alt="BoarBuster" stroked="false">
                  <v:imagedata r:id="rId40" o:title=""/>
                </v:shape>
                <v:shape style="position:absolute;left:1223;top:225;width:425;height:223" type="#_x0000_t202" id="docshape42" filled="false" stroked="false">
                  <v:textbox inset="0,0,0,0">
                    <w:txbxContent>
                      <w:p>
                        <w:pPr>
                          <w:spacing w:line="223" w:lineRule="exact" w:before="0"/>
                          <w:ind w:left="0" w:right="0" w:firstLine="0"/>
                          <w:jc w:val="left"/>
                          <w:rPr>
                            <w:sz w:val="20"/>
                          </w:rPr>
                        </w:pPr>
                        <w:r>
                          <w:rPr>
                            <w:color w:val="000000"/>
                            <w:spacing w:val="29"/>
                            <w:sz w:val="20"/>
                            <w:shd w:fill="FFFFFF" w:color="auto" w:val="clear"/>
                          </w:rPr>
                          <w:t> </w:t>
                        </w:r>
                        <w:r>
                          <w:rPr>
                            <w:color w:val="000000"/>
                            <w:spacing w:val="-7"/>
                            <w:sz w:val="20"/>
                            <w:shd w:fill="FFFFFF" w:color="auto" w:val="clear"/>
                          </w:rPr>
                          <w:t>a)</w:t>
                        </w:r>
                        <w:r>
                          <w:rPr>
                            <w:color w:val="000000"/>
                            <w:spacing w:val="40"/>
                            <w:sz w:val="20"/>
                            <w:shd w:fill="FFFFFF" w:color="auto" w:val="clear"/>
                          </w:rPr>
                          <w:t> </w:t>
                        </w:r>
                      </w:p>
                    </w:txbxContent>
                  </v:textbox>
                  <w10:wrap type="none"/>
                </v:shape>
                <v:shape style="position:absolute;left:6136;top:203;width:425;height:223" type="#_x0000_t202" id="docshape43" filled="false" stroked="false">
                  <v:textbox inset="0,0,0,0">
                    <w:txbxContent>
                      <w:p>
                        <w:pPr>
                          <w:spacing w:line="223" w:lineRule="exact" w:before="0"/>
                          <w:ind w:left="0" w:right="0" w:firstLine="0"/>
                          <w:jc w:val="left"/>
                          <w:rPr>
                            <w:sz w:val="20"/>
                          </w:rPr>
                        </w:pPr>
                        <w:r>
                          <w:rPr>
                            <w:color w:val="000000"/>
                            <w:spacing w:val="29"/>
                            <w:sz w:val="20"/>
                            <w:shd w:fill="FFFFFF" w:color="auto" w:val="clear"/>
                          </w:rPr>
                          <w:t> </w:t>
                        </w:r>
                        <w:r>
                          <w:rPr>
                            <w:color w:val="000000"/>
                            <w:spacing w:val="-7"/>
                            <w:sz w:val="20"/>
                            <w:shd w:fill="FFFFFF" w:color="auto" w:val="clear"/>
                          </w:rPr>
                          <w:t>b)</w:t>
                        </w:r>
                        <w:r>
                          <w:rPr>
                            <w:color w:val="000000"/>
                            <w:spacing w:val="40"/>
                            <w:sz w:val="20"/>
                            <w:shd w:fill="FFFFFF" w:color="auto" w:val="clear"/>
                          </w:rPr>
                          <w:t> </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3712">
                <wp:simplePos x="0" y="0"/>
                <wp:positionH relativeFrom="page">
                  <wp:posOffset>755370</wp:posOffset>
                </wp:positionH>
                <wp:positionV relativeFrom="paragraph">
                  <wp:posOffset>2391066</wp:posOffset>
                </wp:positionV>
                <wp:extent cx="3064510" cy="2298700"/>
                <wp:effectExtent l="0" t="0" r="0" b="0"/>
                <wp:wrapTopAndBottom/>
                <wp:docPr id="68" name="Group 68" descr="net pig trap with corn bait in the center"/>
                <wp:cNvGraphicFramePr>
                  <a:graphicFrameLocks/>
                </wp:cNvGraphicFramePr>
                <a:graphic>
                  <a:graphicData uri="http://schemas.microsoft.com/office/word/2010/wordprocessingGroup">
                    <wpg:wgp>
                      <wpg:cNvPr id="68" name="Group 68" descr="net pig trap with corn bait in the center"/>
                      <wpg:cNvGrpSpPr/>
                      <wpg:grpSpPr>
                        <a:xfrm>
                          <a:off x="0" y="0"/>
                          <a:ext cx="3064510" cy="2298700"/>
                          <a:chExt cx="3064510" cy="2298700"/>
                        </a:xfrm>
                      </wpg:grpSpPr>
                      <pic:pic>
                        <pic:nvPicPr>
                          <pic:cNvPr id="69" name="Image 69" descr="net pig trap with corn bait in the center"/>
                          <pic:cNvPicPr/>
                        </pic:nvPicPr>
                        <pic:blipFill>
                          <a:blip r:embed="rId41" cstate="print"/>
                          <a:stretch>
                            <a:fillRect/>
                          </a:stretch>
                        </pic:blipFill>
                        <pic:spPr>
                          <a:xfrm>
                            <a:off x="0" y="0"/>
                            <a:ext cx="3064129" cy="2298573"/>
                          </a:xfrm>
                          <a:prstGeom prst="rect">
                            <a:avLst/>
                          </a:prstGeom>
                        </pic:spPr>
                      </pic:pic>
                      <wps:wsp>
                        <wps:cNvPr id="70" name="Textbox 70"/>
                        <wps:cNvSpPr txBox="1"/>
                        <wps:spPr>
                          <a:xfrm>
                            <a:off x="21234" y="58337"/>
                            <a:ext cx="269875" cy="141605"/>
                          </a:xfrm>
                          <a:prstGeom prst="rect">
                            <a:avLst/>
                          </a:prstGeom>
                        </wps:spPr>
                        <wps:txbx>
                          <w:txbxContent>
                            <w:p>
                              <w:pPr>
                                <w:spacing w:line="223" w:lineRule="exact" w:before="0"/>
                                <w:ind w:left="0" w:right="0" w:firstLine="0"/>
                                <w:jc w:val="left"/>
                                <w:rPr>
                                  <w:sz w:val="20"/>
                                </w:rPr>
                              </w:pPr>
                              <w:r>
                                <w:rPr>
                                  <w:color w:val="000000"/>
                                  <w:spacing w:val="29"/>
                                  <w:sz w:val="20"/>
                                  <w:shd w:fill="FFFFFF" w:color="auto" w:val="clear"/>
                                </w:rPr>
                                <w:t> </w:t>
                              </w:r>
                              <w:r>
                                <w:rPr>
                                  <w:color w:val="000000"/>
                                  <w:spacing w:val="-7"/>
                                  <w:sz w:val="20"/>
                                  <w:shd w:fill="FFFFFF" w:color="auto" w:val="clear"/>
                                </w:rPr>
                                <w:t>c)</w:t>
                              </w:r>
                              <w:r>
                                <w:rPr>
                                  <w:color w:val="000000"/>
                                  <w:spacing w:val="40"/>
                                  <w:sz w:val="20"/>
                                  <w:shd w:fill="FFFFFF" w:color="auto" w:val="clear"/>
                                </w:rPr>
                                <w:t> </w:t>
                              </w:r>
                            </w:p>
                          </w:txbxContent>
                        </wps:txbx>
                        <wps:bodyPr wrap="square" lIns="0" tIns="0" rIns="0" bIns="0" rtlCol="0">
                          <a:noAutofit/>
                        </wps:bodyPr>
                      </wps:wsp>
                    </wpg:wgp>
                  </a:graphicData>
                </a:graphic>
              </wp:anchor>
            </w:drawing>
          </mc:Choice>
          <mc:Fallback>
            <w:pict>
              <v:group style="position:absolute;margin-left:59.478001pt;margin-top:188.272934pt;width:241.3pt;height:181pt;mso-position-horizontal-relative:page;mso-position-vertical-relative:paragraph;z-index:-15712768;mso-wrap-distance-left:0;mso-wrap-distance-right:0" id="docshapegroup44" coordorigin="1190,3765" coordsize="4826,3620" alt="net pig trap with corn bait in the center">
                <v:shape style="position:absolute;left:1189;top:3765;width:4826;height:3620" type="#_x0000_t75" id="docshape45" alt="net pig trap with corn bait in the center" stroked="false">
                  <v:imagedata r:id="rId41" o:title=""/>
                </v:shape>
                <v:shape style="position:absolute;left:1223;top:3857;width:425;height:223" type="#_x0000_t202" id="docshape46" filled="false" stroked="false">
                  <v:textbox inset="0,0,0,0">
                    <w:txbxContent>
                      <w:p>
                        <w:pPr>
                          <w:spacing w:line="223" w:lineRule="exact" w:before="0"/>
                          <w:ind w:left="0" w:right="0" w:firstLine="0"/>
                          <w:jc w:val="left"/>
                          <w:rPr>
                            <w:sz w:val="20"/>
                          </w:rPr>
                        </w:pPr>
                        <w:r>
                          <w:rPr>
                            <w:color w:val="000000"/>
                            <w:spacing w:val="29"/>
                            <w:sz w:val="20"/>
                            <w:shd w:fill="FFFFFF" w:color="auto" w:val="clear"/>
                          </w:rPr>
                          <w:t> </w:t>
                        </w:r>
                        <w:r>
                          <w:rPr>
                            <w:color w:val="000000"/>
                            <w:spacing w:val="-7"/>
                            <w:sz w:val="20"/>
                            <w:shd w:fill="FFFFFF" w:color="auto" w:val="clear"/>
                          </w:rPr>
                          <w:t>c)</w:t>
                        </w:r>
                        <w:r>
                          <w:rPr>
                            <w:color w:val="000000"/>
                            <w:spacing w:val="40"/>
                            <w:sz w:val="20"/>
                            <w:shd w:fill="FFFFFF" w:color="auto" w:val="clear"/>
                          </w:rPr>
                          <w:t> </w:t>
                        </w:r>
                      </w:p>
                    </w:txbxContent>
                  </v:textbox>
                  <w10:wrap type="none"/>
                </v:shape>
                <w10:wrap type="topAndBottom"/>
              </v:group>
            </w:pict>
          </mc:Fallback>
        </mc:AlternateContent>
      </w:r>
    </w:p>
    <w:p>
      <w:pPr>
        <w:pStyle w:val="BodyText"/>
        <w:spacing w:before="4"/>
        <w:rPr>
          <w:sz w:val="8"/>
        </w:rPr>
      </w:pPr>
    </w:p>
    <w:p>
      <w:pPr>
        <w:pStyle w:val="Heading7"/>
        <w:spacing w:before="120"/>
      </w:pPr>
      <w:bookmarkStart w:name="_bookmark7" w:id="49"/>
      <w:bookmarkEnd w:id="49"/>
      <w:r>
        <w:rPr>
          <w:b w:val="0"/>
        </w:rPr>
      </w:r>
      <w:r>
        <w:rPr>
          <w:color w:val="1F1546"/>
        </w:rPr>
        <w:t>Figure</w:t>
      </w:r>
      <w:r>
        <w:rPr>
          <w:color w:val="1F1546"/>
          <w:spacing w:val="-5"/>
        </w:rPr>
        <w:t> </w:t>
      </w:r>
      <w:r>
        <w:rPr>
          <w:color w:val="1F1546"/>
        </w:rPr>
        <w:t>3.</w:t>
      </w:r>
      <w:r>
        <w:rPr>
          <w:color w:val="1F1546"/>
          <w:spacing w:val="-6"/>
        </w:rPr>
        <w:t> </w:t>
      </w:r>
      <w:r>
        <w:rPr>
          <w:color w:val="1F1546"/>
        </w:rPr>
        <w:t>The</w:t>
      </w:r>
      <w:r>
        <w:rPr>
          <w:color w:val="1F1546"/>
          <w:spacing w:val="-6"/>
        </w:rPr>
        <w:t> </w:t>
      </w:r>
      <w:r>
        <w:rPr>
          <w:color w:val="1F1546"/>
        </w:rPr>
        <w:t>range</w:t>
      </w:r>
      <w:r>
        <w:rPr>
          <w:color w:val="1F1546"/>
          <w:spacing w:val="-5"/>
        </w:rPr>
        <w:t> </w:t>
      </w:r>
      <w:r>
        <w:rPr>
          <w:color w:val="1F1546"/>
        </w:rPr>
        <w:t>of</w:t>
      </w:r>
      <w:r>
        <w:rPr>
          <w:color w:val="1F1546"/>
          <w:spacing w:val="-5"/>
        </w:rPr>
        <w:t> </w:t>
      </w:r>
      <w:r>
        <w:rPr>
          <w:color w:val="1F1546"/>
        </w:rPr>
        <w:t>traps</w:t>
      </w:r>
      <w:r>
        <w:rPr>
          <w:color w:val="1F1546"/>
          <w:spacing w:val="-6"/>
        </w:rPr>
        <w:t> </w:t>
      </w:r>
      <w:r>
        <w:rPr>
          <w:color w:val="1F1546"/>
        </w:rPr>
        <w:t>available</w:t>
      </w:r>
      <w:r>
        <w:rPr>
          <w:color w:val="1F1546"/>
          <w:spacing w:val="-5"/>
        </w:rPr>
        <w:t> </w:t>
      </w:r>
      <w:r>
        <w:rPr>
          <w:color w:val="1F1546"/>
        </w:rPr>
        <w:t>to</w:t>
      </w:r>
      <w:r>
        <w:rPr>
          <w:color w:val="1F1546"/>
          <w:spacing w:val="-5"/>
        </w:rPr>
        <w:t> </w:t>
      </w:r>
      <w:r>
        <w:rPr>
          <w:color w:val="1F1546"/>
        </w:rPr>
        <w:t>capture</w:t>
      </w:r>
      <w:r>
        <w:rPr>
          <w:color w:val="1F1546"/>
          <w:spacing w:val="-2"/>
        </w:rPr>
        <w:t> </w:t>
      </w:r>
      <w:r>
        <w:rPr>
          <w:color w:val="1F1546"/>
        </w:rPr>
        <w:t>Feral</w:t>
      </w:r>
      <w:r>
        <w:rPr>
          <w:color w:val="1F1546"/>
          <w:spacing w:val="-4"/>
        </w:rPr>
        <w:t> </w:t>
      </w:r>
      <w:r>
        <w:rPr>
          <w:color w:val="1F1546"/>
        </w:rPr>
        <w:t>Pigs</w:t>
      </w:r>
      <w:r>
        <w:rPr>
          <w:color w:val="1F1546"/>
          <w:spacing w:val="-5"/>
        </w:rPr>
        <w:t> </w:t>
      </w:r>
      <w:r>
        <w:rPr>
          <w:color w:val="1F1546"/>
        </w:rPr>
        <w:t>in</w:t>
      </w:r>
      <w:r>
        <w:rPr>
          <w:color w:val="1F1546"/>
          <w:spacing w:val="-3"/>
        </w:rPr>
        <w:t> </w:t>
      </w:r>
      <w:r>
        <w:rPr>
          <w:color w:val="1F1546"/>
        </w:rPr>
        <w:t>Victoria:</w:t>
      </w:r>
      <w:r>
        <w:rPr>
          <w:color w:val="1F1546"/>
          <w:spacing w:val="-5"/>
        </w:rPr>
        <w:t> </w:t>
      </w:r>
      <w:r>
        <w:rPr>
          <w:color w:val="1F1546"/>
        </w:rPr>
        <w:t>a)</w:t>
      </w:r>
      <w:r>
        <w:rPr>
          <w:color w:val="1F1546"/>
          <w:spacing w:val="-6"/>
        </w:rPr>
        <w:t> </w:t>
      </w:r>
      <w:r>
        <w:rPr>
          <w:color w:val="1F1546"/>
        </w:rPr>
        <w:t>box</w:t>
      </w:r>
      <w:r>
        <w:rPr>
          <w:color w:val="1F1546"/>
          <w:spacing w:val="-4"/>
        </w:rPr>
        <w:t> </w:t>
      </w:r>
      <w:r>
        <w:rPr>
          <w:color w:val="1F1546"/>
        </w:rPr>
        <w:t>or</w:t>
      </w:r>
      <w:r>
        <w:rPr>
          <w:color w:val="1F1546"/>
          <w:spacing w:val="-5"/>
        </w:rPr>
        <w:t> </w:t>
      </w:r>
      <w:r>
        <w:rPr>
          <w:color w:val="1F1546"/>
        </w:rPr>
        <w:t>corral</w:t>
      </w:r>
      <w:r>
        <w:rPr>
          <w:color w:val="1F1546"/>
          <w:spacing w:val="-4"/>
        </w:rPr>
        <w:t> </w:t>
      </w:r>
      <w:r>
        <w:rPr>
          <w:color w:val="1F1546"/>
        </w:rPr>
        <w:t>style</w:t>
      </w:r>
      <w:r>
        <w:rPr>
          <w:color w:val="1F1546"/>
          <w:spacing w:val="-4"/>
        </w:rPr>
        <w:t> </w:t>
      </w:r>
      <w:r>
        <w:rPr>
          <w:color w:val="1F1546"/>
          <w:spacing w:val="-2"/>
        </w:rPr>
        <w:t>trap;</w:t>
      </w:r>
    </w:p>
    <w:p>
      <w:pPr>
        <w:spacing w:before="1"/>
        <w:ind w:left="112" w:right="0" w:firstLine="0"/>
        <w:jc w:val="left"/>
        <w:rPr>
          <w:b/>
          <w:sz w:val="20"/>
        </w:rPr>
      </w:pPr>
      <w:r>
        <w:rPr>
          <w:b/>
          <w:color w:val="1F1546"/>
          <w:sz w:val="20"/>
        </w:rPr>
        <w:t>b)</w:t>
      </w:r>
      <w:r>
        <w:rPr>
          <w:b/>
          <w:color w:val="1F1546"/>
          <w:spacing w:val="-3"/>
          <w:sz w:val="20"/>
        </w:rPr>
        <w:t> </w:t>
      </w:r>
      <w:r>
        <w:rPr>
          <w:b/>
          <w:color w:val="1F1546"/>
          <w:sz w:val="20"/>
        </w:rPr>
        <w:t>suspended</w:t>
      </w:r>
      <w:r>
        <w:rPr>
          <w:b/>
          <w:color w:val="1F1546"/>
          <w:spacing w:val="-5"/>
          <w:sz w:val="20"/>
        </w:rPr>
        <w:t> </w:t>
      </w:r>
      <w:r>
        <w:rPr>
          <w:b/>
          <w:color w:val="1F1546"/>
          <w:sz w:val="20"/>
        </w:rPr>
        <w:t>style</w:t>
      </w:r>
      <w:r>
        <w:rPr>
          <w:b/>
          <w:color w:val="1F1546"/>
          <w:spacing w:val="-6"/>
          <w:sz w:val="20"/>
        </w:rPr>
        <w:t> </w:t>
      </w:r>
      <w:r>
        <w:rPr>
          <w:b/>
          <w:color w:val="1F1546"/>
          <w:sz w:val="20"/>
        </w:rPr>
        <w:t>trap;</w:t>
      </w:r>
      <w:r>
        <w:rPr>
          <w:b/>
          <w:color w:val="1F1546"/>
          <w:spacing w:val="-4"/>
          <w:sz w:val="20"/>
        </w:rPr>
        <w:t> </w:t>
      </w:r>
      <w:r>
        <w:rPr>
          <w:b/>
          <w:color w:val="1F1546"/>
          <w:sz w:val="20"/>
        </w:rPr>
        <w:t>and</w:t>
      </w:r>
      <w:r>
        <w:rPr>
          <w:b/>
          <w:color w:val="1F1546"/>
          <w:spacing w:val="-4"/>
          <w:sz w:val="20"/>
        </w:rPr>
        <w:t> </w:t>
      </w:r>
      <w:r>
        <w:rPr>
          <w:b/>
          <w:color w:val="1F1546"/>
          <w:sz w:val="20"/>
        </w:rPr>
        <w:t>c)</w:t>
      </w:r>
      <w:r>
        <w:rPr>
          <w:b/>
          <w:color w:val="1F1546"/>
          <w:spacing w:val="-4"/>
          <w:sz w:val="20"/>
        </w:rPr>
        <w:t> </w:t>
      </w:r>
      <w:r>
        <w:rPr>
          <w:b/>
          <w:color w:val="1F1546"/>
          <w:sz w:val="20"/>
        </w:rPr>
        <w:t>a</w:t>
      </w:r>
      <w:r>
        <w:rPr>
          <w:b/>
          <w:color w:val="1F1546"/>
          <w:spacing w:val="-3"/>
          <w:sz w:val="20"/>
        </w:rPr>
        <w:t> </w:t>
      </w:r>
      <w:r>
        <w:rPr>
          <w:b/>
          <w:color w:val="1F1546"/>
          <w:sz w:val="20"/>
        </w:rPr>
        <w:t>Pig</w:t>
      </w:r>
      <w:r>
        <w:rPr>
          <w:b/>
          <w:color w:val="1F1546"/>
          <w:spacing w:val="-5"/>
          <w:sz w:val="20"/>
        </w:rPr>
        <w:t> </w:t>
      </w:r>
      <w:r>
        <w:rPr>
          <w:b/>
          <w:color w:val="1F1546"/>
          <w:sz w:val="20"/>
        </w:rPr>
        <w:t>Brig</w:t>
      </w:r>
      <w:r>
        <w:rPr>
          <w:b/>
          <w:color w:val="1F1546"/>
          <w:spacing w:val="-5"/>
          <w:sz w:val="20"/>
        </w:rPr>
        <w:t> </w:t>
      </w:r>
      <w:r>
        <w:rPr>
          <w:b/>
          <w:color w:val="1F1546"/>
          <w:sz w:val="20"/>
        </w:rPr>
        <w:t>Trap</w:t>
      </w:r>
      <w:r>
        <w:rPr>
          <w:b/>
          <w:color w:val="1F1546"/>
          <w:spacing w:val="-2"/>
          <w:sz w:val="20"/>
        </w:rPr>
        <w:t> System.</w:t>
      </w:r>
    </w:p>
    <w:p>
      <w:pPr>
        <w:pStyle w:val="BodyText"/>
        <w:spacing w:before="159"/>
        <w:rPr>
          <w:b/>
        </w:rPr>
      </w:pPr>
    </w:p>
    <w:p>
      <w:pPr>
        <w:pStyle w:val="BodyText"/>
        <w:ind w:left="112" w:right="222"/>
      </w:pPr>
      <w:r>
        <w:rPr/>
        <w:t>Numerous studies have assessed the effectiveness of trapping for population control, yielding varied outcomes. For example, Mitchell (1998) reported only a 16% reduction in Feral Pig populations in North Queensland,</w:t>
      </w:r>
      <w:r>
        <w:rPr>
          <w:spacing w:val="-3"/>
        </w:rPr>
        <w:t> </w:t>
      </w:r>
      <w:r>
        <w:rPr/>
        <w:t>likely due</w:t>
      </w:r>
      <w:r>
        <w:rPr>
          <w:spacing w:val="-1"/>
        </w:rPr>
        <w:t> </w:t>
      </w:r>
      <w:r>
        <w:rPr/>
        <w:t>to</w:t>
      </w:r>
      <w:r>
        <w:rPr>
          <w:spacing w:val="-4"/>
        </w:rPr>
        <w:t> </w:t>
      </w:r>
      <w:r>
        <w:rPr/>
        <w:t>the</w:t>
      </w:r>
      <w:r>
        <w:rPr>
          <w:spacing w:val="-4"/>
        </w:rPr>
        <w:t> </w:t>
      </w:r>
      <w:r>
        <w:rPr/>
        <w:t>limited</w:t>
      </w:r>
      <w:r>
        <w:rPr>
          <w:spacing w:val="-3"/>
        </w:rPr>
        <w:t> </w:t>
      </w:r>
      <w:r>
        <w:rPr/>
        <w:t>deployment</w:t>
      </w:r>
      <w:r>
        <w:rPr>
          <w:spacing w:val="-3"/>
        </w:rPr>
        <w:t> </w:t>
      </w:r>
      <w:r>
        <w:rPr/>
        <w:t>of</w:t>
      </w:r>
      <w:r>
        <w:rPr>
          <w:spacing w:val="-1"/>
        </w:rPr>
        <w:t> </w:t>
      </w:r>
      <w:r>
        <w:rPr/>
        <w:t>four</w:t>
      </w:r>
      <w:r>
        <w:rPr>
          <w:spacing w:val="-3"/>
        </w:rPr>
        <w:t> </w:t>
      </w:r>
      <w:r>
        <w:rPr/>
        <w:t>traps</w:t>
      </w:r>
      <w:r>
        <w:rPr>
          <w:spacing w:val="-2"/>
        </w:rPr>
        <w:t> </w:t>
      </w:r>
      <w:r>
        <w:rPr/>
        <w:t>over</w:t>
      </w:r>
      <w:r>
        <w:rPr>
          <w:spacing w:val="-3"/>
        </w:rPr>
        <w:t> </w:t>
      </w:r>
      <w:r>
        <w:rPr/>
        <w:t>six</w:t>
      </w:r>
      <w:r>
        <w:rPr>
          <w:spacing w:val="-2"/>
        </w:rPr>
        <w:t> </w:t>
      </w:r>
      <w:r>
        <w:rPr/>
        <w:t>days</w:t>
      </w:r>
      <w:r>
        <w:rPr>
          <w:spacing w:val="-2"/>
        </w:rPr>
        <w:t> </w:t>
      </w:r>
      <w:r>
        <w:rPr/>
        <w:t>and</w:t>
      </w:r>
      <w:r>
        <w:rPr>
          <w:spacing w:val="-1"/>
        </w:rPr>
        <w:t> </w:t>
      </w:r>
      <w:r>
        <w:rPr/>
        <w:t>the</w:t>
      </w:r>
      <w:r>
        <w:rPr>
          <w:spacing w:val="-4"/>
        </w:rPr>
        <w:t> </w:t>
      </w:r>
      <w:r>
        <w:rPr/>
        <w:t>absence</w:t>
      </w:r>
      <w:r>
        <w:rPr>
          <w:spacing w:val="-3"/>
        </w:rPr>
        <w:t> </w:t>
      </w:r>
      <w:r>
        <w:rPr/>
        <w:t>of</w:t>
      </w:r>
      <w:r>
        <w:rPr>
          <w:spacing w:val="-3"/>
        </w:rPr>
        <w:t> </w:t>
      </w:r>
      <w:r>
        <w:rPr/>
        <w:t>pre-feeding. Similarly, Saunders et al. (1993a) documented a 28% reduction in Kosciuszko National Park, which was attributed to minimal pre-feeding (three days), abundant alternative food sources, individual differences in pigs' ‘trapability,’ and suboptimal trap placement. In contrast, Choquenot et al. (1993) achieved population reductions of 81–83% in the central tablelands of New South Wales by trapping for 14–16 days following pre-feeding until</w:t>
      </w:r>
      <w:r>
        <w:rPr>
          <w:spacing w:val="-1"/>
        </w:rPr>
        <w:t> </w:t>
      </w:r>
      <w:r>
        <w:rPr/>
        <w:t>bait consumption</w:t>
      </w:r>
      <w:r>
        <w:rPr>
          <w:spacing w:val="-1"/>
        </w:rPr>
        <w:t> </w:t>
      </w:r>
      <w:r>
        <w:rPr/>
        <w:t>reached a</w:t>
      </w:r>
      <w:r>
        <w:rPr>
          <w:spacing w:val="-1"/>
        </w:rPr>
        <w:t> </w:t>
      </w:r>
      <w:r>
        <w:rPr/>
        <w:t>stable level</w:t>
      </w:r>
      <w:r>
        <w:rPr>
          <w:spacing w:val="-1"/>
        </w:rPr>
        <w:t> </w:t>
      </w:r>
      <w:r>
        <w:rPr/>
        <w:t>(~four days). Bengsen et al. (2011b) used camera traps in Daintree National Park, Queensland, to estimate Feral Pig abundance, reporting a 57% decrease after trapping. More recently, a US study recorded an initial reduction of 54–68% in Feral Pig density following a trapping programme, although the population recovered rapidly within 3–5 months (Garabedian and Kilgo 2024).</w:t>
      </w:r>
    </w:p>
    <w:p>
      <w:pPr>
        <w:pStyle w:val="BodyText"/>
        <w:spacing w:before="121"/>
        <w:ind w:left="112" w:right="142"/>
      </w:pPr>
      <w:r>
        <w:rPr/>
        <w:t>As with poison baiting, pre-feeding is strongly recommended to mitigate pigs' wariness and encourage repeated</w:t>
      </w:r>
      <w:r>
        <w:rPr>
          <w:spacing w:val="-5"/>
        </w:rPr>
        <w:t> </w:t>
      </w:r>
      <w:r>
        <w:rPr/>
        <w:t>trap</w:t>
      </w:r>
      <w:r>
        <w:rPr>
          <w:spacing w:val="-4"/>
        </w:rPr>
        <w:t> </w:t>
      </w:r>
      <w:r>
        <w:rPr/>
        <w:t>visits.</w:t>
      </w:r>
      <w:r>
        <w:rPr>
          <w:spacing w:val="-2"/>
        </w:rPr>
        <w:t> </w:t>
      </w:r>
      <w:r>
        <w:rPr/>
        <w:t>Studies</w:t>
      </w:r>
      <w:r>
        <w:rPr>
          <w:spacing w:val="-3"/>
        </w:rPr>
        <w:t> </w:t>
      </w:r>
      <w:r>
        <w:rPr/>
        <w:t>indicate</w:t>
      </w:r>
      <w:r>
        <w:rPr>
          <w:spacing w:val="-5"/>
        </w:rPr>
        <w:t> </w:t>
      </w:r>
      <w:r>
        <w:rPr/>
        <w:t>that</w:t>
      </w:r>
      <w:r>
        <w:rPr>
          <w:spacing w:val="-2"/>
        </w:rPr>
        <w:t> </w:t>
      </w:r>
      <w:r>
        <w:rPr/>
        <w:t>limited</w:t>
      </w:r>
      <w:r>
        <w:rPr>
          <w:spacing w:val="-3"/>
        </w:rPr>
        <w:t> </w:t>
      </w:r>
      <w:r>
        <w:rPr/>
        <w:t>or</w:t>
      </w:r>
      <w:r>
        <w:rPr>
          <w:spacing w:val="-4"/>
        </w:rPr>
        <w:t> </w:t>
      </w:r>
      <w:r>
        <w:rPr/>
        <w:t>no</w:t>
      </w:r>
      <w:r>
        <w:rPr>
          <w:spacing w:val="-2"/>
        </w:rPr>
        <w:t> </w:t>
      </w:r>
      <w:r>
        <w:rPr/>
        <w:t>pre-feeding</w:t>
      </w:r>
      <w:r>
        <w:rPr>
          <w:spacing w:val="-4"/>
        </w:rPr>
        <w:t> </w:t>
      </w:r>
      <w:r>
        <w:rPr/>
        <w:t>often</w:t>
      </w:r>
      <w:r>
        <w:rPr>
          <w:spacing w:val="-3"/>
        </w:rPr>
        <w:t> </w:t>
      </w:r>
      <w:r>
        <w:rPr/>
        <w:t>leads</w:t>
      </w:r>
      <w:r>
        <w:rPr>
          <w:spacing w:val="-3"/>
        </w:rPr>
        <w:t> </w:t>
      </w:r>
      <w:r>
        <w:rPr/>
        <w:t>to</w:t>
      </w:r>
      <w:r>
        <w:rPr>
          <w:spacing w:val="-3"/>
        </w:rPr>
        <w:t> </w:t>
      </w:r>
      <w:r>
        <w:rPr/>
        <w:t>poor</w:t>
      </w:r>
      <w:r>
        <w:rPr>
          <w:spacing w:val="-3"/>
        </w:rPr>
        <w:t> </w:t>
      </w:r>
      <w:r>
        <w:rPr/>
        <w:t>success</w:t>
      </w:r>
      <w:r>
        <w:rPr>
          <w:spacing w:val="-3"/>
        </w:rPr>
        <w:t> </w:t>
      </w:r>
      <w:r>
        <w:rPr/>
        <w:t>rates (Mitchell 1998). Additionally, using bait aligned with local dietary preferences and deploying traps during periods of food scarcity can improve trapping efficiency and overall success (Caley 1994).</w:t>
      </w:r>
    </w:p>
    <w:p>
      <w:pPr>
        <w:pStyle w:val="BodyText"/>
        <w:spacing w:before="156"/>
      </w:pPr>
    </w:p>
    <w:p>
      <w:pPr>
        <w:pStyle w:val="Heading3"/>
        <w:numPr>
          <w:ilvl w:val="1"/>
          <w:numId w:val="14"/>
        </w:numPr>
        <w:tabs>
          <w:tab w:pos="689" w:val="left" w:leader="none"/>
        </w:tabs>
        <w:spacing w:line="240" w:lineRule="auto" w:before="0" w:after="0"/>
        <w:ind w:left="689" w:right="0" w:hanging="577"/>
        <w:jc w:val="left"/>
      </w:pPr>
      <w:bookmarkStart w:name="_TOC_250053" w:id="50"/>
      <w:bookmarkEnd w:id="50"/>
      <w:r>
        <w:rPr>
          <w:color w:val="2D1E66"/>
          <w:spacing w:val="-2"/>
        </w:rPr>
        <w:t>Shooting</w:t>
      </w:r>
    </w:p>
    <w:p>
      <w:pPr>
        <w:pStyle w:val="Heading5"/>
        <w:numPr>
          <w:ilvl w:val="2"/>
          <w:numId w:val="14"/>
        </w:numPr>
        <w:tabs>
          <w:tab w:pos="833" w:val="left" w:leader="none"/>
        </w:tabs>
        <w:spacing w:line="240" w:lineRule="auto" w:before="139" w:after="0"/>
        <w:ind w:left="833" w:right="0" w:hanging="721"/>
        <w:jc w:val="left"/>
      </w:pPr>
      <w:bookmarkStart w:name="_TOC_250052" w:id="51"/>
      <w:r>
        <w:rPr/>
        <w:t>Ground</w:t>
      </w:r>
      <w:r>
        <w:rPr>
          <w:spacing w:val="-6"/>
        </w:rPr>
        <w:t> </w:t>
      </w:r>
      <w:r>
        <w:rPr/>
        <w:t>shooting</w:t>
      </w:r>
      <w:r>
        <w:rPr>
          <w:spacing w:val="-5"/>
        </w:rPr>
        <w:t> </w:t>
      </w:r>
      <w:r>
        <w:rPr/>
        <w:t>(with</w:t>
      </w:r>
      <w:r>
        <w:rPr>
          <w:spacing w:val="-7"/>
        </w:rPr>
        <w:t> </w:t>
      </w:r>
      <w:r>
        <w:rPr/>
        <w:t>and</w:t>
      </w:r>
      <w:r>
        <w:rPr>
          <w:spacing w:val="-3"/>
        </w:rPr>
        <w:t> </w:t>
      </w:r>
      <w:r>
        <w:rPr/>
        <w:t>without</w:t>
      </w:r>
      <w:r>
        <w:rPr>
          <w:spacing w:val="-2"/>
        </w:rPr>
        <w:t> </w:t>
      </w:r>
      <w:bookmarkEnd w:id="51"/>
      <w:r>
        <w:rPr>
          <w:spacing w:val="-4"/>
        </w:rPr>
        <w:t>dogs)</w:t>
      </w:r>
    </w:p>
    <w:p>
      <w:pPr>
        <w:pStyle w:val="BodyText"/>
        <w:spacing w:before="56"/>
        <w:ind w:left="112"/>
      </w:pPr>
      <w:r>
        <w:rPr/>
        <w:t>Shooting</w:t>
      </w:r>
      <w:r>
        <w:rPr>
          <w:spacing w:val="-3"/>
        </w:rPr>
        <w:t> </w:t>
      </w:r>
      <w:r>
        <w:rPr/>
        <w:t>by</w:t>
      </w:r>
      <w:r>
        <w:rPr>
          <w:spacing w:val="-3"/>
        </w:rPr>
        <w:t> </w:t>
      </w:r>
      <w:r>
        <w:rPr/>
        <w:t>trained</w:t>
      </w:r>
      <w:r>
        <w:rPr>
          <w:spacing w:val="-5"/>
        </w:rPr>
        <w:t> </w:t>
      </w:r>
      <w:r>
        <w:rPr/>
        <w:t>sharpshooters</w:t>
      </w:r>
      <w:r>
        <w:rPr>
          <w:spacing w:val="-2"/>
        </w:rPr>
        <w:t> </w:t>
      </w:r>
      <w:r>
        <w:rPr/>
        <w:t>is</w:t>
      </w:r>
      <w:r>
        <w:rPr>
          <w:spacing w:val="-3"/>
        </w:rPr>
        <w:t> </w:t>
      </w:r>
      <w:r>
        <w:rPr/>
        <w:t>considered</w:t>
      </w:r>
      <w:r>
        <w:rPr>
          <w:spacing w:val="-2"/>
        </w:rPr>
        <w:t> </w:t>
      </w:r>
      <w:r>
        <w:rPr/>
        <w:t>one of</w:t>
      </w:r>
      <w:r>
        <w:rPr>
          <w:spacing w:val="-4"/>
        </w:rPr>
        <w:t> </w:t>
      </w:r>
      <w:r>
        <w:rPr/>
        <w:t>the</w:t>
      </w:r>
      <w:r>
        <w:rPr>
          <w:spacing w:val="-4"/>
        </w:rPr>
        <w:t> </w:t>
      </w:r>
      <w:r>
        <w:rPr/>
        <w:t>most</w:t>
      </w:r>
      <w:r>
        <w:rPr>
          <w:spacing w:val="-2"/>
        </w:rPr>
        <w:t> </w:t>
      </w:r>
      <w:r>
        <w:rPr/>
        <w:t>humane</w:t>
      </w:r>
      <w:r>
        <w:rPr>
          <w:spacing w:val="-4"/>
        </w:rPr>
        <w:t> </w:t>
      </w:r>
      <w:r>
        <w:rPr/>
        <w:t>methods</w:t>
      </w:r>
      <w:r>
        <w:rPr>
          <w:spacing w:val="-3"/>
        </w:rPr>
        <w:t> </w:t>
      </w:r>
      <w:r>
        <w:rPr/>
        <w:t>of</w:t>
      </w:r>
      <w:r>
        <w:rPr>
          <w:spacing w:val="-4"/>
        </w:rPr>
        <w:t> </w:t>
      </w:r>
      <w:r>
        <w:rPr/>
        <w:t>managing Feral</w:t>
      </w:r>
      <w:r>
        <w:rPr>
          <w:spacing w:val="-3"/>
        </w:rPr>
        <w:t> </w:t>
      </w:r>
      <w:r>
        <w:rPr/>
        <w:t>Pig populations (Section </w:t>
      </w:r>
      <w:hyperlink w:history="true" w:anchor="_bookmark22">
        <w:r>
          <w:rPr/>
          <w:t>15;</w:t>
        </w:r>
      </w:hyperlink>
      <w:r>
        <w:rPr/>
        <w:t> Sharp, 2012c). However, ground shooting is labour-intensive and is typically</w:t>
      </w:r>
    </w:p>
    <w:p>
      <w:pPr>
        <w:spacing w:after="0"/>
        <w:sectPr>
          <w:pgSz w:w="11910" w:h="16850"/>
          <w:pgMar w:header="0" w:footer="688" w:top="1060" w:bottom="880" w:left="1020" w:right="1020"/>
        </w:sectPr>
      </w:pPr>
    </w:p>
    <w:p>
      <w:pPr>
        <w:pStyle w:val="BodyText"/>
        <w:spacing w:before="71"/>
        <w:ind w:left="112" w:right="155"/>
      </w:pPr>
      <w:r>
        <w:rPr/>
        <w:t>insufficient for significant population reductions or damage control unless applied intensively. Its</w:t>
      </w:r>
      <w:r>
        <w:rPr/>
        <w:t> effectiveness is heightened when used on small populations, within confined areas, or as part of an integrated strategy alongside aerial shooting, trapping, or baiting (Bengsen et al. 2020). The use of thermal technology to increase detection of pest species such as kangaroos and Sambar Deer (</w:t>
      </w:r>
      <w:r>
        <w:rPr>
          <w:i/>
        </w:rPr>
        <w:t>Rusa unicolor</w:t>
      </w:r>
      <w:r>
        <w:rPr/>
        <w:t>) has been used successfully in ground-based shooting operations (Comte et al. 2022; Hampton and Forsyth 2016) and</w:t>
      </w:r>
      <w:r>
        <w:rPr>
          <w:spacing w:val="-2"/>
        </w:rPr>
        <w:t> </w:t>
      </w:r>
      <w:r>
        <w:rPr/>
        <w:t>in</w:t>
      </w:r>
      <w:r>
        <w:rPr>
          <w:spacing w:val="-2"/>
        </w:rPr>
        <w:t> </w:t>
      </w:r>
      <w:r>
        <w:rPr/>
        <w:t>aerial</w:t>
      </w:r>
      <w:r>
        <w:rPr>
          <w:spacing w:val="-3"/>
        </w:rPr>
        <w:t> </w:t>
      </w:r>
      <w:r>
        <w:rPr/>
        <w:t>shooting</w:t>
      </w:r>
      <w:r>
        <w:rPr>
          <w:spacing w:val="-4"/>
        </w:rPr>
        <w:t> </w:t>
      </w:r>
      <w:r>
        <w:rPr/>
        <w:t>programs (Cox</w:t>
      </w:r>
      <w:r>
        <w:rPr>
          <w:spacing w:val="-3"/>
        </w:rPr>
        <w:t> </w:t>
      </w:r>
      <w:r>
        <w:rPr/>
        <w:t>et</w:t>
      </w:r>
      <w:r>
        <w:rPr>
          <w:spacing w:val="-2"/>
        </w:rPr>
        <w:t> </w:t>
      </w:r>
      <w:r>
        <w:rPr/>
        <w:t>al.</w:t>
      </w:r>
      <w:r>
        <w:rPr>
          <w:spacing w:val="-2"/>
        </w:rPr>
        <w:t> </w:t>
      </w:r>
      <w:r>
        <w:rPr/>
        <w:t>2023).</w:t>
      </w:r>
      <w:r>
        <w:rPr>
          <w:spacing w:val="-4"/>
        </w:rPr>
        <w:t> </w:t>
      </w:r>
      <w:r>
        <w:rPr/>
        <w:t>However,</w:t>
      </w:r>
      <w:r>
        <w:rPr>
          <w:spacing w:val="-4"/>
        </w:rPr>
        <w:t> </w:t>
      </w:r>
      <w:r>
        <w:rPr/>
        <w:t>we</w:t>
      </w:r>
      <w:r>
        <w:rPr>
          <w:spacing w:val="-4"/>
        </w:rPr>
        <w:t> </w:t>
      </w:r>
      <w:r>
        <w:rPr/>
        <w:t>could</w:t>
      </w:r>
      <w:r>
        <w:rPr>
          <w:spacing w:val="-2"/>
        </w:rPr>
        <w:t> </w:t>
      </w:r>
      <w:r>
        <w:rPr/>
        <w:t>find</w:t>
      </w:r>
      <w:r>
        <w:rPr>
          <w:spacing w:val="-3"/>
        </w:rPr>
        <w:t> </w:t>
      </w:r>
      <w:r>
        <w:rPr/>
        <w:t>no</w:t>
      </w:r>
      <w:r>
        <w:rPr>
          <w:spacing w:val="-5"/>
        </w:rPr>
        <w:t> </w:t>
      </w:r>
      <w:r>
        <w:rPr/>
        <w:t>published</w:t>
      </w:r>
      <w:r>
        <w:rPr>
          <w:spacing w:val="-4"/>
        </w:rPr>
        <w:t> </w:t>
      </w:r>
      <w:r>
        <w:rPr/>
        <w:t>accounts</w:t>
      </w:r>
      <w:r>
        <w:rPr>
          <w:spacing w:val="-3"/>
        </w:rPr>
        <w:t> </w:t>
      </w:r>
      <w:r>
        <w:rPr/>
        <w:t>of</w:t>
      </w:r>
      <w:r>
        <w:rPr>
          <w:spacing w:val="-2"/>
        </w:rPr>
        <w:t> </w:t>
      </w:r>
      <w:r>
        <w:rPr/>
        <w:t>its use on Feral Pigs in Australia.</w:t>
      </w:r>
    </w:p>
    <w:p>
      <w:pPr>
        <w:pStyle w:val="BodyText"/>
        <w:spacing w:before="121"/>
        <w:ind w:left="112" w:right="212"/>
      </w:pPr>
      <w:r>
        <w:rPr/>
        <w:t>In jurisdictions where permitted, dogs are often employed during ground shooting to flush, chase, bail, or hold pigs, ostensibly improving efficiency. In Victoria, however, dogs are limited to flushing, chasing, and bailing, with regulations prohibiting direct contact, such as attacking</w:t>
      </w:r>
      <w:r>
        <w:rPr>
          <w:spacing w:val="-1"/>
        </w:rPr>
        <w:t> </w:t>
      </w:r>
      <w:r>
        <w:rPr/>
        <w:t>or holding pigs (DEECA 2024). Despite its prevalence, no studies have directly compared ground shooting with and without dogs. The practice remains</w:t>
      </w:r>
      <w:r>
        <w:rPr>
          <w:spacing w:val="-2"/>
        </w:rPr>
        <w:t> </w:t>
      </w:r>
      <w:r>
        <w:rPr/>
        <w:t>controversial</w:t>
      </w:r>
      <w:r>
        <w:rPr>
          <w:spacing w:val="-2"/>
        </w:rPr>
        <w:t> </w:t>
      </w:r>
      <w:r>
        <w:rPr/>
        <w:t>due</w:t>
      </w:r>
      <w:r>
        <w:rPr>
          <w:spacing w:val="-1"/>
        </w:rPr>
        <w:t> </w:t>
      </w:r>
      <w:r>
        <w:rPr/>
        <w:t>to</w:t>
      </w:r>
      <w:r>
        <w:rPr>
          <w:spacing w:val="-3"/>
        </w:rPr>
        <w:t> </w:t>
      </w:r>
      <w:r>
        <w:rPr/>
        <w:t>concerns</w:t>
      </w:r>
      <w:r>
        <w:rPr>
          <w:spacing w:val="-1"/>
        </w:rPr>
        <w:t> </w:t>
      </w:r>
      <w:r>
        <w:rPr/>
        <w:t>over</w:t>
      </w:r>
      <w:r>
        <w:rPr>
          <w:spacing w:val="-3"/>
        </w:rPr>
        <w:t> </w:t>
      </w:r>
      <w:r>
        <w:rPr/>
        <w:t>animal</w:t>
      </w:r>
      <w:r>
        <w:rPr>
          <w:spacing w:val="-4"/>
        </w:rPr>
        <w:t> </w:t>
      </w:r>
      <w:r>
        <w:rPr/>
        <w:t>welfare,</w:t>
      </w:r>
      <w:r>
        <w:rPr>
          <w:spacing w:val="-3"/>
        </w:rPr>
        <w:t> </w:t>
      </w:r>
      <w:r>
        <w:rPr/>
        <w:t>its</w:t>
      </w:r>
      <w:r>
        <w:rPr>
          <w:spacing w:val="-2"/>
        </w:rPr>
        <w:t> </w:t>
      </w:r>
      <w:r>
        <w:rPr/>
        <w:t>effects</w:t>
      </w:r>
      <w:r>
        <w:rPr>
          <w:spacing w:val="-2"/>
        </w:rPr>
        <w:t> </w:t>
      </w:r>
      <w:r>
        <w:rPr/>
        <w:t>on</w:t>
      </w:r>
      <w:r>
        <w:rPr>
          <w:spacing w:val="-3"/>
        </w:rPr>
        <w:t> </w:t>
      </w:r>
      <w:r>
        <w:rPr/>
        <w:t>pig</w:t>
      </w:r>
      <w:r>
        <w:rPr>
          <w:spacing w:val="-1"/>
        </w:rPr>
        <w:t> </w:t>
      </w:r>
      <w:r>
        <w:rPr/>
        <w:t>behaviour,</w:t>
      </w:r>
      <w:r>
        <w:rPr>
          <w:spacing w:val="-3"/>
        </w:rPr>
        <w:t> </w:t>
      </w:r>
      <w:r>
        <w:rPr/>
        <w:t>and</w:t>
      </w:r>
      <w:r>
        <w:rPr>
          <w:spacing w:val="-4"/>
        </w:rPr>
        <w:t> </w:t>
      </w:r>
      <w:r>
        <w:rPr/>
        <w:t>the</w:t>
      </w:r>
      <w:r>
        <w:rPr>
          <w:spacing w:val="-2"/>
        </w:rPr>
        <w:t> </w:t>
      </w:r>
      <w:r>
        <w:rPr/>
        <w:t>potential</w:t>
      </w:r>
      <w:r>
        <w:rPr>
          <w:spacing w:val="-2"/>
        </w:rPr>
        <w:t> </w:t>
      </w:r>
      <w:r>
        <w:rPr/>
        <w:t>for non-target impacts on livestock or native species (Hampton et al. 2023; Keuling and Massei 2021; Mori 2017; Orr et al. 2019).</w:t>
      </w:r>
    </w:p>
    <w:p>
      <w:pPr>
        <w:pStyle w:val="BodyText"/>
        <w:spacing w:before="121"/>
        <w:ind w:left="112" w:right="348"/>
      </w:pPr>
      <w:r>
        <w:rPr/>
        <w:t>Studies from Australia and New Zealand have reported population reductions of 27–30% from ground hunting campaigns involving dogs (Caley and Ottley 1995; Krull et al. 2016; Mcilroy and Saillard 1989). In contrast, a Swiss study of ground hunting without dogs recorded a slightly lower reduction of 21% over a three-year period (Hebeisen et al. 2008). Both Hebeisen et al. (2008) and Krull et al. (2016) observed declining</w:t>
      </w:r>
      <w:r>
        <w:rPr>
          <w:spacing w:val="-4"/>
        </w:rPr>
        <w:t> </w:t>
      </w:r>
      <w:r>
        <w:rPr/>
        <w:t>kill</w:t>
      </w:r>
      <w:r>
        <w:rPr>
          <w:spacing w:val="-4"/>
        </w:rPr>
        <w:t> </w:t>
      </w:r>
      <w:r>
        <w:rPr/>
        <w:t>rates</w:t>
      </w:r>
      <w:r>
        <w:rPr>
          <w:spacing w:val="-2"/>
        </w:rPr>
        <w:t> </w:t>
      </w:r>
      <w:r>
        <w:rPr/>
        <w:t>over</w:t>
      </w:r>
      <w:r>
        <w:rPr>
          <w:spacing w:val="-3"/>
        </w:rPr>
        <w:t> </w:t>
      </w:r>
      <w:r>
        <w:rPr/>
        <w:t>time,</w:t>
      </w:r>
      <w:r>
        <w:rPr>
          <w:spacing w:val="-3"/>
        </w:rPr>
        <w:t> </w:t>
      </w:r>
      <w:r>
        <w:rPr/>
        <w:t>likely</w:t>
      </w:r>
      <w:r>
        <w:rPr>
          <w:spacing w:val="-2"/>
        </w:rPr>
        <w:t> </w:t>
      </w:r>
      <w:r>
        <w:rPr/>
        <w:t>due</w:t>
      </w:r>
      <w:r>
        <w:rPr>
          <w:spacing w:val="-4"/>
        </w:rPr>
        <w:t> </w:t>
      </w:r>
      <w:r>
        <w:rPr/>
        <w:t>to</w:t>
      </w:r>
      <w:r>
        <w:rPr>
          <w:spacing w:val="-3"/>
        </w:rPr>
        <w:t> </w:t>
      </w:r>
      <w:r>
        <w:rPr/>
        <w:t>lower pig</w:t>
      </w:r>
      <w:r>
        <w:rPr>
          <w:spacing w:val="-1"/>
        </w:rPr>
        <w:t> </w:t>
      </w:r>
      <w:r>
        <w:rPr/>
        <w:t>densities,</w:t>
      </w:r>
      <w:r>
        <w:rPr>
          <w:spacing w:val="-3"/>
        </w:rPr>
        <w:t> </w:t>
      </w:r>
      <w:r>
        <w:rPr/>
        <w:t>increased</w:t>
      </w:r>
      <w:r>
        <w:rPr>
          <w:spacing w:val="-4"/>
        </w:rPr>
        <w:t> </w:t>
      </w:r>
      <w:r>
        <w:rPr/>
        <w:t>search</w:t>
      </w:r>
      <w:r>
        <w:rPr>
          <w:spacing w:val="-3"/>
        </w:rPr>
        <w:t> </w:t>
      </w:r>
      <w:r>
        <w:rPr/>
        <w:t>times</w:t>
      </w:r>
      <w:r>
        <w:rPr>
          <w:spacing w:val="-2"/>
        </w:rPr>
        <w:t> </w:t>
      </w:r>
      <w:r>
        <w:rPr/>
        <w:t>between</w:t>
      </w:r>
      <w:r>
        <w:rPr>
          <w:spacing w:val="-3"/>
        </w:rPr>
        <w:t> </w:t>
      </w:r>
      <w:r>
        <w:rPr/>
        <w:t>kills,</w:t>
      </w:r>
      <w:r>
        <w:rPr>
          <w:spacing w:val="-3"/>
        </w:rPr>
        <w:t> </w:t>
      </w:r>
      <w:r>
        <w:rPr/>
        <w:t>or pigs moving away from disturbances.</w:t>
      </w:r>
    </w:p>
    <w:p>
      <w:pPr>
        <w:pStyle w:val="BodyText"/>
        <w:spacing w:before="120"/>
        <w:ind w:left="112" w:right="142"/>
      </w:pPr>
      <w:r>
        <w:rPr/>
        <w:t>Recreational</w:t>
      </w:r>
      <w:r>
        <w:rPr>
          <w:spacing w:val="-5"/>
        </w:rPr>
        <w:t> </w:t>
      </w:r>
      <w:r>
        <w:rPr/>
        <w:t>hunting</w:t>
      </w:r>
      <w:r>
        <w:rPr>
          <w:spacing w:val="-2"/>
        </w:rPr>
        <w:t> </w:t>
      </w:r>
      <w:r>
        <w:rPr/>
        <w:t>is</w:t>
      </w:r>
      <w:r>
        <w:rPr>
          <w:spacing w:val="-3"/>
        </w:rPr>
        <w:t> </w:t>
      </w:r>
      <w:r>
        <w:rPr/>
        <w:t>sometimes</w:t>
      </w:r>
      <w:r>
        <w:rPr>
          <w:spacing w:val="-3"/>
        </w:rPr>
        <w:t> </w:t>
      </w:r>
      <w:r>
        <w:rPr/>
        <w:t>proposed</w:t>
      </w:r>
      <w:r>
        <w:rPr>
          <w:spacing w:val="-4"/>
        </w:rPr>
        <w:t> </w:t>
      </w:r>
      <w:r>
        <w:rPr/>
        <w:t>as</w:t>
      </w:r>
      <w:r>
        <w:rPr>
          <w:spacing w:val="-3"/>
        </w:rPr>
        <w:t> </w:t>
      </w:r>
      <w:r>
        <w:rPr/>
        <w:t>a</w:t>
      </w:r>
      <w:r>
        <w:rPr>
          <w:spacing w:val="-2"/>
        </w:rPr>
        <w:t> </w:t>
      </w:r>
      <w:r>
        <w:rPr/>
        <w:t>means</w:t>
      </w:r>
      <w:r>
        <w:rPr>
          <w:spacing w:val="-3"/>
        </w:rPr>
        <w:t> </w:t>
      </w:r>
      <w:r>
        <w:rPr/>
        <w:t>of</w:t>
      </w:r>
      <w:r>
        <w:rPr>
          <w:spacing w:val="-4"/>
        </w:rPr>
        <w:t> </w:t>
      </w:r>
      <w:r>
        <w:rPr/>
        <w:t>controlling</w:t>
      </w:r>
      <w:r>
        <w:rPr>
          <w:spacing w:val="-3"/>
        </w:rPr>
        <w:t> </w:t>
      </w:r>
      <w:r>
        <w:rPr/>
        <w:t>invasive</w:t>
      </w:r>
      <w:r>
        <w:rPr>
          <w:spacing w:val="-4"/>
        </w:rPr>
        <w:t> </w:t>
      </w:r>
      <w:r>
        <w:rPr/>
        <w:t>vertebrates</w:t>
      </w:r>
      <w:r>
        <w:rPr>
          <w:spacing w:val="-3"/>
        </w:rPr>
        <w:t> </w:t>
      </w:r>
      <w:r>
        <w:rPr/>
        <w:t>in</w:t>
      </w:r>
      <w:r>
        <w:rPr>
          <w:spacing w:val="-2"/>
        </w:rPr>
        <w:t> </w:t>
      </w:r>
      <w:r>
        <w:rPr/>
        <w:t>areas</w:t>
      </w:r>
      <w:r>
        <w:rPr>
          <w:spacing w:val="-3"/>
        </w:rPr>
        <w:t> </w:t>
      </w:r>
      <w:r>
        <w:rPr/>
        <w:t>where</w:t>
      </w:r>
      <w:r>
        <w:rPr>
          <w:spacing w:val="-2"/>
        </w:rPr>
        <w:t> </w:t>
      </w:r>
      <w:r>
        <w:rPr/>
        <w:t>it is legally permitted (Baur and English 2011). Similarly, commercial harvesting by accredited operators to supply</w:t>
      </w:r>
      <w:r>
        <w:rPr>
          <w:spacing w:val="-3"/>
        </w:rPr>
        <w:t> </w:t>
      </w:r>
      <w:r>
        <w:rPr/>
        <w:t>the</w:t>
      </w:r>
      <w:r>
        <w:rPr>
          <w:spacing w:val="-5"/>
        </w:rPr>
        <w:t> </w:t>
      </w:r>
      <w:r>
        <w:rPr/>
        <w:t>game</w:t>
      </w:r>
      <w:r>
        <w:rPr>
          <w:spacing w:val="-4"/>
        </w:rPr>
        <w:t> </w:t>
      </w:r>
      <w:r>
        <w:rPr/>
        <w:t>meat</w:t>
      </w:r>
      <w:r>
        <w:rPr>
          <w:spacing w:val="-2"/>
        </w:rPr>
        <w:t> </w:t>
      </w:r>
      <w:r>
        <w:rPr/>
        <w:t>industry</w:t>
      </w:r>
      <w:r>
        <w:rPr>
          <w:spacing w:val="-3"/>
        </w:rPr>
        <w:t> </w:t>
      </w:r>
      <w:r>
        <w:rPr/>
        <w:t>is</w:t>
      </w:r>
      <w:r>
        <w:rPr>
          <w:spacing w:val="-3"/>
        </w:rPr>
        <w:t> </w:t>
      </w:r>
      <w:r>
        <w:rPr/>
        <w:t>occasionally</w:t>
      </w:r>
      <w:r>
        <w:rPr>
          <w:spacing w:val="-3"/>
        </w:rPr>
        <w:t> </w:t>
      </w:r>
      <w:r>
        <w:rPr/>
        <w:t>perceived</w:t>
      </w:r>
      <w:r>
        <w:rPr>
          <w:spacing w:val="-5"/>
        </w:rPr>
        <w:t> </w:t>
      </w:r>
      <w:r>
        <w:rPr/>
        <w:t>as</w:t>
      </w:r>
      <w:r>
        <w:rPr>
          <w:spacing w:val="-3"/>
        </w:rPr>
        <w:t> </w:t>
      </w:r>
      <w:r>
        <w:rPr/>
        <w:t>a ‘free’</w:t>
      </w:r>
      <w:r>
        <w:rPr>
          <w:spacing w:val="-3"/>
        </w:rPr>
        <w:t> </w:t>
      </w:r>
      <w:r>
        <w:rPr/>
        <w:t>method</w:t>
      </w:r>
      <w:r>
        <w:rPr>
          <w:spacing w:val="-2"/>
        </w:rPr>
        <w:t> </w:t>
      </w:r>
      <w:r>
        <w:rPr/>
        <w:t>of</w:t>
      </w:r>
      <w:r>
        <w:rPr>
          <w:spacing w:val="-4"/>
        </w:rPr>
        <w:t> </w:t>
      </w:r>
      <w:r>
        <w:rPr/>
        <w:t>Feral</w:t>
      </w:r>
      <w:r>
        <w:rPr>
          <w:spacing w:val="-3"/>
        </w:rPr>
        <w:t> </w:t>
      </w:r>
      <w:r>
        <w:rPr/>
        <w:t>Pig</w:t>
      </w:r>
      <w:r>
        <w:rPr>
          <w:spacing w:val="-1"/>
        </w:rPr>
        <w:t> </w:t>
      </w:r>
      <w:r>
        <w:rPr/>
        <w:t>control</w:t>
      </w:r>
      <w:r>
        <w:rPr>
          <w:spacing w:val="-3"/>
        </w:rPr>
        <w:t> </w:t>
      </w:r>
      <w:r>
        <w:rPr/>
        <w:t>(Gentle</w:t>
      </w:r>
      <w:r>
        <w:rPr>
          <w:spacing w:val="-1"/>
        </w:rPr>
        <w:t> </w:t>
      </w:r>
      <w:r>
        <w:rPr/>
        <w:t>et</w:t>
      </w:r>
      <w:r>
        <w:rPr>
          <w:spacing w:val="-4"/>
        </w:rPr>
        <w:t> </w:t>
      </w:r>
      <w:r>
        <w:rPr/>
        <w:t>al. 2022). However, evidence suggests these approaches are insufficient for effective population control.</w:t>
      </w:r>
    </w:p>
    <w:p>
      <w:pPr>
        <w:pStyle w:val="BodyText"/>
        <w:ind w:left="112" w:right="142"/>
      </w:pPr>
      <w:r>
        <w:rPr/>
        <w:t>Bengsen and Sparkes (2016) found no substantial evidence that recreational hunting effectively reduces invasive mammal populations in Australia, while Gentle and Pople (2013) reported that commercial harvesting in Queensland fails to achieve meaningful reductions in Feral Pig abundance. Moreover, in Europe,</w:t>
      </w:r>
      <w:r>
        <w:rPr>
          <w:spacing w:val="-4"/>
        </w:rPr>
        <w:t> </w:t>
      </w:r>
      <w:r>
        <w:rPr/>
        <w:t>recreational</w:t>
      </w:r>
      <w:r>
        <w:rPr>
          <w:spacing w:val="-5"/>
        </w:rPr>
        <w:t> </w:t>
      </w:r>
      <w:r>
        <w:rPr/>
        <w:t>hunting</w:t>
      </w:r>
      <w:r>
        <w:rPr>
          <w:spacing w:val="-4"/>
        </w:rPr>
        <w:t> </w:t>
      </w:r>
      <w:r>
        <w:rPr/>
        <w:t>has</w:t>
      </w:r>
      <w:r>
        <w:rPr>
          <w:spacing w:val="-3"/>
        </w:rPr>
        <w:t> </w:t>
      </w:r>
      <w:r>
        <w:rPr/>
        <w:t>been</w:t>
      </w:r>
      <w:r>
        <w:rPr>
          <w:spacing w:val="-2"/>
        </w:rPr>
        <w:t> </w:t>
      </w:r>
      <w:r>
        <w:rPr/>
        <w:t>shown</w:t>
      </w:r>
      <w:r>
        <w:rPr>
          <w:spacing w:val="-2"/>
        </w:rPr>
        <w:t> </w:t>
      </w:r>
      <w:r>
        <w:rPr/>
        <w:t>to</w:t>
      </w:r>
      <w:r>
        <w:rPr>
          <w:spacing w:val="-3"/>
        </w:rPr>
        <w:t> </w:t>
      </w:r>
      <w:r>
        <w:rPr/>
        <w:t>undermine</w:t>
      </w:r>
      <w:r>
        <w:rPr>
          <w:spacing w:val="-4"/>
        </w:rPr>
        <w:t> </w:t>
      </w:r>
      <w:r>
        <w:rPr/>
        <w:t>the</w:t>
      </w:r>
      <w:r>
        <w:rPr>
          <w:spacing w:val="-4"/>
        </w:rPr>
        <w:t> </w:t>
      </w:r>
      <w:r>
        <w:rPr/>
        <w:t>success</w:t>
      </w:r>
      <w:r>
        <w:rPr>
          <w:spacing w:val="-3"/>
        </w:rPr>
        <w:t> </w:t>
      </w:r>
      <w:r>
        <w:rPr/>
        <w:t>of</w:t>
      </w:r>
      <w:r>
        <w:rPr>
          <w:spacing w:val="-4"/>
        </w:rPr>
        <w:t> </w:t>
      </w:r>
      <w:r>
        <w:rPr/>
        <w:t>trapping</w:t>
      </w:r>
      <w:r>
        <w:rPr>
          <w:spacing w:val="-4"/>
        </w:rPr>
        <w:t> </w:t>
      </w:r>
      <w:r>
        <w:rPr/>
        <w:t>and</w:t>
      </w:r>
      <w:r>
        <w:rPr>
          <w:spacing w:val="-4"/>
        </w:rPr>
        <w:t> </w:t>
      </w:r>
      <w:r>
        <w:rPr/>
        <w:t>baiting programme. Disturbances</w:t>
      </w:r>
      <w:r>
        <w:rPr>
          <w:spacing w:val="-2"/>
        </w:rPr>
        <w:t> </w:t>
      </w:r>
      <w:r>
        <w:rPr/>
        <w:t>caused</w:t>
      </w:r>
      <w:r>
        <w:rPr>
          <w:spacing w:val="-2"/>
        </w:rPr>
        <w:t> </w:t>
      </w:r>
      <w:r>
        <w:rPr/>
        <w:t>by</w:t>
      </w:r>
      <w:r>
        <w:rPr>
          <w:spacing w:val="-2"/>
        </w:rPr>
        <w:t> </w:t>
      </w:r>
      <w:r>
        <w:rPr/>
        <w:t>hunters</w:t>
      </w:r>
      <w:r>
        <w:rPr>
          <w:spacing w:val="-2"/>
        </w:rPr>
        <w:t> </w:t>
      </w:r>
      <w:r>
        <w:rPr/>
        <w:t>often</w:t>
      </w:r>
      <w:r>
        <w:rPr>
          <w:spacing w:val="-3"/>
        </w:rPr>
        <w:t> </w:t>
      </w:r>
      <w:r>
        <w:rPr/>
        <w:t>result</w:t>
      </w:r>
      <w:r>
        <w:rPr>
          <w:spacing w:val="-3"/>
        </w:rPr>
        <w:t> </w:t>
      </w:r>
      <w:r>
        <w:rPr/>
        <w:t>in</w:t>
      </w:r>
      <w:r>
        <w:rPr>
          <w:spacing w:val="-3"/>
        </w:rPr>
        <w:t> </w:t>
      </w:r>
      <w:r>
        <w:rPr/>
        <w:t>more</w:t>
      </w:r>
      <w:r>
        <w:rPr>
          <w:spacing w:val="-3"/>
        </w:rPr>
        <w:t> </w:t>
      </w:r>
      <w:r>
        <w:rPr/>
        <w:t>cautious</w:t>
      </w:r>
      <w:r>
        <w:rPr>
          <w:spacing w:val="-2"/>
        </w:rPr>
        <w:t> </w:t>
      </w:r>
      <w:r>
        <w:rPr/>
        <w:t>pigs</w:t>
      </w:r>
      <w:r>
        <w:rPr>
          <w:spacing w:val="-2"/>
        </w:rPr>
        <w:t> </w:t>
      </w:r>
      <w:r>
        <w:rPr/>
        <w:t>retreating</w:t>
      </w:r>
      <w:r>
        <w:rPr>
          <w:spacing w:val="-4"/>
        </w:rPr>
        <w:t> </w:t>
      </w:r>
      <w:r>
        <w:rPr/>
        <w:t>to</w:t>
      </w:r>
      <w:r>
        <w:rPr>
          <w:spacing w:val="-3"/>
        </w:rPr>
        <w:t> </w:t>
      </w:r>
      <w:r>
        <w:rPr/>
        <w:t>inaccessible</w:t>
      </w:r>
      <w:r>
        <w:rPr>
          <w:spacing w:val="-3"/>
        </w:rPr>
        <w:t> </w:t>
      </w:r>
      <w:r>
        <w:rPr/>
        <w:t>refuges,</w:t>
      </w:r>
      <w:r>
        <w:rPr>
          <w:spacing w:val="-3"/>
        </w:rPr>
        <w:t> </w:t>
      </w:r>
      <w:r>
        <w:rPr/>
        <w:t>further complicating control efforts (Calenge et al. 2002; Sodeikat and Pohlmeyer 2003).</w:t>
      </w:r>
    </w:p>
    <w:p>
      <w:pPr>
        <w:pStyle w:val="Heading5"/>
        <w:numPr>
          <w:ilvl w:val="2"/>
          <w:numId w:val="14"/>
        </w:numPr>
        <w:tabs>
          <w:tab w:pos="833" w:val="left" w:leader="none"/>
        </w:tabs>
        <w:spacing w:line="240" w:lineRule="auto" w:before="140" w:after="0"/>
        <w:ind w:left="833" w:right="0" w:hanging="721"/>
        <w:jc w:val="left"/>
      </w:pPr>
      <w:bookmarkStart w:name="_TOC_250051" w:id="52"/>
      <w:r>
        <w:rPr/>
        <w:t>Aerial</w:t>
      </w:r>
      <w:r>
        <w:rPr>
          <w:spacing w:val="-4"/>
        </w:rPr>
        <w:t> </w:t>
      </w:r>
      <w:bookmarkEnd w:id="52"/>
      <w:r>
        <w:rPr>
          <w:spacing w:val="-2"/>
        </w:rPr>
        <w:t>shooting</w:t>
      </w:r>
    </w:p>
    <w:p>
      <w:pPr>
        <w:pStyle w:val="BodyText"/>
        <w:spacing w:before="59"/>
        <w:ind w:left="112" w:right="142"/>
      </w:pPr>
      <w:r>
        <w:rPr/>
        <w:t>During aerial shooting campaigns, accredited marksmen use high-powered semi-automatic firearms or shotguns</w:t>
      </w:r>
      <w:r>
        <w:rPr>
          <w:spacing w:val="-2"/>
        </w:rPr>
        <w:t> </w:t>
      </w:r>
      <w:r>
        <w:rPr/>
        <w:t>to</w:t>
      </w:r>
      <w:r>
        <w:rPr>
          <w:spacing w:val="-4"/>
        </w:rPr>
        <w:t> </w:t>
      </w:r>
      <w:r>
        <w:rPr/>
        <w:t>target</w:t>
      </w:r>
      <w:r>
        <w:rPr>
          <w:spacing w:val="-2"/>
        </w:rPr>
        <w:t> </w:t>
      </w:r>
      <w:r>
        <w:rPr/>
        <w:t>Feral</w:t>
      </w:r>
      <w:r>
        <w:rPr>
          <w:spacing w:val="-2"/>
        </w:rPr>
        <w:t> </w:t>
      </w:r>
      <w:r>
        <w:rPr/>
        <w:t>Pigs</w:t>
      </w:r>
      <w:r>
        <w:rPr>
          <w:spacing w:val="-2"/>
        </w:rPr>
        <w:t> </w:t>
      </w:r>
      <w:r>
        <w:rPr/>
        <w:t>from</w:t>
      </w:r>
      <w:r>
        <w:rPr>
          <w:spacing w:val="-3"/>
        </w:rPr>
        <w:t> </w:t>
      </w:r>
      <w:r>
        <w:rPr/>
        <w:t>helicopters.</w:t>
      </w:r>
      <w:r>
        <w:rPr>
          <w:spacing w:val="-3"/>
        </w:rPr>
        <w:t> </w:t>
      </w:r>
      <w:r>
        <w:rPr/>
        <w:t>In</w:t>
      </w:r>
      <w:r>
        <w:rPr>
          <w:spacing w:val="-4"/>
        </w:rPr>
        <w:t> </w:t>
      </w:r>
      <w:r>
        <w:rPr/>
        <w:t>regions</w:t>
      </w:r>
      <w:r>
        <w:rPr>
          <w:spacing w:val="-2"/>
        </w:rPr>
        <w:t> </w:t>
      </w:r>
      <w:r>
        <w:rPr/>
        <w:t>where</w:t>
      </w:r>
      <w:r>
        <w:rPr>
          <w:spacing w:val="-3"/>
        </w:rPr>
        <w:t> </w:t>
      </w:r>
      <w:r>
        <w:rPr/>
        <w:t>permitted,</w:t>
      </w:r>
      <w:r>
        <w:rPr>
          <w:spacing w:val="-1"/>
        </w:rPr>
        <w:t> </w:t>
      </w:r>
      <w:r>
        <w:rPr/>
        <w:t>the</w:t>
      </w:r>
      <w:r>
        <w:rPr>
          <w:spacing w:val="-2"/>
        </w:rPr>
        <w:t> </w:t>
      </w:r>
      <w:r>
        <w:rPr/>
        <w:t>use</w:t>
      </w:r>
      <w:r>
        <w:rPr>
          <w:spacing w:val="-3"/>
        </w:rPr>
        <w:t> </w:t>
      </w:r>
      <w:r>
        <w:rPr/>
        <w:t>of</w:t>
      </w:r>
      <w:r>
        <w:rPr>
          <w:spacing w:val="-3"/>
        </w:rPr>
        <w:t> </w:t>
      </w:r>
      <w:r>
        <w:rPr/>
        <w:t>thermal</w:t>
      </w:r>
      <w:r>
        <w:rPr>
          <w:spacing w:val="-4"/>
        </w:rPr>
        <w:t> </w:t>
      </w:r>
      <w:r>
        <w:rPr/>
        <w:t>imaging</w:t>
      </w:r>
      <w:r>
        <w:rPr>
          <w:spacing w:val="-3"/>
        </w:rPr>
        <w:t> </w:t>
      </w:r>
      <w:r>
        <w:rPr/>
        <w:t>has been shown to enhance aerial shooting efficiency, particularly in areas with dense vegetation or low pig densities (Cox et al. 2023).</w:t>
      </w:r>
    </w:p>
    <w:p>
      <w:pPr>
        <w:pStyle w:val="BodyText"/>
        <w:spacing w:before="119"/>
        <w:ind w:left="112" w:right="142"/>
      </w:pPr>
      <w:r>
        <w:rPr/>
        <w:t>Several studies have reported aerial shooting to be effective at reducing populations (Cowled et al. 2006; Davis et al. 2018; Ferris 2010; Hone 1983; Hone 1990; Saunders 1993; Saunders and Bryant 1988). In a study</w:t>
      </w:r>
      <w:r>
        <w:rPr>
          <w:spacing w:val="-1"/>
        </w:rPr>
        <w:t> </w:t>
      </w:r>
      <w:r>
        <w:rPr/>
        <w:t>conducted</w:t>
      </w:r>
      <w:r>
        <w:rPr>
          <w:spacing w:val="-3"/>
        </w:rPr>
        <w:t> </w:t>
      </w:r>
      <w:r>
        <w:rPr/>
        <w:t>at</w:t>
      </w:r>
      <w:r>
        <w:rPr>
          <w:spacing w:val="-2"/>
        </w:rPr>
        <w:t> </w:t>
      </w:r>
      <w:r>
        <w:rPr/>
        <w:t>the</w:t>
      </w:r>
      <w:r>
        <w:rPr>
          <w:spacing w:val="-2"/>
        </w:rPr>
        <w:t> </w:t>
      </w:r>
      <w:r>
        <w:rPr/>
        <w:t>Macquarie</w:t>
      </w:r>
      <w:r>
        <w:rPr>
          <w:spacing w:val="-2"/>
        </w:rPr>
        <w:t> </w:t>
      </w:r>
      <w:r>
        <w:rPr/>
        <w:t>Marshes</w:t>
      </w:r>
      <w:r>
        <w:rPr>
          <w:spacing w:val="-1"/>
        </w:rPr>
        <w:t> </w:t>
      </w:r>
      <w:r>
        <w:rPr/>
        <w:t>in western NSW, Saunders</w:t>
      </w:r>
      <w:r>
        <w:rPr>
          <w:spacing w:val="-1"/>
        </w:rPr>
        <w:t> </w:t>
      </w:r>
      <w:r>
        <w:rPr/>
        <w:t>and</w:t>
      </w:r>
      <w:r>
        <w:rPr>
          <w:spacing w:val="-2"/>
        </w:rPr>
        <w:t> </w:t>
      </w:r>
      <w:r>
        <w:rPr/>
        <w:t>Bryant (1988b)</w:t>
      </w:r>
      <w:r>
        <w:rPr>
          <w:spacing w:val="-1"/>
        </w:rPr>
        <w:t> </w:t>
      </w:r>
      <w:r>
        <w:rPr/>
        <w:t>demonstrated that</w:t>
      </w:r>
      <w:r>
        <w:rPr>
          <w:spacing w:val="-1"/>
        </w:rPr>
        <w:t> </w:t>
      </w:r>
      <w:r>
        <w:rPr/>
        <w:t>aerial</w:t>
      </w:r>
      <w:r>
        <w:rPr>
          <w:spacing w:val="-4"/>
        </w:rPr>
        <w:t> </w:t>
      </w:r>
      <w:r>
        <w:rPr/>
        <w:t>shooting</w:t>
      </w:r>
      <w:r>
        <w:rPr>
          <w:spacing w:val="-4"/>
        </w:rPr>
        <w:t> </w:t>
      </w:r>
      <w:r>
        <w:rPr/>
        <w:t>could</w:t>
      </w:r>
      <w:r>
        <w:rPr>
          <w:spacing w:val="-3"/>
        </w:rPr>
        <w:t> </w:t>
      </w:r>
      <w:r>
        <w:rPr/>
        <w:t>reduce</w:t>
      </w:r>
      <w:r>
        <w:rPr>
          <w:spacing w:val="-1"/>
        </w:rPr>
        <w:t> </w:t>
      </w:r>
      <w:r>
        <w:rPr/>
        <w:t>a Feral</w:t>
      </w:r>
      <w:r>
        <w:rPr>
          <w:spacing w:val="-4"/>
        </w:rPr>
        <w:t> </w:t>
      </w:r>
      <w:r>
        <w:rPr/>
        <w:t>Pig population</w:t>
      </w:r>
      <w:r>
        <w:rPr>
          <w:spacing w:val="-3"/>
        </w:rPr>
        <w:t> </w:t>
      </w:r>
      <w:r>
        <w:rPr/>
        <w:t>by</w:t>
      </w:r>
      <w:r>
        <w:rPr>
          <w:spacing w:val="-2"/>
        </w:rPr>
        <w:t> </w:t>
      </w:r>
      <w:r>
        <w:rPr/>
        <w:t>80%.</w:t>
      </w:r>
      <w:r>
        <w:rPr>
          <w:spacing w:val="-3"/>
        </w:rPr>
        <w:t> </w:t>
      </w:r>
      <w:r>
        <w:rPr/>
        <w:t>In</w:t>
      </w:r>
      <w:r>
        <w:rPr>
          <w:spacing w:val="-2"/>
        </w:rPr>
        <w:t> </w:t>
      </w:r>
      <w:r>
        <w:rPr/>
        <w:t>a</w:t>
      </w:r>
      <w:r>
        <w:rPr>
          <w:spacing w:val="-3"/>
        </w:rPr>
        <w:t> </w:t>
      </w:r>
      <w:r>
        <w:rPr/>
        <w:t>follow-up</w:t>
      </w:r>
      <w:r>
        <w:rPr>
          <w:spacing w:val="-1"/>
        </w:rPr>
        <w:t> </w:t>
      </w:r>
      <w:r>
        <w:rPr/>
        <w:t>study</w:t>
      </w:r>
      <w:r>
        <w:rPr>
          <w:spacing w:val="-2"/>
        </w:rPr>
        <w:t> </w:t>
      </w:r>
      <w:r>
        <w:rPr/>
        <w:t>at</w:t>
      </w:r>
      <w:r>
        <w:rPr>
          <w:spacing w:val="-3"/>
        </w:rPr>
        <w:t> </w:t>
      </w:r>
      <w:r>
        <w:rPr/>
        <w:t>the</w:t>
      </w:r>
      <w:r>
        <w:rPr>
          <w:spacing w:val="-4"/>
        </w:rPr>
        <w:t> </w:t>
      </w:r>
      <w:r>
        <w:rPr/>
        <w:t>same</w:t>
      </w:r>
      <w:r>
        <w:rPr>
          <w:spacing w:val="-1"/>
        </w:rPr>
        <w:t> </w:t>
      </w:r>
      <w:r>
        <w:rPr/>
        <w:t>location, Saunders (1993) reported that aerial shooting over two years achieved population reductions of 80% and 65%,</w:t>
      </w:r>
      <w:r>
        <w:rPr>
          <w:spacing w:val="-3"/>
        </w:rPr>
        <w:t> </w:t>
      </w:r>
      <w:r>
        <w:rPr/>
        <w:t>respectively.</w:t>
      </w:r>
      <w:r>
        <w:rPr>
          <w:spacing w:val="-2"/>
        </w:rPr>
        <w:t> </w:t>
      </w:r>
      <w:r>
        <w:rPr/>
        <w:t>However,</w:t>
      </w:r>
      <w:r>
        <w:rPr>
          <w:spacing w:val="-3"/>
        </w:rPr>
        <w:t> </w:t>
      </w:r>
      <w:r>
        <w:rPr/>
        <w:t>the</w:t>
      </w:r>
      <w:r>
        <w:rPr>
          <w:spacing w:val="-1"/>
        </w:rPr>
        <w:t> </w:t>
      </w:r>
      <w:r>
        <w:rPr/>
        <w:t>Feral</w:t>
      </w:r>
      <w:r>
        <w:rPr>
          <w:spacing w:val="-3"/>
        </w:rPr>
        <w:t> </w:t>
      </w:r>
      <w:r>
        <w:rPr/>
        <w:t>Pig</w:t>
      </w:r>
      <w:r>
        <w:rPr>
          <w:spacing w:val="-3"/>
        </w:rPr>
        <w:t> </w:t>
      </w:r>
      <w:r>
        <w:rPr/>
        <w:t>population</w:t>
      </w:r>
      <w:r>
        <w:rPr>
          <w:spacing w:val="-4"/>
        </w:rPr>
        <w:t> </w:t>
      </w:r>
      <w:r>
        <w:rPr/>
        <w:t>recovered</w:t>
      </w:r>
      <w:r>
        <w:rPr>
          <w:spacing w:val="-3"/>
        </w:rPr>
        <w:t> </w:t>
      </w:r>
      <w:r>
        <w:rPr/>
        <w:t>to</w:t>
      </w:r>
      <w:r>
        <w:rPr>
          <w:spacing w:val="-3"/>
        </w:rPr>
        <w:t> </w:t>
      </w:r>
      <w:r>
        <w:rPr/>
        <w:t>77%</w:t>
      </w:r>
      <w:r>
        <w:rPr>
          <w:spacing w:val="-1"/>
        </w:rPr>
        <w:t> </w:t>
      </w:r>
      <w:r>
        <w:rPr/>
        <w:t>of</w:t>
      </w:r>
      <w:r>
        <w:rPr>
          <w:spacing w:val="-2"/>
        </w:rPr>
        <w:t> </w:t>
      </w:r>
      <w:r>
        <w:rPr/>
        <w:t>its</w:t>
      </w:r>
      <w:r>
        <w:rPr>
          <w:spacing w:val="-3"/>
        </w:rPr>
        <w:t> </w:t>
      </w:r>
      <w:r>
        <w:rPr/>
        <w:t>original</w:t>
      </w:r>
      <w:r>
        <w:rPr>
          <w:spacing w:val="-4"/>
        </w:rPr>
        <w:t> </w:t>
      </w:r>
      <w:r>
        <w:rPr/>
        <w:t>size</w:t>
      </w:r>
      <w:r>
        <w:rPr>
          <w:spacing w:val="-3"/>
        </w:rPr>
        <w:t> </w:t>
      </w:r>
      <w:r>
        <w:rPr/>
        <w:t>within</w:t>
      </w:r>
      <w:r>
        <w:rPr>
          <w:spacing w:val="-4"/>
        </w:rPr>
        <w:t> </w:t>
      </w:r>
      <w:r>
        <w:rPr/>
        <w:t>one</w:t>
      </w:r>
      <w:r>
        <w:rPr>
          <w:spacing w:val="-4"/>
        </w:rPr>
        <w:t> </w:t>
      </w:r>
      <w:r>
        <w:rPr/>
        <w:t>year, highlighting the necessity for annual control measures to counteract immigration and reproduction.</w:t>
      </w:r>
    </w:p>
    <w:p>
      <w:pPr>
        <w:pStyle w:val="BodyText"/>
        <w:spacing w:before="120"/>
        <w:ind w:left="112" w:right="143"/>
      </w:pPr>
      <w:r>
        <w:rPr/>
        <w:t>Choquenot et al. (1999) utilised data from three aerial shooting programmes (Hone 1987; Hone 1990; Saunders and Bryant 1988) to develop predictive models assessing the effectiveness of aerial shooting.</w:t>
      </w:r>
      <w:r>
        <w:rPr>
          <w:spacing w:val="40"/>
        </w:rPr>
        <w:t> </w:t>
      </w:r>
      <w:r>
        <w:rPr/>
        <w:t>Their models demonstrated that kill rates approached a constant maximum at high Feral Pig densities, but declined toward zero at densities below a certain threshold. While maximum kill rates were comparable across the three programmes (average 60.49 pigs per hour, range 49.64–76.28), the minimum densities at which</w:t>
      </w:r>
      <w:r>
        <w:rPr>
          <w:spacing w:val="-2"/>
        </w:rPr>
        <w:t> </w:t>
      </w:r>
      <w:r>
        <w:rPr/>
        <w:t>no</w:t>
      </w:r>
      <w:r>
        <w:rPr>
          <w:spacing w:val="-4"/>
        </w:rPr>
        <w:t> </w:t>
      </w:r>
      <w:r>
        <w:rPr/>
        <w:t>Feral</w:t>
      </w:r>
      <w:r>
        <w:rPr>
          <w:spacing w:val="-3"/>
        </w:rPr>
        <w:t> </w:t>
      </w:r>
      <w:r>
        <w:rPr/>
        <w:t>Pigs</w:t>
      </w:r>
      <w:r>
        <w:rPr>
          <w:spacing w:val="-3"/>
        </w:rPr>
        <w:t> </w:t>
      </w:r>
      <w:r>
        <w:rPr/>
        <w:t>would</w:t>
      </w:r>
      <w:r>
        <w:rPr>
          <w:spacing w:val="-4"/>
        </w:rPr>
        <w:t> </w:t>
      </w:r>
      <w:r>
        <w:rPr/>
        <w:t>theoretically</w:t>
      </w:r>
      <w:r>
        <w:rPr>
          <w:spacing w:val="-3"/>
        </w:rPr>
        <w:t> </w:t>
      </w:r>
      <w:r>
        <w:rPr/>
        <w:t>be</w:t>
      </w:r>
      <w:r>
        <w:rPr>
          <w:spacing w:val="-2"/>
        </w:rPr>
        <w:t> </w:t>
      </w:r>
      <w:r>
        <w:rPr/>
        <w:t>killed</w:t>
      </w:r>
      <w:r>
        <w:rPr>
          <w:spacing w:val="-2"/>
        </w:rPr>
        <w:t> </w:t>
      </w:r>
      <w:r>
        <w:rPr/>
        <w:t>varied</w:t>
      </w:r>
      <w:r>
        <w:rPr>
          <w:spacing w:val="-2"/>
        </w:rPr>
        <w:t> </w:t>
      </w:r>
      <w:r>
        <w:rPr/>
        <w:t>considerably</w:t>
      </w:r>
      <w:r>
        <w:rPr>
          <w:spacing w:val="-3"/>
        </w:rPr>
        <w:t> </w:t>
      </w:r>
      <w:r>
        <w:rPr/>
        <w:t>(average</w:t>
      </w:r>
      <w:r>
        <w:rPr>
          <w:spacing w:val="-3"/>
        </w:rPr>
        <w:t> </w:t>
      </w:r>
      <w:r>
        <w:rPr/>
        <w:t>2.79</w:t>
      </w:r>
      <w:r>
        <w:rPr>
          <w:spacing w:val="-4"/>
        </w:rPr>
        <w:t> </w:t>
      </w:r>
      <w:r>
        <w:rPr/>
        <w:t>pigs</w:t>
      </w:r>
      <w:r>
        <w:rPr>
          <w:spacing w:val="-3"/>
        </w:rPr>
        <w:t> </w:t>
      </w:r>
      <w:r>
        <w:rPr/>
        <w:t>per</w:t>
      </w:r>
      <w:r>
        <w:rPr>
          <w:spacing w:val="-3"/>
        </w:rPr>
        <w:t> </w:t>
      </w:r>
      <w:r>
        <w:rPr/>
        <w:t>km²,</w:t>
      </w:r>
      <w:r>
        <w:rPr>
          <w:spacing w:val="-4"/>
        </w:rPr>
        <w:t> </w:t>
      </w:r>
      <w:r>
        <w:rPr/>
        <w:t>range</w:t>
      </w:r>
      <w:r>
        <w:rPr>
          <w:spacing w:val="-2"/>
        </w:rPr>
        <w:t> </w:t>
      </w:r>
      <w:r>
        <w:rPr/>
        <w:t>1.34– 5.02). These findings suggest the existence of a threshold density below which the hourly kill rate for helicopter shooting becomes negligible. This may be attributed to refugial habitats where Feral Pigs are effectively concealed from aerial view. The Choquenot et al. (1999) model implies that the return on investment diminishes as shooting effort increases at very low Feral Pig densities, because additional effort does not proportionally increase the number of Feral Pigs killed. This underscores the importance of considering habitat characteristics and Feral Pig density when planning and executing aerial shooting operations</w:t>
      </w:r>
      <w:r>
        <w:rPr>
          <w:spacing w:val="-3"/>
        </w:rPr>
        <w:t> </w:t>
      </w:r>
      <w:r>
        <w:rPr/>
        <w:t>for</w:t>
      </w:r>
      <w:r>
        <w:rPr>
          <w:spacing w:val="-3"/>
        </w:rPr>
        <w:t> </w:t>
      </w:r>
      <w:r>
        <w:rPr/>
        <w:t>population</w:t>
      </w:r>
      <w:r>
        <w:rPr>
          <w:spacing w:val="-2"/>
        </w:rPr>
        <w:t> </w:t>
      </w:r>
      <w:r>
        <w:rPr/>
        <w:t>control. There</w:t>
      </w:r>
      <w:r>
        <w:rPr>
          <w:spacing w:val="-2"/>
        </w:rPr>
        <w:t> </w:t>
      </w:r>
      <w:r>
        <w:rPr/>
        <w:t>are</w:t>
      </w:r>
      <w:r>
        <w:rPr>
          <w:spacing w:val="-4"/>
        </w:rPr>
        <w:t> </w:t>
      </w:r>
      <w:r>
        <w:rPr/>
        <w:t>concerns that</w:t>
      </w:r>
      <w:r>
        <w:rPr>
          <w:spacing w:val="-2"/>
        </w:rPr>
        <w:t> </w:t>
      </w:r>
      <w:r>
        <w:rPr/>
        <w:t>aerial</w:t>
      </w:r>
      <w:r>
        <w:rPr>
          <w:spacing w:val="-5"/>
        </w:rPr>
        <w:t> </w:t>
      </w:r>
      <w:r>
        <w:rPr/>
        <w:t>shooting</w:t>
      </w:r>
      <w:r>
        <w:rPr>
          <w:spacing w:val="-5"/>
        </w:rPr>
        <w:t> </w:t>
      </w:r>
      <w:r>
        <w:rPr/>
        <w:t>could</w:t>
      </w:r>
      <w:r>
        <w:rPr>
          <w:spacing w:val="-4"/>
        </w:rPr>
        <w:t> </w:t>
      </w:r>
      <w:r>
        <w:rPr/>
        <w:t>cause Feral</w:t>
      </w:r>
      <w:r>
        <w:rPr>
          <w:spacing w:val="-5"/>
        </w:rPr>
        <w:t> </w:t>
      </w:r>
      <w:r>
        <w:rPr/>
        <w:t>Pigs</w:t>
      </w:r>
      <w:r>
        <w:rPr>
          <w:spacing w:val="-3"/>
        </w:rPr>
        <w:t> </w:t>
      </w:r>
      <w:r>
        <w:rPr/>
        <w:t>to</w:t>
      </w:r>
      <w:r>
        <w:rPr>
          <w:spacing w:val="-4"/>
        </w:rPr>
        <w:t> </w:t>
      </w:r>
      <w:r>
        <w:rPr/>
        <w:t>alter</w:t>
      </w:r>
      <w:r>
        <w:rPr>
          <w:spacing w:val="-4"/>
        </w:rPr>
        <w:t> </w:t>
      </w:r>
      <w:r>
        <w:rPr/>
        <w:t>their home ranges or movement patterns (Saunders and Bryant 1988). However, two studies concluded that</w:t>
      </w:r>
      <w:r>
        <w:rPr>
          <w:spacing w:val="40"/>
        </w:rPr>
        <w:t> </w:t>
      </w:r>
      <w:r>
        <w:rPr/>
        <w:t>aerial shooting did not affect home range location or size, suggesting the method is unlikely to impact Feral Pig behaviour (Campbell et al. 2010; Dexter 1996).</w:t>
      </w:r>
    </w:p>
    <w:p>
      <w:pPr>
        <w:spacing w:after="0"/>
        <w:sectPr>
          <w:pgSz w:w="11910" w:h="16850"/>
          <w:pgMar w:header="0" w:footer="688" w:top="1060" w:bottom="880" w:left="1020" w:right="1020"/>
        </w:sectPr>
      </w:pPr>
    </w:p>
    <w:p>
      <w:pPr>
        <w:pStyle w:val="BodyText"/>
        <w:spacing w:before="71"/>
        <w:ind w:left="112" w:right="142"/>
      </w:pPr>
      <w:r>
        <w:rPr/>
        <w:t>One study, conducted on pastoral land in south-western Queensland, found no significant changes in population size, demographics, or genetics after a two-year aerial control programme. The researchers attributed this to the programme’s failure to encompass the full range of a large, well-connected pig population, leading to rapid reinvasion and population recovery within the control area (Cowled et al. 2006). Ramsey (2021) analysed the results of an aerial shooting operations in the Eastern Alps and Snowy River Corridor in eastern Victoria. There was no evidence that aerial shooting resulted in population reductions in either of the areas. Estimates of population densities of Feral Pigs before the commencement of aerial shooting</w:t>
      </w:r>
      <w:r>
        <w:rPr>
          <w:spacing w:val="-5"/>
        </w:rPr>
        <w:t> </w:t>
      </w:r>
      <w:r>
        <w:rPr/>
        <w:t>ranged</w:t>
      </w:r>
      <w:r>
        <w:rPr>
          <w:spacing w:val="-4"/>
        </w:rPr>
        <w:t> </w:t>
      </w:r>
      <w:r>
        <w:rPr/>
        <w:t>from</w:t>
      </w:r>
      <w:r>
        <w:rPr>
          <w:spacing w:val="-4"/>
        </w:rPr>
        <w:t> </w:t>
      </w:r>
      <w:r>
        <w:rPr/>
        <w:t>0.2–1.7</w:t>
      </w:r>
      <w:r>
        <w:rPr>
          <w:spacing w:val="-4"/>
        </w:rPr>
        <w:t> </w:t>
      </w:r>
      <w:r>
        <w:rPr/>
        <w:t>pigs/km</w:t>
      </w:r>
      <w:r>
        <w:rPr>
          <w:position w:val="6"/>
          <w:sz w:val="13"/>
        </w:rPr>
        <w:t>2</w:t>
      </w:r>
      <w:r>
        <w:rPr/>
        <w:t>.</w:t>
      </w:r>
      <w:r>
        <w:rPr>
          <w:spacing w:val="-4"/>
        </w:rPr>
        <w:t> </w:t>
      </w:r>
      <w:r>
        <w:rPr/>
        <w:t>However,</w:t>
      </w:r>
      <w:r>
        <w:rPr>
          <w:spacing w:val="-1"/>
        </w:rPr>
        <w:t> </w:t>
      </w:r>
      <w:r>
        <w:rPr/>
        <w:t>these</w:t>
      </w:r>
      <w:r>
        <w:rPr>
          <w:spacing w:val="-4"/>
        </w:rPr>
        <w:t> </w:t>
      </w:r>
      <w:r>
        <w:rPr/>
        <w:t>estimates</w:t>
      </w:r>
      <w:r>
        <w:rPr>
          <w:spacing w:val="-3"/>
        </w:rPr>
        <w:t> </w:t>
      </w:r>
      <w:r>
        <w:rPr/>
        <w:t>were</w:t>
      </w:r>
      <w:r>
        <w:rPr>
          <w:spacing w:val="-4"/>
        </w:rPr>
        <w:t> </w:t>
      </w:r>
      <w:r>
        <w:rPr/>
        <w:t>highly</w:t>
      </w:r>
      <w:r>
        <w:rPr>
          <w:spacing w:val="-3"/>
        </w:rPr>
        <w:t> </w:t>
      </w:r>
      <w:r>
        <w:rPr/>
        <w:t>uncertain</w:t>
      </w:r>
      <w:r>
        <w:rPr>
          <w:spacing w:val="-2"/>
        </w:rPr>
        <w:t> </w:t>
      </w:r>
      <w:r>
        <w:rPr/>
        <w:t>because</w:t>
      </w:r>
      <w:r>
        <w:rPr>
          <w:spacing w:val="-2"/>
        </w:rPr>
        <w:t> </w:t>
      </w:r>
      <w:r>
        <w:rPr/>
        <w:t>of</w:t>
      </w:r>
      <w:r>
        <w:rPr>
          <w:spacing w:val="-4"/>
        </w:rPr>
        <w:t> </w:t>
      </w:r>
      <w:r>
        <w:rPr/>
        <w:t>the</w:t>
      </w:r>
      <w:r>
        <w:rPr>
          <w:spacing w:val="-5"/>
        </w:rPr>
        <w:t> </w:t>
      </w:r>
      <w:r>
        <w:rPr/>
        <w:t>very low removal rates. These low rates were attributed to the aerial shooting teams avoiding some areas where ground control of Feral Pigs was being undertaken. It is also possible that Feral Pigs increased their avoidance</w:t>
      </w:r>
      <w:r>
        <w:rPr>
          <w:spacing w:val="-4"/>
        </w:rPr>
        <w:t> </w:t>
      </w:r>
      <w:r>
        <w:rPr/>
        <w:t>behaviour</w:t>
      </w:r>
      <w:r>
        <w:rPr>
          <w:spacing w:val="-3"/>
        </w:rPr>
        <w:t> </w:t>
      </w:r>
      <w:r>
        <w:rPr/>
        <w:t>to</w:t>
      </w:r>
      <w:r>
        <w:rPr>
          <w:spacing w:val="-4"/>
        </w:rPr>
        <w:t> </w:t>
      </w:r>
      <w:r>
        <w:rPr/>
        <w:t>the</w:t>
      </w:r>
      <w:r>
        <w:rPr>
          <w:spacing w:val="-2"/>
        </w:rPr>
        <w:t> </w:t>
      </w:r>
      <w:r>
        <w:rPr/>
        <w:t>helicopter,</w:t>
      </w:r>
      <w:r>
        <w:rPr>
          <w:spacing w:val="-4"/>
        </w:rPr>
        <w:t> </w:t>
      </w:r>
      <w:r>
        <w:rPr/>
        <w:t>or</w:t>
      </w:r>
      <w:r>
        <w:rPr>
          <w:spacing w:val="-3"/>
        </w:rPr>
        <w:t> </w:t>
      </w:r>
      <w:r>
        <w:rPr/>
        <w:t>that</w:t>
      </w:r>
      <w:r>
        <w:rPr>
          <w:spacing w:val="-4"/>
        </w:rPr>
        <w:t> </w:t>
      </w:r>
      <w:r>
        <w:rPr/>
        <w:t>the</w:t>
      </w:r>
      <w:r>
        <w:rPr>
          <w:spacing w:val="-5"/>
        </w:rPr>
        <w:t> </w:t>
      </w:r>
      <w:r>
        <w:rPr/>
        <w:t>removal</w:t>
      </w:r>
      <w:r>
        <w:rPr>
          <w:spacing w:val="-5"/>
        </w:rPr>
        <w:t> </w:t>
      </w:r>
      <w:r>
        <w:rPr/>
        <w:t>rate</w:t>
      </w:r>
      <w:r>
        <w:rPr>
          <w:spacing w:val="-3"/>
        </w:rPr>
        <w:t> </w:t>
      </w:r>
      <w:r>
        <w:rPr/>
        <w:t>was</w:t>
      </w:r>
      <w:r>
        <w:rPr>
          <w:spacing w:val="-3"/>
        </w:rPr>
        <w:t> </w:t>
      </w:r>
      <w:r>
        <w:rPr/>
        <w:t>insufficient</w:t>
      </w:r>
      <w:r>
        <w:rPr>
          <w:spacing w:val="-4"/>
        </w:rPr>
        <w:t> </w:t>
      </w:r>
      <w:r>
        <w:rPr/>
        <w:t>to</w:t>
      </w:r>
      <w:r>
        <w:rPr>
          <w:spacing w:val="-3"/>
        </w:rPr>
        <w:t> </w:t>
      </w:r>
      <w:r>
        <w:rPr/>
        <w:t>overcome</w:t>
      </w:r>
      <w:r>
        <w:rPr>
          <w:spacing w:val="-4"/>
        </w:rPr>
        <w:t> </w:t>
      </w:r>
      <w:r>
        <w:rPr/>
        <w:t>natural</w:t>
      </w:r>
      <w:r>
        <w:rPr>
          <w:spacing w:val="-5"/>
        </w:rPr>
        <w:t> </w:t>
      </w:r>
      <w:r>
        <w:rPr/>
        <w:t>additions to the population from reproduction or immigration.</w:t>
      </w:r>
    </w:p>
    <w:p>
      <w:pPr>
        <w:spacing w:before="121"/>
        <w:ind w:left="112" w:right="0" w:firstLine="0"/>
        <w:jc w:val="left"/>
        <w:rPr>
          <w:b/>
          <w:sz w:val="20"/>
        </w:rPr>
      </w:pPr>
      <w:r>
        <w:rPr>
          <w:b/>
          <w:sz w:val="20"/>
        </w:rPr>
        <w:t>Judas</w:t>
      </w:r>
      <w:r>
        <w:rPr>
          <w:b/>
          <w:spacing w:val="-6"/>
          <w:sz w:val="20"/>
        </w:rPr>
        <w:t> </w:t>
      </w:r>
      <w:r>
        <w:rPr>
          <w:b/>
          <w:sz w:val="20"/>
        </w:rPr>
        <w:t>pig</w:t>
      </w:r>
      <w:r>
        <w:rPr>
          <w:b/>
          <w:spacing w:val="-5"/>
          <w:sz w:val="20"/>
        </w:rPr>
        <w:t> </w:t>
      </w:r>
      <w:r>
        <w:rPr>
          <w:b/>
          <w:spacing w:val="-2"/>
          <w:sz w:val="20"/>
        </w:rPr>
        <w:t>technique</w:t>
      </w:r>
    </w:p>
    <w:p>
      <w:pPr>
        <w:pStyle w:val="BodyText"/>
        <w:spacing w:before="120"/>
        <w:ind w:left="112" w:right="142"/>
      </w:pPr>
      <w:r>
        <w:rPr/>
        <w:t>The Judas pig technique exploits the social behaviour of Feral Pigs to enhance search efficiency during control</w:t>
      </w:r>
      <w:r>
        <w:rPr>
          <w:spacing w:val="-2"/>
        </w:rPr>
        <w:t> </w:t>
      </w:r>
      <w:r>
        <w:rPr/>
        <w:t>programmes.</w:t>
      </w:r>
      <w:r>
        <w:rPr>
          <w:spacing w:val="-2"/>
        </w:rPr>
        <w:t> </w:t>
      </w:r>
      <w:r>
        <w:rPr/>
        <w:t>Adapted</w:t>
      </w:r>
      <w:r>
        <w:rPr>
          <w:spacing w:val="-5"/>
        </w:rPr>
        <w:t> </w:t>
      </w:r>
      <w:r>
        <w:rPr/>
        <w:t>from</w:t>
      </w:r>
      <w:r>
        <w:rPr>
          <w:spacing w:val="-4"/>
        </w:rPr>
        <w:t> </w:t>
      </w:r>
      <w:r>
        <w:rPr/>
        <w:t>its</w:t>
      </w:r>
      <w:r>
        <w:rPr>
          <w:spacing w:val="-1"/>
        </w:rPr>
        <w:t> </w:t>
      </w:r>
      <w:r>
        <w:rPr/>
        <w:t>initial</w:t>
      </w:r>
      <w:r>
        <w:rPr>
          <w:spacing w:val="-3"/>
        </w:rPr>
        <w:t> </w:t>
      </w:r>
      <w:r>
        <w:rPr/>
        <w:t>use</w:t>
      </w:r>
      <w:r>
        <w:rPr>
          <w:spacing w:val="-4"/>
        </w:rPr>
        <w:t> </w:t>
      </w:r>
      <w:r>
        <w:rPr/>
        <w:t>with</w:t>
      </w:r>
      <w:r>
        <w:rPr>
          <w:spacing w:val="-1"/>
        </w:rPr>
        <w:t> </w:t>
      </w:r>
      <w:r>
        <w:rPr/>
        <w:t>Goats,</w:t>
      </w:r>
      <w:r>
        <w:rPr>
          <w:spacing w:val="-4"/>
        </w:rPr>
        <w:t> </w:t>
      </w:r>
      <w:r>
        <w:rPr/>
        <w:t>the</w:t>
      </w:r>
      <w:r>
        <w:rPr>
          <w:spacing w:val="-4"/>
        </w:rPr>
        <w:t> </w:t>
      </w:r>
      <w:r>
        <w:rPr/>
        <w:t>technique</w:t>
      </w:r>
      <w:r>
        <w:rPr>
          <w:spacing w:val="-2"/>
        </w:rPr>
        <w:t> </w:t>
      </w:r>
      <w:r>
        <w:rPr/>
        <w:t>involves</w:t>
      </w:r>
      <w:r>
        <w:rPr>
          <w:spacing w:val="-3"/>
        </w:rPr>
        <w:t> </w:t>
      </w:r>
      <w:r>
        <w:rPr/>
        <w:t>fitting</w:t>
      </w:r>
      <w:r>
        <w:rPr>
          <w:spacing w:val="-3"/>
        </w:rPr>
        <w:t> </w:t>
      </w:r>
      <w:r>
        <w:rPr/>
        <w:t>a</w:t>
      </w:r>
      <w:r>
        <w:rPr>
          <w:spacing w:val="-4"/>
        </w:rPr>
        <w:t> </w:t>
      </w:r>
      <w:r>
        <w:rPr/>
        <w:t>captured</w:t>
      </w:r>
      <w:r>
        <w:rPr>
          <w:spacing w:val="-2"/>
        </w:rPr>
        <w:t> </w:t>
      </w:r>
      <w:r>
        <w:rPr/>
        <w:t>pig</w:t>
      </w:r>
      <w:r>
        <w:rPr>
          <w:spacing w:val="-2"/>
        </w:rPr>
        <w:t> </w:t>
      </w:r>
      <w:r>
        <w:rPr/>
        <w:t>with a radio transmitter, releasing it, and allowing it time to rejoin other pigs. The Judas pig is then tracked using radio telemetry,</w:t>
      </w:r>
      <w:r>
        <w:rPr>
          <w:spacing w:val="-2"/>
        </w:rPr>
        <w:t> </w:t>
      </w:r>
      <w:r>
        <w:rPr/>
        <w:t>and</w:t>
      </w:r>
      <w:r>
        <w:rPr>
          <w:spacing w:val="-2"/>
        </w:rPr>
        <w:t> </w:t>
      </w:r>
      <w:r>
        <w:rPr/>
        <w:t>all</w:t>
      </w:r>
      <w:r>
        <w:rPr>
          <w:spacing w:val="-1"/>
        </w:rPr>
        <w:t> </w:t>
      </w:r>
      <w:r>
        <w:rPr/>
        <w:t>associated</w:t>
      </w:r>
      <w:r>
        <w:rPr>
          <w:spacing w:val="-2"/>
        </w:rPr>
        <w:t> </w:t>
      </w:r>
      <w:r>
        <w:rPr/>
        <w:t>pigs</w:t>
      </w:r>
      <w:r>
        <w:rPr>
          <w:spacing w:val="-1"/>
        </w:rPr>
        <w:t> </w:t>
      </w:r>
      <w:r>
        <w:rPr/>
        <w:t>are culled. The Judas</w:t>
      </w:r>
      <w:r>
        <w:rPr>
          <w:spacing w:val="-1"/>
        </w:rPr>
        <w:t> </w:t>
      </w:r>
      <w:r>
        <w:rPr/>
        <w:t>pig</w:t>
      </w:r>
      <w:r>
        <w:rPr>
          <w:spacing w:val="-2"/>
        </w:rPr>
        <w:t> </w:t>
      </w:r>
      <w:r>
        <w:rPr/>
        <w:t>may</w:t>
      </w:r>
      <w:r>
        <w:rPr>
          <w:spacing w:val="-1"/>
        </w:rPr>
        <w:t> </w:t>
      </w:r>
      <w:r>
        <w:rPr/>
        <w:t>be released again to</w:t>
      </w:r>
      <w:r>
        <w:rPr>
          <w:spacing w:val="-2"/>
        </w:rPr>
        <w:t> </w:t>
      </w:r>
      <w:r>
        <w:rPr/>
        <w:t>locate</w:t>
      </w:r>
      <w:r>
        <w:rPr>
          <w:spacing w:val="-1"/>
        </w:rPr>
        <w:t> </w:t>
      </w:r>
      <w:r>
        <w:rPr/>
        <w:t>additional groups, repeating the process (McIlroy 1995).</w:t>
      </w:r>
    </w:p>
    <w:p>
      <w:pPr>
        <w:pStyle w:val="BodyText"/>
        <w:spacing w:before="121"/>
        <w:ind w:left="112" w:right="117"/>
      </w:pPr>
      <w:r>
        <w:rPr/>
        <w:t>Studies suggest that sows trapped locally are the most effective Judas pigs due to their higher sociability compared to males and their familiarity with the area, which aids in locating nearby sounders (McIlroy and Gifford 1997; Wilcox et al. 2004). Wilcox et al. (2004) demonstrated that the technique significantly reduces search</w:t>
      </w:r>
      <w:r>
        <w:rPr>
          <w:spacing w:val="-4"/>
        </w:rPr>
        <w:t> </w:t>
      </w:r>
      <w:r>
        <w:rPr/>
        <w:t>times</w:t>
      </w:r>
      <w:r>
        <w:rPr>
          <w:spacing w:val="-3"/>
        </w:rPr>
        <w:t> </w:t>
      </w:r>
      <w:r>
        <w:rPr/>
        <w:t>during</w:t>
      </w:r>
      <w:r>
        <w:rPr>
          <w:spacing w:val="-3"/>
        </w:rPr>
        <w:t> </w:t>
      </w:r>
      <w:r>
        <w:rPr/>
        <w:t>ground</w:t>
      </w:r>
      <w:r>
        <w:rPr>
          <w:spacing w:val="-2"/>
        </w:rPr>
        <w:t> </w:t>
      </w:r>
      <w:r>
        <w:rPr/>
        <w:t>hunting</w:t>
      </w:r>
      <w:r>
        <w:rPr>
          <w:spacing w:val="-4"/>
        </w:rPr>
        <w:t> </w:t>
      </w:r>
      <w:r>
        <w:rPr/>
        <w:t>campaigns.</w:t>
      </w:r>
      <w:r>
        <w:rPr>
          <w:spacing w:val="-2"/>
        </w:rPr>
        <w:t> </w:t>
      </w:r>
      <w:r>
        <w:rPr/>
        <w:t>Without</w:t>
      </w:r>
      <w:r>
        <w:rPr>
          <w:spacing w:val="-4"/>
        </w:rPr>
        <w:t> </w:t>
      </w:r>
      <w:r>
        <w:rPr/>
        <w:t>the</w:t>
      </w:r>
      <w:r>
        <w:rPr>
          <w:spacing w:val="-4"/>
        </w:rPr>
        <w:t> </w:t>
      </w:r>
      <w:r>
        <w:rPr/>
        <w:t>Judas</w:t>
      </w:r>
      <w:r>
        <w:rPr>
          <w:spacing w:val="-3"/>
        </w:rPr>
        <w:t> </w:t>
      </w:r>
      <w:r>
        <w:rPr/>
        <w:t>technique,</w:t>
      </w:r>
      <w:r>
        <w:rPr>
          <w:spacing w:val="-4"/>
        </w:rPr>
        <w:t> </w:t>
      </w:r>
      <w:r>
        <w:rPr/>
        <w:t>the</w:t>
      </w:r>
      <w:r>
        <w:rPr>
          <w:spacing w:val="-2"/>
        </w:rPr>
        <w:t> </w:t>
      </w:r>
      <w:r>
        <w:rPr/>
        <w:t>average</w:t>
      </w:r>
      <w:r>
        <w:rPr>
          <w:spacing w:val="-2"/>
        </w:rPr>
        <w:t> </w:t>
      </w:r>
      <w:r>
        <w:rPr/>
        <w:t>time</w:t>
      </w:r>
      <w:r>
        <w:rPr>
          <w:spacing w:val="-4"/>
        </w:rPr>
        <w:t> </w:t>
      </w:r>
      <w:r>
        <w:rPr/>
        <w:t>to</w:t>
      </w:r>
      <w:r>
        <w:rPr>
          <w:spacing w:val="-4"/>
        </w:rPr>
        <w:t> </w:t>
      </w:r>
      <w:r>
        <w:rPr/>
        <w:t>locate</w:t>
      </w:r>
      <w:r>
        <w:rPr>
          <w:spacing w:val="-3"/>
        </w:rPr>
        <w:t> </w:t>
      </w:r>
      <w:r>
        <w:rPr/>
        <w:t>pigs was approximately 4.1 hours, compared to less than one hour when using a Judas pig.</w:t>
      </w:r>
    </w:p>
    <w:p>
      <w:pPr>
        <w:pStyle w:val="BodyText"/>
        <w:spacing w:before="119"/>
        <w:ind w:left="112" w:right="142"/>
      </w:pPr>
      <w:r>
        <w:rPr/>
        <w:t>The Judas pig method is versatile and can assist ground or aerial shooters in locating pigs, as well as identifying</w:t>
      </w:r>
      <w:r>
        <w:rPr>
          <w:spacing w:val="-5"/>
        </w:rPr>
        <w:t> </w:t>
      </w:r>
      <w:r>
        <w:rPr/>
        <w:t>core</w:t>
      </w:r>
      <w:r>
        <w:rPr>
          <w:spacing w:val="-4"/>
        </w:rPr>
        <w:t> </w:t>
      </w:r>
      <w:r>
        <w:rPr/>
        <w:t>areas</w:t>
      </w:r>
      <w:r>
        <w:rPr>
          <w:spacing w:val="-3"/>
        </w:rPr>
        <w:t> </w:t>
      </w:r>
      <w:r>
        <w:rPr/>
        <w:t>or</w:t>
      </w:r>
      <w:r>
        <w:rPr>
          <w:spacing w:val="-4"/>
        </w:rPr>
        <w:t> </w:t>
      </w:r>
      <w:r>
        <w:rPr/>
        <w:t>home</w:t>
      </w:r>
      <w:r>
        <w:rPr>
          <w:spacing w:val="-4"/>
        </w:rPr>
        <w:t> </w:t>
      </w:r>
      <w:r>
        <w:rPr/>
        <w:t>ranges</w:t>
      </w:r>
      <w:r>
        <w:rPr>
          <w:spacing w:val="-3"/>
        </w:rPr>
        <w:t> </w:t>
      </w:r>
      <w:r>
        <w:rPr/>
        <w:t>where</w:t>
      </w:r>
      <w:r>
        <w:rPr>
          <w:spacing w:val="-4"/>
        </w:rPr>
        <w:t> </w:t>
      </w:r>
      <w:r>
        <w:rPr/>
        <w:t>traps</w:t>
      </w:r>
      <w:r>
        <w:rPr>
          <w:spacing w:val="-3"/>
        </w:rPr>
        <w:t> </w:t>
      </w:r>
      <w:r>
        <w:rPr/>
        <w:t>or</w:t>
      </w:r>
      <w:r>
        <w:rPr>
          <w:spacing w:val="-4"/>
        </w:rPr>
        <w:t> </w:t>
      </w:r>
      <w:r>
        <w:rPr/>
        <w:t>bait</w:t>
      </w:r>
      <w:r>
        <w:rPr>
          <w:spacing w:val="-4"/>
        </w:rPr>
        <w:t> </w:t>
      </w:r>
      <w:r>
        <w:rPr/>
        <w:t>stations</w:t>
      </w:r>
      <w:r>
        <w:rPr>
          <w:spacing w:val="-3"/>
        </w:rPr>
        <w:t> </w:t>
      </w:r>
      <w:r>
        <w:rPr/>
        <w:t>may</w:t>
      </w:r>
      <w:r>
        <w:rPr>
          <w:spacing w:val="-3"/>
        </w:rPr>
        <w:t> </w:t>
      </w:r>
      <w:r>
        <w:rPr/>
        <w:t>be</w:t>
      </w:r>
      <w:r>
        <w:rPr>
          <w:spacing w:val="-4"/>
        </w:rPr>
        <w:t> </w:t>
      </w:r>
      <w:r>
        <w:rPr/>
        <w:t>most</w:t>
      </w:r>
      <w:r>
        <w:rPr>
          <w:spacing w:val="-4"/>
        </w:rPr>
        <w:t> </w:t>
      </w:r>
      <w:r>
        <w:rPr/>
        <w:t>effective (McIlroy</w:t>
      </w:r>
      <w:r>
        <w:rPr>
          <w:spacing w:val="-1"/>
        </w:rPr>
        <w:t> </w:t>
      </w:r>
      <w:r>
        <w:rPr/>
        <w:t>and</w:t>
      </w:r>
      <w:r>
        <w:rPr>
          <w:spacing w:val="-2"/>
        </w:rPr>
        <w:t> </w:t>
      </w:r>
      <w:r>
        <w:rPr/>
        <w:t>Gifford 1997). However, the approach is time- and resource-intensive, requiring significant effort to trap, collar, and track Judas pigs, followed by the culling of associated groups. It is particularly valuable in eradication programmes, where it can expedite the elimination of the final, elusive individuals. If, however, the individual slips its collar, it can confuse sign in low density populations, making eradication of the last few individuals challenging. Additionally, data collected during the process can be used to estimate the likelihood of</w:t>
      </w:r>
      <w:r>
        <w:rPr/>
        <w:t> detecting remaining pigs, aiding in the objective decision-making regarding when to conclude control efforts (Ramsey et al. 2022).</w:t>
      </w:r>
    </w:p>
    <w:p>
      <w:pPr>
        <w:pStyle w:val="BodyText"/>
        <w:spacing w:before="157"/>
      </w:pPr>
    </w:p>
    <w:p>
      <w:pPr>
        <w:pStyle w:val="Heading3"/>
        <w:numPr>
          <w:ilvl w:val="1"/>
          <w:numId w:val="14"/>
        </w:numPr>
        <w:tabs>
          <w:tab w:pos="689" w:val="left" w:leader="none"/>
        </w:tabs>
        <w:spacing w:line="240" w:lineRule="auto" w:before="0" w:after="0"/>
        <w:ind w:left="689" w:right="0" w:hanging="577"/>
        <w:jc w:val="left"/>
      </w:pPr>
      <w:bookmarkStart w:name="_TOC_250050" w:id="53"/>
      <w:bookmarkEnd w:id="53"/>
      <w:r>
        <w:rPr>
          <w:color w:val="2D1E66"/>
          <w:spacing w:val="-2"/>
        </w:rPr>
        <w:t>Cost-effectiveness</w:t>
      </w:r>
    </w:p>
    <w:p>
      <w:pPr>
        <w:pStyle w:val="BodyText"/>
        <w:spacing w:before="112"/>
        <w:ind w:left="112" w:right="142"/>
      </w:pPr>
      <w:r>
        <w:rPr/>
        <w:t>Few studies have investigated the cost-effectiveness of individual control methods or compared multiple methods for managing Feral Pigs. Among the available management techniques, shooting from helicopters and trapping have received the most attention concerning cost-effectiveness assessments. AgEcon (2020) investigated the cost: benefits of baiting, exclusion fencing, trapping, and ground and aerial shooting across multiple cropping and livestock enterprises in north-west NSW. Across all cropping enterprises baiting and aerial shooting returned the highest results, followed by trapping. Ground shooting (as the least effective method) returned the lowest</w:t>
      </w:r>
      <w:r>
        <w:rPr>
          <w:spacing w:val="-1"/>
        </w:rPr>
        <w:t> </w:t>
      </w:r>
      <w:r>
        <w:rPr/>
        <w:t>results. Exclusion</w:t>
      </w:r>
      <w:r>
        <w:rPr>
          <w:spacing w:val="-1"/>
        </w:rPr>
        <w:t> </w:t>
      </w:r>
      <w:r>
        <w:rPr/>
        <w:t>fencing was analysed</w:t>
      </w:r>
      <w:r>
        <w:rPr>
          <w:spacing w:val="-2"/>
        </w:rPr>
        <w:t> </w:t>
      </w:r>
      <w:r>
        <w:rPr/>
        <w:t>separately in consideration</w:t>
      </w:r>
      <w:r>
        <w:rPr>
          <w:spacing w:val="-2"/>
        </w:rPr>
        <w:t> </w:t>
      </w:r>
      <w:r>
        <w:rPr/>
        <w:t>of</w:t>
      </w:r>
      <w:r>
        <w:rPr>
          <w:spacing w:val="-1"/>
        </w:rPr>
        <w:t> </w:t>
      </w:r>
      <w:r>
        <w:rPr/>
        <w:t>the</w:t>
      </w:r>
      <w:r>
        <w:rPr>
          <w:spacing w:val="-1"/>
        </w:rPr>
        <w:t> </w:t>
      </w:r>
      <w:r>
        <w:rPr/>
        <w:t>long- term</w:t>
      </w:r>
      <w:r>
        <w:rPr>
          <w:spacing w:val="-4"/>
        </w:rPr>
        <w:t> </w:t>
      </w:r>
      <w:r>
        <w:rPr/>
        <w:t>investment.</w:t>
      </w:r>
      <w:r>
        <w:rPr>
          <w:spacing w:val="-2"/>
        </w:rPr>
        <w:t> </w:t>
      </w:r>
      <w:r>
        <w:rPr/>
        <w:t>Even</w:t>
      </w:r>
      <w:r>
        <w:rPr>
          <w:spacing w:val="-5"/>
        </w:rPr>
        <w:t> </w:t>
      </w:r>
      <w:r>
        <w:rPr/>
        <w:t>when</w:t>
      </w:r>
      <w:r>
        <w:rPr>
          <w:spacing w:val="-4"/>
        </w:rPr>
        <w:t> </w:t>
      </w:r>
      <w:r>
        <w:rPr/>
        <w:t>the</w:t>
      </w:r>
      <w:r>
        <w:rPr>
          <w:spacing w:val="-2"/>
        </w:rPr>
        <w:t> </w:t>
      </w:r>
      <w:r>
        <w:rPr/>
        <w:t>cost</w:t>
      </w:r>
      <w:r>
        <w:rPr>
          <w:spacing w:val="-4"/>
        </w:rPr>
        <w:t> </w:t>
      </w:r>
      <w:r>
        <w:rPr/>
        <w:t>was</w:t>
      </w:r>
      <w:r>
        <w:rPr>
          <w:spacing w:val="-3"/>
        </w:rPr>
        <w:t> </w:t>
      </w:r>
      <w:r>
        <w:rPr/>
        <w:t>annualised,</w:t>
      </w:r>
      <w:r>
        <w:rPr>
          <w:spacing w:val="-2"/>
        </w:rPr>
        <w:t> </w:t>
      </w:r>
      <w:r>
        <w:rPr/>
        <w:t>exclusion</w:t>
      </w:r>
      <w:r>
        <w:rPr>
          <w:spacing w:val="-2"/>
        </w:rPr>
        <w:t> </w:t>
      </w:r>
      <w:r>
        <w:rPr/>
        <w:t>fencing</w:t>
      </w:r>
      <w:r>
        <w:rPr>
          <w:spacing w:val="-3"/>
        </w:rPr>
        <w:t> </w:t>
      </w:r>
      <w:r>
        <w:rPr/>
        <w:t>was</w:t>
      </w:r>
      <w:r>
        <w:rPr>
          <w:spacing w:val="-3"/>
        </w:rPr>
        <w:t> </w:t>
      </w:r>
      <w:r>
        <w:rPr/>
        <w:t>the</w:t>
      </w:r>
      <w:r>
        <w:rPr>
          <w:spacing w:val="-4"/>
        </w:rPr>
        <w:t> </w:t>
      </w:r>
      <w:r>
        <w:rPr/>
        <w:t>highest</w:t>
      </w:r>
      <w:r>
        <w:rPr>
          <w:spacing w:val="-4"/>
        </w:rPr>
        <w:t> </w:t>
      </w:r>
      <w:r>
        <w:rPr/>
        <w:t>cost</w:t>
      </w:r>
      <w:r>
        <w:rPr>
          <w:spacing w:val="-4"/>
        </w:rPr>
        <w:t> </w:t>
      </w:r>
      <w:r>
        <w:rPr/>
        <w:t>control</w:t>
      </w:r>
      <w:r>
        <w:rPr>
          <w:spacing w:val="-5"/>
        </w:rPr>
        <w:t> </w:t>
      </w:r>
      <w:r>
        <w:rPr/>
        <w:t>method per hectare; however, it was also modelled as the most effective option. These two factors meant that the economic outcome from exclusion fencing was highly variable. Exclusion fencing was best suited to high value enterprises that experience year on year damage from feral pigs for example, lambing paddocks.</w:t>
      </w:r>
    </w:p>
    <w:p>
      <w:pPr>
        <w:pStyle w:val="BodyText"/>
        <w:ind w:left="112"/>
      </w:pPr>
      <w:r>
        <w:rPr/>
        <w:t>However,</w:t>
      </w:r>
      <w:r>
        <w:rPr>
          <w:spacing w:val="-2"/>
        </w:rPr>
        <w:t> </w:t>
      </w:r>
      <w:r>
        <w:rPr/>
        <w:t>documented</w:t>
      </w:r>
      <w:r>
        <w:rPr>
          <w:spacing w:val="-4"/>
        </w:rPr>
        <w:t> </w:t>
      </w:r>
      <w:r>
        <w:rPr/>
        <w:t>evaluations</w:t>
      </w:r>
      <w:r>
        <w:rPr>
          <w:spacing w:val="-4"/>
        </w:rPr>
        <w:t> </w:t>
      </w:r>
      <w:r>
        <w:rPr/>
        <w:t>of</w:t>
      </w:r>
      <w:r>
        <w:rPr>
          <w:spacing w:val="-3"/>
        </w:rPr>
        <w:t> </w:t>
      </w:r>
      <w:r>
        <w:rPr/>
        <w:t>the</w:t>
      </w:r>
      <w:r>
        <w:rPr>
          <w:spacing w:val="-3"/>
        </w:rPr>
        <w:t> </w:t>
      </w:r>
      <w:r>
        <w:rPr/>
        <w:t>cost-effectiveness</w:t>
      </w:r>
      <w:r>
        <w:rPr>
          <w:spacing w:val="-4"/>
        </w:rPr>
        <w:t> </w:t>
      </w:r>
      <w:r>
        <w:rPr/>
        <w:t>of</w:t>
      </w:r>
      <w:r>
        <w:rPr>
          <w:spacing w:val="-4"/>
        </w:rPr>
        <w:t> </w:t>
      </w:r>
      <w:r>
        <w:rPr/>
        <w:t>integrated</w:t>
      </w:r>
      <w:r>
        <w:rPr>
          <w:spacing w:val="-3"/>
        </w:rPr>
        <w:t> </w:t>
      </w:r>
      <w:r>
        <w:rPr/>
        <w:t>Feral</w:t>
      </w:r>
      <w:r>
        <w:rPr>
          <w:spacing w:val="-5"/>
        </w:rPr>
        <w:t> </w:t>
      </w:r>
      <w:r>
        <w:rPr/>
        <w:t>Pig</w:t>
      </w:r>
      <w:r>
        <w:rPr>
          <w:spacing w:val="-2"/>
        </w:rPr>
        <w:t> </w:t>
      </w:r>
      <w:r>
        <w:rPr/>
        <w:t>control</w:t>
      </w:r>
      <w:r>
        <w:rPr>
          <w:spacing w:val="-4"/>
        </w:rPr>
        <w:t> </w:t>
      </w:r>
      <w:r>
        <w:rPr/>
        <w:t>programmes</w:t>
      </w:r>
      <w:r>
        <w:rPr>
          <w:spacing w:val="-2"/>
        </w:rPr>
        <w:t> </w:t>
      </w:r>
      <w:r>
        <w:rPr/>
        <w:t>are </w:t>
      </w:r>
      <w:r>
        <w:rPr>
          <w:spacing w:val="-2"/>
        </w:rPr>
        <w:t>scarce.</w:t>
      </w:r>
    </w:p>
    <w:p>
      <w:pPr>
        <w:pStyle w:val="BodyText"/>
        <w:spacing w:before="121"/>
        <w:ind w:left="112"/>
      </w:pPr>
      <w:r>
        <w:rPr/>
        <w:t>Table</w:t>
      </w:r>
      <w:r>
        <w:rPr>
          <w:spacing w:val="-2"/>
        </w:rPr>
        <w:t> </w:t>
      </w:r>
      <w:r>
        <w:rPr/>
        <w:t>5</w:t>
      </w:r>
      <w:r>
        <w:rPr>
          <w:spacing w:val="-3"/>
        </w:rPr>
        <w:t> </w:t>
      </w:r>
      <w:r>
        <w:rPr/>
        <w:t>summarises</w:t>
      </w:r>
      <w:r>
        <w:rPr>
          <w:spacing w:val="-3"/>
        </w:rPr>
        <w:t> </w:t>
      </w:r>
      <w:r>
        <w:rPr/>
        <w:t>the</w:t>
      </w:r>
      <w:r>
        <w:rPr>
          <w:spacing w:val="-4"/>
        </w:rPr>
        <w:t> </w:t>
      </w:r>
      <w:r>
        <w:rPr/>
        <w:t>reported</w:t>
      </w:r>
      <w:r>
        <w:rPr>
          <w:spacing w:val="-5"/>
        </w:rPr>
        <w:t> </w:t>
      </w:r>
      <w:r>
        <w:rPr/>
        <w:t>cost-effectiveness,</w:t>
      </w:r>
      <w:r>
        <w:rPr>
          <w:spacing w:val="-4"/>
        </w:rPr>
        <w:t> </w:t>
      </w:r>
      <w:r>
        <w:rPr/>
        <w:t>non-target</w:t>
      </w:r>
      <w:r>
        <w:rPr>
          <w:spacing w:val="-4"/>
        </w:rPr>
        <w:t> </w:t>
      </w:r>
      <w:r>
        <w:rPr/>
        <w:t>impacts</w:t>
      </w:r>
      <w:r>
        <w:rPr>
          <w:spacing w:val="-3"/>
        </w:rPr>
        <w:t> </w:t>
      </w:r>
      <w:r>
        <w:rPr/>
        <w:t>and</w:t>
      </w:r>
      <w:r>
        <w:rPr>
          <w:spacing w:val="-5"/>
        </w:rPr>
        <w:t> </w:t>
      </w:r>
      <w:r>
        <w:rPr/>
        <w:t>the</w:t>
      </w:r>
      <w:r>
        <w:rPr>
          <w:spacing w:val="-3"/>
        </w:rPr>
        <w:t> </w:t>
      </w:r>
      <w:r>
        <w:rPr/>
        <w:t>advantages</w:t>
      </w:r>
      <w:r>
        <w:rPr>
          <w:spacing w:val="-3"/>
        </w:rPr>
        <w:t> </w:t>
      </w:r>
      <w:r>
        <w:rPr/>
        <w:t>and disadvantages for the lethal control methods used to manage Feral Pigs.</w:t>
      </w:r>
    </w:p>
    <w:p>
      <w:pPr>
        <w:pStyle w:val="Heading5"/>
        <w:numPr>
          <w:ilvl w:val="2"/>
          <w:numId w:val="14"/>
        </w:numPr>
        <w:tabs>
          <w:tab w:pos="833" w:val="left" w:leader="none"/>
        </w:tabs>
        <w:spacing w:line="240" w:lineRule="auto" w:before="138" w:after="0"/>
        <w:ind w:left="833" w:right="0" w:hanging="721"/>
        <w:jc w:val="left"/>
      </w:pPr>
      <w:bookmarkStart w:name="_TOC_250049" w:id="54"/>
      <w:bookmarkEnd w:id="54"/>
      <w:r>
        <w:rPr>
          <w:spacing w:val="-2"/>
        </w:rPr>
        <w:t>Baiting</w:t>
      </w:r>
    </w:p>
    <w:p>
      <w:pPr>
        <w:pStyle w:val="BodyText"/>
        <w:spacing w:before="59"/>
        <w:ind w:left="112" w:right="222"/>
      </w:pPr>
      <w:r>
        <w:rPr/>
        <w:t>Baiting</w:t>
      </w:r>
      <w:r>
        <w:rPr>
          <w:spacing w:val="-4"/>
        </w:rPr>
        <w:t> </w:t>
      </w:r>
      <w:r>
        <w:rPr/>
        <w:t>using</w:t>
      </w:r>
      <w:r>
        <w:rPr>
          <w:spacing w:val="-3"/>
        </w:rPr>
        <w:t> </w:t>
      </w:r>
      <w:r>
        <w:rPr/>
        <w:t>either</w:t>
      </w:r>
      <w:r>
        <w:rPr>
          <w:spacing w:val="-1"/>
        </w:rPr>
        <w:t> </w:t>
      </w:r>
      <w:r>
        <w:rPr/>
        <w:t>PIGOUT</w:t>
      </w:r>
      <w:r>
        <w:rPr>
          <w:spacing w:val="-3"/>
        </w:rPr>
        <w:t> </w:t>
      </w:r>
      <w:r>
        <w:rPr/>
        <w:t>or</w:t>
      </w:r>
      <w:r>
        <w:rPr>
          <w:spacing w:val="-4"/>
        </w:rPr>
        <w:t> </w:t>
      </w:r>
      <w:r>
        <w:rPr/>
        <w:t>HOGGONE</w:t>
      </w:r>
      <w:r>
        <w:rPr>
          <w:spacing w:val="-4"/>
        </w:rPr>
        <w:t> </w:t>
      </w:r>
      <w:r>
        <w:rPr/>
        <w:t>has</w:t>
      </w:r>
      <w:r>
        <w:rPr>
          <w:spacing w:val="-1"/>
        </w:rPr>
        <w:t> </w:t>
      </w:r>
      <w:r>
        <w:rPr/>
        <w:t>been</w:t>
      </w:r>
      <w:r>
        <w:rPr>
          <w:spacing w:val="-2"/>
        </w:rPr>
        <w:t> </w:t>
      </w:r>
      <w:r>
        <w:rPr/>
        <w:t>shown</w:t>
      </w:r>
      <w:r>
        <w:rPr>
          <w:spacing w:val="-4"/>
        </w:rPr>
        <w:t> </w:t>
      </w:r>
      <w:r>
        <w:rPr/>
        <w:t>to</w:t>
      </w:r>
      <w:r>
        <w:rPr>
          <w:spacing w:val="-4"/>
        </w:rPr>
        <w:t> </w:t>
      </w:r>
      <w:r>
        <w:rPr/>
        <w:t>reduce Feral</w:t>
      </w:r>
      <w:r>
        <w:rPr>
          <w:spacing w:val="-5"/>
        </w:rPr>
        <w:t> </w:t>
      </w:r>
      <w:r>
        <w:rPr/>
        <w:t>Pig</w:t>
      </w:r>
      <w:r>
        <w:rPr>
          <w:spacing w:val="-1"/>
        </w:rPr>
        <w:t> </w:t>
      </w:r>
      <w:r>
        <w:rPr/>
        <w:t>populations</w:t>
      </w:r>
      <w:r>
        <w:rPr>
          <w:spacing w:val="-3"/>
        </w:rPr>
        <w:t> </w:t>
      </w:r>
      <w:r>
        <w:rPr/>
        <w:t>by</w:t>
      </w:r>
      <w:r>
        <w:rPr>
          <w:spacing w:val="-3"/>
        </w:rPr>
        <w:t> </w:t>
      </w:r>
      <w:r>
        <w:rPr/>
        <w:t>as</w:t>
      </w:r>
      <w:r>
        <w:rPr>
          <w:spacing w:val="-3"/>
        </w:rPr>
        <w:t> </w:t>
      </w:r>
      <w:r>
        <w:rPr/>
        <w:t>much</w:t>
      </w:r>
      <w:r>
        <w:rPr>
          <w:spacing w:val="-4"/>
        </w:rPr>
        <w:t> </w:t>
      </w:r>
      <w:r>
        <w:rPr/>
        <w:t>as 73 and 91.7% (Cowled et al. 2006b, Lapidge et al. 2012a; Shapiro et al. 2016). However, we were not able to locate any papers or reports that compared the relative costs, or cost-effectiveness of these bait types.</w:t>
      </w:r>
    </w:p>
    <w:p>
      <w:pPr>
        <w:pStyle w:val="BodyText"/>
        <w:ind w:left="112" w:right="173"/>
      </w:pPr>
      <w:r>
        <w:rPr/>
        <w:t>Prices per bait produce average $290.00 for a 12-tray box of HOGGONE compared to 346.00 for a 64-bait pail of 1080 bait. Operational costs will vary depending on several factors, such as the number of bait stations</w:t>
      </w:r>
      <w:r>
        <w:rPr>
          <w:spacing w:val="-3"/>
        </w:rPr>
        <w:t> </w:t>
      </w:r>
      <w:r>
        <w:rPr/>
        <w:t>(boxes)</w:t>
      </w:r>
      <w:r>
        <w:rPr>
          <w:spacing w:val="-3"/>
        </w:rPr>
        <w:t> </w:t>
      </w:r>
      <w:r>
        <w:rPr/>
        <w:t>used,</w:t>
      </w:r>
      <w:r>
        <w:rPr>
          <w:spacing w:val="-2"/>
        </w:rPr>
        <w:t> </w:t>
      </w:r>
      <w:r>
        <w:rPr/>
        <w:t>the</w:t>
      </w:r>
      <w:r>
        <w:rPr>
          <w:spacing w:val="-5"/>
        </w:rPr>
        <w:t> </w:t>
      </w:r>
      <w:r>
        <w:rPr/>
        <w:t>replacement</w:t>
      </w:r>
      <w:r>
        <w:rPr>
          <w:spacing w:val="-4"/>
        </w:rPr>
        <w:t> </w:t>
      </w:r>
      <w:r>
        <w:rPr/>
        <w:t>rate</w:t>
      </w:r>
      <w:r>
        <w:rPr>
          <w:spacing w:val="-4"/>
        </w:rPr>
        <w:t> </w:t>
      </w:r>
      <w:r>
        <w:rPr/>
        <w:t>of</w:t>
      </w:r>
      <w:r>
        <w:rPr>
          <w:spacing w:val="-2"/>
        </w:rPr>
        <w:t> </w:t>
      </w:r>
      <w:r>
        <w:rPr/>
        <w:t>the</w:t>
      </w:r>
      <w:r>
        <w:rPr>
          <w:spacing w:val="-3"/>
        </w:rPr>
        <w:t> </w:t>
      </w:r>
      <w:r>
        <w:rPr/>
        <w:t>bait,</w:t>
      </w:r>
      <w:r>
        <w:rPr>
          <w:spacing w:val="-2"/>
        </w:rPr>
        <w:t> </w:t>
      </w:r>
      <w:r>
        <w:rPr/>
        <w:t>the</w:t>
      </w:r>
      <w:r>
        <w:rPr>
          <w:spacing w:val="-2"/>
        </w:rPr>
        <w:t> </w:t>
      </w:r>
      <w:r>
        <w:rPr/>
        <w:t>underlying</w:t>
      </w:r>
      <w:r>
        <w:rPr>
          <w:spacing w:val="-4"/>
        </w:rPr>
        <w:t> </w:t>
      </w:r>
      <w:r>
        <w:rPr/>
        <w:t>density</w:t>
      </w:r>
      <w:r>
        <w:rPr>
          <w:spacing w:val="-3"/>
        </w:rPr>
        <w:t> </w:t>
      </w:r>
      <w:r>
        <w:rPr/>
        <w:t>of</w:t>
      </w:r>
      <w:r>
        <w:rPr>
          <w:spacing w:val="-4"/>
        </w:rPr>
        <w:t> </w:t>
      </w:r>
      <w:r>
        <w:rPr/>
        <w:t>the</w:t>
      </w:r>
      <w:r>
        <w:rPr>
          <w:spacing w:val="-4"/>
        </w:rPr>
        <w:t> </w:t>
      </w:r>
      <w:r>
        <w:rPr/>
        <w:t>feral</w:t>
      </w:r>
      <w:r>
        <w:rPr>
          <w:spacing w:val="-5"/>
        </w:rPr>
        <w:t> </w:t>
      </w:r>
      <w:r>
        <w:rPr/>
        <w:t>pig</w:t>
      </w:r>
      <w:r>
        <w:rPr>
          <w:spacing w:val="-4"/>
        </w:rPr>
        <w:t> </w:t>
      </w:r>
      <w:r>
        <w:rPr/>
        <w:t>population,</w:t>
      </w:r>
      <w:r>
        <w:rPr>
          <w:spacing w:val="-4"/>
        </w:rPr>
        <w:t> </w:t>
      </w:r>
      <w:r>
        <w:rPr/>
        <w:t>the duration of the baiting operations etc.</w:t>
      </w:r>
    </w:p>
    <w:p>
      <w:pPr>
        <w:spacing w:after="0"/>
        <w:sectPr>
          <w:pgSz w:w="11910" w:h="16850"/>
          <w:pgMar w:header="0" w:footer="688" w:top="1060" w:bottom="880" w:left="1020" w:right="1020"/>
        </w:sectPr>
      </w:pPr>
    </w:p>
    <w:p>
      <w:pPr>
        <w:pStyle w:val="Heading5"/>
        <w:numPr>
          <w:ilvl w:val="2"/>
          <w:numId w:val="14"/>
        </w:numPr>
        <w:tabs>
          <w:tab w:pos="833" w:val="left" w:leader="none"/>
        </w:tabs>
        <w:spacing w:line="240" w:lineRule="auto" w:before="72" w:after="0"/>
        <w:ind w:left="833" w:right="0" w:hanging="721"/>
        <w:jc w:val="left"/>
      </w:pPr>
      <w:bookmarkStart w:name="_TOC_250048" w:id="55"/>
      <w:bookmarkEnd w:id="55"/>
      <w:r>
        <w:rPr>
          <w:spacing w:val="-2"/>
        </w:rPr>
        <w:t>Trapping</w:t>
      </w:r>
    </w:p>
    <w:p>
      <w:pPr>
        <w:pStyle w:val="BodyText"/>
        <w:spacing w:before="56"/>
        <w:ind w:left="112" w:right="173"/>
      </w:pPr>
      <w:r>
        <w:rPr/>
        <w:t>While</w:t>
      </w:r>
      <w:r>
        <w:rPr>
          <w:spacing w:val="-2"/>
        </w:rPr>
        <w:t> </w:t>
      </w:r>
      <w:r>
        <w:rPr/>
        <w:t>trapping</w:t>
      </w:r>
      <w:r>
        <w:rPr>
          <w:spacing w:val="-4"/>
        </w:rPr>
        <w:t> </w:t>
      </w:r>
      <w:r>
        <w:rPr/>
        <w:t>has</w:t>
      </w:r>
      <w:r>
        <w:rPr>
          <w:spacing w:val="-3"/>
        </w:rPr>
        <w:t> </w:t>
      </w:r>
      <w:r>
        <w:rPr/>
        <w:t>been</w:t>
      </w:r>
      <w:r>
        <w:rPr>
          <w:spacing w:val="-4"/>
        </w:rPr>
        <w:t> </w:t>
      </w:r>
      <w:r>
        <w:rPr/>
        <w:t>reported</w:t>
      </w:r>
      <w:r>
        <w:rPr>
          <w:spacing w:val="-3"/>
        </w:rPr>
        <w:t> </w:t>
      </w:r>
      <w:r>
        <w:rPr/>
        <w:t>to</w:t>
      </w:r>
      <w:r>
        <w:rPr>
          <w:spacing w:val="-5"/>
        </w:rPr>
        <w:t> </w:t>
      </w:r>
      <w:r>
        <w:rPr/>
        <w:t>be</w:t>
      </w:r>
      <w:r>
        <w:rPr>
          <w:spacing w:val="-4"/>
        </w:rPr>
        <w:t> </w:t>
      </w:r>
      <w:r>
        <w:rPr/>
        <w:t>effective</w:t>
      </w:r>
      <w:r>
        <w:rPr>
          <w:spacing w:val="-2"/>
        </w:rPr>
        <w:t> </w:t>
      </w:r>
      <w:r>
        <w:rPr/>
        <w:t>in</w:t>
      </w:r>
      <w:r>
        <w:rPr>
          <w:spacing w:val="-2"/>
        </w:rPr>
        <w:t> </w:t>
      </w:r>
      <w:r>
        <w:rPr/>
        <w:t>reducing Feral</w:t>
      </w:r>
      <w:r>
        <w:rPr>
          <w:spacing w:val="-3"/>
        </w:rPr>
        <w:t> </w:t>
      </w:r>
      <w:r>
        <w:rPr/>
        <w:t>Pig</w:t>
      </w:r>
      <w:r>
        <w:rPr>
          <w:spacing w:val="-3"/>
        </w:rPr>
        <w:t> </w:t>
      </w:r>
      <w:r>
        <w:rPr/>
        <w:t>populations</w:t>
      </w:r>
      <w:r>
        <w:rPr>
          <w:spacing w:val="-2"/>
        </w:rPr>
        <w:t> </w:t>
      </w:r>
      <w:r>
        <w:rPr/>
        <w:t>(Choquenot</w:t>
      </w:r>
      <w:r>
        <w:rPr>
          <w:spacing w:val="-3"/>
        </w:rPr>
        <w:t> </w:t>
      </w:r>
      <w:r>
        <w:rPr/>
        <w:t>et</w:t>
      </w:r>
      <w:r>
        <w:rPr>
          <w:spacing w:val="-2"/>
        </w:rPr>
        <w:t> </w:t>
      </w:r>
      <w:r>
        <w:rPr/>
        <w:t>al.</w:t>
      </w:r>
      <w:r>
        <w:rPr>
          <w:spacing w:val="-4"/>
        </w:rPr>
        <w:t> </w:t>
      </w:r>
      <w:r>
        <w:rPr/>
        <w:t>1993, Gaskamp et al. 2021), only one study detailing the associated costs was identified. (Saunders et al.1993) evaluated the rate and extent of population reduction achieved through trapping Feral Pigs in Kosciusko National Park, New South Wales. Over 330 trap-nights, a total of 142 pigs, including 12 of 17 (71%) previously fitted with transmitters and confirmed to be still on the study site, were captured at a cost of</w:t>
      </w:r>
    </w:p>
    <w:p>
      <w:pPr>
        <w:pStyle w:val="BodyText"/>
        <w:spacing w:before="2"/>
        <w:ind w:left="112" w:right="142"/>
      </w:pPr>
      <w:r>
        <w:rPr/>
        <w:t>$356.41</w:t>
      </w:r>
      <w:r>
        <w:rPr>
          <w:spacing w:val="-2"/>
        </w:rPr>
        <w:t> </w:t>
      </w:r>
      <w:r>
        <w:rPr/>
        <w:t>per</w:t>
      </w:r>
      <w:r>
        <w:rPr>
          <w:spacing w:val="-3"/>
        </w:rPr>
        <w:t> </w:t>
      </w:r>
      <w:r>
        <w:rPr/>
        <w:t>pig.</w:t>
      </w:r>
      <w:r>
        <w:rPr>
          <w:spacing w:val="-2"/>
        </w:rPr>
        <w:t> </w:t>
      </w:r>
      <w:r>
        <w:rPr/>
        <w:t>A</w:t>
      </w:r>
      <w:r>
        <w:rPr>
          <w:spacing w:val="-3"/>
        </w:rPr>
        <w:t> </w:t>
      </w:r>
      <w:r>
        <w:rPr/>
        <w:t>model</w:t>
      </w:r>
      <w:r>
        <w:rPr>
          <w:spacing w:val="-3"/>
        </w:rPr>
        <w:t> </w:t>
      </w:r>
      <w:r>
        <w:rPr/>
        <w:t>applied</w:t>
      </w:r>
      <w:r>
        <w:rPr>
          <w:spacing w:val="-2"/>
        </w:rPr>
        <w:t> </w:t>
      </w:r>
      <w:r>
        <w:rPr/>
        <w:t>to</w:t>
      </w:r>
      <w:r>
        <w:rPr>
          <w:spacing w:val="-5"/>
        </w:rPr>
        <w:t> </w:t>
      </w:r>
      <w:r>
        <w:rPr/>
        <w:t>the</w:t>
      </w:r>
      <w:r>
        <w:rPr>
          <w:spacing w:val="-3"/>
        </w:rPr>
        <w:t> </w:t>
      </w:r>
      <w:r>
        <w:rPr/>
        <w:t>number</w:t>
      </w:r>
      <w:r>
        <w:rPr>
          <w:spacing w:val="-3"/>
        </w:rPr>
        <w:t> </w:t>
      </w:r>
      <w:r>
        <w:rPr/>
        <w:t>of</w:t>
      </w:r>
      <w:r>
        <w:rPr>
          <w:spacing w:val="-2"/>
        </w:rPr>
        <w:t> </w:t>
      </w:r>
      <w:r>
        <w:rPr/>
        <w:t>pigs</w:t>
      </w:r>
      <w:r>
        <w:rPr>
          <w:spacing w:val="-3"/>
        </w:rPr>
        <w:t> </w:t>
      </w:r>
      <w:r>
        <w:rPr/>
        <w:t>caught</w:t>
      </w:r>
      <w:r>
        <w:rPr>
          <w:spacing w:val="-2"/>
        </w:rPr>
        <w:t> </w:t>
      </w:r>
      <w:r>
        <w:rPr/>
        <w:t>estimated</w:t>
      </w:r>
      <w:r>
        <w:rPr>
          <w:spacing w:val="-4"/>
        </w:rPr>
        <w:t> </w:t>
      </w:r>
      <w:r>
        <w:rPr/>
        <w:t>a</w:t>
      </w:r>
      <w:r>
        <w:rPr>
          <w:spacing w:val="-3"/>
        </w:rPr>
        <w:t> </w:t>
      </w:r>
      <w:r>
        <w:rPr/>
        <w:t>population</w:t>
      </w:r>
      <w:r>
        <w:rPr>
          <w:spacing w:val="-4"/>
        </w:rPr>
        <w:t> </w:t>
      </w:r>
      <w:r>
        <w:rPr/>
        <w:t>reduction</w:t>
      </w:r>
      <w:r>
        <w:rPr>
          <w:spacing w:val="-4"/>
        </w:rPr>
        <w:t> </w:t>
      </w:r>
      <w:r>
        <w:rPr/>
        <w:t>of</w:t>
      </w:r>
      <w:r>
        <w:rPr>
          <w:spacing w:val="-2"/>
        </w:rPr>
        <w:t> </w:t>
      </w:r>
      <w:r>
        <w:rPr/>
        <w:t>62% among animals exposed to traps, but only 28% of the entire population.</w:t>
      </w:r>
    </w:p>
    <w:p>
      <w:pPr>
        <w:pStyle w:val="Heading5"/>
        <w:numPr>
          <w:ilvl w:val="2"/>
          <w:numId w:val="14"/>
        </w:numPr>
        <w:tabs>
          <w:tab w:pos="833" w:val="left" w:leader="none"/>
        </w:tabs>
        <w:spacing w:line="240" w:lineRule="auto" w:before="139" w:after="0"/>
        <w:ind w:left="833" w:right="0" w:hanging="721"/>
        <w:jc w:val="left"/>
      </w:pPr>
      <w:bookmarkStart w:name="_TOC_250047" w:id="56"/>
      <w:r>
        <w:rPr/>
        <w:t>Ground-based</w:t>
      </w:r>
      <w:r>
        <w:rPr>
          <w:spacing w:val="-7"/>
        </w:rPr>
        <w:t> </w:t>
      </w:r>
      <w:r>
        <w:rPr/>
        <w:t>shooting</w:t>
      </w:r>
      <w:r>
        <w:rPr>
          <w:spacing w:val="-6"/>
        </w:rPr>
        <w:t> </w:t>
      </w:r>
      <w:r>
        <w:rPr/>
        <w:t>(from</w:t>
      </w:r>
      <w:r>
        <w:rPr>
          <w:spacing w:val="-7"/>
        </w:rPr>
        <w:t> </w:t>
      </w:r>
      <w:bookmarkEnd w:id="56"/>
      <w:r>
        <w:rPr>
          <w:spacing w:val="-2"/>
        </w:rPr>
        <w:t>vehicles)</w:t>
      </w:r>
    </w:p>
    <w:p>
      <w:pPr>
        <w:pStyle w:val="BodyText"/>
        <w:spacing w:before="58"/>
        <w:ind w:left="112" w:right="219"/>
      </w:pPr>
      <w:r>
        <w:rPr/>
        <w:t>We</w:t>
      </w:r>
      <w:r>
        <w:rPr>
          <w:spacing w:val="-3"/>
        </w:rPr>
        <w:t> </w:t>
      </w:r>
      <w:r>
        <w:rPr/>
        <w:t>were</w:t>
      </w:r>
      <w:r>
        <w:rPr>
          <w:spacing w:val="-3"/>
        </w:rPr>
        <w:t> </w:t>
      </w:r>
      <w:r>
        <w:rPr/>
        <w:t>not</w:t>
      </w:r>
      <w:r>
        <w:rPr>
          <w:spacing w:val="-3"/>
        </w:rPr>
        <w:t> </w:t>
      </w:r>
      <w:r>
        <w:rPr/>
        <w:t>able</w:t>
      </w:r>
      <w:r>
        <w:rPr>
          <w:spacing w:val="-3"/>
        </w:rPr>
        <w:t> </w:t>
      </w:r>
      <w:r>
        <w:rPr/>
        <w:t>to</w:t>
      </w:r>
      <w:r>
        <w:rPr>
          <w:spacing w:val="-3"/>
        </w:rPr>
        <w:t> </w:t>
      </w:r>
      <w:r>
        <w:rPr/>
        <w:t>source</w:t>
      </w:r>
      <w:r>
        <w:rPr>
          <w:spacing w:val="-3"/>
        </w:rPr>
        <w:t> </w:t>
      </w:r>
      <w:r>
        <w:rPr/>
        <w:t>any</w:t>
      </w:r>
      <w:r>
        <w:rPr>
          <w:spacing w:val="-2"/>
        </w:rPr>
        <w:t> </w:t>
      </w:r>
      <w:r>
        <w:rPr/>
        <w:t>studies</w:t>
      </w:r>
      <w:r>
        <w:rPr>
          <w:spacing w:val="-2"/>
        </w:rPr>
        <w:t> </w:t>
      </w:r>
      <w:r>
        <w:rPr/>
        <w:t>or</w:t>
      </w:r>
      <w:r>
        <w:rPr>
          <w:spacing w:val="-3"/>
        </w:rPr>
        <w:t> </w:t>
      </w:r>
      <w:r>
        <w:rPr/>
        <w:t>reports</w:t>
      </w:r>
      <w:r>
        <w:rPr>
          <w:spacing w:val="-2"/>
        </w:rPr>
        <w:t> </w:t>
      </w:r>
      <w:r>
        <w:rPr/>
        <w:t>that</w:t>
      </w:r>
      <w:r>
        <w:rPr>
          <w:spacing w:val="-1"/>
        </w:rPr>
        <w:t> </w:t>
      </w:r>
      <w:r>
        <w:rPr/>
        <w:t>describe</w:t>
      </w:r>
      <w:r>
        <w:rPr>
          <w:spacing w:val="-4"/>
        </w:rPr>
        <w:t> </w:t>
      </w:r>
      <w:r>
        <w:rPr/>
        <w:t>the</w:t>
      </w:r>
      <w:r>
        <w:rPr>
          <w:spacing w:val="-4"/>
        </w:rPr>
        <w:t> </w:t>
      </w:r>
      <w:r>
        <w:rPr/>
        <w:t>costs</w:t>
      </w:r>
      <w:r>
        <w:rPr>
          <w:spacing w:val="-2"/>
        </w:rPr>
        <w:t> </w:t>
      </w:r>
      <w:r>
        <w:rPr/>
        <w:t>of</w:t>
      </w:r>
      <w:r>
        <w:rPr>
          <w:spacing w:val="-1"/>
        </w:rPr>
        <w:t> </w:t>
      </w:r>
      <w:r>
        <w:rPr/>
        <w:t>ground</w:t>
      </w:r>
      <w:r>
        <w:rPr>
          <w:spacing w:val="-3"/>
        </w:rPr>
        <w:t> </w:t>
      </w:r>
      <w:r>
        <w:rPr/>
        <w:t>shooting</w:t>
      </w:r>
      <w:r>
        <w:rPr>
          <w:spacing w:val="-3"/>
        </w:rPr>
        <w:t> </w:t>
      </w:r>
      <w:r>
        <w:rPr/>
        <w:t>from</w:t>
      </w:r>
      <w:r>
        <w:rPr>
          <w:spacing w:val="-1"/>
        </w:rPr>
        <w:t> </w:t>
      </w:r>
      <w:r>
        <w:rPr/>
        <w:t>vehicles. Mitchell (1988) removed 49 pigs through ground shooting, which resulted in an estimated reduction in density of 16%. However, they did not report costs (Mitchell 1988).</w:t>
      </w:r>
    </w:p>
    <w:p>
      <w:pPr>
        <w:pStyle w:val="Heading5"/>
        <w:numPr>
          <w:ilvl w:val="2"/>
          <w:numId w:val="14"/>
        </w:numPr>
        <w:tabs>
          <w:tab w:pos="833" w:val="left" w:leader="none"/>
        </w:tabs>
        <w:spacing w:line="240" w:lineRule="auto" w:before="139" w:after="0"/>
        <w:ind w:left="833" w:right="0" w:hanging="721"/>
        <w:jc w:val="left"/>
      </w:pPr>
      <w:bookmarkStart w:name="_TOC_250046" w:id="57"/>
      <w:r>
        <w:rPr/>
        <w:t>Aerial</w:t>
      </w:r>
      <w:r>
        <w:rPr>
          <w:spacing w:val="-4"/>
        </w:rPr>
        <w:t> </w:t>
      </w:r>
      <w:bookmarkEnd w:id="57"/>
      <w:r>
        <w:rPr>
          <w:spacing w:val="-2"/>
        </w:rPr>
        <w:t>shooting</w:t>
      </w:r>
    </w:p>
    <w:p>
      <w:pPr>
        <w:pStyle w:val="BodyText"/>
        <w:spacing w:before="58"/>
        <w:ind w:left="112" w:right="173"/>
      </w:pPr>
      <w:r>
        <w:rPr/>
        <w:t>In</w:t>
      </w:r>
      <w:r>
        <w:rPr>
          <w:spacing w:val="-5"/>
        </w:rPr>
        <w:t> </w:t>
      </w:r>
      <w:r>
        <w:rPr/>
        <w:t>a</w:t>
      </w:r>
      <w:r>
        <w:rPr>
          <w:spacing w:val="-4"/>
        </w:rPr>
        <w:t> </w:t>
      </w:r>
      <w:r>
        <w:rPr/>
        <w:t>study</w:t>
      </w:r>
      <w:r>
        <w:rPr>
          <w:spacing w:val="-3"/>
        </w:rPr>
        <w:t> </w:t>
      </w:r>
      <w:r>
        <w:rPr/>
        <w:t>conducted</w:t>
      </w:r>
      <w:r>
        <w:rPr>
          <w:spacing w:val="-3"/>
        </w:rPr>
        <w:t> </w:t>
      </w:r>
      <w:r>
        <w:rPr/>
        <w:t>at</w:t>
      </w:r>
      <w:r>
        <w:rPr>
          <w:spacing w:val="-4"/>
        </w:rPr>
        <w:t> </w:t>
      </w:r>
      <w:r>
        <w:rPr/>
        <w:t>the</w:t>
      </w:r>
      <w:r>
        <w:rPr>
          <w:spacing w:val="-2"/>
        </w:rPr>
        <w:t> </w:t>
      </w:r>
      <w:r>
        <w:rPr/>
        <w:t>Macquarie</w:t>
      </w:r>
      <w:r>
        <w:rPr>
          <w:spacing w:val="-3"/>
        </w:rPr>
        <w:t> </w:t>
      </w:r>
      <w:r>
        <w:rPr/>
        <w:t>Marshes</w:t>
      </w:r>
      <w:r>
        <w:rPr>
          <w:spacing w:val="-1"/>
        </w:rPr>
        <w:t> </w:t>
      </w:r>
      <w:r>
        <w:rPr/>
        <w:t>in</w:t>
      </w:r>
      <w:r>
        <w:rPr>
          <w:spacing w:val="-4"/>
        </w:rPr>
        <w:t> </w:t>
      </w:r>
      <w:r>
        <w:rPr/>
        <w:t>western</w:t>
      </w:r>
      <w:r>
        <w:rPr>
          <w:spacing w:val="-4"/>
        </w:rPr>
        <w:t> </w:t>
      </w:r>
      <w:r>
        <w:rPr/>
        <w:t>NSW, Saunders</w:t>
      </w:r>
      <w:r>
        <w:rPr>
          <w:spacing w:val="-2"/>
        </w:rPr>
        <w:t> </w:t>
      </w:r>
      <w:r>
        <w:rPr/>
        <w:t>and</w:t>
      </w:r>
      <w:r>
        <w:rPr>
          <w:spacing w:val="-2"/>
        </w:rPr>
        <w:t> </w:t>
      </w:r>
      <w:r>
        <w:rPr/>
        <w:t>Bryant</w:t>
      </w:r>
      <w:r>
        <w:rPr>
          <w:spacing w:val="-3"/>
        </w:rPr>
        <w:t> </w:t>
      </w:r>
      <w:r>
        <w:rPr/>
        <w:t>(1988)</w:t>
      </w:r>
      <w:r>
        <w:rPr>
          <w:spacing w:val="-2"/>
        </w:rPr>
        <w:t> </w:t>
      </w:r>
      <w:r>
        <w:rPr/>
        <w:t>reported</w:t>
      </w:r>
      <w:r>
        <w:rPr>
          <w:spacing w:val="-5"/>
        </w:rPr>
        <w:t> </w:t>
      </w:r>
      <w:r>
        <w:rPr/>
        <w:t>that shooting from a helicopter resulted in the removal of 946 Feral Pigs at a rate of 39.2 pigs per hour, with a cost of $40.34 per pig. In a follow-up study at the same location, Saunders (1993) reported that aerial shooting over two years achieved population reductions of 80% and 65%, respectively. However, the Feral Pig population recovered to 77% of its original size within one year, highlighting the necessity for annual control measures to counteract immigration and reproduction.</w:t>
      </w:r>
    </w:p>
    <w:p>
      <w:pPr>
        <w:pStyle w:val="BodyText"/>
        <w:spacing w:before="121"/>
        <w:ind w:left="112" w:right="173"/>
      </w:pPr>
      <w:r>
        <w:rPr/>
        <w:t>In a study conducted in the woodlands of the Mary and Adelaide rivers in the Northern Territory, Hone (1990b) reported a cost of $A22.97 per Feral Pig shot, including helicopter charter, fuel, and ammunition, though excluding salaries. The operational cost per square kilometre was $A111.66. Costs per kill were lowest ($9.43), and kills per hour were highest (93) when the number of Feral Pigs killed per square kilometre</w:t>
      </w:r>
      <w:r>
        <w:rPr>
          <w:spacing w:val="-3"/>
        </w:rPr>
        <w:t> </w:t>
      </w:r>
      <w:r>
        <w:rPr/>
        <w:t>was</w:t>
      </w:r>
      <w:r>
        <w:rPr>
          <w:spacing w:val="-2"/>
        </w:rPr>
        <w:t> </w:t>
      </w:r>
      <w:r>
        <w:rPr/>
        <w:t>greatest</w:t>
      </w:r>
      <w:r>
        <w:rPr>
          <w:spacing w:val="-3"/>
        </w:rPr>
        <w:t> </w:t>
      </w:r>
      <w:r>
        <w:rPr/>
        <w:t>(35).</w:t>
      </w:r>
      <w:r>
        <w:rPr>
          <w:spacing w:val="-3"/>
        </w:rPr>
        <w:t> </w:t>
      </w:r>
      <w:r>
        <w:rPr/>
        <w:t>Conversely,</w:t>
      </w:r>
      <w:r>
        <w:rPr>
          <w:spacing w:val="-3"/>
        </w:rPr>
        <w:t> </w:t>
      </w:r>
      <w:r>
        <w:rPr/>
        <w:t>costs</w:t>
      </w:r>
      <w:r>
        <w:rPr>
          <w:spacing w:val="-2"/>
        </w:rPr>
        <w:t> </w:t>
      </w:r>
      <w:r>
        <w:rPr/>
        <w:t>per</w:t>
      </w:r>
      <w:r>
        <w:rPr>
          <w:spacing w:val="-2"/>
        </w:rPr>
        <w:t> </w:t>
      </w:r>
      <w:r>
        <w:rPr/>
        <w:t>square</w:t>
      </w:r>
      <w:r>
        <w:rPr>
          <w:spacing w:val="-3"/>
        </w:rPr>
        <w:t> </w:t>
      </w:r>
      <w:r>
        <w:rPr/>
        <w:t>kilometre</w:t>
      </w:r>
      <w:r>
        <w:rPr>
          <w:spacing w:val="-3"/>
        </w:rPr>
        <w:t> </w:t>
      </w:r>
      <w:r>
        <w:rPr/>
        <w:t>($358.26)</w:t>
      </w:r>
      <w:r>
        <w:rPr>
          <w:spacing w:val="-3"/>
        </w:rPr>
        <w:t> </w:t>
      </w:r>
      <w:r>
        <w:rPr/>
        <w:t>were</w:t>
      </w:r>
      <w:r>
        <w:rPr>
          <w:spacing w:val="-3"/>
        </w:rPr>
        <w:t> </w:t>
      </w:r>
      <w:r>
        <w:rPr/>
        <w:t>highest</w:t>
      </w:r>
      <w:r>
        <w:rPr>
          <w:spacing w:val="-1"/>
        </w:rPr>
        <w:t> </w:t>
      </w:r>
      <w:r>
        <w:rPr/>
        <w:t>when</w:t>
      </w:r>
      <w:r>
        <w:rPr>
          <w:spacing w:val="-3"/>
        </w:rPr>
        <w:t> </w:t>
      </w:r>
      <w:r>
        <w:rPr/>
        <w:t>shooting time per square kilometre was maximised.</w:t>
      </w:r>
    </w:p>
    <w:p>
      <w:pPr>
        <w:pStyle w:val="BodyText"/>
        <w:spacing w:before="120"/>
        <w:ind w:left="112"/>
      </w:pPr>
      <w:r>
        <w:rPr/>
        <w:t>Choquenot et al. (1999) utilised data from three aerial shooting programmes (Hone 1987; Hone 1990; Saunders</w:t>
      </w:r>
      <w:r>
        <w:rPr>
          <w:spacing w:val="-2"/>
        </w:rPr>
        <w:t> </w:t>
      </w:r>
      <w:r>
        <w:rPr/>
        <w:t>and</w:t>
      </w:r>
      <w:r>
        <w:rPr>
          <w:spacing w:val="-3"/>
        </w:rPr>
        <w:t> </w:t>
      </w:r>
      <w:r>
        <w:rPr/>
        <w:t>Bryant</w:t>
      </w:r>
      <w:r>
        <w:rPr>
          <w:spacing w:val="-4"/>
        </w:rPr>
        <w:t> </w:t>
      </w:r>
      <w:r>
        <w:rPr/>
        <w:t>1988)</w:t>
      </w:r>
      <w:r>
        <w:rPr>
          <w:spacing w:val="-1"/>
        </w:rPr>
        <w:t> </w:t>
      </w:r>
      <w:r>
        <w:rPr/>
        <w:t>to</w:t>
      </w:r>
      <w:r>
        <w:rPr>
          <w:spacing w:val="-5"/>
        </w:rPr>
        <w:t> </w:t>
      </w:r>
      <w:r>
        <w:rPr/>
        <w:t>develop</w:t>
      </w:r>
      <w:r>
        <w:rPr>
          <w:spacing w:val="-4"/>
        </w:rPr>
        <w:t> </w:t>
      </w:r>
      <w:r>
        <w:rPr/>
        <w:t>predictive</w:t>
      </w:r>
      <w:r>
        <w:rPr>
          <w:spacing w:val="-4"/>
        </w:rPr>
        <w:t> </w:t>
      </w:r>
      <w:r>
        <w:rPr/>
        <w:t>models</w:t>
      </w:r>
      <w:r>
        <w:rPr>
          <w:spacing w:val="-3"/>
        </w:rPr>
        <w:t> </w:t>
      </w:r>
      <w:r>
        <w:rPr/>
        <w:t>assessing</w:t>
      </w:r>
      <w:r>
        <w:rPr>
          <w:spacing w:val="-5"/>
        </w:rPr>
        <w:t> </w:t>
      </w:r>
      <w:r>
        <w:rPr/>
        <w:t>the</w:t>
      </w:r>
      <w:r>
        <w:rPr>
          <w:spacing w:val="-5"/>
        </w:rPr>
        <w:t> </w:t>
      </w:r>
      <w:r>
        <w:rPr/>
        <w:t>effectiveness</w:t>
      </w:r>
      <w:r>
        <w:rPr>
          <w:spacing w:val="-3"/>
        </w:rPr>
        <w:t> </w:t>
      </w:r>
      <w:r>
        <w:rPr/>
        <w:t>of</w:t>
      </w:r>
      <w:r>
        <w:rPr>
          <w:spacing w:val="-4"/>
        </w:rPr>
        <w:t> </w:t>
      </w:r>
      <w:r>
        <w:rPr/>
        <w:t>aerial</w:t>
      </w:r>
      <w:r>
        <w:rPr>
          <w:spacing w:val="-5"/>
        </w:rPr>
        <w:t> </w:t>
      </w:r>
      <w:r>
        <w:rPr/>
        <w:t>shooting. The findings from their models were consistent with those found by Choquenot et al. (1999) in implying that additional effort does not proportionally increase the number of Feral Pigs killed.</w:t>
      </w:r>
    </w:p>
    <w:p>
      <w:pPr>
        <w:pStyle w:val="Heading5"/>
        <w:numPr>
          <w:ilvl w:val="2"/>
          <w:numId w:val="14"/>
        </w:numPr>
        <w:tabs>
          <w:tab w:pos="833" w:val="left" w:leader="none"/>
        </w:tabs>
        <w:spacing w:line="240" w:lineRule="auto" w:before="139" w:after="0"/>
        <w:ind w:left="833" w:right="0" w:hanging="721"/>
        <w:jc w:val="left"/>
      </w:pPr>
      <w:bookmarkStart w:name="_TOC_250045" w:id="58"/>
      <w:r>
        <w:rPr/>
        <w:t>Integrating</w:t>
      </w:r>
      <w:r>
        <w:rPr>
          <w:spacing w:val="-9"/>
        </w:rPr>
        <w:t> </w:t>
      </w:r>
      <w:r>
        <w:rPr/>
        <w:t>control</w:t>
      </w:r>
      <w:r>
        <w:rPr>
          <w:spacing w:val="-6"/>
        </w:rPr>
        <w:t> </w:t>
      </w:r>
      <w:bookmarkEnd w:id="58"/>
      <w:r>
        <w:rPr>
          <w:spacing w:val="-2"/>
        </w:rPr>
        <w:t>methods</w:t>
      </w:r>
    </w:p>
    <w:p>
      <w:pPr>
        <w:pStyle w:val="BodyText"/>
        <w:spacing w:before="56"/>
        <w:ind w:left="112" w:right="126"/>
      </w:pPr>
      <w:r>
        <w:rPr/>
        <w:t>McIlroy and Saillard (1989) compared the relative costs of hunting Feral Pigs with dogs and using poison baiting</w:t>
      </w:r>
      <w:r>
        <w:rPr>
          <w:spacing w:val="-3"/>
        </w:rPr>
        <w:t> </w:t>
      </w:r>
      <w:r>
        <w:rPr/>
        <w:t>with</w:t>
      </w:r>
      <w:r>
        <w:rPr>
          <w:spacing w:val="-4"/>
        </w:rPr>
        <w:t> </w:t>
      </w:r>
      <w:r>
        <w:rPr/>
        <w:t>warfarin</w:t>
      </w:r>
      <w:r>
        <w:rPr>
          <w:spacing w:val="-3"/>
        </w:rPr>
        <w:t> </w:t>
      </w:r>
      <w:r>
        <w:rPr/>
        <w:t>in</w:t>
      </w:r>
      <w:r>
        <w:rPr>
          <w:spacing w:val="-3"/>
        </w:rPr>
        <w:t> </w:t>
      </w:r>
      <w:r>
        <w:rPr/>
        <w:t>Namadgi</w:t>
      </w:r>
      <w:r>
        <w:rPr>
          <w:spacing w:val="-4"/>
        </w:rPr>
        <w:t> </w:t>
      </w:r>
      <w:r>
        <w:rPr/>
        <w:t>National</w:t>
      </w:r>
      <w:r>
        <w:rPr>
          <w:spacing w:val="-2"/>
        </w:rPr>
        <w:t> </w:t>
      </w:r>
      <w:r>
        <w:rPr/>
        <w:t>Park,</w:t>
      </w:r>
      <w:r>
        <w:rPr>
          <w:spacing w:val="-3"/>
        </w:rPr>
        <w:t> </w:t>
      </w:r>
      <w:r>
        <w:rPr/>
        <w:t>ACT.</w:t>
      </w:r>
      <w:r>
        <w:rPr>
          <w:spacing w:val="-1"/>
        </w:rPr>
        <w:t> </w:t>
      </w:r>
      <w:r>
        <w:rPr/>
        <w:t>They</w:t>
      </w:r>
      <w:r>
        <w:rPr>
          <w:spacing w:val="-2"/>
        </w:rPr>
        <w:t> </w:t>
      </w:r>
      <w:r>
        <w:rPr/>
        <w:t>found</w:t>
      </w:r>
      <w:r>
        <w:rPr>
          <w:spacing w:val="-4"/>
        </w:rPr>
        <w:t> </w:t>
      </w:r>
      <w:r>
        <w:rPr/>
        <w:t>that</w:t>
      </w:r>
      <w:r>
        <w:rPr>
          <w:spacing w:val="-1"/>
        </w:rPr>
        <w:t> </w:t>
      </w:r>
      <w:r>
        <w:rPr/>
        <w:t>hunting</w:t>
      </w:r>
      <w:r>
        <w:rPr>
          <w:spacing w:val="-3"/>
        </w:rPr>
        <w:t> </w:t>
      </w:r>
      <w:r>
        <w:rPr/>
        <w:t>was</w:t>
      </w:r>
      <w:r>
        <w:rPr>
          <w:spacing w:val="-2"/>
        </w:rPr>
        <w:t> </w:t>
      </w:r>
      <w:r>
        <w:rPr/>
        <w:t>ineffective</w:t>
      </w:r>
      <w:r>
        <w:rPr>
          <w:spacing w:val="-1"/>
        </w:rPr>
        <w:t> </w:t>
      </w:r>
      <w:r>
        <w:rPr/>
        <w:t>as</w:t>
      </w:r>
      <w:r>
        <w:rPr>
          <w:spacing w:val="-2"/>
        </w:rPr>
        <w:t> </w:t>
      </w:r>
      <w:r>
        <w:rPr/>
        <w:t>a</w:t>
      </w:r>
      <w:r>
        <w:rPr>
          <w:spacing w:val="-4"/>
        </w:rPr>
        <w:t> </w:t>
      </w:r>
      <w:r>
        <w:rPr/>
        <w:t>method</w:t>
      </w:r>
      <w:r>
        <w:rPr>
          <w:spacing w:val="-4"/>
        </w:rPr>
        <w:t> </w:t>
      </w:r>
      <w:r>
        <w:rPr/>
        <w:t>for reducing the Feral Pig population, removing only 13% of the pigs known to inhabit the area. In contrast, poison baiting was more effective across several projects conducted in the same region, with reductions ranging from 29–100%. Additionally, hunting proved more costly, at $783.57 per pig, compared to the</w:t>
      </w:r>
    </w:p>
    <w:p>
      <w:pPr>
        <w:pStyle w:val="BodyText"/>
        <w:spacing w:before="3"/>
        <w:ind w:left="112" w:right="117"/>
      </w:pPr>
      <w:r>
        <w:rPr/>
        <w:t>$595.21 per pig cost of poison baiting using warfarin. The authors noted that Feral Pigs had been regularly subjected</w:t>
      </w:r>
      <w:r>
        <w:rPr>
          <w:spacing w:val="-5"/>
        </w:rPr>
        <w:t> </w:t>
      </w:r>
      <w:r>
        <w:rPr/>
        <w:t>to</w:t>
      </w:r>
      <w:r>
        <w:rPr>
          <w:spacing w:val="-2"/>
        </w:rPr>
        <w:t> </w:t>
      </w:r>
      <w:r>
        <w:rPr/>
        <w:t>predation</w:t>
      </w:r>
      <w:r>
        <w:rPr>
          <w:spacing w:val="-3"/>
        </w:rPr>
        <w:t> </w:t>
      </w:r>
      <w:r>
        <w:rPr/>
        <w:t>by</w:t>
      </w:r>
      <w:r>
        <w:rPr>
          <w:spacing w:val="-1"/>
        </w:rPr>
        <w:t> </w:t>
      </w:r>
      <w:r>
        <w:rPr/>
        <w:t>Wild</w:t>
      </w:r>
      <w:r>
        <w:rPr>
          <w:spacing w:val="-4"/>
        </w:rPr>
        <w:t> </w:t>
      </w:r>
      <w:r>
        <w:rPr/>
        <w:t>Dogs,</w:t>
      </w:r>
      <w:r>
        <w:rPr>
          <w:spacing w:val="-4"/>
        </w:rPr>
        <w:t> </w:t>
      </w:r>
      <w:r>
        <w:rPr/>
        <w:t>Dingoes,</w:t>
      </w:r>
      <w:r>
        <w:rPr>
          <w:spacing w:val="-4"/>
        </w:rPr>
        <w:t> </w:t>
      </w:r>
      <w:r>
        <w:rPr/>
        <w:t>and</w:t>
      </w:r>
      <w:r>
        <w:rPr>
          <w:spacing w:val="-3"/>
        </w:rPr>
        <w:t> </w:t>
      </w:r>
      <w:r>
        <w:rPr/>
        <w:t>unauthorised</w:t>
      </w:r>
      <w:r>
        <w:rPr>
          <w:spacing w:val="-4"/>
        </w:rPr>
        <w:t> </w:t>
      </w:r>
      <w:r>
        <w:rPr/>
        <w:t>hunters,</w:t>
      </w:r>
      <w:r>
        <w:rPr>
          <w:spacing w:val="-4"/>
        </w:rPr>
        <w:t> </w:t>
      </w:r>
      <w:r>
        <w:rPr/>
        <w:t>which</w:t>
      </w:r>
      <w:r>
        <w:rPr>
          <w:spacing w:val="-2"/>
        </w:rPr>
        <w:t> </w:t>
      </w:r>
      <w:r>
        <w:rPr/>
        <w:t>appeared</w:t>
      </w:r>
      <w:r>
        <w:rPr>
          <w:spacing w:val="-2"/>
        </w:rPr>
        <w:t> </w:t>
      </w:r>
      <w:r>
        <w:rPr/>
        <w:t>to</w:t>
      </w:r>
      <w:r>
        <w:rPr>
          <w:spacing w:val="-5"/>
        </w:rPr>
        <w:t> </w:t>
      </w:r>
      <w:r>
        <w:rPr/>
        <w:t>have</w:t>
      </w:r>
      <w:r>
        <w:rPr>
          <w:spacing w:val="-4"/>
        </w:rPr>
        <w:t> </w:t>
      </w:r>
      <w:r>
        <w:rPr/>
        <w:t>influenced their behaviour. They also highlighted several factors affecting the success of poisoning efforts, including seasonal and individual movements, habitat use, inadequate distribution and abundance of baits, and variation in bait consumption by the pigs.</w:t>
      </w:r>
    </w:p>
    <w:p>
      <w:pPr>
        <w:pStyle w:val="BodyText"/>
        <w:spacing w:before="119"/>
        <w:ind w:left="112" w:right="173"/>
      </w:pPr>
      <w:r>
        <w:rPr/>
        <w:t>Hone</w:t>
      </w:r>
      <w:r>
        <w:rPr>
          <w:spacing w:val="-4"/>
        </w:rPr>
        <w:t> </w:t>
      </w:r>
      <w:r>
        <w:rPr/>
        <w:t>(1983)</w:t>
      </w:r>
      <w:r>
        <w:rPr>
          <w:spacing w:val="-3"/>
        </w:rPr>
        <w:t> </w:t>
      </w:r>
      <w:r>
        <w:rPr/>
        <w:t>employed</w:t>
      </w:r>
      <w:r>
        <w:rPr>
          <w:spacing w:val="-4"/>
        </w:rPr>
        <w:t> </w:t>
      </w:r>
      <w:r>
        <w:rPr/>
        <w:t>1080</w:t>
      </w:r>
      <w:r>
        <w:rPr>
          <w:spacing w:val="-4"/>
        </w:rPr>
        <w:t> </w:t>
      </w:r>
      <w:r>
        <w:rPr/>
        <w:t>poisoning,</w:t>
      </w:r>
      <w:r>
        <w:rPr>
          <w:spacing w:val="-2"/>
        </w:rPr>
        <w:t> </w:t>
      </w:r>
      <w:r>
        <w:rPr/>
        <w:t>followed</w:t>
      </w:r>
      <w:r>
        <w:rPr>
          <w:spacing w:val="-2"/>
        </w:rPr>
        <w:t> </w:t>
      </w:r>
      <w:r>
        <w:rPr/>
        <w:t>by</w:t>
      </w:r>
      <w:r>
        <w:rPr>
          <w:spacing w:val="-3"/>
        </w:rPr>
        <w:t> </w:t>
      </w:r>
      <w:r>
        <w:rPr/>
        <w:t>ground</w:t>
      </w:r>
      <w:r>
        <w:rPr>
          <w:spacing w:val="-2"/>
        </w:rPr>
        <w:t> </w:t>
      </w:r>
      <w:r>
        <w:rPr/>
        <w:t>and</w:t>
      </w:r>
      <w:r>
        <w:rPr>
          <w:spacing w:val="-4"/>
        </w:rPr>
        <w:t> </w:t>
      </w:r>
      <w:r>
        <w:rPr/>
        <w:t>aerial</w:t>
      </w:r>
      <w:r>
        <w:rPr>
          <w:spacing w:val="-5"/>
        </w:rPr>
        <w:t> </w:t>
      </w:r>
      <w:r>
        <w:rPr/>
        <w:t>shooting,</w:t>
      </w:r>
      <w:r>
        <w:rPr>
          <w:spacing w:val="-4"/>
        </w:rPr>
        <w:t> </w:t>
      </w:r>
      <w:r>
        <w:rPr/>
        <w:t>to</w:t>
      </w:r>
      <w:r>
        <w:rPr>
          <w:spacing w:val="-4"/>
        </w:rPr>
        <w:t> </w:t>
      </w:r>
      <w:r>
        <w:rPr/>
        <w:t>eradicate Feral</w:t>
      </w:r>
      <w:r>
        <w:rPr>
          <w:spacing w:val="-2"/>
        </w:rPr>
        <w:t> </w:t>
      </w:r>
      <w:r>
        <w:rPr/>
        <w:t>Pigs</w:t>
      </w:r>
      <w:r>
        <w:rPr>
          <w:spacing w:val="-3"/>
        </w:rPr>
        <w:t> </w:t>
      </w:r>
      <w:r>
        <w:rPr/>
        <w:t>from a</w:t>
      </w:r>
      <w:r>
        <w:rPr>
          <w:spacing w:val="-4"/>
        </w:rPr>
        <w:t> </w:t>
      </w:r>
      <w:r>
        <w:rPr/>
        <w:t>50</w:t>
      </w:r>
      <w:r>
        <w:rPr>
          <w:spacing w:val="-4"/>
        </w:rPr>
        <w:t> </w:t>
      </w:r>
      <w:r>
        <w:rPr/>
        <w:t>km²</w:t>
      </w:r>
      <w:r>
        <w:rPr>
          <w:spacing w:val="-1"/>
        </w:rPr>
        <w:t> </w:t>
      </w:r>
      <w:r>
        <w:rPr/>
        <w:t>area</w:t>
      </w:r>
      <w:r>
        <w:rPr>
          <w:spacing w:val="-2"/>
        </w:rPr>
        <w:t> </w:t>
      </w:r>
      <w:r>
        <w:rPr/>
        <w:t>in</w:t>
      </w:r>
      <w:r>
        <w:rPr>
          <w:spacing w:val="-4"/>
        </w:rPr>
        <w:t> </w:t>
      </w:r>
      <w:r>
        <w:rPr/>
        <w:t>south-western</w:t>
      </w:r>
      <w:r>
        <w:rPr>
          <w:spacing w:val="-4"/>
        </w:rPr>
        <w:t> </w:t>
      </w:r>
      <w:r>
        <w:rPr/>
        <w:t>New</w:t>
      </w:r>
      <w:r>
        <w:rPr>
          <w:spacing w:val="-2"/>
        </w:rPr>
        <w:t> </w:t>
      </w:r>
      <w:r>
        <w:rPr/>
        <w:t>South</w:t>
      </w:r>
      <w:r>
        <w:rPr>
          <w:spacing w:val="-2"/>
        </w:rPr>
        <w:t> </w:t>
      </w:r>
      <w:r>
        <w:rPr/>
        <w:t>Wales.</w:t>
      </w:r>
      <w:r>
        <w:rPr>
          <w:spacing w:val="-2"/>
        </w:rPr>
        <w:t> </w:t>
      </w:r>
      <w:r>
        <w:rPr/>
        <w:t>His</w:t>
      </w:r>
      <w:r>
        <w:rPr>
          <w:spacing w:val="-1"/>
        </w:rPr>
        <w:t> </w:t>
      </w:r>
      <w:r>
        <w:rPr/>
        <w:t>study</w:t>
      </w:r>
      <w:r>
        <w:rPr>
          <w:spacing w:val="-3"/>
        </w:rPr>
        <w:t> </w:t>
      </w:r>
      <w:r>
        <w:rPr/>
        <w:t>revealed</w:t>
      </w:r>
      <w:r>
        <w:rPr>
          <w:spacing w:val="-5"/>
        </w:rPr>
        <w:t> </w:t>
      </w:r>
      <w:r>
        <w:rPr/>
        <w:t>that</w:t>
      </w:r>
      <w:r>
        <w:rPr>
          <w:spacing w:val="-2"/>
        </w:rPr>
        <w:t> </w:t>
      </w:r>
      <w:r>
        <w:rPr/>
        <w:t>poisoning</w:t>
      </w:r>
      <w:r>
        <w:rPr>
          <w:spacing w:val="-5"/>
        </w:rPr>
        <w:t> </w:t>
      </w:r>
      <w:r>
        <w:rPr/>
        <w:t>with</w:t>
      </w:r>
      <w:r>
        <w:rPr>
          <w:spacing w:val="-2"/>
        </w:rPr>
        <w:t> </w:t>
      </w:r>
      <w:r>
        <w:rPr/>
        <w:t>1080</w:t>
      </w:r>
      <w:r>
        <w:rPr>
          <w:spacing w:val="-4"/>
        </w:rPr>
        <w:t> </w:t>
      </w:r>
      <w:r>
        <w:rPr/>
        <w:t>killed</w:t>
      </w:r>
      <w:r>
        <w:rPr>
          <w:spacing w:val="-4"/>
        </w:rPr>
        <w:t> </w:t>
      </w:r>
      <w:r>
        <w:rPr/>
        <w:t>73%</w:t>
      </w:r>
      <w:r>
        <w:rPr>
          <w:spacing w:val="-4"/>
        </w:rPr>
        <w:t> </w:t>
      </w:r>
      <w:r>
        <w:rPr/>
        <w:t>of the Feral Pigs. After the poisoning, 95 of the 98 Feral Pigs seen in the area were subsequently shot. The total operational cost of the eradication attempt was $19,950.69, or $399.01 per km². The cost of poisoning was $7,388.01, while the cost of shooting amounted to $12,562.68, or $132.25 per pig killed.</w:t>
      </w:r>
    </w:p>
    <w:p>
      <w:pPr>
        <w:pStyle w:val="BodyText"/>
        <w:spacing w:before="121"/>
        <w:ind w:left="112" w:right="142"/>
      </w:pPr>
      <w:r>
        <w:rPr/>
        <w:t>Hamnett et al. (2023) used stochastic population models to determine the most cost-effective strategy for eradicating Feral Pigs from Kangaroo Island, South Australia. They used effort and cost data collected over 17 months to derive functional-response relationships between control effort (hours per pig) and Feral Pig abundance for four control methods: (i) ground-based shooting; (ii) trapping with remote triggers; (iii) poison baiting (HOGGONE); and (iv) thermal-assisted aerial culling. They also simulated combinations of control methods, using an equal-proportion harvest scenario (where each method removed 25% of the annual harvest</w:t>
      </w:r>
      <w:r>
        <w:rPr>
          <w:spacing w:val="-4"/>
        </w:rPr>
        <w:t> </w:t>
      </w:r>
      <w:r>
        <w:rPr/>
        <w:t>quota),</w:t>
      </w:r>
      <w:r>
        <w:rPr>
          <w:spacing w:val="-4"/>
        </w:rPr>
        <w:t> </w:t>
      </w:r>
      <w:r>
        <w:rPr/>
        <w:t>and</w:t>
      </w:r>
      <w:r>
        <w:rPr>
          <w:spacing w:val="-3"/>
        </w:rPr>
        <w:t> </w:t>
      </w:r>
      <w:r>
        <w:rPr/>
        <w:t>a</w:t>
      </w:r>
      <w:r>
        <w:rPr>
          <w:spacing w:val="-4"/>
        </w:rPr>
        <w:t> </w:t>
      </w:r>
      <w:r>
        <w:rPr/>
        <w:t>relative</w:t>
      </w:r>
      <w:r>
        <w:rPr>
          <w:spacing w:val="-4"/>
        </w:rPr>
        <w:t> </w:t>
      </w:r>
      <w:r>
        <w:rPr/>
        <w:t>cost-proportional</w:t>
      </w:r>
      <w:r>
        <w:rPr>
          <w:spacing w:val="-5"/>
        </w:rPr>
        <w:t> </w:t>
      </w:r>
      <w:r>
        <w:rPr/>
        <w:t>allocation</w:t>
      </w:r>
      <w:r>
        <w:rPr>
          <w:spacing w:val="-5"/>
        </w:rPr>
        <w:t> </w:t>
      </w:r>
      <w:r>
        <w:rPr/>
        <w:t>scenario</w:t>
      </w:r>
      <w:r>
        <w:rPr>
          <w:spacing w:val="-2"/>
        </w:rPr>
        <w:t> </w:t>
      </w:r>
      <w:r>
        <w:rPr/>
        <w:t>(which</w:t>
      </w:r>
      <w:r>
        <w:rPr>
          <w:spacing w:val="-4"/>
        </w:rPr>
        <w:t> </w:t>
      </w:r>
      <w:r>
        <w:rPr/>
        <w:t>utilised all</w:t>
      </w:r>
      <w:r>
        <w:rPr>
          <w:spacing w:val="-3"/>
        </w:rPr>
        <w:t> </w:t>
      </w:r>
      <w:r>
        <w:rPr/>
        <w:t>four</w:t>
      </w:r>
      <w:r>
        <w:rPr>
          <w:spacing w:val="-1"/>
        </w:rPr>
        <w:t> </w:t>
      </w:r>
      <w:r>
        <w:rPr/>
        <w:t>methods</w:t>
      </w:r>
      <w:r>
        <w:rPr>
          <w:spacing w:val="-1"/>
        </w:rPr>
        <w:t> </w:t>
      </w:r>
      <w:r>
        <w:rPr/>
        <w:t>in</w:t>
      </w:r>
      <w:r>
        <w:rPr>
          <w:spacing w:val="-4"/>
        </w:rPr>
        <w:t> </w:t>
      </w:r>
      <w:r>
        <w:rPr/>
        <w:t>varying proportions, with a greater emphasis on the most cost-effective method).</w:t>
      </w:r>
    </w:p>
    <w:p>
      <w:pPr>
        <w:pStyle w:val="BodyText"/>
        <w:spacing w:before="118"/>
        <w:ind w:left="112" w:right="117"/>
      </w:pPr>
      <w:r>
        <w:rPr/>
        <w:t>Hamnett</w:t>
      </w:r>
      <w:r>
        <w:rPr>
          <w:spacing w:val="-3"/>
        </w:rPr>
        <w:t> </w:t>
      </w:r>
      <w:r>
        <w:rPr/>
        <w:t>et</w:t>
      </w:r>
      <w:r>
        <w:rPr>
          <w:spacing w:val="-3"/>
        </w:rPr>
        <w:t> </w:t>
      </w:r>
      <w:r>
        <w:rPr/>
        <w:t>al.</w:t>
      </w:r>
      <w:r>
        <w:rPr>
          <w:spacing w:val="-3"/>
        </w:rPr>
        <w:t> </w:t>
      </w:r>
      <w:r>
        <w:rPr/>
        <w:t>(2023)</w:t>
      </w:r>
      <w:r>
        <w:rPr>
          <w:spacing w:val="-1"/>
        </w:rPr>
        <w:t> </w:t>
      </w:r>
      <w:r>
        <w:rPr/>
        <w:t>found</w:t>
      </w:r>
      <w:r>
        <w:rPr>
          <w:spacing w:val="-1"/>
        </w:rPr>
        <w:t> </w:t>
      </w:r>
      <w:r>
        <w:rPr/>
        <w:t>that</w:t>
      </w:r>
      <w:r>
        <w:rPr>
          <w:spacing w:val="-2"/>
        </w:rPr>
        <w:t> </w:t>
      </w:r>
      <w:r>
        <w:rPr/>
        <w:t>the</w:t>
      </w:r>
      <w:r>
        <w:rPr>
          <w:spacing w:val="-3"/>
        </w:rPr>
        <w:t> </w:t>
      </w:r>
      <w:r>
        <w:rPr/>
        <w:t>Feral</w:t>
      </w:r>
      <w:r>
        <w:rPr>
          <w:spacing w:val="-2"/>
        </w:rPr>
        <w:t> </w:t>
      </w:r>
      <w:r>
        <w:rPr/>
        <w:t>Pig</w:t>
      </w:r>
      <w:r>
        <w:rPr>
          <w:spacing w:val="-3"/>
        </w:rPr>
        <w:t> </w:t>
      </w:r>
      <w:r>
        <w:rPr/>
        <w:t>population</w:t>
      </w:r>
      <w:r>
        <w:rPr>
          <w:spacing w:val="-2"/>
        </w:rPr>
        <w:t> </w:t>
      </w:r>
      <w:r>
        <w:rPr/>
        <w:t>was</w:t>
      </w:r>
      <w:r>
        <w:rPr>
          <w:spacing w:val="-2"/>
        </w:rPr>
        <w:t> </w:t>
      </w:r>
      <w:r>
        <w:rPr/>
        <w:t>successfully</w:t>
      </w:r>
      <w:r>
        <w:rPr>
          <w:spacing w:val="-2"/>
        </w:rPr>
        <w:t> </w:t>
      </w:r>
      <w:r>
        <w:rPr/>
        <w:t>reduced to</w:t>
      </w:r>
      <w:r>
        <w:rPr>
          <w:spacing w:val="-4"/>
        </w:rPr>
        <w:t> </w:t>
      </w:r>
      <w:r>
        <w:rPr/>
        <w:t>10%</w:t>
      </w:r>
      <w:r>
        <w:rPr>
          <w:spacing w:val="-3"/>
        </w:rPr>
        <w:t> </w:t>
      </w:r>
      <w:r>
        <w:rPr/>
        <w:t>of</w:t>
      </w:r>
      <w:r>
        <w:rPr>
          <w:spacing w:val="-1"/>
        </w:rPr>
        <w:t> </w:t>
      </w:r>
      <w:r>
        <w:rPr/>
        <w:t>its</w:t>
      </w:r>
      <w:r>
        <w:rPr>
          <w:spacing w:val="-2"/>
        </w:rPr>
        <w:t> </w:t>
      </w:r>
      <w:r>
        <w:rPr/>
        <w:t>initial</w:t>
      </w:r>
      <w:r>
        <w:rPr>
          <w:spacing w:val="-4"/>
        </w:rPr>
        <w:t> </w:t>
      </w:r>
      <w:r>
        <w:rPr/>
        <w:t>size</w:t>
      </w:r>
      <w:r>
        <w:rPr>
          <w:spacing w:val="-1"/>
        </w:rPr>
        <w:t> </w:t>
      </w:r>
      <w:r>
        <w:rPr/>
        <w:t>in all culling scenarios, with annual harvest rates of 70% over three years, or 50% over ten years. They suggested that using a combination of methods, proportional to their cost-effectiveness, is the most realistic strategy for eradicating Feral Pigs on Kangaroo Island. In contrast to previous studies, they found that while</w:t>
      </w:r>
    </w:p>
    <w:p>
      <w:pPr>
        <w:spacing w:after="0"/>
        <w:sectPr>
          <w:pgSz w:w="11910" w:h="16850"/>
          <w:pgMar w:header="0" w:footer="688" w:top="1060" w:bottom="880" w:left="1020" w:right="1020"/>
        </w:sectPr>
      </w:pPr>
    </w:p>
    <w:p>
      <w:pPr>
        <w:pStyle w:val="BodyText"/>
        <w:spacing w:before="71"/>
        <w:ind w:left="112" w:right="173"/>
      </w:pPr>
      <w:r>
        <w:rPr/>
        <w:t>thermal-assisted aerial culling required the least effort to achieve the reduction targets, it was the least cost- effective method. An important consideration in the integration of methods for controlling Feral Pigs is the sequencing of the methods used. Parkes et al (2010) found that in their eradication attempt on Santa Cruz Island</w:t>
      </w:r>
      <w:r>
        <w:rPr>
          <w:spacing w:val="-1"/>
        </w:rPr>
        <w:t> </w:t>
      </w:r>
      <w:r>
        <w:rPr/>
        <w:t>using</w:t>
      </w:r>
      <w:r>
        <w:rPr>
          <w:spacing w:val="-4"/>
        </w:rPr>
        <w:t> </w:t>
      </w:r>
      <w:r>
        <w:rPr/>
        <w:t>the</w:t>
      </w:r>
      <w:r>
        <w:rPr>
          <w:spacing w:val="-4"/>
        </w:rPr>
        <w:t> </w:t>
      </w:r>
      <w:r>
        <w:rPr/>
        <w:t>most</w:t>
      </w:r>
      <w:r>
        <w:rPr>
          <w:spacing w:val="-4"/>
        </w:rPr>
        <w:t> </w:t>
      </w:r>
      <w:r>
        <w:rPr/>
        <w:t>effective</w:t>
      </w:r>
      <w:r>
        <w:rPr>
          <w:spacing w:val="-3"/>
        </w:rPr>
        <w:t> </w:t>
      </w:r>
      <w:r>
        <w:rPr/>
        <w:t>methods</w:t>
      </w:r>
      <w:r>
        <w:rPr>
          <w:spacing w:val="-3"/>
        </w:rPr>
        <w:t> </w:t>
      </w:r>
      <w:r>
        <w:rPr/>
        <w:t>first</w:t>
      </w:r>
      <w:r>
        <w:rPr>
          <w:spacing w:val="-4"/>
        </w:rPr>
        <w:t> </w:t>
      </w:r>
      <w:r>
        <w:rPr/>
        <w:t>(i.e.,</w:t>
      </w:r>
      <w:r>
        <w:rPr>
          <w:spacing w:val="-2"/>
        </w:rPr>
        <w:t> </w:t>
      </w:r>
      <w:r>
        <w:rPr/>
        <w:t>methods</w:t>
      </w:r>
      <w:r>
        <w:rPr>
          <w:spacing w:val="-2"/>
        </w:rPr>
        <w:t> </w:t>
      </w:r>
      <w:r>
        <w:rPr/>
        <w:t>that</w:t>
      </w:r>
      <w:r>
        <w:rPr>
          <w:spacing w:val="-3"/>
        </w:rPr>
        <w:t> </w:t>
      </w:r>
      <w:r>
        <w:rPr/>
        <w:t>do</w:t>
      </w:r>
      <w:r>
        <w:rPr>
          <w:spacing w:val="-2"/>
        </w:rPr>
        <w:t> </w:t>
      </w:r>
      <w:r>
        <w:rPr/>
        <w:t>not</w:t>
      </w:r>
      <w:r>
        <w:rPr>
          <w:spacing w:val="-2"/>
        </w:rPr>
        <w:t> </w:t>
      </w:r>
      <w:r>
        <w:rPr/>
        <w:t>teach</w:t>
      </w:r>
      <w:r>
        <w:rPr>
          <w:spacing w:val="-1"/>
        </w:rPr>
        <w:t> </w:t>
      </w:r>
      <w:r>
        <w:rPr/>
        <w:t>Feral Pigs</w:t>
      </w:r>
      <w:r>
        <w:rPr>
          <w:spacing w:val="-3"/>
        </w:rPr>
        <w:t> </w:t>
      </w:r>
      <w:r>
        <w:rPr/>
        <w:t>to</w:t>
      </w:r>
      <w:r>
        <w:rPr>
          <w:spacing w:val="-4"/>
        </w:rPr>
        <w:t> </w:t>
      </w:r>
      <w:r>
        <w:rPr/>
        <w:t>avoid</w:t>
      </w:r>
      <w:r>
        <w:rPr>
          <w:spacing w:val="-2"/>
        </w:rPr>
        <w:t> </w:t>
      </w:r>
      <w:r>
        <w:rPr/>
        <w:t>persecution) was the most productive approach.</w:t>
      </w:r>
    </w:p>
    <w:p>
      <w:pPr>
        <w:spacing w:after="0"/>
        <w:sectPr>
          <w:pgSz w:w="11910" w:h="16850"/>
          <w:pgMar w:header="0" w:footer="688" w:top="1060" w:bottom="880" w:left="1020" w:right="1020"/>
        </w:sectPr>
      </w:pPr>
    </w:p>
    <w:p>
      <w:pPr>
        <w:pStyle w:val="Heading7"/>
      </w:pPr>
      <w:bookmarkStart w:name="_bookmark8" w:id="59"/>
      <w:bookmarkEnd w:id="59"/>
      <w:r>
        <w:rPr>
          <w:b w:val="0"/>
        </w:rPr>
      </w:r>
      <w:r>
        <w:rPr>
          <w:color w:val="1F1546"/>
        </w:rPr>
        <w:t>Table</w:t>
      </w:r>
      <w:r>
        <w:rPr>
          <w:color w:val="1F1546"/>
          <w:spacing w:val="-6"/>
        </w:rPr>
        <w:t> </w:t>
      </w:r>
      <w:r>
        <w:rPr>
          <w:color w:val="1F1546"/>
        </w:rPr>
        <w:t>4.</w:t>
      </w:r>
      <w:r>
        <w:rPr>
          <w:color w:val="1F1546"/>
          <w:spacing w:val="-5"/>
        </w:rPr>
        <w:t> </w:t>
      </w:r>
      <w:r>
        <w:rPr>
          <w:color w:val="1F1546"/>
        </w:rPr>
        <w:t>Comparisons</w:t>
      </w:r>
      <w:r>
        <w:rPr>
          <w:color w:val="1F1546"/>
          <w:spacing w:val="-7"/>
        </w:rPr>
        <w:t> </w:t>
      </w:r>
      <w:r>
        <w:rPr>
          <w:color w:val="1F1546"/>
        </w:rPr>
        <w:t>of</w:t>
      </w:r>
      <w:r>
        <w:rPr>
          <w:color w:val="1F1546"/>
          <w:spacing w:val="-6"/>
        </w:rPr>
        <w:t> </w:t>
      </w:r>
      <w:r>
        <w:rPr>
          <w:color w:val="1F1546"/>
        </w:rPr>
        <w:t>reported</w:t>
      </w:r>
      <w:r>
        <w:rPr>
          <w:color w:val="1F1546"/>
          <w:spacing w:val="-6"/>
        </w:rPr>
        <w:t> </w:t>
      </w:r>
      <w:r>
        <w:rPr>
          <w:color w:val="1F1546"/>
        </w:rPr>
        <w:t>changes</w:t>
      </w:r>
      <w:r>
        <w:rPr>
          <w:color w:val="1F1546"/>
          <w:spacing w:val="-6"/>
        </w:rPr>
        <w:t> </w:t>
      </w:r>
      <w:r>
        <w:rPr>
          <w:color w:val="1F1546"/>
        </w:rPr>
        <w:t>in</w:t>
      </w:r>
      <w:r>
        <w:rPr>
          <w:color w:val="1F1546"/>
          <w:spacing w:val="-6"/>
        </w:rPr>
        <w:t> </w:t>
      </w:r>
      <w:r>
        <w:rPr>
          <w:color w:val="1F1546"/>
        </w:rPr>
        <w:t>Feral</w:t>
      </w:r>
      <w:r>
        <w:rPr>
          <w:color w:val="1F1546"/>
          <w:spacing w:val="-3"/>
        </w:rPr>
        <w:t> </w:t>
      </w:r>
      <w:r>
        <w:rPr>
          <w:color w:val="1F1546"/>
        </w:rPr>
        <w:t>Pig</w:t>
      </w:r>
      <w:r>
        <w:rPr>
          <w:color w:val="1F1546"/>
          <w:spacing w:val="-6"/>
        </w:rPr>
        <w:t> </w:t>
      </w:r>
      <w:r>
        <w:rPr>
          <w:color w:val="1F1546"/>
        </w:rPr>
        <w:t>abundance</w:t>
      </w:r>
      <w:r>
        <w:rPr>
          <w:color w:val="1F1546"/>
          <w:spacing w:val="-6"/>
        </w:rPr>
        <w:t> </w:t>
      </w:r>
      <w:r>
        <w:rPr>
          <w:color w:val="1F1546"/>
        </w:rPr>
        <w:t>using</w:t>
      </w:r>
      <w:r>
        <w:rPr>
          <w:color w:val="1F1546"/>
          <w:spacing w:val="-6"/>
        </w:rPr>
        <w:t> </w:t>
      </w:r>
      <w:r>
        <w:rPr>
          <w:color w:val="1F1546"/>
        </w:rPr>
        <w:t>different</w:t>
      </w:r>
      <w:r>
        <w:rPr>
          <w:color w:val="1F1546"/>
          <w:spacing w:val="-4"/>
        </w:rPr>
        <w:t> </w:t>
      </w:r>
      <w:r>
        <w:rPr>
          <w:color w:val="1F1546"/>
        </w:rPr>
        <w:t>lethal</w:t>
      </w:r>
      <w:r>
        <w:rPr>
          <w:color w:val="1F1546"/>
          <w:spacing w:val="-7"/>
        </w:rPr>
        <w:t> </w:t>
      </w:r>
      <w:r>
        <w:rPr>
          <w:color w:val="1F1546"/>
        </w:rPr>
        <w:t>control</w:t>
      </w:r>
      <w:r>
        <w:rPr>
          <w:color w:val="1F1546"/>
          <w:spacing w:val="-6"/>
        </w:rPr>
        <w:t> </w:t>
      </w:r>
      <w:r>
        <w:rPr>
          <w:color w:val="1F1546"/>
        </w:rPr>
        <w:t>methods</w:t>
      </w:r>
      <w:r>
        <w:rPr>
          <w:color w:val="1F1546"/>
          <w:spacing w:val="-6"/>
        </w:rPr>
        <w:t> </w:t>
      </w:r>
      <w:r>
        <w:rPr>
          <w:color w:val="1F1546"/>
        </w:rPr>
        <w:t>in</w:t>
      </w:r>
      <w:r>
        <w:rPr>
          <w:color w:val="1F1546"/>
          <w:spacing w:val="-7"/>
        </w:rPr>
        <w:t> </w:t>
      </w:r>
      <w:r>
        <w:rPr>
          <w:color w:val="1F1546"/>
          <w:spacing w:val="-2"/>
        </w:rPr>
        <w:t>Australia.</w:t>
      </w:r>
    </w:p>
    <w:p>
      <w:pPr>
        <w:pStyle w:val="BodyText"/>
        <w:spacing w:before="4"/>
        <w:rPr>
          <w:b/>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0"/>
        <w:gridCol w:w="1296"/>
        <w:gridCol w:w="3807"/>
        <w:gridCol w:w="4539"/>
        <w:gridCol w:w="2868"/>
      </w:tblGrid>
      <w:tr>
        <w:trPr>
          <w:trHeight w:val="578" w:hRule="atLeast"/>
        </w:trPr>
        <w:tc>
          <w:tcPr>
            <w:tcW w:w="1810" w:type="dxa"/>
            <w:shd w:val="clear" w:color="auto" w:fill="004B96"/>
          </w:tcPr>
          <w:p>
            <w:pPr>
              <w:pStyle w:val="TableParagraph"/>
              <w:spacing w:before="59"/>
              <w:ind w:left="107"/>
              <w:rPr>
                <w:b/>
                <w:sz w:val="20"/>
              </w:rPr>
            </w:pPr>
            <w:r>
              <w:rPr>
                <w:b/>
                <w:color w:val="FFFFFF"/>
                <w:spacing w:val="-2"/>
                <w:sz w:val="20"/>
              </w:rPr>
              <w:t>Method</w:t>
            </w:r>
          </w:p>
        </w:tc>
        <w:tc>
          <w:tcPr>
            <w:tcW w:w="1296" w:type="dxa"/>
            <w:shd w:val="clear" w:color="auto" w:fill="004B96"/>
          </w:tcPr>
          <w:p>
            <w:pPr>
              <w:pStyle w:val="TableParagraph"/>
              <w:spacing w:before="57"/>
              <w:ind w:left="108" w:right="109"/>
              <w:rPr>
                <w:b/>
                <w:sz w:val="20"/>
              </w:rPr>
            </w:pPr>
            <w:r>
              <w:rPr>
                <w:b/>
                <w:color w:val="FFFFFF"/>
                <w:spacing w:val="-2"/>
                <w:sz w:val="20"/>
              </w:rPr>
              <w:t>Percentage reduction</w:t>
            </w:r>
          </w:p>
        </w:tc>
        <w:tc>
          <w:tcPr>
            <w:tcW w:w="3807" w:type="dxa"/>
            <w:shd w:val="clear" w:color="auto" w:fill="004B96"/>
          </w:tcPr>
          <w:p>
            <w:pPr>
              <w:pStyle w:val="TableParagraph"/>
              <w:spacing w:before="59"/>
              <w:ind w:left="108"/>
              <w:rPr>
                <w:b/>
                <w:sz w:val="20"/>
              </w:rPr>
            </w:pPr>
            <w:r>
              <w:rPr>
                <w:b/>
                <w:color w:val="FFFFFF"/>
                <w:spacing w:val="-2"/>
                <w:sz w:val="20"/>
              </w:rPr>
              <w:t>Region</w:t>
            </w:r>
          </w:p>
        </w:tc>
        <w:tc>
          <w:tcPr>
            <w:tcW w:w="4539" w:type="dxa"/>
            <w:shd w:val="clear" w:color="auto" w:fill="004B96"/>
          </w:tcPr>
          <w:p>
            <w:pPr>
              <w:pStyle w:val="TableParagraph"/>
              <w:spacing w:before="59"/>
              <w:ind w:left="108"/>
              <w:rPr>
                <w:b/>
                <w:sz w:val="20"/>
              </w:rPr>
            </w:pPr>
            <w:r>
              <w:rPr>
                <w:b/>
                <w:color w:val="FFFFFF"/>
                <w:sz w:val="20"/>
              </w:rPr>
              <w:t>Methods</w:t>
            </w:r>
            <w:r>
              <w:rPr>
                <w:b/>
                <w:color w:val="FFFFFF"/>
                <w:spacing w:val="-8"/>
                <w:sz w:val="20"/>
              </w:rPr>
              <w:t> </w:t>
            </w:r>
            <w:r>
              <w:rPr>
                <w:b/>
                <w:color w:val="FFFFFF"/>
                <w:sz w:val="20"/>
              </w:rPr>
              <w:t>used</w:t>
            </w:r>
            <w:r>
              <w:rPr>
                <w:b/>
                <w:color w:val="FFFFFF"/>
                <w:spacing w:val="-6"/>
                <w:sz w:val="20"/>
              </w:rPr>
              <w:t> </w:t>
            </w:r>
            <w:r>
              <w:rPr>
                <w:b/>
                <w:color w:val="FFFFFF"/>
                <w:sz w:val="20"/>
              </w:rPr>
              <w:t>to</w:t>
            </w:r>
            <w:r>
              <w:rPr>
                <w:b/>
                <w:color w:val="FFFFFF"/>
                <w:spacing w:val="-6"/>
                <w:sz w:val="20"/>
              </w:rPr>
              <w:t> </w:t>
            </w:r>
            <w:r>
              <w:rPr>
                <w:b/>
                <w:color w:val="FFFFFF"/>
                <w:sz w:val="20"/>
              </w:rPr>
              <w:t>measure</w:t>
            </w:r>
            <w:r>
              <w:rPr>
                <w:b/>
                <w:color w:val="FFFFFF"/>
                <w:spacing w:val="-5"/>
                <w:sz w:val="20"/>
              </w:rPr>
              <w:t> </w:t>
            </w:r>
            <w:r>
              <w:rPr>
                <w:b/>
                <w:color w:val="FFFFFF"/>
                <w:spacing w:val="-2"/>
                <w:sz w:val="20"/>
              </w:rPr>
              <w:t>change</w:t>
            </w:r>
          </w:p>
        </w:tc>
        <w:tc>
          <w:tcPr>
            <w:tcW w:w="2868" w:type="dxa"/>
            <w:shd w:val="clear" w:color="auto" w:fill="004B96"/>
          </w:tcPr>
          <w:p>
            <w:pPr>
              <w:pStyle w:val="TableParagraph"/>
              <w:spacing w:before="59"/>
              <w:ind w:left="105"/>
              <w:rPr>
                <w:b/>
                <w:sz w:val="20"/>
              </w:rPr>
            </w:pPr>
            <w:r>
              <w:rPr>
                <w:b/>
                <w:color w:val="FFFFFF"/>
                <w:spacing w:val="-2"/>
                <w:sz w:val="20"/>
              </w:rPr>
              <w:t>Reference</w:t>
            </w:r>
          </w:p>
        </w:tc>
      </w:tr>
      <w:tr>
        <w:trPr>
          <w:trHeight w:val="827" w:hRule="atLeast"/>
        </w:trPr>
        <w:tc>
          <w:tcPr>
            <w:tcW w:w="1810" w:type="dxa"/>
            <w:vMerge w:val="restart"/>
            <w:tcBorders>
              <w:bottom w:val="single" w:sz="4" w:space="0" w:color="000000"/>
            </w:tcBorders>
          </w:tcPr>
          <w:p>
            <w:pPr>
              <w:pStyle w:val="TableParagraph"/>
              <w:rPr>
                <w:b/>
                <w:sz w:val="20"/>
              </w:rPr>
            </w:pPr>
          </w:p>
          <w:p>
            <w:pPr>
              <w:pStyle w:val="TableParagraph"/>
              <w:spacing w:before="36"/>
              <w:rPr>
                <w:b/>
                <w:sz w:val="20"/>
              </w:rPr>
            </w:pPr>
          </w:p>
          <w:p>
            <w:pPr>
              <w:pStyle w:val="TableParagraph"/>
              <w:ind w:left="107"/>
              <w:rPr>
                <w:sz w:val="20"/>
              </w:rPr>
            </w:pPr>
            <w:r>
              <w:rPr>
                <w:sz w:val="20"/>
              </w:rPr>
              <w:t>PIGOUT</w:t>
            </w:r>
            <w:r>
              <w:rPr>
                <w:spacing w:val="-9"/>
                <w:sz w:val="20"/>
              </w:rPr>
              <w:t> </w:t>
            </w:r>
            <w:r>
              <w:rPr>
                <w:spacing w:val="-2"/>
                <w:sz w:val="20"/>
              </w:rPr>
              <w:t>(1080)</w:t>
            </w:r>
          </w:p>
        </w:tc>
        <w:tc>
          <w:tcPr>
            <w:tcW w:w="1296" w:type="dxa"/>
            <w:tcBorders>
              <w:bottom w:val="single" w:sz="2" w:space="0" w:color="A6A6A6"/>
            </w:tcBorders>
            <w:shd w:val="clear" w:color="auto" w:fill="CCDBEA"/>
          </w:tcPr>
          <w:p>
            <w:pPr>
              <w:pStyle w:val="TableParagraph"/>
              <w:spacing w:before="79"/>
              <w:rPr>
                <w:b/>
                <w:sz w:val="20"/>
              </w:rPr>
            </w:pPr>
          </w:p>
          <w:p>
            <w:pPr>
              <w:pStyle w:val="TableParagraph"/>
              <w:ind w:left="1" w:right="2"/>
              <w:jc w:val="center"/>
              <w:rPr>
                <w:sz w:val="20"/>
              </w:rPr>
            </w:pPr>
            <w:r>
              <w:rPr>
                <w:spacing w:val="-2"/>
                <w:sz w:val="20"/>
              </w:rPr>
              <w:t>73–100</w:t>
            </w:r>
          </w:p>
        </w:tc>
        <w:tc>
          <w:tcPr>
            <w:tcW w:w="3807" w:type="dxa"/>
            <w:tcBorders>
              <w:bottom w:val="single" w:sz="2" w:space="0" w:color="A6A6A6"/>
            </w:tcBorders>
          </w:tcPr>
          <w:p>
            <w:pPr>
              <w:pStyle w:val="TableParagraph"/>
              <w:spacing w:before="79"/>
              <w:rPr>
                <w:b/>
                <w:sz w:val="20"/>
              </w:rPr>
            </w:pPr>
          </w:p>
          <w:p>
            <w:pPr>
              <w:pStyle w:val="TableParagraph"/>
              <w:ind w:left="108"/>
              <w:rPr>
                <w:sz w:val="20"/>
              </w:rPr>
            </w:pPr>
            <w:r>
              <w:rPr>
                <w:sz w:val="20"/>
              </w:rPr>
              <w:t>Welford</w:t>
            </w:r>
            <w:r>
              <w:rPr>
                <w:spacing w:val="-9"/>
                <w:sz w:val="20"/>
              </w:rPr>
              <w:t> </w:t>
            </w:r>
            <w:r>
              <w:rPr>
                <w:sz w:val="20"/>
              </w:rPr>
              <w:t>NP,</w:t>
            </w:r>
            <w:r>
              <w:rPr>
                <w:spacing w:val="-7"/>
                <w:sz w:val="20"/>
              </w:rPr>
              <w:t> </w:t>
            </w:r>
            <w:r>
              <w:rPr>
                <w:spacing w:val="-2"/>
                <w:sz w:val="20"/>
              </w:rPr>
              <w:t>Queensland</w:t>
            </w:r>
          </w:p>
        </w:tc>
        <w:tc>
          <w:tcPr>
            <w:tcW w:w="4539" w:type="dxa"/>
            <w:tcBorders>
              <w:bottom w:val="single" w:sz="2" w:space="0" w:color="A6A6A6"/>
            </w:tcBorders>
            <w:shd w:val="clear" w:color="auto" w:fill="CCDBEA"/>
          </w:tcPr>
          <w:p>
            <w:pPr>
              <w:pStyle w:val="TableParagraph"/>
              <w:spacing w:before="79"/>
              <w:ind w:left="108"/>
              <w:rPr>
                <w:sz w:val="20"/>
              </w:rPr>
            </w:pPr>
            <w:r>
              <w:rPr>
                <w:sz w:val="20"/>
              </w:rPr>
              <w:t>Proportion</w:t>
            </w:r>
            <w:r>
              <w:rPr>
                <w:spacing w:val="-10"/>
                <w:sz w:val="20"/>
              </w:rPr>
              <w:t> </w:t>
            </w:r>
            <w:r>
              <w:rPr>
                <w:sz w:val="20"/>
              </w:rPr>
              <w:t>bait</w:t>
            </w:r>
            <w:r>
              <w:rPr>
                <w:spacing w:val="-9"/>
                <w:sz w:val="20"/>
              </w:rPr>
              <w:t> </w:t>
            </w:r>
            <w:r>
              <w:rPr>
                <w:spacing w:val="-2"/>
                <w:sz w:val="20"/>
              </w:rPr>
              <w:t>removed</w:t>
            </w:r>
          </w:p>
          <w:p>
            <w:pPr>
              <w:pStyle w:val="TableParagraph"/>
              <w:ind w:left="108" w:right="393"/>
              <w:rPr>
                <w:sz w:val="20"/>
              </w:rPr>
            </w:pPr>
            <w:r>
              <w:rPr>
                <w:sz w:val="20"/>
              </w:rPr>
              <w:t>number Known To Be Alive (KTBA) Proportion</w:t>
            </w:r>
            <w:r>
              <w:rPr>
                <w:spacing w:val="-8"/>
                <w:sz w:val="20"/>
              </w:rPr>
              <w:t> </w:t>
            </w:r>
            <w:r>
              <w:rPr>
                <w:sz w:val="20"/>
              </w:rPr>
              <w:t>of</w:t>
            </w:r>
            <w:r>
              <w:rPr>
                <w:spacing w:val="-9"/>
                <w:sz w:val="20"/>
              </w:rPr>
              <w:t> </w:t>
            </w:r>
            <w:r>
              <w:rPr>
                <w:sz w:val="20"/>
              </w:rPr>
              <w:t>radio</w:t>
            </w:r>
            <w:r>
              <w:rPr>
                <w:spacing w:val="-9"/>
                <w:sz w:val="20"/>
              </w:rPr>
              <w:t> </w:t>
            </w:r>
            <w:r>
              <w:rPr>
                <w:sz w:val="20"/>
              </w:rPr>
              <w:t>collared</w:t>
            </w:r>
            <w:r>
              <w:rPr>
                <w:spacing w:val="-6"/>
                <w:sz w:val="20"/>
              </w:rPr>
              <w:t> </w:t>
            </w:r>
            <w:r>
              <w:rPr>
                <w:sz w:val="20"/>
              </w:rPr>
              <w:t>pigs</w:t>
            </w:r>
            <w:r>
              <w:rPr>
                <w:spacing w:val="-8"/>
                <w:sz w:val="20"/>
              </w:rPr>
              <w:t> </w:t>
            </w:r>
            <w:r>
              <w:rPr>
                <w:sz w:val="20"/>
              </w:rPr>
              <w:t>killed</w:t>
            </w:r>
          </w:p>
        </w:tc>
        <w:tc>
          <w:tcPr>
            <w:tcW w:w="2868" w:type="dxa"/>
            <w:tcBorders>
              <w:bottom w:val="single" w:sz="2" w:space="0" w:color="A6A6A6"/>
            </w:tcBorders>
          </w:tcPr>
          <w:p>
            <w:pPr>
              <w:pStyle w:val="TableParagraph"/>
              <w:spacing w:before="79"/>
              <w:rPr>
                <w:b/>
                <w:sz w:val="20"/>
              </w:rPr>
            </w:pPr>
          </w:p>
          <w:p>
            <w:pPr>
              <w:pStyle w:val="TableParagraph"/>
              <w:ind w:left="105"/>
              <w:rPr>
                <w:sz w:val="20"/>
              </w:rPr>
            </w:pPr>
            <w:r>
              <w:rPr>
                <w:sz w:val="20"/>
              </w:rPr>
              <w:t>Cowled</w:t>
            </w:r>
            <w:r>
              <w:rPr>
                <w:spacing w:val="-6"/>
                <w:sz w:val="20"/>
              </w:rPr>
              <w:t> </w:t>
            </w:r>
            <w:r>
              <w:rPr>
                <w:sz w:val="20"/>
              </w:rPr>
              <w:t>et</w:t>
            </w:r>
            <w:r>
              <w:rPr>
                <w:spacing w:val="-5"/>
                <w:sz w:val="20"/>
              </w:rPr>
              <w:t> </w:t>
            </w:r>
            <w:r>
              <w:rPr>
                <w:sz w:val="20"/>
              </w:rPr>
              <w:t>al.</w:t>
            </w:r>
            <w:r>
              <w:rPr>
                <w:spacing w:val="-6"/>
                <w:sz w:val="20"/>
              </w:rPr>
              <w:t> </w:t>
            </w:r>
            <w:r>
              <w:rPr>
                <w:spacing w:val="-4"/>
                <w:sz w:val="20"/>
              </w:rPr>
              <w:t>2006</w:t>
            </w:r>
          </w:p>
        </w:tc>
      </w:tr>
      <w:tr>
        <w:trPr>
          <w:trHeight w:val="366" w:hRule="atLeast"/>
        </w:trPr>
        <w:tc>
          <w:tcPr>
            <w:tcW w:w="1810" w:type="dxa"/>
            <w:vMerge/>
            <w:tcBorders>
              <w:top w:val="nil"/>
              <w:bottom w:val="single" w:sz="4" w:space="0" w:color="000000"/>
            </w:tcBorders>
          </w:tcPr>
          <w:p>
            <w:pPr>
              <w:rPr>
                <w:sz w:val="2"/>
                <w:szCs w:val="2"/>
              </w:rPr>
            </w:pPr>
          </w:p>
        </w:tc>
        <w:tc>
          <w:tcPr>
            <w:tcW w:w="1296" w:type="dxa"/>
            <w:tcBorders>
              <w:top w:val="single" w:sz="2" w:space="0" w:color="A6A6A6"/>
              <w:bottom w:val="single" w:sz="4" w:space="0" w:color="000000"/>
            </w:tcBorders>
            <w:shd w:val="clear" w:color="auto" w:fill="CCDBEA"/>
          </w:tcPr>
          <w:p>
            <w:pPr>
              <w:pStyle w:val="TableParagraph"/>
              <w:spacing w:before="76"/>
              <w:ind w:right="2"/>
              <w:jc w:val="center"/>
              <w:rPr>
                <w:sz w:val="20"/>
              </w:rPr>
            </w:pPr>
            <w:r>
              <w:rPr>
                <w:spacing w:val="-5"/>
                <w:sz w:val="20"/>
              </w:rPr>
              <w:t>92</w:t>
            </w:r>
          </w:p>
        </w:tc>
        <w:tc>
          <w:tcPr>
            <w:tcW w:w="3807" w:type="dxa"/>
            <w:tcBorders>
              <w:top w:val="single" w:sz="2" w:space="0" w:color="A6A6A6"/>
              <w:bottom w:val="single" w:sz="4" w:space="0" w:color="000000"/>
            </w:tcBorders>
          </w:tcPr>
          <w:p>
            <w:pPr>
              <w:pStyle w:val="TableParagraph"/>
              <w:spacing w:before="76"/>
              <w:ind w:left="108"/>
              <w:rPr>
                <w:sz w:val="20"/>
              </w:rPr>
            </w:pPr>
            <w:r>
              <w:rPr>
                <w:sz w:val="20"/>
              </w:rPr>
              <w:t>Macquarie</w:t>
            </w:r>
            <w:r>
              <w:rPr>
                <w:spacing w:val="-11"/>
                <w:sz w:val="20"/>
              </w:rPr>
              <w:t> </w:t>
            </w:r>
            <w:r>
              <w:rPr>
                <w:sz w:val="20"/>
              </w:rPr>
              <w:t>Marshes,</w:t>
            </w:r>
            <w:r>
              <w:rPr>
                <w:spacing w:val="-12"/>
                <w:sz w:val="20"/>
              </w:rPr>
              <w:t> </w:t>
            </w:r>
            <w:r>
              <w:rPr>
                <w:spacing w:val="-5"/>
                <w:sz w:val="20"/>
              </w:rPr>
              <w:t>NSW</w:t>
            </w:r>
          </w:p>
        </w:tc>
        <w:tc>
          <w:tcPr>
            <w:tcW w:w="4539" w:type="dxa"/>
            <w:tcBorders>
              <w:top w:val="single" w:sz="2" w:space="0" w:color="A6A6A6"/>
              <w:bottom w:val="single" w:sz="4" w:space="0" w:color="000000"/>
            </w:tcBorders>
            <w:shd w:val="clear" w:color="auto" w:fill="CCDBEA"/>
          </w:tcPr>
          <w:p>
            <w:pPr>
              <w:pStyle w:val="TableParagraph"/>
              <w:spacing w:before="76"/>
              <w:ind w:left="108"/>
              <w:rPr>
                <w:sz w:val="20"/>
              </w:rPr>
            </w:pPr>
            <w:r>
              <w:rPr>
                <w:sz w:val="20"/>
              </w:rPr>
              <w:t>Camera</w:t>
            </w:r>
            <w:r>
              <w:rPr>
                <w:spacing w:val="-9"/>
                <w:sz w:val="20"/>
              </w:rPr>
              <w:t> </w:t>
            </w:r>
            <w:r>
              <w:rPr>
                <w:sz w:val="20"/>
              </w:rPr>
              <w:t>activity</w:t>
            </w:r>
            <w:r>
              <w:rPr>
                <w:spacing w:val="-9"/>
                <w:sz w:val="20"/>
              </w:rPr>
              <w:t> </w:t>
            </w:r>
            <w:r>
              <w:rPr>
                <w:spacing w:val="-4"/>
                <w:sz w:val="20"/>
              </w:rPr>
              <w:t>index</w:t>
            </w:r>
          </w:p>
        </w:tc>
        <w:tc>
          <w:tcPr>
            <w:tcW w:w="2868" w:type="dxa"/>
            <w:tcBorders>
              <w:top w:val="single" w:sz="2" w:space="0" w:color="A6A6A6"/>
              <w:bottom w:val="single" w:sz="4" w:space="0" w:color="000000"/>
            </w:tcBorders>
          </w:tcPr>
          <w:p>
            <w:pPr>
              <w:pStyle w:val="TableParagraph"/>
              <w:spacing w:before="76"/>
              <w:ind w:left="105"/>
              <w:rPr>
                <w:sz w:val="20"/>
              </w:rPr>
            </w:pPr>
            <w:r>
              <w:rPr>
                <w:sz w:val="20"/>
              </w:rPr>
              <w:t>Wishart</w:t>
            </w:r>
            <w:r>
              <w:rPr>
                <w:spacing w:val="-9"/>
                <w:sz w:val="20"/>
              </w:rPr>
              <w:t> </w:t>
            </w:r>
            <w:r>
              <w:rPr>
                <w:spacing w:val="-4"/>
                <w:sz w:val="20"/>
              </w:rPr>
              <w:t>2013</w:t>
            </w:r>
          </w:p>
        </w:tc>
      </w:tr>
      <w:tr>
        <w:trPr>
          <w:trHeight w:val="369" w:hRule="atLeast"/>
        </w:trPr>
        <w:tc>
          <w:tcPr>
            <w:tcW w:w="1810" w:type="dxa"/>
            <w:vMerge w:val="restart"/>
            <w:tcBorders>
              <w:top w:val="single" w:sz="4" w:space="0" w:color="000000"/>
              <w:bottom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8"/>
              <w:rPr>
                <w:b/>
                <w:sz w:val="20"/>
              </w:rPr>
            </w:pPr>
          </w:p>
          <w:p>
            <w:pPr>
              <w:pStyle w:val="TableParagraph"/>
              <w:spacing w:before="1"/>
              <w:ind w:left="107"/>
              <w:rPr>
                <w:sz w:val="20"/>
              </w:rPr>
            </w:pPr>
            <w:r>
              <w:rPr>
                <w:spacing w:val="-2"/>
                <w:sz w:val="20"/>
              </w:rPr>
              <w:t>HOGGONE</w:t>
            </w:r>
          </w:p>
          <w:p>
            <w:pPr>
              <w:pStyle w:val="TableParagraph"/>
              <w:ind w:left="107"/>
              <w:rPr>
                <w:sz w:val="20"/>
              </w:rPr>
            </w:pPr>
            <w:r>
              <w:rPr>
                <w:sz w:val="20"/>
              </w:rPr>
              <w:t>(sodium</w:t>
            </w:r>
            <w:r>
              <w:rPr>
                <w:spacing w:val="-10"/>
                <w:sz w:val="20"/>
              </w:rPr>
              <w:t> </w:t>
            </w:r>
            <w:r>
              <w:rPr>
                <w:spacing w:val="-2"/>
                <w:sz w:val="20"/>
              </w:rPr>
              <w:t>nitrite)</w:t>
            </w:r>
          </w:p>
        </w:tc>
        <w:tc>
          <w:tcPr>
            <w:tcW w:w="1296" w:type="dxa"/>
            <w:tcBorders>
              <w:top w:val="single" w:sz="4" w:space="0" w:color="000000"/>
              <w:bottom w:val="single" w:sz="2" w:space="0" w:color="A6A6A6"/>
            </w:tcBorders>
            <w:shd w:val="clear" w:color="auto" w:fill="CCDBEA"/>
          </w:tcPr>
          <w:p>
            <w:pPr>
              <w:pStyle w:val="TableParagraph"/>
              <w:spacing w:before="81"/>
              <w:ind w:right="2"/>
              <w:jc w:val="center"/>
              <w:rPr>
                <w:sz w:val="20"/>
              </w:rPr>
            </w:pPr>
            <w:r>
              <w:rPr>
                <w:spacing w:val="-5"/>
                <w:sz w:val="20"/>
              </w:rPr>
              <w:t>90</w:t>
            </w:r>
          </w:p>
        </w:tc>
        <w:tc>
          <w:tcPr>
            <w:tcW w:w="3807" w:type="dxa"/>
            <w:tcBorders>
              <w:top w:val="single" w:sz="4" w:space="0" w:color="000000"/>
              <w:bottom w:val="single" w:sz="2" w:space="0" w:color="A6A6A6"/>
            </w:tcBorders>
          </w:tcPr>
          <w:p>
            <w:pPr>
              <w:pStyle w:val="TableParagraph"/>
              <w:spacing w:before="81"/>
              <w:ind w:left="108"/>
              <w:rPr>
                <w:sz w:val="20"/>
              </w:rPr>
            </w:pPr>
            <w:r>
              <w:rPr>
                <w:sz w:val="20"/>
              </w:rPr>
              <w:t>South</w:t>
            </w:r>
            <w:r>
              <w:rPr>
                <w:spacing w:val="-8"/>
                <w:sz w:val="20"/>
              </w:rPr>
              <w:t> </w:t>
            </w:r>
            <w:r>
              <w:rPr>
                <w:sz w:val="20"/>
              </w:rPr>
              <w:t>central</w:t>
            </w:r>
            <w:r>
              <w:rPr>
                <w:spacing w:val="-8"/>
                <w:sz w:val="20"/>
              </w:rPr>
              <w:t> </w:t>
            </w:r>
            <w:r>
              <w:rPr>
                <w:spacing w:val="-2"/>
                <w:sz w:val="20"/>
              </w:rPr>
              <w:t>Queensland</w:t>
            </w:r>
          </w:p>
        </w:tc>
        <w:tc>
          <w:tcPr>
            <w:tcW w:w="4539" w:type="dxa"/>
            <w:tcBorders>
              <w:top w:val="single" w:sz="4" w:space="0" w:color="000000"/>
              <w:bottom w:val="single" w:sz="2" w:space="0" w:color="A6A6A6"/>
            </w:tcBorders>
            <w:shd w:val="clear" w:color="auto" w:fill="CCDBEA"/>
          </w:tcPr>
          <w:p>
            <w:pPr>
              <w:pStyle w:val="TableParagraph"/>
              <w:spacing w:before="81"/>
              <w:ind w:left="108"/>
              <w:rPr>
                <w:sz w:val="20"/>
              </w:rPr>
            </w:pPr>
            <w:r>
              <w:rPr>
                <w:sz w:val="20"/>
              </w:rPr>
              <w:t>Pre-</w:t>
            </w:r>
            <w:r>
              <w:rPr>
                <w:spacing w:val="-6"/>
                <w:sz w:val="20"/>
              </w:rPr>
              <w:t> </w:t>
            </w:r>
            <w:r>
              <w:rPr>
                <w:sz w:val="20"/>
              </w:rPr>
              <w:t>and</w:t>
            </w:r>
            <w:r>
              <w:rPr>
                <w:spacing w:val="-7"/>
                <w:sz w:val="20"/>
              </w:rPr>
              <w:t> </w:t>
            </w:r>
            <w:r>
              <w:rPr>
                <w:sz w:val="20"/>
              </w:rPr>
              <w:t>post-visitation</w:t>
            </w:r>
            <w:r>
              <w:rPr>
                <w:spacing w:val="-8"/>
                <w:sz w:val="20"/>
              </w:rPr>
              <w:t> </w:t>
            </w:r>
            <w:r>
              <w:rPr>
                <w:sz w:val="20"/>
              </w:rPr>
              <w:t>rates</w:t>
            </w:r>
            <w:r>
              <w:rPr>
                <w:spacing w:val="-6"/>
                <w:sz w:val="20"/>
              </w:rPr>
              <w:t> </w:t>
            </w:r>
            <w:r>
              <w:rPr>
                <w:sz w:val="20"/>
              </w:rPr>
              <w:t>to</w:t>
            </w:r>
            <w:r>
              <w:rPr>
                <w:spacing w:val="-7"/>
                <w:sz w:val="20"/>
              </w:rPr>
              <w:t> </w:t>
            </w:r>
            <w:r>
              <w:rPr>
                <w:sz w:val="20"/>
              </w:rPr>
              <w:t>bait</w:t>
            </w:r>
            <w:r>
              <w:rPr>
                <w:spacing w:val="-7"/>
                <w:sz w:val="20"/>
              </w:rPr>
              <w:t> </w:t>
            </w:r>
            <w:r>
              <w:rPr>
                <w:spacing w:val="-2"/>
                <w:sz w:val="20"/>
              </w:rPr>
              <w:t>stations</w:t>
            </w:r>
          </w:p>
        </w:tc>
        <w:tc>
          <w:tcPr>
            <w:tcW w:w="2868" w:type="dxa"/>
            <w:tcBorders>
              <w:top w:val="single" w:sz="4" w:space="0" w:color="000000"/>
              <w:bottom w:val="single" w:sz="2" w:space="0" w:color="A6A6A6"/>
            </w:tcBorders>
          </w:tcPr>
          <w:p>
            <w:pPr>
              <w:pStyle w:val="TableParagraph"/>
              <w:spacing w:before="81"/>
              <w:ind w:left="105"/>
              <w:rPr>
                <w:sz w:val="20"/>
              </w:rPr>
            </w:pPr>
            <w:r>
              <w:rPr>
                <w:sz w:val="20"/>
              </w:rPr>
              <w:t>Snow</w:t>
            </w:r>
            <w:r>
              <w:rPr>
                <w:spacing w:val="-3"/>
                <w:sz w:val="20"/>
              </w:rPr>
              <w:t> </w:t>
            </w:r>
            <w:r>
              <w:rPr>
                <w:sz w:val="20"/>
              </w:rPr>
              <w:t>et</w:t>
            </w:r>
            <w:r>
              <w:rPr>
                <w:spacing w:val="-4"/>
                <w:sz w:val="20"/>
              </w:rPr>
              <w:t> </w:t>
            </w:r>
            <w:r>
              <w:rPr>
                <w:sz w:val="20"/>
              </w:rPr>
              <w:t>al.</w:t>
            </w:r>
            <w:r>
              <w:rPr>
                <w:spacing w:val="-3"/>
                <w:sz w:val="20"/>
              </w:rPr>
              <w:t> </w:t>
            </w:r>
            <w:r>
              <w:rPr>
                <w:spacing w:val="-4"/>
                <w:sz w:val="20"/>
              </w:rPr>
              <w:t>2021</w:t>
            </w:r>
          </w:p>
        </w:tc>
      </w:tr>
      <w:tr>
        <w:trPr>
          <w:trHeight w:val="384" w:hRule="atLeast"/>
        </w:trPr>
        <w:tc>
          <w:tcPr>
            <w:tcW w:w="1810" w:type="dxa"/>
            <w:vMerge/>
            <w:tcBorders>
              <w:top w:val="nil"/>
              <w:bottom w:val="single" w:sz="4" w:space="0" w:color="000000"/>
            </w:tcBorders>
          </w:tcPr>
          <w:p>
            <w:pPr>
              <w:rPr>
                <w:sz w:val="2"/>
                <w:szCs w:val="2"/>
              </w:rPr>
            </w:pPr>
          </w:p>
        </w:tc>
        <w:tc>
          <w:tcPr>
            <w:tcW w:w="1296" w:type="dxa"/>
            <w:vMerge w:val="restart"/>
            <w:tcBorders>
              <w:top w:val="single" w:sz="2" w:space="0" w:color="A6A6A6"/>
              <w:bottom w:val="single" w:sz="2" w:space="0" w:color="A6A6A6"/>
            </w:tcBorders>
            <w:shd w:val="clear" w:color="auto" w:fill="CCDBEA"/>
          </w:tcPr>
          <w:p>
            <w:pPr>
              <w:pStyle w:val="TableParagraph"/>
              <w:rPr>
                <w:b/>
                <w:sz w:val="20"/>
              </w:rPr>
            </w:pPr>
          </w:p>
          <w:p>
            <w:pPr>
              <w:pStyle w:val="TableParagraph"/>
              <w:rPr>
                <w:b/>
                <w:sz w:val="20"/>
              </w:rPr>
            </w:pPr>
          </w:p>
          <w:p>
            <w:pPr>
              <w:pStyle w:val="TableParagraph"/>
              <w:spacing w:before="152"/>
              <w:rPr>
                <w:b/>
                <w:sz w:val="20"/>
              </w:rPr>
            </w:pPr>
          </w:p>
          <w:p>
            <w:pPr>
              <w:pStyle w:val="TableParagraph"/>
              <w:ind w:left="369"/>
              <w:rPr>
                <w:sz w:val="20"/>
              </w:rPr>
            </w:pPr>
            <w:r>
              <w:rPr>
                <w:spacing w:val="-4"/>
                <w:sz w:val="20"/>
              </w:rPr>
              <w:t>63–89</w:t>
            </w:r>
          </w:p>
        </w:tc>
        <w:tc>
          <w:tcPr>
            <w:tcW w:w="3807" w:type="dxa"/>
            <w:tcBorders>
              <w:top w:val="single" w:sz="2" w:space="0" w:color="A6A6A6"/>
            </w:tcBorders>
          </w:tcPr>
          <w:p>
            <w:pPr>
              <w:pStyle w:val="TableParagraph"/>
              <w:spacing w:before="81"/>
              <w:ind w:left="108"/>
              <w:rPr>
                <w:sz w:val="20"/>
              </w:rPr>
            </w:pPr>
            <w:r>
              <w:rPr>
                <w:sz w:val="20"/>
              </w:rPr>
              <w:t>Glenrock</w:t>
            </w:r>
            <w:r>
              <w:rPr>
                <w:spacing w:val="-11"/>
                <w:sz w:val="20"/>
              </w:rPr>
              <w:t> </w:t>
            </w:r>
            <w:r>
              <w:rPr>
                <w:sz w:val="20"/>
              </w:rPr>
              <w:t>Station,</w:t>
            </w:r>
            <w:r>
              <w:rPr>
                <w:spacing w:val="-10"/>
                <w:sz w:val="20"/>
              </w:rPr>
              <w:t> </w:t>
            </w:r>
            <w:r>
              <w:rPr>
                <w:spacing w:val="-5"/>
                <w:sz w:val="20"/>
              </w:rPr>
              <w:t>NSW</w:t>
            </w:r>
          </w:p>
        </w:tc>
        <w:tc>
          <w:tcPr>
            <w:tcW w:w="4539" w:type="dxa"/>
            <w:vMerge w:val="restart"/>
            <w:tcBorders>
              <w:top w:val="single" w:sz="2" w:space="0" w:color="A6A6A6"/>
              <w:bottom w:val="single" w:sz="2" w:space="0" w:color="A6A6A6"/>
            </w:tcBorders>
            <w:shd w:val="clear" w:color="auto" w:fill="CCDBEA"/>
          </w:tcPr>
          <w:p>
            <w:pPr>
              <w:pStyle w:val="TableParagraph"/>
              <w:rPr>
                <w:b/>
                <w:sz w:val="20"/>
              </w:rPr>
            </w:pPr>
          </w:p>
          <w:p>
            <w:pPr>
              <w:pStyle w:val="TableParagraph"/>
              <w:rPr>
                <w:b/>
                <w:sz w:val="20"/>
              </w:rPr>
            </w:pPr>
          </w:p>
          <w:p>
            <w:pPr>
              <w:pStyle w:val="TableParagraph"/>
              <w:spacing w:before="37"/>
              <w:rPr>
                <w:b/>
                <w:sz w:val="20"/>
              </w:rPr>
            </w:pPr>
          </w:p>
          <w:p>
            <w:pPr>
              <w:pStyle w:val="TableParagraph"/>
              <w:ind w:left="108" w:right="287"/>
              <w:rPr>
                <w:sz w:val="20"/>
              </w:rPr>
            </w:pPr>
            <w:r>
              <w:rPr>
                <w:sz w:val="20"/>
              </w:rPr>
              <w:t>Activity</w:t>
            </w:r>
            <w:r>
              <w:rPr>
                <w:spacing w:val="-5"/>
                <w:sz w:val="20"/>
              </w:rPr>
              <w:t> </w:t>
            </w:r>
            <w:r>
              <w:rPr>
                <w:sz w:val="20"/>
              </w:rPr>
              <w:t>index</w:t>
            </w:r>
            <w:r>
              <w:rPr>
                <w:spacing w:val="-7"/>
                <w:sz w:val="20"/>
              </w:rPr>
              <w:t> </w:t>
            </w:r>
            <w:r>
              <w:rPr>
                <w:sz w:val="20"/>
              </w:rPr>
              <w:t>from</w:t>
            </w:r>
            <w:r>
              <w:rPr>
                <w:spacing w:val="-8"/>
                <w:sz w:val="20"/>
              </w:rPr>
              <w:t> </w:t>
            </w:r>
            <w:r>
              <w:rPr>
                <w:sz w:val="20"/>
              </w:rPr>
              <w:t>camera</w:t>
            </w:r>
            <w:r>
              <w:rPr>
                <w:spacing w:val="-6"/>
                <w:sz w:val="20"/>
              </w:rPr>
              <w:t> </w:t>
            </w:r>
            <w:r>
              <w:rPr>
                <w:sz w:val="20"/>
              </w:rPr>
              <w:t>trap</w:t>
            </w:r>
            <w:r>
              <w:rPr>
                <w:spacing w:val="-9"/>
                <w:sz w:val="20"/>
              </w:rPr>
              <w:t> </w:t>
            </w:r>
            <w:r>
              <w:rPr>
                <w:sz w:val="20"/>
              </w:rPr>
              <w:t>monitoring</w:t>
            </w:r>
            <w:r>
              <w:rPr>
                <w:spacing w:val="-9"/>
                <w:sz w:val="20"/>
              </w:rPr>
              <w:t> </w:t>
            </w:r>
            <w:r>
              <w:rPr>
                <w:sz w:val="20"/>
              </w:rPr>
              <w:t>pre- and post-baiting</w:t>
            </w:r>
          </w:p>
        </w:tc>
        <w:tc>
          <w:tcPr>
            <w:tcW w:w="2868" w:type="dxa"/>
            <w:vMerge w:val="restart"/>
            <w:tcBorders>
              <w:top w:val="single" w:sz="2" w:space="0" w:color="A6A6A6"/>
              <w:bottom w:val="single" w:sz="2" w:space="0" w:color="A6A6A6"/>
            </w:tcBorders>
          </w:tcPr>
          <w:p>
            <w:pPr>
              <w:pStyle w:val="TableParagraph"/>
              <w:rPr>
                <w:b/>
                <w:sz w:val="20"/>
              </w:rPr>
            </w:pPr>
          </w:p>
          <w:p>
            <w:pPr>
              <w:pStyle w:val="TableParagraph"/>
              <w:rPr>
                <w:b/>
                <w:sz w:val="20"/>
              </w:rPr>
            </w:pPr>
          </w:p>
          <w:p>
            <w:pPr>
              <w:pStyle w:val="TableParagraph"/>
              <w:spacing w:before="152"/>
              <w:rPr>
                <w:b/>
                <w:sz w:val="20"/>
              </w:rPr>
            </w:pPr>
          </w:p>
          <w:p>
            <w:pPr>
              <w:pStyle w:val="TableParagraph"/>
              <w:ind w:left="105"/>
              <w:rPr>
                <w:sz w:val="20"/>
              </w:rPr>
            </w:pPr>
            <w:r>
              <w:rPr>
                <w:sz w:val="20"/>
              </w:rPr>
              <w:t>Lapidge</w:t>
            </w:r>
            <w:r>
              <w:rPr>
                <w:spacing w:val="-7"/>
                <w:sz w:val="20"/>
              </w:rPr>
              <w:t> </w:t>
            </w:r>
            <w:r>
              <w:rPr>
                <w:sz w:val="20"/>
              </w:rPr>
              <w:t>et</w:t>
            </w:r>
            <w:r>
              <w:rPr>
                <w:spacing w:val="-5"/>
                <w:sz w:val="20"/>
              </w:rPr>
              <w:t> </w:t>
            </w:r>
            <w:r>
              <w:rPr>
                <w:sz w:val="20"/>
              </w:rPr>
              <w:t>al.</w:t>
            </w:r>
            <w:r>
              <w:rPr>
                <w:spacing w:val="-3"/>
                <w:sz w:val="20"/>
              </w:rPr>
              <w:t> </w:t>
            </w:r>
            <w:r>
              <w:rPr>
                <w:spacing w:val="-4"/>
                <w:sz w:val="20"/>
              </w:rPr>
              <w:t>2012</w:t>
            </w:r>
          </w:p>
        </w:tc>
      </w:tr>
      <w:tr>
        <w:trPr>
          <w:trHeight w:val="370" w:hRule="atLeast"/>
        </w:trPr>
        <w:tc>
          <w:tcPr>
            <w:tcW w:w="1810" w:type="dxa"/>
            <w:vMerge/>
            <w:tcBorders>
              <w:top w:val="nil"/>
              <w:bottom w:val="single" w:sz="4" w:space="0" w:color="000000"/>
            </w:tcBorders>
          </w:tcPr>
          <w:p>
            <w:pPr>
              <w:rPr>
                <w:sz w:val="2"/>
                <w:szCs w:val="2"/>
              </w:rPr>
            </w:pPr>
          </w:p>
        </w:tc>
        <w:tc>
          <w:tcPr>
            <w:tcW w:w="1296" w:type="dxa"/>
            <w:vMerge/>
            <w:tcBorders>
              <w:top w:val="nil"/>
              <w:bottom w:val="single" w:sz="2" w:space="0" w:color="A6A6A6"/>
            </w:tcBorders>
            <w:shd w:val="clear" w:color="auto" w:fill="CCDBEA"/>
          </w:tcPr>
          <w:p>
            <w:pPr>
              <w:rPr>
                <w:sz w:val="2"/>
                <w:szCs w:val="2"/>
              </w:rPr>
            </w:pPr>
          </w:p>
        </w:tc>
        <w:tc>
          <w:tcPr>
            <w:tcW w:w="3807" w:type="dxa"/>
          </w:tcPr>
          <w:p>
            <w:pPr>
              <w:pStyle w:val="TableParagraph"/>
              <w:spacing w:before="66"/>
              <w:ind w:left="108"/>
              <w:rPr>
                <w:sz w:val="20"/>
              </w:rPr>
            </w:pPr>
            <w:r>
              <w:rPr>
                <w:sz w:val="20"/>
              </w:rPr>
              <w:t>Namadgi</w:t>
            </w:r>
            <w:r>
              <w:rPr>
                <w:spacing w:val="-9"/>
                <w:sz w:val="20"/>
              </w:rPr>
              <w:t> </w:t>
            </w:r>
            <w:r>
              <w:rPr>
                <w:sz w:val="20"/>
              </w:rPr>
              <w:t>NP,</w:t>
            </w:r>
            <w:r>
              <w:rPr>
                <w:spacing w:val="-7"/>
                <w:sz w:val="20"/>
              </w:rPr>
              <w:t> </w:t>
            </w:r>
            <w:r>
              <w:rPr>
                <w:spacing w:val="-5"/>
                <w:sz w:val="20"/>
              </w:rPr>
              <w:t>NSW</w:t>
            </w:r>
          </w:p>
        </w:tc>
        <w:tc>
          <w:tcPr>
            <w:tcW w:w="4539" w:type="dxa"/>
            <w:vMerge/>
            <w:tcBorders>
              <w:top w:val="nil"/>
              <w:bottom w:val="single" w:sz="2" w:space="0" w:color="A6A6A6"/>
            </w:tcBorders>
            <w:shd w:val="clear" w:color="auto" w:fill="CCDBEA"/>
          </w:tcPr>
          <w:p>
            <w:pPr>
              <w:rPr>
                <w:sz w:val="2"/>
                <w:szCs w:val="2"/>
              </w:rPr>
            </w:pPr>
          </w:p>
        </w:tc>
        <w:tc>
          <w:tcPr>
            <w:tcW w:w="2868" w:type="dxa"/>
            <w:vMerge/>
            <w:tcBorders>
              <w:top w:val="nil"/>
              <w:bottom w:val="single" w:sz="2" w:space="0" w:color="A6A6A6"/>
            </w:tcBorders>
          </w:tcPr>
          <w:p>
            <w:pPr>
              <w:rPr>
                <w:sz w:val="2"/>
                <w:szCs w:val="2"/>
              </w:rPr>
            </w:pPr>
          </w:p>
        </w:tc>
      </w:tr>
      <w:tr>
        <w:trPr>
          <w:trHeight w:val="370" w:hRule="atLeast"/>
        </w:trPr>
        <w:tc>
          <w:tcPr>
            <w:tcW w:w="1810" w:type="dxa"/>
            <w:vMerge/>
            <w:tcBorders>
              <w:top w:val="nil"/>
              <w:bottom w:val="single" w:sz="4" w:space="0" w:color="000000"/>
            </w:tcBorders>
          </w:tcPr>
          <w:p>
            <w:pPr>
              <w:rPr>
                <w:sz w:val="2"/>
                <w:szCs w:val="2"/>
              </w:rPr>
            </w:pPr>
          </w:p>
        </w:tc>
        <w:tc>
          <w:tcPr>
            <w:tcW w:w="1296" w:type="dxa"/>
            <w:vMerge/>
            <w:tcBorders>
              <w:top w:val="nil"/>
              <w:bottom w:val="single" w:sz="2" w:space="0" w:color="A6A6A6"/>
            </w:tcBorders>
            <w:shd w:val="clear" w:color="auto" w:fill="CCDBEA"/>
          </w:tcPr>
          <w:p>
            <w:pPr>
              <w:rPr>
                <w:sz w:val="2"/>
                <w:szCs w:val="2"/>
              </w:rPr>
            </w:pPr>
          </w:p>
        </w:tc>
        <w:tc>
          <w:tcPr>
            <w:tcW w:w="3807" w:type="dxa"/>
          </w:tcPr>
          <w:p>
            <w:pPr>
              <w:pStyle w:val="TableParagraph"/>
              <w:spacing w:before="67"/>
              <w:ind w:left="108"/>
              <w:rPr>
                <w:sz w:val="20"/>
              </w:rPr>
            </w:pPr>
            <w:r>
              <w:rPr>
                <w:sz w:val="20"/>
              </w:rPr>
              <w:t>Eaglebar</w:t>
            </w:r>
            <w:r>
              <w:rPr>
                <w:spacing w:val="-11"/>
                <w:sz w:val="20"/>
              </w:rPr>
              <w:t> </w:t>
            </w:r>
            <w:r>
              <w:rPr>
                <w:sz w:val="20"/>
              </w:rPr>
              <w:t>Station,</w:t>
            </w:r>
            <w:r>
              <w:rPr>
                <w:spacing w:val="-7"/>
                <w:sz w:val="20"/>
              </w:rPr>
              <w:t> </w:t>
            </w:r>
            <w:r>
              <w:rPr>
                <w:spacing w:val="-2"/>
                <w:sz w:val="20"/>
              </w:rPr>
              <w:t>Queensland</w:t>
            </w:r>
          </w:p>
        </w:tc>
        <w:tc>
          <w:tcPr>
            <w:tcW w:w="4539" w:type="dxa"/>
            <w:vMerge/>
            <w:tcBorders>
              <w:top w:val="nil"/>
              <w:bottom w:val="single" w:sz="2" w:space="0" w:color="A6A6A6"/>
            </w:tcBorders>
            <w:shd w:val="clear" w:color="auto" w:fill="CCDBEA"/>
          </w:tcPr>
          <w:p>
            <w:pPr>
              <w:rPr>
                <w:sz w:val="2"/>
                <w:szCs w:val="2"/>
              </w:rPr>
            </w:pPr>
          </w:p>
        </w:tc>
        <w:tc>
          <w:tcPr>
            <w:tcW w:w="2868" w:type="dxa"/>
            <w:vMerge/>
            <w:tcBorders>
              <w:top w:val="nil"/>
              <w:bottom w:val="single" w:sz="2" w:space="0" w:color="A6A6A6"/>
            </w:tcBorders>
          </w:tcPr>
          <w:p>
            <w:pPr>
              <w:rPr>
                <w:sz w:val="2"/>
                <w:szCs w:val="2"/>
              </w:rPr>
            </w:pPr>
          </w:p>
        </w:tc>
      </w:tr>
      <w:tr>
        <w:trPr>
          <w:trHeight w:val="369" w:hRule="atLeast"/>
        </w:trPr>
        <w:tc>
          <w:tcPr>
            <w:tcW w:w="1810" w:type="dxa"/>
            <w:vMerge/>
            <w:tcBorders>
              <w:top w:val="nil"/>
              <w:bottom w:val="single" w:sz="4" w:space="0" w:color="000000"/>
            </w:tcBorders>
          </w:tcPr>
          <w:p>
            <w:pPr>
              <w:rPr>
                <w:sz w:val="2"/>
                <w:szCs w:val="2"/>
              </w:rPr>
            </w:pPr>
          </w:p>
        </w:tc>
        <w:tc>
          <w:tcPr>
            <w:tcW w:w="1296" w:type="dxa"/>
            <w:vMerge/>
            <w:tcBorders>
              <w:top w:val="nil"/>
              <w:bottom w:val="single" w:sz="2" w:space="0" w:color="A6A6A6"/>
            </w:tcBorders>
            <w:shd w:val="clear" w:color="auto" w:fill="CCDBEA"/>
          </w:tcPr>
          <w:p>
            <w:pPr>
              <w:rPr>
                <w:sz w:val="2"/>
                <w:szCs w:val="2"/>
              </w:rPr>
            </w:pPr>
          </w:p>
        </w:tc>
        <w:tc>
          <w:tcPr>
            <w:tcW w:w="3807" w:type="dxa"/>
          </w:tcPr>
          <w:p>
            <w:pPr>
              <w:pStyle w:val="TableParagraph"/>
              <w:spacing w:before="66"/>
              <w:ind w:left="108"/>
              <w:rPr>
                <w:sz w:val="20"/>
              </w:rPr>
            </w:pPr>
            <w:r>
              <w:rPr>
                <w:sz w:val="20"/>
              </w:rPr>
              <w:t>Harmar</w:t>
            </w:r>
            <w:r>
              <w:rPr>
                <w:spacing w:val="-7"/>
                <w:sz w:val="20"/>
              </w:rPr>
              <w:t> </w:t>
            </w:r>
            <w:r>
              <w:rPr>
                <w:sz w:val="20"/>
              </w:rPr>
              <w:t>Station,</w:t>
            </w:r>
            <w:r>
              <w:rPr>
                <w:spacing w:val="-8"/>
                <w:sz w:val="20"/>
              </w:rPr>
              <w:t> </w:t>
            </w:r>
            <w:r>
              <w:rPr>
                <w:spacing w:val="-2"/>
                <w:sz w:val="20"/>
              </w:rPr>
              <w:t>Queensland</w:t>
            </w:r>
          </w:p>
        </w:tc>
        <w:tc>
          <w:tcPr>
            <w:tcW w:w="4539" w:type="dxa"/>
            <w:vMerge/>
            <w:tcBorders>
              <w:top w:val="nil"/>
              <w:bottom w:val="single" w:sz="2" w:space="0" w:color="A6A6A6"/>
            </w:tcBorders>
            <w:shd w:val="clear" w:color="auto" w:fill="CCDBEA"/>
          </w:tcPr>
          <w:p>
            <w:pPr>
              <w:rPr>
                <w:sz w:val="2"/>
                <w:szCs w:val="2"/>
              </w:rPr>
            </w:pPr>
          </w:p>
        </w:tc>
        <w:tc>
          <w:tcPr>
            <w:tcW w:w="2868" w:type="dxa"/>
            <w:vMerge/>
            <w:tcBorders>
              <w:top w:val="nil"/>
              <w:bottom w:val="single" w:sz="2" w:space="0" w:color="A6A6A6"/>
            </w:tcBorders>
          </w:tcPr>
          <w:p>
            <w:pPr>
              <w:rPr>
                <w:sz w:val="2"/>
                <w:szCs w:val="2"/>
              </w:rPr>
            </w:pPr>
          </w:p>
        </w:tc>
      </w:tr>
      <w:tr>
        <w:trPr>
          <w:trHeight w:val="354" w:hRule="atLeast"/>
        </w:trPr>
        <w:tc>
          <w:tcPr>
            <w:tcW w:w="1810" w:type="dxa"/>
            <w:vMerge/>
            <w:tcBorders>
              <w:top w:val="nil"/>
              <w:bottom w:val="single" w:sz="4" w:space="0" w:color="000000"/>
            </w:tcBorders>
          </w:tcPr>
          <w:p>
            <w:pPr>
              <w:rPr>
                <w:sz w:val="2"/>
                <w:szCs w:val="2"/>
              </w:rPr>
            </w:pPr>
          </w:p>
        </w:tc>
        <w:tc>
          <w:tcPr>
            <w:tcW w:w="1296" w:type="dxa"/>
            <w:vMerge/>
            <w:tcBorders>
              <w:top w:val="nil"/>
              <w:bottom w:val="single" w:sz="2" w:space="0" w:color="A6A6A6"/>
            </w:tcBorders>
            <w:shd w:val="clear" w:color="auto" w:fill="CCDBEA"/>
          </w:tcPr>
          <w:p>
            <w:pPr>
              <w:rPr>
                <w:sz w:val="2"/>
                <w:szCs w:val="2"/>
              </w:rPr>
            </w:pPr>
          </w:p>
        </w:tc>
        <w:tc>
          <w:tcPr>
            <w:tcW w:w="3807" w:type="dxa"/>
            <w:tcBorders>
              <w:bottom w:val="single" w:sz="2" w:space="0" w:color="A6A6A6"/>
            </w:tcBorders>
          </w:tcPr>
          <w:p>
            <w:pPr>
              <w:pStyle w:val="TableParagraph"/>
              <w:spacing w:before="66"/>
              <w:ind w:left="108"/>
              <w:rPr>
                <w:sz w:val="20"/>
              </w:rPr>
            </w:pPr>
            <w:r>
              <w:rPr>
                <w:sz w:val="20"/>
              </w:rPr>
              <w:t>Lassie</w:t>
            </w:r>
            <w:r>
              <w:rPr>
                <w:spacing w:val="-9"/>
                <w:sz w:val="20"/>
              </w:rPr>
              <w:t> </w:t>
            </w:r>
            <w:r>
              <w:rPr>
                <w:sz w:val="20"/>
              </w:rPr>
              <w:t>Creek</w:t>
            </w:r>
            <w:r>
              <w:rPr>
                <w:spacing w:val="-8"/>
                <w:sz w:val="20"/>
              </w:rPr>
              <w:t> </w:t>
            </w:r>
            <w:r>
              <w:rPr>
                <w:sz w:val="20"/>
              </w:rPr>
              <w:t>Station,</w:t>
            </w:r>
            <w:r>
              <w:rPr>
                <w:spacing w:val="-6"/>
                <w:sz w:val="20"/>
              </w:rPr>
              <w:t> </w:t>
            </w:r>
            <w:r>
              <w:rPr>
                <w:spacing w:val="-2"/>
                <w:sz w:val="20"/>
              </w:rPr>
              <w:t>Queensland</w:t>
            </w:r>
          </w:p>
        </w:tc>
        <w:tc>
          <w:tcPr>
            <w:tcW w:w="4539" w:type="dxa"/>
            <w:vMerge/>
            <w:tcBorders>
              <w:top w:val="nil"/>
              <w:bottom w:val="single" w:sz="2" w:space="0" w:color="A6A6A6"/>
            </w:tcBorders>
            <w:shd w:val="clear" w:color="auto" w:fill="CCDBEA"/>
          </w:tcPr>
          <w:p>
            <w:pPr>
              <w:rPr>
                <w:sz w:val="2"/>
                <w:szCs w:val="2"/>
              </w:rPr>
            </w:pPr>
          </w:p>
        </w:tc>
        <w:tc>
          <w:tcPr>
            <w:tcW w:w="2868" w:type="dxa"/>
            <w:vMerge/>
            <w:tcBorders>
              <w:top w:val="nil"/>
              <w:bottom w:val="single" w:sz="2" w:space="0" w:color="A6A6A6"/>
            </w:tcBorders>
          </w:tcPr>
          <w:p>
            <w:pPr>
              <w:rPr>
                <w:sz w:val="2"/>
                <w:szCs w:val="2"/>
              </w:rPr>
            </w:pPr>
          </w:p>
        </w:tc>
      </w:tr>
      <w:tr>
        <w:trPr>
          <w:trHeight w:val="371" w:hRule="atLeast"/>
        </w:trPr>
        <w:tc>
          <w:tcPr>
            <w:tcW w:w="1810" w:type="dxa"/>
            <w:vMerge/>
            <w:tcBorders>
              <w:top w:val="nil"/>
              <w:bottom w:val="single" w:sz="4" w:space="0" w:color="000000"/>
            </w:tcBorders>
          </w:tcPr>
          <w:p>
            <w:pPr>
              <w:rPr>
                <w:sz w:val="2"/>
                <w:szCs w:val="2"/>
              </w:rPr>
            </w:pPr>
          </w:p>
        </w:tc>
        <w:tc>
          <w:tcPr>
            <w:tcW w:w="1296" w:type="dxa"/>
            <w:tcBorders>
              <w:top w:val="single" w:sz="2" w:space="0" w:color="A6A6A6"/>
              <w:bottom w:val="single" w:sz="2" w:space="0" w:color="A6A6A6"/>
            </w:tcBorders>
            <w:shd w:val="clear" w:color="auto" w:fill="CCDBEA"/>
          </w:tcPr>
          <w:p>
            <w:pPr>
              <w:pStyle w:val="TableParagraph"/>
              <w:spacing w:before="81"/>
              <w:ind w:right="2"/>
              <w:jc w:val="center"/>
              <w:rPr>
                <w:sz w:val="20"/>
              </w:rPr>
            </w:pPr>
            <w:r>
              <w:rPr>
                <w:spacing w:val="-5"/>
                <w:sz w:val="20"/>
              </w:rPr>
              <w:t>92</w:t>
            </w:r>
          </w:p>
        </w:tc>
        <w:tc>
          <w:tcPr>
            <w:tcW w:w="3807" w:type="dxa"/>
            <w:tcBorders>
              <w:top w:val="single" w:sz="2" w:space="0" w:color="A6A6A6"/>
              <w:bottom w:val="single" w:sz="2" w:space="0" w:color="A6A6A6"/>
            </w:tcBorders>
          </w:tcPr>
          <w:p>
            <w:pPr>
              <w:pStyle w:val="TableParagraph"/>
              <w:spacing w:before="81"/>
              <w:ind w:left="108"/>
              <w:rPr>
                <w:sz w:val="20"/>
              </w:rPr>
            </w:pPr>
            <w:r>
              <w:rPr>
                <w:spacing w:val="-2"/>
                <w:sz w:val="20"/>
              </w:rPr>
              <w:t>Ingelwood,</w:t>
            </w:r>
            <w:r>
              <w:rPr>
                <w:spacing w:val="4"/>
                <w:sz w:val="20"/>
              </w:rPr>
              <w:t> </w:t>
            </w:r>
            <w:r>
              <w:rPr>
                <w:spacing w:val="-2"/>
                <w:sz w:val="20"/>
              </w:rPr>
              <w:t>Queensland</w:t>
            </w:r>
          </w:p>
        </w:tc>
        <w:tc>
          <w:tcPr>
            <w:tcW w:w="4539" w:type="dxa"/>
            <w:tcBorders>
              <w:top w:val="single" w:sz="2" w:space="0" w:color="A6A6A6"/>
              <w:bottom w:val="single" w:sz="2" w:space="0" w:color="A6A6A6"/>
            </w:tcBorders>
            <w:shd w:val="clear" w:color="auto" w:fill="CCDBEA"/>
          </w:tcPr>
          <w:p>
            <w:pPr>
              <w:pStyle w:val="TableParagraph"/>
              <w:spacing w:before="81"/>
              <w:ind w:left="108"/>
              <w:rPr>
                <w:sz w:val="20"/>
              </w:rPr>
            </w:pPr>
            <w:r>
              <w:rPr>
                <w:sz w:val="20"/>
              </w:rPr>
              <w:t>Number</w:t>
            </w:r>
            <w:r>
              <w:rPr>
                <w:spacing w:val="-6"/>
                <w:sz w:val="20"/>
              </w:rPr>
              <w:t> </w:t>
            </w:r>
            <w:r>
              <w:rPr>
                <w:sz w:val="20"/>
              </w:rPr>
              <w:t>of</w:t>
            </w:r>
            <w:r>
              <w:rPr>
                <w:spacing w:val="-7"/>
                <w:sz w:val="20"/>
              </w:rPr>
              <w:t> </w:t>
            </w:r>
            <w:r>
              <w:rPr>
                <w:sz w:val="20"/>
              </w:rPr>
              <w:t>radio</w:t>
            </w:r>
            <w:r>
              <w:rPr>
                <w:spacing w:val="-6"/>
                <w:sz w:val="20"/>
              </w:rPr>
              <w:t> </w:t>
            </w:r>
            <w:r>
              <w:rPr>
                <w:sz w:val="20"/>
              </w:rPr>
              <w:t>collared</w:t>
            </w:r>
            <w:r>
              <w:rPr>
                <w:spacing w:val="-7"/>
                <w:sz w:val="20"/>
              </w:rPr>
              <w:t> </w:t>
            </w:r>
            <w:r>
              <w:rPr>
                <w:sz w:val="20"/>
              </w:rPr>
              <w:t>pigs</w:t>
            </w:r>
            <w:r>
              <w:rPr>
                <w:spacing w:val="-5"/>
                <w:sz w:val="20"/>
              </w:rPr>
              <w:t> </w:t>
            </w:r>
            <w:r>
              <w:rPr>
                <w:spacing w:val="-2"/>
                <w:sz w:val="20"/>
              </w:rPr>
              <w:t>killed</w:t>
            </w:r>
          </w:p>
        </w:tc>
        <w:tc>
          <w:tcPr>
            <w:tcW w:w="2868" w:type="dxa"/>
            <w:tcBorders>
              <w:top w:val="single" w:sz="2" w:space="0" w:color="A6A6A6"/>
              <w:bottom w:val="single" w:sz="2" w:space="0" w:color="A6A6A6"/>
            </w:tcBorders>
          </w:tcPr>
          <w:p>
            <w:pPr>
              <w:pStyle w:val="TableParagraph"/>
              <w:spacing w:before="81"/>
              <w:ind w:left="105"/>
              <w:rPr>
                <w:sz w:val="20"/>
              </w:rPr>
            </w:pPr>
            <w:r>
              <w:rPr>
                <w:sz w:val="20"/>
              </w:rPr>
              <w:t>Shapiro</w:t>
            </w:r>
            <w:r>
              <w:rPr>
                <w:spacing w:val="-10"/>
                <w:sz w:val="20"/>
              </w:rPr>
              <w:t> </w:t>
            </w:r>
            <w:r>
              <w:rPr>
                <w:spacing w:val="-4"/>
                <w:sz w:val="20"/>
              </w:rPr>
              <w:t>2016</w:t>
            </w:r>
          </w:p>
        </w:tc>
      </w:tr>
      <w:tr>
        <w:trPr>
          <w:trHeight w:val="1197" w:hRule="atLeast"/>
        </w:trPr>
        <w:tc>
          <w:tcPr>
            <w:tcW w:w="1810" w:type="dxa"/>
            <w:vMerge/>
            <w:tcBorders>
              <w:top w:val="nil"/>
              <w:bottom w:val="single" w:sz="4" w:space="0" w:color="000000"/>
            </w:tcBorders>
          </w:tcPr>
          <w:p>
            <w:pPr>
              <w:rPr>
                <w:sz w:val="2"/>
                <w:szCs w:val="2"/>
              </w:rPr>
            </w:pPr>
          </w:p>
        </w:tc>
        <w:tc>
          <w:tcPr>
            <w:tcW w:w="1296" w:type="dxa"/>
            <w:tcBorders>
              <w:top w:val="single" w:sz="2" w:space="0" w:color="A6A6A6"/>
              <w:bottom w:val="single" w:sz="4" w:space="0" w:color="000000"/>
            </w:tcBorders>
            <w:shd w:val="clear" w:color="auto" w:fill="CCDBEA"/>
          </w:tcPr>
          <w:p>
            <w:pPr>
              <w:pStyle w:val="TableParagraph"/>
              <w:rPr>
                <w:b/>
                <w:sz w:val="20"/>
              </w:rPr>
            </w:pPr>
          </w:p>
          <w:p>
            <w:pPr>
              <w:pStyle w:val="TableParagraph"/>
              <w:spacing w:before="34"/>
              <w:rPr>
                <w:b/>
                <w:sz w:val="20"/>
              </w:rPr>
            </w:pPr>
          </w:p>
          <w:p>
            <w:pPr>
              <w:pStyle w:val="TableParagraph"/>
              <w:ind w:left="2" w:right="2"/>
              <w:jc w:val="center"/>
              <w:rPr>
                <w:sz w:val="20"/>
              </w:rPr>
            </w:pPr>
            <w:r>
              <w:rPr>
                <w:spacing w:val="-4"/>
                <w:sz w:val="20"/>
              </w:rPr>
              <w:t>64–84</w:t>
            </w:r>
          </w:p>
        </w:tc>
        <w:tc>
          <w:tcPr>
            <w:tcW w:w="3807" w:type="dxa"/>
            <w:tcBorders>
              <w:top w:val="single" w:sz="2" w:space="0" w:color="A6A6A6"/>
              <w:bottom w:val="single" w:sz="4" w:space="0" w:color="000000"/>
            </w:tcBorders>
          </w:tcPr>
          <w:p>
            <w:pPr>
              <w:pStyle w:val="TableParagraph"/>
              <w:spacing w:before="148"/>
              <w:rPr>
                <w:b/>
                <w:sz w:val="20"/>
              </w:rPr>
            </w:pPr>
          </w:p>
          <w:p>
            <w:pPr>
              <w:pStyle w:val="TableParagraph"/>
              <w:ind w:left="108"/>
              <w:rPr>
                <w:sz w:val="20"/>
              </w:rPr>
            </w:pPr>
            <w:r>
              <w:rPr>
                <w:sz w:val="20"/>
              </w:rPr>
              <w:t>Mt</w:t>
            </w:r>
            <w:r>
              <w:rPr>
                <w:spacing w:val="-6"/>
                <w:sz w:val="20"/>
              </w:rPr>
              <w:t> </w:t>
            </w:r>
            <w:r>
              <w:rPr>
                <w:sz w:val="20"/>
              </w:rPr>
              <w:t>Hope,</w:t>
            </w:r>
            <w:r>
              <w:rPr>
                <w:spacing w:val="-6"/>
                <w:sz w:val="20"/>
              </w:rPr>
              <w:t> </w:t>
            </w:r>
            <w:r>
              <w:rPr>
                <w:spacing w:val="-5"/>
                <w:sz w:val="20"/>
              </w:rPr>
              <w:t>NSW</w:t>
            </w:r>
          </w:p>
          <w:p>
            <w:pPr>
              <w:pStyle w:val="TableParagraph"/>
              <w:spacing w:before="1"/>
              <w:ind w:left="108"/>
              <w:rPr>
                <w:sz w:val="20"/>
              </w:rPr>
            </w:pPr>
            <w:r>
              <w:rPr>
                <w:sz w:val="20"/>
              </w:rPr>
              <w:t>St.</w:t>
            </w:r>
            <w:r>
              <w:rPr>
                <w:spacing w:val="-6"/>
                <w:sz w:val="20"/>
              </w:rPr>
              <w:t> </w:t>
            </w:r>
            <w:r>
              <w:rPr>
                <w:sz w:val="20"/>
              </w:rPr>
              <w:t>George,</w:t>
            </w:r>
            <w:r>
              <w:rPr>
                <w:spacing w:val="-6"/>
                <w:sz w:val="20"/>
              </w:rPr>
              <w:t> </w:t>
            </w:r>
            <w:r>
              <w:rPr>
                <w:spacing w:val="-2"/>
                <w:sz w:val="20"/>
              </w:rPr>
              <w:t>Queensland</w:t>
            </w:r>
          </w:p>
        </w:tc>
        <w:tc>
          <w:tcPr>
            <w:tcW w:w="4539" w:type="dxa"/>
            <w:tcBorders>
              <w:top w:val="single" w:sz="2" w:space="0" w:color="A6A6A6"/>
              <w:bottom w:val="single" w:sz="4" w:space="0" w:color="000000"/>
            </w:tcBorders>
            <w:shd w:val="clear" w:color="auto" w:fill="CCDBEA"/>
          </w:tcPr>
          <w:p>
            <w:pPr>
              <w:pStyle w:val="TableParagraph"/>
              <w:spacing w:before="148"/>
              <w:ind w:left="108"/>
              <w:rPr>
                <w:sz w:val="20"/>
              </w:rPr>
            </w:pPr>
            <w:r>
              <w:rPr>
                <w:sz w:val="20"/>
              </w:rPr>
              <w:t>Count</w:t>
            </w:r>
            <w:r>
              <w:rPr>
                <w:spacing w:val="-6"/>
                <w:sz w:val="20"/>
              </w:rPr>
              <w:t> </w:t>
            </w:r>
            <w:r>
              <w:rPr>
                <w:sz w:val="20"/>
              </w:rPr>
              <w:t>of</w:t>
            </w:r>
            <w:r>
              <w:rPr>
                <w:spacing w:val="-6"/>
                <w:sz w:val="20"/>
              </w:rPr>
              <w:t> </w:t>
            </w:r>
            <w:r>
              <w:rPr>
                <w:sz w:val="20"/>
              </w:rPr>
              <w:t>individuals</w:t>
            </w:r>
            <w:r>
              <w:rPr>
                <w:spacing w:val="-7"/>
                <w:sz w:val="20"/>
              </w:rPr>
              <w:t> </w:t>
            </w:r>
            <w:r>
              <w:rPr>
                <w:sz w:val="20"/>
              </w:rPr>
              <w:t>pe-post</w:t>
            </w:r>
            <w:r>
              <w:rPr>
                <w:spacing w:val="-8"/>
                <w:sz w:val="20"/>
              </w:rPr>
              <w:t> </w:t>
            </w:r>
            <w:r>
              <w:rPr>
                <w:sz w:val="20"/>
              </w:rPr>
              <w:t>from</w:t>
            </w:r>
            <w:r>
              <w:rPr>
                <w:spacing w:val="-8"/>
                <w:sz w:val="20"/>
              </w:rPr>
              <w:t> </w:t>
            </w:r>
            <w:r>
              <w:rPr>
                <w:sz w:val="20"/>
              </w:rPr>
              <w:t>camera</w:t>
            </w:r>
            <w:r>
              <w:rPr>
                <w:spacing w:val="-8"/>
                <w:sz w:val="20"/>
              </w:rPr>
              <w:t> </w:t>
            </w:r>
            <w:r>
              <w:rPr>
                <w:sz w:val="20"/>
              </w:rPr>
              <w:t>traps Activity index from camera traps</w:t>
            </w:r>
          </w:p>
          <w:p>
            <w:pPr>
              <w:pStyle w:val="TableParagraph"/>
              <w:spacing w:before="1"/>
              <w:ind w:left="108" w:right="393"/>
              <w:rPr>
                <w:sz w:val="20"/>
              </w:rPr>
            </w:pPr>
            <w:r>
              <w:rPr>
                <w:sz w:val="20"/>
              </w:rPr>
              <w:t>Visitation</w:t>
            </w:r>
            <w:r>
              <w:rPr>
                <w:spacing w:val="-7"/>
                <w:sz w:val="20"/>
              </w:rPr>
              <w:t> </w:t>
            </w:r>
            <w:r>
              <w:rPr>
                <w:sz w:val="20"/>
              </w:rPr>
              <w:t>rate</w:t>
            </w:r>
            <w:r>
              <w:rPr>
                <w:spacing w:val="-7"/>
                <w:sz w:val="20"/>
              </w:rPr>
              <w:t> </w:t>
            </w:r>
            <w:r>
              <w:rPr>
                <w:sz w:val="20"/>
              </w:rPr>
              <w:t>to</w:t>
            </w:r>
            <w:r>
              <w:rPr>
                <w:spacing w:val="-6"/>
                <w:sz w:val="20"/>
              </w:rPr>
              <w:t> </w:t>
            </w:r>
            <w:r>
              <w:rPr>
                <w:sz w:val="20"/>
              </w:rPr>
              <w:t>bait</w:t>
            </w:r>
            <w:r>
              <w:rPr>
                <w:spacing w:val="-6"/>
                <w:sz w:val="20"/>
              </w:rPr>
              <w:t> </w:t>
            </w:r>
            <w:r>
              <w:rPr>
                <w:sz w:val="20"/>
              </w:rPr>
              <w:t>station</w:t>
            </w:r>
            <w:r>
              <w:rPr>
                <w:spacing w:val="-6"/>
                <w:sz w:val="20"/>
              </w:rPr>
              <w:t> </w:t>
            </w:r>
            <w:r>
              <w:rPr>
                <w:sz w:val="20"/>
              </w:rPr>
              <w:t>pre-</w:t>
            </w:r>
            <w:r>
              <w:rPr>
                <w:spacing w:val="-5"/>
                <w:sz w:val="20"/>
              </w:rPr>
              <w:t> </w:t>
            </w:r>
            <w:r>
              <w:rPr>
                <w:sz w:val="20"/>
              </w:rPr>
              <w:t>and</w:t>
            </w:r>
            <w:r>
              <w:rPr>
                <w:spacing w:val="-7"/>
                <w:sz w:val="20"/>
              </w:rPr>
              <w:t> </w:t>
            </w:r>
            <w:r>
              <w:rPr>
                <w:sz w:val="20"/>
              </w:rPr>
              <w:t>post- </w:t>
            </w:r>
            <w:r>
              <w:rPr>
                <w:spacing w:val="-2"/>
                <w:sz w:val="20"/>
              </w:rPr>
              <w:t>baiting</w:t>
            </w:r>
          </w:p>
        </w:tc>
        <w:tc>
          <w:tcPr>
            <w:tcW w:w="2868" w:type="dxa"/>
            <w:tcBorders>
              <w:top w:val="single" w:sz="2" w:space="0" w:color="A6A6A6"/>
              <w:bottom w:val="single" w:sz="4" w:space="0" w:color="000000"/>
            </w:tcBorders>
          </w:tcPr>
          <w:p>
            <w:pPr>
              <w:pStyle w:val="TableParagraph"/>
              <w:rPr>
                <w:b/>
                <w:sz w:val="20"/>
              </w:rPr>
            </w:pPr>
          </w:p>
          <w:p>
            <w:pPr>
              <w:pStyle w:val="TableParagraph"/>
              <w:spacing w:before="34"/>
              <w:rPr>
                <w:b/>
                <w:sz w:val="20"/>
              </w:rPr>
            </w:pPr>
          </w:p>
          <w:p>
            <w:pPr>
              <w:pStyle w:val="TableParagraph"/>
              <w:ind w:left="105"/>
              <w:rPr>
                <w:sz w:val="20"/>
              </w:rPr>
            </w:pPr>
            <w:r>
              <w:rPr>
                <w:sz w:val="20"/>
              </w:rPr>
              <w:t>Staples</w:t>
            </w:r>
            <w:r>
              <w:rPr>
                <w:spacing w:val="-8"/>
                <w:sz w:val="20"/>
              </w:rPr>
              <w:t> </w:t>
            </w:r>
            <w:r>
              <w:rPr>
                <w:sz w:val="20"/>
              </w:rPr>
              <w:t>and</w:t>
            </w:r>
            <w:r>
              <w:rPr>
                <w:spacing w:val="-8"/>
                <w:sz w:val="20"/>
              </w:rPr>
              <w:t> </w:t>
            </w:r>
            <w:r>
              <w:rPr>
                <w:sz w:val="20"/>
              </w:rPr>
              <w:t>Wishart</w:t>
            </w:r>
            <w:r>
              <w:rPr>
                <w:spacing w:val="-8"/>
                <w:sz w:val="20"/>
              </w:rPr>
              <w:t> </w:t>
            </w:r>
            <w:r>
              <w:rPr>
                <w:spacing w:val="-4"/>
                <w:sz w:val="20"/>
              </w:rPr>
              <w:t>2019</w:t>
            </w:r>
          </w:p>
        </w:tc>
      </w:tr>
      <w:tr>
        <w:trPr>
          <w:trHeight w:val="366" w:hRule="atLeast"/>
        </w:trPr>
        <w:tc>
          <w:tcPr>
            <w:tcW w:w="1810" w:type="dxa"/>
            <w:vMerge w:val="restart"/>
            <w:tcBorders>
              <w:top w:val="single" w:sz="4" w:space="0" w:color="000000"/>
              <w:bottom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7"/>
              <w:rPr>
                <w:b/>
                <w:sz w:val="20"/>
              </w:rPr>
            </w:pPr>
          </w:p>
          <w:p>
            <w:pPr>
              <w:pStyle w:val="TableParagraph"/>
              <w:spacing w:before="1"/>
              <w:ind w:left="107"/>
              <w:rPr>
                <w:sz w:val="20"/>
              </w:rPr>
            </w:pPr>
            <w:r>
              <w:rPr>
                <w:spacing w:val="-2"/>
                <w:sz w:val="20"/>
              </w:rPr>
              <w:t>Trapping</w:t>
            </w:r>
          </w:p>
        </w:tc>
        <w:tc>
          <w:tcPr>
            <w:tcW w:w="1296" w:type="dxa"/>
            <w:tcBorders>
              <w:top w:val="single" w:sz="4" w:space="0" w:color="000000"/>
              <w:bottom w:val="single" w:sz="2" w:space="0" w:color="A6A6A6"/>
            </w:tcBorders>
            <w:shd w:val="clear" w:color="auto" w:fill="CCDBEA"/>
          </w:tcPr>
          <w:p>
            <w:pPr>
              <w:pStyle w:val="TableParagraph"/>
              <w:spacing w:before="78"/>
              <w:ind w:left="2" w:right="2"/>
              <w:jc w:val="center"/>
              <w:rPr>
                <w:sz w:val="20"/>
              </w:rPr>
            </w:pPr>
            <w:r>
              <w:rPr>
                <w:spacing w:val="-4"/>
                <w:sz w:val="20"/>
              </w:rPr>
              <w:t>38–57</w:t>
            </w:r>
          </w:p>
        </w:tc>
        <w:tc>
          <w:tcPr>
            <w:tcW w:w="3807" w:type="dxa"/>
            <w:tcBorders>
              <w:top w:val="single" w:sz="4" w:space="0" w:color="000000"/>
              <w:bottom w:val="single" w:sz="2" w:space="0" w:color="A6A6A6"/>
            </w:tcBorders>
          </w:tcPr>
          <w:p>
            <w:pPr>
              <w:pStyle w:val="TableParagraph"/>
              <w:spacing w:before="78"/>
              <w:ind w:left="108"/>
              <w:rPr>
                <w:sz w:val="20"/>
              </w:rPr>
            </w:pPr>
            <w:r>
              <w:rPr>
                <w:sz w:val="20"/>
              </w:rPr>
              <w:t>Daintree</w:t>
            </w:r>
            <w:r>
              <w:rPr>
                <w:spacing w:val="-9"/>
                <w:sz w:val="20"/>
              </w:rPr>
              <w:t> </w:t>
            </w:r>
            <w:r>
              <w:rPr>
                <w:sz w:val="20"/>
              </w:rPr>
              <w:t>NP,</w:t>
            </w:r>
            <w:r>
              <w:rPr>
                <w:spacing w:val="-8"/>
                <w:sz w:val="20"/>
              </w:rPr>
              <w:t> </w:t>
            </w:r>
            <w:r>
              <w:rPr>
                <w:spacing w:val="-2"/>
                <w:sz w:val="20"/>
              </w:rPr>
              <w:t>Queensland</w:t>
            </w:r>
          </w:p>
        </w:tc>
        <w:tc>
          <w:tcPr>
            <w:tcW w:w="4539" w:type="dxa"/>
            <w:tcBorders>
              <w:top w:val="single" w:sz="4" w:space="0" w:color="000000"/>
              <w:bottom w:val="single" w:sz="2" w:space="0" w:color="A6A6A6"/>
            </w:tcBorders>
            <w:shd w:val="clear" w:color="auto" w:fill="CCDBEA"/>
          </w:tcPr>
          <w:p>
            <w:pPr>
              <w:pStyle w:val="TableParagraph"/>
              <w:spacing w:before="78"/>
              <w:ind w:left="108"/>
              <w:rPr>
                <w:sz w:val="20"/>
              </w:rPr>
            </w:pPr>
            <w:r>
              <w:rPr>
                <w:sz w:val="20"/>
              </w:rPr>
              <w:t>Camera</w:t>
            </w:r>
            <w:r>
              <w:rPr>
                <w:spacing w:val="-8"/>
                <w:sz w:val="20"/>
              </w:rPr>
              <w:t> </w:t>
            </w:r>
            <w:r>
              <w:rPr>
                <w:sz w:val="20"/>
              </w:rPr>
              <w:t>trap</w:t>
            </w:r>
            <w:r>
              <w:rPr>
                <w:spacing w:val="-8"/>
                <w:sz w:val="20"/>
              </w:rPr>
              <w:t> </w:t>
            </w:r>
            <w:r>
              <w:rPr>
                <w:spacing w:val="-2"/>
                <w:sz w:val="20"/>
              </w:rPr>
              <w:t>index</w:t>
            </w:r>
          </w:p>
        </w:tc>
        <w:tc>
          <w:tcPr>
            <w:tcW w:w="2868" w:type="dxa"/>
            <w:tcBorders>
              <w:top w:val="single" w:sz="4" w:space="0" w:color="000000"/>
              <w:bottom w:val="single" w:sz="2" w:space="0" w:color="A6A6A6"/>
            </w:tcBorders>
          </w:tcPr>
          <w:p>
            <w:pPr>
              <w:pStyle w:val="TableParagraph"/>
              <w:spacing w:before="78"/>
              <w:ind w:left="105"/>
              <w:rPr>
                <w:sz w:val="20"/>
              </w:rPr>
            </w:pPr>
            <w:r>
              <w:rPr>
                <w:sz w:val="20"/>
              </w:rPr>
              <w:t>Bengsen</w:t>
            </w:r>
            <w:r>
              <w:rPr>
                <w:spacing w:val="-5"/>
                <w:sz w:val="20"/>
              </w:rPr>
              <w:t> </w:t>
            </w:r>
            <w:r>
              <w:rPr>
                <w:sz w:val="20"/>
              </w:rPr>
              <w:t>et</w:t>
            </w:r>
            <w:r>
              <w:rPr>
                <w:spacing w:val="-5"/>
                <w:sz w:val="20"/>
              </w:rPr>
              <w:t> </w:t>
            </w:r>
            <w:r>
              <w:rPr>
                <w:sz w:val="20"/>
              </w:rPr>
              <w:t>al.</w:t>
            </w:r>
            <w:r>
              <w:rPr>
                <w:spacing w:val="-6"/>
                <w:sz w:val="20"/>
              </w:rPr>
              <w:t> </w:t>
            </w:r>
            <w:r>
              <w:rPr>
                <w:spacing w:val="-4"/>
                <w:sz w:val="20"/>
              </w:rPr>
              <w:t>2011</w:t>
            </w:r>
          </w:p>
        </w:tc>
      </w:tr>
      <w:tr>
        <w:trPr>
          <w:trHeight w:val="597" w:hRule="atLeast"/>
        </w:trPr>
        <w:tc>
          <w:tcPr>
            <w:tcW w:w="1810" w:type="dxa"/>
            <w:vMerge/>
            <w:tcBorders>
              <w:top w:val="nil"/>
              <w:bottom w:val="single" w:sz="4" w:space="0" w:color="000000"/>
            </w:tcBorders>
          </w:tcPr>
          <w:p>
            <w:pPr>
              <w:rPr>
                <w:sz w:val="2"/>
                <w:szCs w:val="2"/>
              </w:rPr>
            </w:pPr>
          </w:p>
        </w:tc>
        <w:tc>
          <w:tcPr>
            <w:tcW w:w="1296" w:type="dxa"/>
            <w:tcBorders>
              <w:top w:val="single" w:sz="2" w:space="0" w:color="A6A6A6"/>
              <w:bottom w:val="single" w:sz="2" w:space="0" w:color="A6A6A6"/>
            </w:tcBorders>
            <w:shd w:val="clear" w:color="auto" w:fill="CCDBEA"/>
          </w:tcPr>
          <w:p>
            <w:pPr>
              <w:pStyle w:val="TableParagraph"/>
              <w:spacing w:before="191"/>
              <w:ind w:left="2" w:right="2"/>
              <w:jc w:val="center"/>
              <w:rPr>
                <w:sz w:val="20"/>
              </w:rPr>
            </w:pPr>
            <w:r>
              <w:rPr>
                <w:spacing w:val="-4"/>
                <w:sz w:val="20"/>
              </w:rPr>
              <w:t>65–66</w:t>
            </w:r>
          </w:p>
        </w:tc>
        <w:tc>
          <w:tcPr>
            <w:tcW w:w="3807" w:type="dxa"/>
            <w:tcBorders>
              <w:top w:val="single" w:sz="2" w:space="0" w:color="A6A6A6"/>
              <w:bottom w:val="single" w:sz="2" w:space="0" w:color="A6A6A6"/>
            </w:tcBorders>
          </w:tcPr>
          <w:p>
            <w:pPr>
              <w:pStyle w:val="TableParagraph"/>
              <w:spacing w:before="191"/>
              <w:ind w:left="108"/>
              <w:rPr>
                <w:sz w:val="20"/>
              </w:rPr>
            </w:pPr>
            <w:r>
              <w:rPr>
                <w:sz w:val="20"/>
              </w:rPr>
              <w:t>Douglas</w:t>
            </w:r>
            <w:r>
              <w:rPr>
                <w:spacing w:val="-9"/>
                <w:sz w:val="20"/>
              </w:rPr>
              <w:t> </w:t>
            </w:r>
            <w:r>
              <w:rPr>
                <w:sz w:val="20"/>
              </w:rPr>
              <w:t>Daly,</w:t>
            </w:r>
            <w:r>
              <w:rPr>
                <w:spacing w:val="-9"/>
                <w:sz w:val="20"/>
              </w:rPr>
              <w:t> </w:t>
            </w:r>
            <w:r>
              <w:rPr>
                <w:spacing w:val="-5"/>
                <w:sz w:val="20"/>
              </w:rPr>
              <w:t>NT</w:t>
            </w:r>
          </w:p>
        </w:tc>
        <w:tc>
          <w:tcPr>
            <w:tcW w:w="4539" w:type="dxa"/>
            <w:tcBorders>
              <w:top w:val="single" w:sz="2" w:space="0" w:color="A6A6A6"/>
              <w:bottom w:val="single" w:sz="2" w:space="0" w:color="A6A6A6"/>
            </w:tcBorders>
            <w:shd w:val="clear" w:color="auto" w:fill="CCDBEA"/>
          </w:tcPr>
          <w:p>
            <w:pPr>
              <w:pStyle w:val="TableParagraph"/>
              <w:spacing w:before="78"/>
              <w:ind w:left="108" w:right="2818"/>
              <w:rPr>
                <w:sz w:val="20"/>
              </w:rPr>
            </w:pPr>
            <w:r>
              <w:rPr>
                <w:spacing w:val="-2"/>
                <w:sz w:val="20"/>
              </w:rPr>
              <w:t>Known-to-be-alive Mark-recapture</w:t>
            </w:r>
          </w:p>
        </w:tc>
        <w:tc>
          <w:tcPr>
            <w:tcW w:w="2868" w:type="dxa"/>
            <w:tcBorders>
              <w:top w:val="single" w:sz="2" w:space="0" w:color="A6A6A6"/>
              <w:bottom w:val="single" w:sz="2" w:space="0" w:color="A6A6A6"/>
            </w:tcBorders>
          </w:tcPr>
          <w:p>
            <w:pPr>
              <w:pStyle w:val="TableParagraph"/>
              <w:spacing w:before="191"/>
              <w:ind w:left="105"/>
              <w:rPr>
                <w:sz w:val="20"/>
              </w:rPr>
            </w:pPr>
            <w:r>
              <w:rPr>
                <w:sz w:val="20"/>
              </w:rPr>
              <w:t>Caley</w:t>
            </w:r>
            <w:r>
              <w:rPr>
                <w:spacing w:val="-6"/>
                <w:sz w:val="20"/>
              </w:rPr>
              <w:t> </w:t>
            </w:r>
            <w:r>
              <w:rPr>
                <w:sz w:val="20"/>
              </w:rPr>
              <w:t>and</w:t>
            </w:r>
            <w:r>
              <w:rPr>
                <w:spacing w:val="-7"/>
                <w:sz w:val="20"/>
              </w:rPr>
              <w:t> </w:t>
            </w:r>
            <w:r>
              <w:rPr>
                <w:sz w:val="20"/>
              </w:rPr>
              <w:t>Ottley</w:t>
            </w:r>
            <w:r>
              <w:rPr>
                <w:spacing w:val="-5"/>
                <w:sz w:val="20"/>
              </w:rPr>
              <w:t> </w:t>
            </w:r>
            <w:r>
              <w:rPr>
                <w:spacing w:val="-4"/>
                <w:sz w:val="20"/>
              </w:rPr>
              <w:t>1995</w:t>
            </w:r>
          </w:p>
        </w:tc>
      </w:tr>
      <w:tr>
        <w:trPr>
          <w:trHeight w:val="594" w:hRule="atLeast"/>
        </w:trPr>
        <w:tc>
          <w:tcPr>
            <w:tcW w:w="1810" w:type="dxa"/>
            <w:vMerge/>
            <w:tcBorders>
              <w:top w:val="nil"/>
              <w:bottom w:val="single" w:sz="4" w:space="0" w:color="000000"/>
            </w:tcBorders>
          </w:tcPr>
          <w:p>
            <w:pPr>
              <w:rPr>
                <w:sz w:val="2"/>
                <w:szCs w:val="2"/>
              </w:rPr>
            </w:pPr>
          </w:p>
        </w:tc>
        <w:tc>
          <w:tcPr>
            <w:tcW w:w="1296" w:type="dxa"/>
            <w:tcBorders>
              <w:top w:val="single" w:sz="2" w:space="0" w:color="A6A6A6"/>
              <w:bottom w:val="single" w:sz="2" w:space="0" w:color="A6A6A6"/>
            </w:tcBorders>
            <w:shd w:val="clear" w:color="auto" w:fill="CCDBEA"/>
          </w:tcPr>
          <w:p>
            <w:pPr>
              <w:pStyle w:val="TableParagraph"/>
              <w:spacing w:before="191"/>
              <w:ind w:left="1" w:right="2"/>
              <w:jc w:val="center"/>
              <w:rPr>
                <w:sz w:val="20"/>
              </w:rPr>
            </w:pPr>
            <w:r>
              <w:rPr>
                <w:spacing w:val="-2"/>
                <w:sz w:val="20"/>
              </w:rPr>
              <w:t>81–100</w:t>
            </w:r>
          </w:p>
        </w:tc>
        <w:tc>
          <w:tcPr>
            <w:tcW w:w="3807" w:type="dxa"/>
            <w:tcBorders>
              <w:top w:val="single" w:sz="2" w:space="0" w:color="A6A6A6"/>
              <w:bottom w:val="single" w:sz="2" w:space="0" w:color="A6A6A6"/>
            </w:tcBorders>
          </w:tcPr>
          <w:p>
            <w:pPr>
              <w:pStyle w:val="TableParagraph"/>
              <w:spacing w:before="191"/>
              <w:ind w:left="108"/>
              <w:rPr>
                <w:sz w:val="20"/>
              </w:rPr>
            </w:pPr>
            <w:r>
              <w:rPr>
                <w:sz w:val="20"/>
              </w:rPr>
              <w:t>Sunny</w:t>
            </w:r>
            <w:r>
              <w:rPr>
                <w:spacing w:val="-7"/>
                <w:sz w:val="20"/>
              </w:rPr>
              <w:t> </w:t>
            </w:r>
            <w:r>
              <w:rPr>
                <w:sz w:val="20"/>
              </w:rPr>
              <w:t>Corner,</w:t>
            </w:r>
            <w:r>
              <w:rPr>
                <w:spacing w:val="-6"/>
                <w:sz w:val="20"/>
              </w:rPr>
              <w:t> </w:t>
            </w:r>
            <w:r>
              <w:rPr>
                <w:spacing w:val="-5"/>
                <w:sz w:val="20"/>
              </w:rPr>
              <w:t>NSW</w:t>
            </w:r>
          </w:p>
        </w:tc>
        <w:tc>
          <w:tcPr>
            <w:tcW w:w="4539" w:type="dxa"/>
            <w:tcBorders>
              <w:top w:val="single" w:sz="2" w:space="0" w:color="A6A6A6"/>
              <w:bottom w:val="single" w:sz="2" w:space="0" w:color="A6A6A6"/>
            </w:tcBorders>
            <w:shd w:val="clear" w:color="auto" w:fill="CCDBEA"/>
          </w:tcPr>
          <w:p>
            <w:pPr>
              <w:pStyle w:val="TableParagraph"/>
              <w:spacing w:before="76"/>
              <w:ind w:left="108" w:right="3001"/>
              <w:rPr>
                <w:sz w:val="20"/>
              </w:rPr>
            </w:pPr>
            <w:r>
              <w:rPr>
                <w:sz w:val="20"/>
              </w:rPr>
              <w:t>Bait takes Spotlight</w:t>
            </w:r>
            <w:r>
              <w:rPr>
                <w:spacing w:val="-14"/>
                <w:sz w:val="20"/>
              </w:rPr>
              <w:t> </w:t>
            </w:r>
            <w:r>
              <w:rPr>
                <w:sz w:val="20"/>
              </w:rPr>
              <w:t>counts</w:t>
            </w:r>
          </w:p>
        </w:tc>
        <w:tc>
          <w:tcPr>
            <w:tcW w:w="2868" w:type="dxa"/>
            <w:tcBorders>
              <w:top w:val="single" w:sz="2" w:space="0" w:color="A6A6A6"/>
              <w:bottom w:val="single" w:sz="2" w:space="0" w:color="A6A6A6"/>
            </w:tcBorders>
          </w:tcPr>
          <w:p>
            <w:pPr>
              <w:pStyle w:val="TableParagraph"/>
              <w:spacing w:before="191"/>
              <w:ind w:left="105"/>
              <w:rPr>
                <w:sz w:val="20"/>
              </w:rPr>
            </w:pPr>
            <w:r>
              <w:rPr>
                <w:sz w:val="20"/>
              </w:rPr>
              <w:t>Choquenot</w:t>
            </w:r>
            <w:r>
              <w:rPr>
                <w:spacing w:val="-7"/>
                <w:sz w:val="20"/>
              </w:rPr>
              <w:t> </w:t>
            </w:r>
            <w:r>
              <w:rPr>
                <w:sz w:val="20"/>
              </w:rPr>
              <w:t>et</w:t>
            </w:r>
            <w:r>
              <w:rPr>
                <w:spacing w:val="-5"/>
                <w:sz w:val="20"/>
              </w:rPr>
              <w:t> </w:t>
            </w:r>
            <w:r>
              <w:rPr>
                <w:sz w:val="20"/>
              </w:rPr>
              <w:t>al.</w:t>
            </w:r>
            <w:r>
              <w:rPr>
                <w:spacing w:val="-7"/>
                <w:sz w:val="20"/>
              </w:rPr>
              <w:t> </w:t>
            </w:r>
            <w:r>
              <w:rPr>
                <w:spacing w:val="-4"/>
                <w:sz w:val="20"/>
              </w:rPr>
              <w:t>1993</w:t>
            </w:r>
          </w:p>
        </w:tc>
      </w:tr>
      <w:tr>
        <w:trPr>
          <w:trHeight w:val="364" w:hRule="atLeast"/>
        </w:trPr>
        <w:tc>
          <w:tcPr>
            <w:tcW w:w="1810" w:type="dxa"/>
            <w:vMerge/>
            <w:tcBorders>
              <w:top w:val="nil"/>
              <w:bottom w:val="single" w:sz="4" w:space="0" w:color="000000"/>
            </w:tcBorders>
          </w:tcPr>
          <w:p>
            <w:pPr>
              <w:rPr>
                <w:sz w:val="2"/>
                <w:szCs w:val="2"/>
              </w:rPr>
            </w:pPr>
          </w:p>
        </w:tc>
        <w:tc>
          <w:tcPr>
            <w:tcW w:w="1296" w:type="dxa"/>
            <w:tcBorders>
              <w:top w:val="single" w:sz="2" w:space="0" w:color="A6A6A6"/>
              <w:bottom w:val="single" w:sz="2" w:space="0" w:color="A6A6A6"/>
            </w:tcBorders>
            <w:shd w:val="clear" w:color="auto" w:fill="CCDBEA"/>
          </w:tcPr>
          <w:p>
            <w:pPr>
              <w:pStyle w:val="TableParagraph"/>
              <w:spacing w:before="76"/>
              <w:ind w:right="2"/>
              <w:jc w:val="center"/>
              <w:rPr>
                <w:sz w:val="20"/>
              </w:rPr>
            </w:pPr>
            <w:r>
              <w:rPr>
                <w:spacing w:val="-5"/>
                <w:sz w:val="20"/>
              </w:rPr>
              <w:t>18</w:t>
            </w:r>
          </w:p>
        </w:tc>
        <w:tc>
          <w:tcPr>
            <w:tcW w:w="3807" w:type="dxa"/>
            <w:tcBorders>
              <w:top w:val="single" w:sz="2" w:space="0" w:color="A6A6A6"/>
              <w:bottom w:val="single" w:sz="2" w:space="0" w:color="A6A6A6"/>
            </w:tcBorders>
          </w:tcPr>
          <w:p>
            <w:pPr>
              <w:pStyle w:val="TableParagraph"/>
              <w:spacing w:before="76"/>
              <w:ind w:left="108"/>
              <w:rPr>
                <w:sz w:val="20"/>
              </w:rPr>
            </w:pPr>
            <w:r>
              <w:rPr>
                <w:sz w:val="20"/>
              </w:rPr>
              <w:t>Lakefield</w:t>
            </w:r>
            <w:r>
              <w:rPr>
                <w:spacing w:val="-8"/>
                <w:sz w:val="20"/>
              </w:rPr>
              <w:t> </w:t>
            </w:r>
            <w:r>
              <w:rPr>
                <w:sz w:val="20"/>
              </w:rPr>
              <w:t>NP,</w:t>
            </w:r>
            <w:r>
              <w:rPr>
                <w:spacing w:val="-7"/>
                <w:sz w:val="20"/>
              </w:rPr>
              <w:t> </w:t>
            </w:r>
            <w:r>
              <w:rPr>
                <w:sz w:val="20"/>
              </w:rPr>
              <w:t>Cape</w:t>
            </w:r>
            <w:r>
              <w:rPr>
                <w:spacing w:val="-6"/>
                <w:sz w:val="20"/>
              </w:rPr>
              <w:t> </w:t>
            </w:r>
            <w:r>
              <w:rPr>
                <w:sz w:val="20"/>
              </w:rPr>
              <w:t>York,</w:t>
            </w:r>
            <w:r>
              <w:rPr>
                <w:spacing w:val="-3"/>
                <w:sz w:val="20"/>
              </w:rPr>
              <w:t> </w:t>
            </w:r>
            <w:r>
              <w:rPr>
                <w:spacing w:val="-2"/>
                <w:sz w:val="20"/>
              </w:rPr>
              <w:t>Queensland</w:t>
            </w:r>
          </w:p>
        </w:tc>
        <w:tc>
          <w:tcPr>
            <w:tcW w:w="4539" w:type="dxa"/>
            <w:tcBorders>
              <w:top w:val="single" w:sz="2" w:space="0" w:color="A6A6A6"/>
              <w:bottom w:val="single" w:sz="2" w:space="0" w:color="A6A6A6"/>
            </w:tcBorders>
            <w:shd w:val="clear" w:color="auto" w:fill="CCDBEA"/>
          </w:tcPr>
          <w:p>
            <w:pPr>
              <w:pStyle w:val="TableParagraph"/>
              <w:spacing w:before="76"/>
              <w:ind w:left="108"/>
              <w:rPr>
                <w:sz w:val="20"/>
              </w:rPr>
            </w:pPr>
            <w:r>
              <w:rPr>
                <w:sz w:val="20"/>
              </w:rPr>
              <w:t>Proportion</w:t>
            </w:r>
            <w:r>
              <w:rPr>
                <w:spacing w:val="-9"/>
                <w:sz w:val="20"/>
              </w:rPr>
              <w:t> </w:t>
            </w:r>
            <w:r>
              <w:rPr>
                <w:sz w:val="20"/>
              </w:rPr>
              <w:t>trapped</w:t>
            </w:r>
            <w:r>
              <w:rPr>
                <w:spacing w:val="-7"/>
                <w:sz w:val="20"/>
              </w:rPr>
              <w:t> </w:t>
            </w:r>
            <w:r>
              <w:rPr>
                <w:sz w:val="20"/>
              </w:rPr>
              <w:t>of</w:t>
            </w:r>
            <w:r>
              <w:rPr>
                <w:spacing w:val="-7"/>
                <w:sz w:val="20"/>
              </w:rPr>
              <w:t> </w:t>
            </w:r>
            <w:r>
              <w:rPr>
                <w:sz w:val="20"/>
              </w:rPr>
              <w:t>marked</w:t>
            </w:r>
            <w:r>
              <w:rPr>
                <w:spacing w:val="-10"/>
                <w:sz w:val="20"/>
              </w:rPr>
              <w:t> </w:t>
            </w:r>
            <w:r>
              <w:rPr>
                <w:spacing w:val="-2"/>
                <w:sz w:val="20"/>
              </w:rPr>
              <w:t>population</w:t>
            </w:r>
          </w:p>
        </w:tc>
        <w:tc>
          <w:tcPr>
            <w:tcW w:w="2868" w:type="dxa"/>
            <w:tcBorders>
              <w:top w:val="single" w:sz="2" w:space="0" w:color="A6A6A6"/>
              <w:bottom w:val="single" w:sz="2" w:space="0" w:color="A6A6A6"/>
            </w:tcBorders>
          </w:tcPr>
          <w:p>
            <w:pPr>
              <w:pStyle w:val="TableParagraph"/>
              <w:spacing w:before="76"/>
              <w:ind w:left="105"/>
              <w:rPr>
                <w:sz w:val="20"/>
              </w:rPr>
            </w:pPr>
            <w:r>
              <w:rPr>
                <w:sz w:val="20"/>
              </w:rPr>
              <w:t>Mitchell</w:t>
            </w:r>
            <w:r>
              <w:rPr>
                <w:spacing w:val="-12"/>
                <w:sz w:val="20"/>
              </w:rPr>
              <w:t> </w:t>
            </w:r>
            <w:r>
              <w:rPr>
                <w:spacing w:val="-4"/>
                <w:sz w:val="20"/>
              </w:rPr>
              <w:t>1988</w:t>
            </w:r>
          </w:p>
        </w:tc>
      </w:tr>
      <w:tr>
        <w:trPr>
          <w:trHeight w:val="825" w:hRule="atLeast"/>
        </w:trPr>
        <w:tc>
          <w:tcPr>
            <w:tcW w:w="1810" w:type="dxa"/>
            <w:vMerge/>
            <w:tcBorders>
              <w:top w:val="nil"/>
              <w:bottom w:val="single" w:sz="4" w:space="0" w:color="000000"/>
            </w:tcBorders>
          </w:tcPr>
          <w:p>
            <w:pPr>
              <w:rPr>
                <w:sz w:val="2"/>
                <w:szCs w:val="2"/>
              </w:rPr>
            </w:pPr>
          </w:p>
        </w:tc>
        <w:tc>
          <w:tcPr>
            <w:tcW w:w="1296" w:type="dxa"/>
            <w:tcBorders>
              <w:top w:val="single" w:sz="2" w:space="0" w:color="A6A6A6"/>
              <w:bottom w:val="single" w:sz="2" w:space="0" w:color="A6A6A6"/>
            </w:tcBorders>
            <w:shd w:val="clear" w:color="auto" w:fill="CCDBEA"/>
          </w:tcPr>
          <w:p>
            <w:pPr>
              <w:pStyle w:val="TableParagraph"/>
              <w:spacing w:before="77"/>
              <w:rPr>
                <w:b/>
                <w:sz w:val="20"/>
              </w:rPr>
            </w:pPr>
          </w:p>
          <w:p>
            <w:pPr>
              <w:pStyle w:val="TableParagraph"/>
              <w:ind w:left="2" w:right="2"/>
              <w:jc w:val="center"/>
              <w:rPr>
                <w:sz w:val="20"/>
              </w:rPr>
            </w:pPr>
            <w:r>
              <w:rPr>
                <w:spacing w:val="-4"/>
                <w:sz w:val="20"/>
              </w:rPr>
              <w:t>62–71</w:t>
            </w:r>
          </w:p>
        </w:tc>
        <w:tc>
          <w:tcPr>
            <w:tcW w:w="3807" w:type="dxa"/>
            <w:tcBorders>
              <w:top w:val="single" w:sz="2" w:space="0" w:color="A6A6A6"/>
              <w:bottom w:val="single" w:sz="2" w:space="0" w:color="A6A6A6"/>
            </w:tcBorders>
          </w:tcPr>
          <w:p>
            <w:pPr>
              <w:pStyle w:val="TableParagraph"/>
              <w:spacing w:before="77"/>
              <w:rPr>
                <w:b/>
                <w:sz w:val="20"/>
              </w:rPr>
            </w:pPr>
          </w:p>
          <w:p>
            <w:pPr>
              <w:pStyle w:val="TableParagraph"/>
              <w:ind w:left="108"/>
              <w:rPr>
                <w:sz w:val="20"/>
              </w:rPr>
            </w:pPr>
            <w:r>
              <w:rPr>
                <w:sz w:val="20"/>
              </w:rPr>
              <w:t>Yarrangobilly</w:t>
            </w:r>
            <w:r>
              <w:rPr>
                <w:spacing w:val="-12"/>
                <w:sz w:val="20"/>
              </w:rPr>
              <w:t> </w:t>
            </w:r>
            <w:r>
              <w:rPr>
                <w:sz w:val="20"/>
              </w:rPr>
              <w:t>Caves,</w:t>
            </w:r>
            <w:r>
              <w:rPr>
                <w:spacing w:val="-11"/>
                <w:sz w:val="20"/>
              </w:rPr>
              <w:t> </w:t>
            </w:r>
            <w:r>
              <w:rPr>
                <w:spacing w:val="-5"/>
                <w:sz w:val="20"/>
              </w:rPr>
              <w:t>NSW</w:t>
            </w:r>
          </w:p>
        </w:tc>
        <w:tc>
          <w:tcPr>
            <w:tcW w:w="4539" w:type="dxa"/>
            <w:tcBorders>
              <w:top w:val="single" w:sz="2" w:space="0" w:color="A6A6A6"/>
              <w:bottom w:val="single" w:sz="2" w:space="0" w:color="A6A6A6"/>
            </w:tcBorders>
            <w:shd w:val="clear" w:color="auto" w:fill="CCDBEA"/>
          </w:tcPr>
          <w:p>
            <w:pPr>
              <w:pStyle w:val="TableParagraph"/>
              <w:spacing w:before="77"/>
              <w:ind w:left="108"/>
              <w:rPr>
                <w:sz w:val="20"/>
              </w:rPr>
            </w:pPr>
            <w:r>
              <w:rPr>
                <w:sz w:val="20"/>
              </w:rPr>
              <w:t>Change</w:t>
            </w:r>
            <w:r>
              <w:rPr>
                <w:spacing w:val="-8"/>
                <w:sz w:val="20"/>
              </w:rPr>
              <w:t> </w:t>
            </w:r>
            <w:r>
              <w:rPr>
                <w:sz w:val="20"/>
              </w:rPr>
              <w:t>in</w:t>
            </w:r>
            <w:r>
              <w:rPr>
                <w:spacing w:val="-9"/>
                <w:sz w:val="20"/>
              </w:rPr>
              <w:t> </w:t>
            </w:r>
            <w:r>
              <w:rPr>
                <w:sz w:val="20"/>
              </w:rPr>
              <w:t>population</w:t>
            </w:r>
            <w:r>
              <w:rPr>
                <w:spacing w:val="-9"/>
                <w:sz w:val="20"/>
              </w:rPr>
              <w:t> </w:t>
            </w:r>
            <w:r>
              <w:rPr>
                <w:sz w:val="20"/>
              </w:rPr>
              <w:t>estimated</w:t>
            </w:r>
            <w:r>
              <w:rPr>
                <w:spacing w:val="-8"/>
                <w:sz w:val="20"/>
              </w:rPr>
              <w:t> </w:t>
            </w:r>
            <w:r>
              <w:rPr>
                <w:sz w:val="20"/>
              </w:rPr>
              <w:t>from</w:t>
            </w:r>
            <w:r>
              <w:rPr>
                <w:spacing w:val="-9"/>
                <w:sz w:val="20"/>
              </w:rPr>
              <w:t> </w:t>
            </w:r>
            <w:r>
              <w:rPr>
                <w:sz w:val="20"/>
              </w:rPr>
              <w:t>cumulative kills of pigs at bait stations</w:t>
            </w:r>
          </w:p>
          <w:p>
            <w:pPr>
              <w:pStyle w:val="TableParagraph"/>
              <w:ind w:left="108"/>
              <w:rPr>
                <w:sz w:val="20"/>
              </w:rPr>
            </w:pPr>
            <w:r>
              <w:rPr>
                <w:sz w:val="20"/>
              </w:rPr>
              <w:t>Proportion</w:t>
            </w:r>
            <w:r>
              <w:rPr>
                <w:spacing w:val="-7"/>
                <w:sz w:val="20"/>
              </w:rPr>
              <w:t> </w:t>
            </w:r>
            <w:r>
              <w:rPr>
                <w:sz w:val="20"/>
              </w:rPr>
              <w:t>of</w:t>
            </w:r>
            <w:r>
              <w:rPr>
                <w:spacing w:val="-8"/>
                <w:sz w:val="20"/>
              </w:rPr>
              <w:t> </w:t>
            </w:r>
            <w:r>
              <w:rPr>
                <w:sz w:val="20"/>
              </w:rPr>
              <w:t>radio</w:t>
            </w:r>
            <w:r>
              <w:rPr>
                <w:spacing w:val="-8"/>
                <w:sz w:val="20"/>
              </w:rPr>
              <w:t> </w:t>
            </w:r>
            <w:r>
              <w:rPr>
                <w:sz w:val="20"/>
              </w:rPr>
              <w:t>collared</w:t>
            </w:r>
            <w:r>
              <w:rPr>
                <w:spacing w:val="-5"/>
                <w:sz w:val="20"/>
              </w:rPr>
              <w:t> </w:t>
            </w:r>
            <w:r>
              <w:rPr>
                <w:sz w:val="20"/>
              </w:rPr>
              <w:t>pigs</w:t>
            </w:r>
            <w:r>
              <w:rPr>
                <w:spacing w:val="-6"/>
                <w:sz w:val="20"/>
              </w:rPr>
              <w:t> </w:t>
            </w:r>
            <w:r>
              <w:rPr>
                <w:spacing w:val="-2"/>
                <w:sz w:val="20"/>
              </w:rPr>
              <w:t>killed</w:t>
            </w:r>
          </w:p>
        </w:tc>
        <w:tc>
          <w:tcPr>
            <w:tcW w:w="2868" w:type="dxa"/>
            <w:tcBorders>
              <w:top w:val="single" w:sz="2" w:space="0" w:color="A6A6A6"/>
              <w:bottom w:val="single" w:sz="2" w:space="0" w:color="A6A6A6"/>
            </w:tcBorders>
          </w:tcPr>
          <w:p>
            <w:pPr>
              <w:pStyle w:val="TableParagraph"/>
              <w:spacing w:before="77"/>
              <w:rPr>
                <w:b/>
                <w:sz w:val="20"/>
              </w:rPr>
            </w:pPr>
          </w:p>
          <w:p>
            <w:pPr>
              <w:pStyle w:val="TableParagraph"/>
              <w:ind w:left="105"/>
              <w:rPr>
                <w:sz w:val="20"/>
              </w:rPr>
            </w:pPr>
            <w:r>
              <w:rPr>
                <w:sz w:val="20"/>
              </w:rPr>
              <w:t>Saunders</w:t>
            </w:r>
            <w:r>
              <w:rPr>
                <w:spacing w:val="-5"/>
                <w:sz w:val="20"/>
              </w:rPr>
              <w:t> </w:t>
            </w:r>
            <w:r>
              <w:rPr>
                <w:sz w:val="20"/>
              </w:rPr>
              <w:t>et</w:t>
            </w:r>
            <w:r>
              <w:rPr>
                <w:spacing w:val="-5"/>
                <w:sz w:val="20"/>
              </w:rPr>
              <w:t> </w:t>
            </w:r>
            <w:r>
              <w:rPr>
                <w:sz w:val="20"/>
              </w:rPr>
              <w:t>al.</w:t>
            </w:r>
            <w:r>
              <w:rPr>
                <w:spacing w:val="-6"/>
                <w:sz w:val="20"/>
              </w:rPr>
              <w:t> </w:t>
            </w:r>
            <w:r>
              <w:rPr>
                <w:spacing w:val="-4"/>
                <w:sz w:val="20"/>
              </w:rPr>
              <w:t>1993</w:t>
            </w:r>
          </w:p>
        </w:tc>
      </w:tr>
      <w:tr>
        <w:trPr>
          <w:trHeight w:val="366" w:hRule="atLeast"/>
        </w:trPr>
        <w:tc>
          <w:tcPr>
            <w:tcW w:w="1810" w:type="dxa"/>
            <w:vMerge/>
            <w:tcBorders>
              <w:top w:val="nil"/>
              <w:bottom w:val="single" w:sz="4" w:space="0" w:color="000000"/>
            </w:tcBorders>
          </w:tcPr>
          <w:p>
            <w:pPr>
              <w:rPr>
                <w:sz w:val="2"/>
                <w:szCs w:val="2"/>
              </w:rPr>
            </w:pPr>
          </w:p>
        </w:tc>
        <w:tc>
          <w:tcPr>
            <w:tcW w:w="1296" w:type="dxa"/>
            <w:tcBorders>
              <w:top w:val="single" w:sz="2" w:space="0" w:color="A6A6A6"/>
              <w:bottom w:val="single" w:sz="4" w:space="0" w:color="000000"/>
            </w:tcBorders>
            <w:shd w:val="clear" w:color="auto" w:fill="CCDBEA"/>
          </w:tcPr>
          <w:p>
            <w:pPr>
              <w:pStyle w:val="TableParagraph"/>
              <w:spacing w:before="76"/>
              <w:ind w:left="2" w:right="2"/>
              <w:jc w:val="center"/>
              <w:rPr>
                <w:sz w:val="20"/>
              </w:rPr>
            </w:pPr>
            <w:r>
              <w:rPr>
                <w:spacing w:val="-4"/>
                <w:sz w:val="20"/>
              </w:rPr>
              <w:t>60–80</w:t>
            </w:r>
          </w:p>
        </w:tc>
        <w:tc>
          <w:tcPr>
            <w:tcW w:w="3807" w:type="dxa"/>
            <w:tcBorders>
              <w:top w:val="single" w:sz="2" w:space="0" w:color="A6A6A6"/>
              <w:bottom w:val="single" w:sz="4" w:space="0" w:color="000000"/>
            </w:tcBorders>
          </w:tcPr>
          <w:p>
            <w:pPr>
              <w:pStyle w:val="TableParagraph"/>
              <w:spacing w:before="76"/>
              <w:ind w:left="108"/>
              <w:rPr>
                <w:sz w:val="20"/>
              </w:rPr>
            </w:pPr>
            <w:r>
              <w:rPr>
                <w:sz w:val="20"/>
              </w:rPr>
              <w:t>Edmund</w:t>
            </w:r>
            <w:r>
              <w:rPr>
                <w:spacing w:val="-7"/>
                <w:sz w:val="20"/>
              </w:rPr>
              <w:t> </w:t>
            </w:r>
            <w:r>
              <w:rPr>
                <w:sz w:val="20"/>
              </w:rPr>
              <w:t>Kennedy</w:t>
            </w:r>
            <w:r>
              <w:rPr>
                <w:spacing w:val="-7"/>
                <w:sz w:val="20"/>
              </w:rPr>
              <w:t> </w:t>
            </w:r>
            <w:r>
              <w:rPr>
                <w:sz w:val="20"/>
              </w:rPr>
              <w:t>NP,</w:t>
            </w:r>
            <w:r>
              <w:rPr>
                <w:spacing w:val="-6"/>
                <w:sz w:val="20"/>
              </w:rPr>
              <w:t> </w:t>
            </w:r>
            <w:r>
              <w:rPr>
                <w:spacing w:val="-2"/>
                <w:sz w:val="20"/>
              </w:rPr>
              <w:t>Queensland</w:t>
            </w:r>
          </w:p>
        </w:tc>
        <w:tc>
          <w:tcPr>
            <w:tcW w:w="4539" w:type="dxa"/>
            <w:tcBorders>
              <w:top w:val="single" w:sz="2" w:space="0" w:color="A6A6A6"/>
              <w:bottom w:val="single" w:sz="4" w:space="0" w:color="000000"/>
            </w:tcBorders>
            <w:shd w:val="clear" w:color="auto" w:fill="CCDBEA"/>
          </w:tcPr>
          <w:p>
            <w:pPr>
              <w:pStyle w:val="TableParagraph"/>
              <w:spacing w:before="76"/>
              <w:ind w:left="108"/>
              <w:rPr>
                <w:sz w:val="20"/>
              </w:rPr>
            </w:pPr>
            <w:r>
              <w:rPr>
                <w:sz w:val="20"/>
              </w:rPr>
              <w:t>Activity</w:t>
            </w:r>
            <w:r>
              <w:rPr>
                <w:spacing w:val="-11"/>
                <w:sz w:val="20"/>
              </w:rPr>
              <w:t> </w:t>
            </w:r>
            <w:r>
              <w:rPr>
                <w:spacing w:val="-2"/>
                <w:sz w:val="20"/>
              </w:rPr>
              <w:t>transects</w:t>
            </w:r>
          </w:p>
        </w:tc>
        <w:tc>
          <w:tcPr>
            <w:tcW w:w="2868" w:type="dxa"/>
            <w:tcBorders>
              <w:top w:val="single" w:sz="2" w:space="0" w:color="A6A6A6"/>
              <w:bottom w:val="single" w:sz="4" w:space="0" w:color="000000"/>
            </w:tcBorders>
          </w:tcPr>
          <w:p>
            <w:pPr>
              <w:pStyle w:val="TableParagraph"/>
              <w:spacing w:before="76"/>
              <w:ind w:left="105"/>
              <w:rPr>
                <w:sz w:val="20"/>
              </w:rPr>
            </w:pPr>
            <w:r>
              <w:rPr>
                <w:sz w:val="20"/>
              </w:rPr>
              <w:t>Vernes</w:t>
            </w:r>
            <w:r>
              <w:rPr>
                <w:spacing w:val="-3"/>
                <w:sz w:val="20"/>
              </w:rPr>
              <w:t> </w:t>
            </w:r>
            <w:r>
              <w:rPr>
                <w:sz w:val="20"/>
              </w:rPr>
              <w:t>et</w:t>
            </w:r>
            <w:r>
              <w:rPr>
                <w:spacing w:val="-5"/>
                <w:sz w:val="20"/>
              </w:rPr>
              <w:t> </w:t>
            </w:r>
            <w:r>
              <w:rPr>
                <w:sz w:val="20"/>
              </w:rPr>
              <w:t>al.</w:t>
            </w:r>
            <w:r>
              <w:rPr>
                <w:spacing w:val="-5"/>
                <w:sz w:val="20"/>
              </w:rPr>
              <w:t> </w:t>
            </w:r>
            <w:r>
              <w:rPr>
                <w:spacing w:val="-4"/>
                <w:sz w:val="20"/>
              </w:rPr>
              <w:t>2001</w:t>
            </w:r>
          </w:p>
        </w:tc>
      </w:tr>
    </w:tbl>
    <w:p>
      <w:pPr>
        <w:pStyle w:val="BodyText"/>
        <w:spacing w:before="23"/>
        <w:rPr>
          <w:b/>
        </w:rPr>
      </w:pPr>
    </w:p>
    <w:p>
      <w:pPr>
        <w:tabs>
          <w:tab w:pos="14685" w:val="right" w:leader="none"/>
        </w:tabs>
        <w:spacing w:before="0"/>
        <w:ind w:left="10254"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43</w:t>
      </w:r>
    </w:p>
    <w:p>
      <w:pPr>
        <w:spacing w:after="0"/>
        <w:jc w:val="left"/>
        <w:rPr>
          <w:sz w:val="20"/>
        </w:rPr>
        <w:sectPr>
          <w:footerReference w:type="default" r:id="rId42"/>
          <w:pgSz w:w="16850" w:h="11910" w:orient="landscape"/>
          <w:pgMar w:header="0" w:footer="0" w:top="1140" w:bottom="280" w:left="1020" w:right="102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0"/>
        <w:gridCol w:w="1296"/>
        <w:gridCol w:w="3809"/>
        <w:gridCol w:w="4537"/>
        <w:gridCol w:w="2868"/>
      </w:tblGrid>
      <w:tr>
        <w:trPr>
          <w:trHeight w:val="581" w:hRule="atLeast"/>
        </w:trPr>
        <w:tc>
          <w:tcPr>
            <w:tcW w:w="1810" w:type="dxa"/>
            <w:tcBorders>
              <w:bottom w:val="single" w:sz="4" w:space="0" w:color="000000"/>
            </w:tcBorders>
            <w:shd w:val="clear" w:color="auto" w:fill="004B96"/>
          </w:tcPr>
          <w:p>
            <w:pPr>
              <w:pStyle w:val="TableParagraph"/>
              <w:spacing w:before="60"/>
              <w:ind w:left="107"/>
              <w:rPr>
                <w:b/>
                <w:sz w:val="20"/>
              </w:rPr>
            </w:pPr>
            <w:r>
              <w:rPr>
                <w:b/>
                <w:color w:val="FFFFFF"/>
                <w:spacing w:val="-2"/>
                <w:sz w:val="20"/>
              </w:rPr>
              <w:t>Method</w:t>
            </w:r>
          </w:p>
        </w:tc>
        <w:tc>
          <w:tcPr>
            <w:tcW w:w="1296" w:type="dxa"/>
            <w:tcBorders>
              <w:bottom w:val="single" w:sz="4" w:space="0" w:color="000000"/>
            </w:tcBorders>
            <w:shd w:val="clear" w:color="auto" w:fill="004B96"/>
          </w:tcPr>
          <w:p>
            <w:pPr>
              <w:pStyle w:val="TableParagraph"/>
              <w:spacing w:before="60"/>
              <w:ind w:left="108" w:right="109"/>
              <w:rPr>
                <w:b/>
                <w:sz w:val="20"/>
              </w:rPr>
            </w:pPr>
            <w:r>
              <w:rPr>
                <w:b/>
                <w:color w:val="FFFFFF"/>
                <w:spacing w:val="-2"/>
                <w:sz w:val="20"/>
              </w:rPr>
              <w:t>Percentage reduction</w:t>
            </w:r>
          </w:p>
        </w:tc>
        <w:tc>
          <w:tcPr>
            <w:tcW w:w="3809" w:type="dxa"/>
            <w:tcBorders>
              <w:bottom w:val="single" w:sz="4" w:space="0" w:color="000000"/>
            </w:tcBorders>
            <w:shd w:val="clear" w:color="auto" w:fill="004B96"/>
          </w:tcPr>
          <w:p>
            <w:pPr>
              <w:pStyle w:val="TableParagraph"/>
              <w:spacing w:before="60"/>
              <w:ind w:left="108"/>
              <w:rPr>
                <w:b/>
                <w:sz w:val="20"/>
              </w:rPr>
            </w:pPr>
            <w:r>
              <w:rPr>
                <w:b/>
                <w:color w:val="FFFFFF"/>
                <w:spacing w:val="-2"/>
                <w:sz w:val="20"/>
              </w:rPr>
              <w:t>Region</w:t>
            </w:r>
          </w:p>
        </w:tc>
        <w:tc>
          <w:tcPr>
            <w:tcW w:w="4537" w:type="dxa"/>
            <w:tcBorders>
              <w:bottom w:val="single" w:sz="4" w:space="0" w:color="000000"/>
            </w:tcBorders>
            <w:shd w:val="clear" w:color="auto" w:fill="004B96"/>
          </w:tcPr>
          <w:p>
            <w:pPr>
              <w:pStyle w:val="TableParagraph"/>
              <w:spacing w:before="60"/>
              <w:ind w:left="106"/>
              <w:rPr>
                <w:b/>
                <w:sz w:val="20"/>
              </w:rPr>
            </w:pPr>
            <w:r>
              <w:rPr>
                <w:b/>
                <w:color w:val="FFFFFF"/>
                <w:sz w:val="20"/>
              </w:rPr>
              <w:t>Methods</w:t>
            </w:r>
            <w:r>
              <w:rPr>
                <w:b/>
                <w:color w:val="FFFFFF"/>
                <w:spacing w:val="-8"/>
                <w:sz w:val="20"/>
              </w:rPr>
              <w:t> </w:t>
            </w:r>
            <w:r>
              <w:rPr>
                <w:b/>
                <w:color w:val="FFFFFF"/>
                <w:sz w:val="20"/>
              </w:rPr>
              <w:t>used</w:t>
            </w:r>
            <w:r>
              <w:rPr>
                <w:b/>
                <w:color w:val="FFFFFF"/>
                <w:spacing w:val="-6"/>
                <w:sz w:val="20"/>
              </w:rPr>
              <w:t> </w:t>
            </w:r>
            <w:r>
              <w:rPr>
                <w:b/>
                <w:color w:val="FFFFFF"/>
                <w:sz w:val="20"/>
              </w:rPr>
              <w:t>to</w:t>
            </w:r>
            <w:r>
              <w:rPr>
                <w:b/>
                <w:color w:val="FFFFFF"/>
                <w:spacing w:val="-6"/>
                <w:sz w:val="20"/>
              </w:rPr>
              <w:t> </w:t>
            </w:r>
            <w:r>
              <w:rPr>
                <w:b/>
                <w:color w:val="FFFFFF"/>
                <w:sz w:val="20"/>
              </w:rPr>
              <w:t>measure</w:t>
            </w:r>
            <w:r>
              <w:rPr>
                <w:b/>
                <w:color w:val="FFFFFF"/>
                <w:spacing w:val="-5"/>
                <w:sz w:val="20"/>
              </w:rPr>
              <w:t> </w:t>
            </w:r>
            <w:r>
              <w:rPr>
                <w:b/>
                <w:color w:val="FFFFFF"/>
                <w:spacing w:val="-2"/>
                <w:sz w:val="20"/>
              </w:rPr>
              <w:t>change</w:t>
            </w:r>
          </w:p>
        </w:tc>
        <w:tc>
          <w:tcPr>
            <w:tcW w:w="2868" w:type="dxa"/>
            <w:tcBorders>
              <w:bottom w:val="single" w:sz="4" w:space="0" w:color="000000"/>
            </w:tcBorders>
            <w:shd w:val="clear" w:color="auto" w:fill="004B96"/>
          </w:tcPr>
          <w:p>
            <w:pPr>
              <w:pStyle w:val="TableParagraph"/>
              <w:spacing w:before="60"/>
              <w:ind w:left="105"/>
              <w:rPr>
                <w:b/>
                <w:sz w:val="20"/>
              </w:rPr>
            </w:pPr>
            <w:r>
              <w:rPr>
                <w:b/>
                <w:color w:val="FFFFFF"/>
                <w:spacing w:val="-2"/>
                <w:sz w:val="20"/>
              </w:rPr>
              <w:t>Reference</w:t>
            </w:r>
          </w:p>
        </w:tc>
      </w:tr>
      <w:tr>
        <w:trPr>
          <w:trHeight w:val="366" w:hRule="atLeast"/>
        </w:trPr>
        <w:tc>
          <w:tcPr>
            <w:tcW w:w="1810" w:type="dxa"/>
            <w:vMerge w:val="restart"/>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139"/>
              <w:rPr>
                <w:sz w:val="20"/>
              </w:rPr>
            </w:pPr>
          </w:p>
          <w:p>
            <w:pPr>
              <w:pStyle w:val="TableParagraph"/>
              <w:spacing w:before="1"/>
              <w:ind w:left="107"/>
              <w:rPr>
                <w:sz w:val="20"/>
              </w:rPr>
            </w:pPr>
            <w:r>
              <w:rPr>
                <w:sz w:val="20"/>
              </w:rPr>
              <w:t>Aerial</w:t>
            </w:r>
            <w:r>
              <w:rPr>
                <w:spacing w:val="-11"/>
                <w:sz w:val="20"/>
              </w:rPr>
              <w:t> </w:t>
            </w:r>
            <w:r>
              <w:rPr>
                <w:spacing w:val="-2"/>
                <w:sz w:val="20"/>
              </w:rPr>
              <w:t>shooting</w:t>
            </w:r>
          </w:p>
        </w:tc>
        <w:tc>
          <w:tcPr>
            <w:tcW w:w="1296" w:type="dxa"/>
            <w:tcBorders>
              <w:top w:val="single" w:sz="4" w:space="0" w:color="000000"/>
              <w:bottom w:val="single" w:sz="2" w:space="0" w:color="A6A6A6"/>
            </w:tcBorders>
            <w:shd w:val="clear" w:color="auto" w:fill="CCDBEA"/>
          </w:tcPr>
          <w:p>
            <w:pPr>
              <w:pStyle w:val="TableParagraph"/>
              <w:spacing w:before="78"/>
              <w:ind w:left="2" w:right="2"/>
              <w:jc w:val="center"/>
              <w:rPr>
                <w:sz w:val="20"/>
              </w:rPr>
            </w:pPr>
            <w:r>
              <w:rPr>
                <w:spacing w:val="-4"/>
                <w:sz w:val="20"/>
              </w:rPr>
              <w:t>73–96</w:t>
            </w:r>
          </w:p>
        </w:tc>
        <w:tc>
          <w:tcPr>
            <w:tcW w:w="3809" w:type="dxa"/>
            <w:tcBorders>
              <w:top w:val="single" w:sz="4" w:space="0" w:color="000000"/>
              <w:bottom w:val="single" w:sz="2" w:space="0" w:color="A6A6A6"/>
            </w:tcBorders>
          </w:tcPr>
          <w:p>
            <w:pPr>
              <w:pStyle w:val="TableParagraph"/>
              <w:spacing w:before="78"/>
              <w:ind w:left="108"/>
              <w:rPr>
                <w:sz w:val="20"/>
              </w:rPr>
            </w:pPr>
            <w:r>
              <w:rPr>
                <w:sz w:val="20"/>
              </w:rPr>
              <w:t>Hillston,</w:t>
            </w:r>
            <w:r>
              <w:rPr>
                <w:spacing w:val="-12"/>
                <w:sz w:val="20"/>
              </w:rPr>
              <w:t> </w:t>
            </w:r>
            <w:r>
              <w:rPr>
                <w:spacing w:val="-5"/>
                <w:sz w:val="20"/>
              </w:rPr>
              <w:t>NSW</w:t>
            </w:r>
          </w:p>
        </w:tc>
        <w:tc>
          <w:tcPr>
            <w:tcW w:w="4537" w:type="dxa"/>
            <w:tcBorders>
              <w:top w:val="single" w:sz="4" w:space="0" w:color="000000"/>
              <w:bottom w:val="single" w:sz="2" w:space="0" w:color="A6A6A6"/>
            </w:tcBorders>
            <w:shd w:val="clear" w:color="auto" w:fill="CCDBEA"/>
          </w:tcPr>
          <w:p>
            <w:pPr>
              <w:pStyle w:val="TableParagraph"/>
              <w:spacing w:before="78"/>
              <w:ind w:left="106"/>
              <w:rPr>
                <w:sz w:val="20"/>
              </w:rPr>
            </w:pPr>
            <w:r>
              <w:rPr>
                <w:sz w:val="20"/>
              </w:rPr>
              <w:t>Line</w:t>
            </w:r>
            <w:r>
              <w:rPr>
                <w:spacing w:val="-9"/>
                <w:sz w:val="20"/>
              </w:rPr>
              <w:t> </w:t>
            </w:r>
            <w:r>
              <w:rPr>
                <w:sz w:val="20"/>
              </w:rPr>
              <w:t>transects</w:t>
            </w:r>
            <w:r>
              <w:rPr>
                <w:spacing w:val="-5"/>
                <w:sz w:val="20"/>
              </w:rPr>
              <w:t> </w:t>
            </w:r>
            <w:r>
              <w:rPr>
                <w:sz w:val="20"/>
              </w:rPr>
              <w:t>pre-</w:t>
            </w:r>
            <w:r>
              <w:rPr>
                <w:spacing w:val="-6"/>
                <w:sz w:val="20"/>
              </w:rPr>
              <w:t> </w:t>
            </w:r>
            <w:r>
              <w:rPr>
                <w:sz w:val="20"/>
              </w:rPr>
              <w:t>and</w:t>
            </w:r>
            <w:r>
              <w:rPr>
                <w:spacing w:val="-7"/>
                <w:sz w:val="20"/>
              </w:rPr>
              <w:t> </w:t>
            </w:r>
            <w:r>
              <w:rPr>
                <w:sz w:val="20"/>
              </w:rPr>
              <w:t>post-</w:t>
            </w:r>
            <w:r>
              <w:rPr>
                <w:spacing w:val="-2"/>
                <w:sz w:val="20"/>
              </w:rPr>
              <w:t>control</w:t>
            </w:r>
          </w:p>
        </w:tc>
        <w:tc>
          <w:tcPr>
            <w:tcW w:w="2868" w:type="dxa"/>
            <w:tcBorders>
              <w:top w:val="single" w:sz="4" w:space="0" w:color="000000"/>
              <w:bottom w:val="single" w:sz="2" w:space="0" w:color="A6A6A6"/>
            </w:tcBorders>
          </w:tcPr>
          <w:p>
            <w:pPr>
              <w:pStyle w:val="TableParagraph"/>
              <w:spacing w:before="78"/>
              <w:ind w:left="105"/>
              <w:rPr>
                <w:sz w:val="20"/>
              </w:rPr>
            </w:pPr>
            <w:r>
              <w:rPr>
                <w:sz w:val="20"/>
              </w:rPr>
              <w:t>Hone</w:t>
            </w:r>
            <w:r>
              <w:rPr>
                <w:spacing w:val="-7"/>
                <w:sz w:val="20"/>
              </w:rPr>
              <w:t> </w:t>
            </w:r>
            <w:r>
              <w:rPr>
                <w:spacing w:val="-4"/>
                <w:sz w:val="20"/>
              </w:rPr>
              <w:t>1983</w:t>
            </w:r>
          </w:p>
        </w:tc>
      </w:tr>
      <w:tr>
        <w:trPr>
          <w:trHeight w:val="366" w:hRule="atLeast"/>
        </w:trPr>
        <w:tc>
          <w:tcPr>
            <w:tcW w:w="1810" w:type="dxa"/>
            <w:vMerge/>
            <w:tcBorders>
              <w:top w:val="nil"/>
              <w:bottom w:val="single" w:sz="4" w:space="0" w:color="000000"/>
            </w:tcBorders>
          </w:tcPr>
          <w:p>
            <w:pPr>
              <w:rPr>
                <w:sz w:val="2"/>
                <w:szCs w:val="2"/>
              </w:rPr>
            </w:pPr>
          </w:p>
        </w:tc>
        <w:tc>
          <w:tcPr>
            <w:tcW w:w="1296" w:type="dxa"/>
            <w:tcBorders>
              <w:top w:val="single" w:sz="2" w:space="0" w:color="A6A6A6"/>
              <w:bottom w:val="single" w:sz="2" w:space="0" w:color="A6A6A6"/>
            </w:tcBorders>
            <w:shd w:val="clear" w:color="auto" w:fill="CCDBEA"/>
          </w:tcPr>
          <w:p>
            <w:pPr>
              <w:pStyle w:val="TableParagraph"/>
              <w:spacing w:before="78"/>
              <w:ind w:right="2"/>
              <w:jc w:val="center"/>
              <w:rPr>
                <w:sz w:val="20"/>
              </w:rPr>
            </w:pPr>
            <w:r>
              <w:rPr>
                <w:spacing w:val="-5"/>
                <w:sz w:val="20"/>
              </w:rPr>
              <w:t>79</w:t>
            </w:r>
          </w:p>
        </w:tc>
        <w:tc>
          <w:tcPr>
            <w:tcW w:w="3809" w:type="dxa"/>
            <w:tcBorders>
              <w:top w:val="single" w:sz="2" w:space="0" w:color="A6A6A6"/>
              <w:bottom w:val="single" w:sz="2" w:space="0" w:color="A6A6A6"/>
            </w:tcBorders>
          </w:tcPr>
          <w:p>
            <w:pPr>
              <w:pStyle w:val="TableParagraph"/>
              <w:spacing w:before="78"/>
              <w:ind w:left="108"/>
              <w:rPr>
                <w:sz w:val="20"/>
              </w:rPr>
            </w:pPr>
            <w:r>
              <w:rPr>
                <w:sz w:val="20"/>
              </w:rPr>
              <w:t>Woolner</w:t>
            </w:r>
            <w:r>
              <w:rPr>
                <w:spacing w:val="-11"/>
                <w:sz w:val="20"/>
              </w:rPr>
              <w:t> </w:t>
            </w:r>
            <w:r>
              <w:rPr>
                <w:sz w:val="20"/>
              </w:rPr>
              <w:t>Station,</w:t>
            </w:r>
            <w:r>
              <w:rPr>
                <w:spacing w:val="-11"/>
                <w:sz w:val="20"/>
              </w:rPr>
              <w:t> </w:t>
            </w:r>
            <w:r>
              <w:rPr>
                <w:spacing w:val="-5"/>
                <w:sz w:val="20"/>
              </w:rPr>
              <w:t>NT</w:t>
            </w:r>
          </w:p>
        </w:tc>
        <w:tc>
          <w:tcPr>
            <w:tcW w:w="4537" w:type="dxa"/>
            <w:tcBorders>
              <w:top w:val="single" w:sz="2" w:space="0" w:color="A6A6A6"/>
              <w:bottom w:val="single" w:sz="2" w:space="0" w:color="A6A6A6"/>
            </w:tcBorders>
            <w:shd w:val="clear" w:color="auto" w:fill="CCDBEA"/>
          </w:tcPr>
          <w:p>
            <w:pPr>
              <w:pStyle w:val="TableParagraph"/>
              <w:spacing w:before="78"/>
              <w:ind w:left="106"/>
              <w:rPr>
                <w:sz w:val="20"/>
              </w:rPr>
            </w:pPr>
            <w:r>
              <w:rPr>
                <w:sz w:val="20"/>
              </w:rPr>
              <w:t>Line</w:t>
            </w:r>
            <w:r>
              <w:rPr>
                <w:spacing w:val="-9"/>
                <w:sz w:val="20"/>
              </w:rPr>
              <w:t> </w:t>
            </w:r>
            <w:r>
              <w:rPr>
                <w:sz w:val="20"/>
              </w:rPr>
              <w:t>transects</w:t>
            </w:r>
            <w:r>
              <w:rPr>
                <w:spacing w:val="-5"/>
                <w:sz w:val="20"/>
              </w:rPr>
              <w:t> </w:t>
            </w:r>
            <w:r>
              <w:rPr>
                <w:sz w:val="20"/>
              </w:rPr>
              <w:t>pre-</w:t>
            </w:r>
            <w:r>
              <w:rPr>
                <w:spacing w:val="-6"/>
                <w:sz w:val="20"/>
              </w:rPr>
              <w:t> </w:t>
            </w:r>
            <w:r>
              <w:rPr>
                <w:sz w:val="20"/>
              </w:rPr>
              <w:t>and</w:t>
            </w:r>
            <w:r>
              <w:rPr>
                <w:spacing w:val="-7"/>
                <w:sz w:val="20"/>
              </w:rPr>
              <w:t> </w:t>
            </w:r>
            <w:r>
              <w:rPr>
                <w:sz w:val="20"/>
              </w:rPr>
              <w:t>post-</w:t>
            </w:r>
            <w:r>
              <w:rPr>
                <w:spacing w:val="-2"/>
                <w:sz w:val="20"/>
              </w:rPr>
              <w:t>control</w:t>
            </w:r>
          </w:p>
        </w:tc>
        <w:tc>
          <w:tcPr>
            <w:tcW w:w="2868" w:type="dxa"/>
            <w:tcBorders>
              <w:top w:val="single" w:sz="2" w:space="0" w:color="A6A6A6"/>
              <w:bottom w:val="single" w:sz="2" w:space="0" w:color="A6A6A6"/>
            </w:tcBorders>
          </w:tcPr>
          <w:p>
            <w:pPr>
              <w:pStyle w:val="TableParagraph"/>
              <w:spacing w:before="78"/>
              <w:ind w:left="105"/>
              <w:rPr>
                <w:sz w:val="20"/>
              </w:rPr>
            </w:pPr>
            <w:r>
              <w:rPr>
                <w:sz w:val="20"/>
              </w:rPr>
              <w:t>Hone</w:t>
            </w:r>
            <w:r>
              <w:rPr>
                <w:spacing w:val="-8"/>
                <w:sz w:val="20"/>
              </w:rPr>
              <w:t> </w:t>
            </w:r>
            <w:r>
              <w:rPr>
                <w:spacing w:val="-4"/>
                <w:sz w:val="20"/>
              </w:rPr>
              <w:t>1990</w:t>
            </w:r>
          </w:p>
        </w:tc>
      </w:tr>
      <w:tr>
        <w:trPr>
          <w:trHeight w:val="364" w:hRule="atLeast"/>
        </w:trPr>
        <w:tc>
          <w:tcPr>
            <w:tcW w:w="1810" w:type="dxa"/>
            <w:vMerge/>
            <w:tcBorders>
              <w:top w:val="nil"/>
              <w:bottom w:val="single" w:sz="4" w:space="0" w:color="000000"/>
            </w:tcBorders>
          </w:tcPr>
          <w:p>
            <w:pPr>
              <w:rPr>
                <w:sz w:val="2"/>
                <w:szCs w:val="2"/>
              </w:rPr>
            </w:pPr>
          </w:p>
        </w:tc>
        <w:tc>
          <w:tcPr>
            <w:tcW w:w="1296" w:type="dxa"/>
            <w:tcBorders>
              <w:top w:val="single" w:sz="2" w:space="0" w:color="A6A6A6"/>
              <w:bottom w:val="single" w:sz="2" w:space="0" w:color="A6A6A6"/>
            </w:tcBorders>
            <w:shd w:val="clear" w:color="auto" w:fill="CCDBEA"/>
          </w:tcPr>
          <w:p>
            <w:pPr>
              <w:pStyle w:val="TableParagraph"/>
              <w:spacing w:before="76"/>
              <w:ind w:left="2" w:right="2"/>
              <w:jc w:val="center"/>
              <w:rPr>
                <w:sz w:val="20"/>
              </w:rPr>
            </w:pPr>
            <w:r>
              <w:rPr>
                <w:spacing w:val="-4"/>
                <w:sz w:val="20"/>
              </w:rPr>
              <w:t>65–80</w:t>
            </w:r>
          </w:p>
        </w:tc>
        <w:tc>
          <w:tcPr>
            <w:tcW w:w="3809" w:type="dxa"/>
            <w:tcBorders>
              <w:top w:val="single" w:sz="2" w:space="0" w:color="A6A6A6"/>
              <w:bottom w:val="single" w:sz="2" w:space="0" w:color="A6A6A6"/>
            </w:tcBorders>
          </w:tcPr>
          <w:p>
            <w:pPr>
              <w:pStyle w:val="TableParagraph"/>
              <w:spacing w:before="76"/>
              <w:ind w:left="108"/>
              <w:rPr>
                <w:sz w:val="20"/>
              </w:rPr>
            </w:pPr>
            <w:r>
              <w:rPr>
                <w:sz w:val="20"/>
              </w:rPr>
              <w:t>Macquarie</w:t>
            </w:r>
            <w:r>
              <w:rPr>
                <w:spacing w:val="-11"/>
                <w:sz w:val="20"/>
              </w:rPr>
              <w:t> </w:t>
            </w:r>
            <w:r>
              <w:rPr>
                <w:sz w:val="20"/>
              </w:rPr>
              <w:t>Marshes,</w:t>
            </w:r>
            <w:r>
              <w:rPr>
                <w:spacing w:val="-12"/>
                <w:sz w:val="20"/>
              </w:rPr>
              <w:t> </w:t>
            </w:r>
            <w:r>
              <w:rPr>
                <w:spacing w:val="-5"/>
                <w:sz w:val="20"/>
              </w:rPr>
              <w:t>NSW</w:t>
            </w:r>
          </w:p>
        </w:tc>
        <w:tc>
          <w:tcPr>
            <w:tcW w:w="4537" w:type="dxa"/>
            <w:tcBorders>
              <w:top w:val="single" w:sz="2" w:space="0" w:color="A6A6A6"/>
              <w:bottom w:val="single" w:sz="2" w:space="0" w:color="A6A6A6"/>
            </w:tcBorders>
            <w:shd w:val="clear" w:color="auto" w:fill="CCDBEA"/>
          </w:tcPr>
          <w:p>
            <w:pPr>
              <w:pStyle w:val="TableParagraph"/>
              <w:spacing w:before="76"/>
              <w:ind w:left="106"/>
              <w:rPr>
                <w:sz w:val="20"/>
              </w:rPr>
            </w:pPr>
            <w:r>
              <w:rPr>
                <w:sz w:val="20"/>
              </w:rPr>
              <w:t>Aerial</w:t>
            </w:r>
            <w:r>
              <w:rPr>
                <w:spacing w:val="-9"/>
                <w:sz w:val="20"/>
              </w:rPr>
              <w:t> </w:t>
            </w:r>
            <w:r>
              <w:rPr>
                <w:sz w:val="20"/>
              </w:rPr>
              <w:t>surveys</w:t>
            </w:r>
            <w:r>
              <w:rPr>
                <w:spacing w:val="-6"/>
                <w:sz w:val="20"/>
              </w:rPr>
              <w:t> </w:t>
            </w:r>
            <w:r>
              <w:rPr>
                <w:sz w:val="20"/>
              </w:rPr>
              <w:t>pre-</w:t>
            </w:r>
            <w:r>
              <w:rPr>
                <w:spacing w:val="-7"/>
                <w:sz w:val="20"/>
              </w:rPr>
              <w:t> </w:t>
            </w:r>
            <w:r>
              <w:rPr>
                <w:sz w:val="20"/>
              </w:rPr>
              <w:t>and</w:t>
            </w:r>
            <w:r>
              <w:rPr>
                <w:spacing w:val="-8"/>
                <w:sz w:val="20"/>
              </w:rPr>
              <w:t> </w:t>
            </w:r>
            <w:r>
              <w:rPr>
                <w:sz w:val="20"/>
              </w:rPr>
              <w:t>post-</w:t>
            </w:r>
            <w:r>
              <w:rPr>
                <w:spacing w:val="-2"/>
                <w:sz w:val="20"/>
              </w:rPr>
              <w:t>control</w:t>
            </w:r>
          </w:p>
        </w:tc>
        <w:tc>
          <w:tcPr>
            <w:tcW w:w="2868" w:type="dxa"/>
            <w:tcBorders>
              <w:top w:val="single" w:sz="2" w:space="0" w:color="A6A6A6"/>
              <w:bottom w:val="single" w:sz="2" w:space="0" w:color="A6A6A6"/>
            </w:tcBorders>
          </w:tcPr>
          <w:p>
            <w:pPr>
              <w:pStyle w:val="TableParagraph"/>
              <w:spacing w:before="76"/>
              <w:ind w:left="105"/>
              <w:rPr>
                <w:sz w:val="20"/>
              </w:rPr>
            </w:pPr>
            <w:r>
              <w:rPr>
                <w:sz w:val="20"/>
              </w:rPr>
              <w:t>Saunders</w:t>
            </w:r>
            <w:r>
              <w:rPr>
                <w:spacing w:val="-11"/>
                <w:sz w:val="20"/>
              </w:rPr>
              <w:t> </w:t>
            </w:r>
            <w:r>
              <w:rPr>
                <w:spacing w:val="-4"/>
                <w:sz w:val="20"/>
              </w:rPr>
              <w:t>1993</w:t>
            </w:r>
          </w:p>
        </w:tc>
      </w:tr>
      <w:tr>
        <w:trPr>
          <w:trHeight w:val="364" w:hRule="atLeast"/>
        </w:trPr>
        <w:tc>
          <w:tcPr>
            <w:tcW w:w="1810" w:type="dxa"/>
            <w:vMerge/>
            <w:tcBorders>
              <w:top w:val="nil"/>
              <w:bottom w:val="single" w:sz="4" w:space="0" w:color="000000"/>
            </w:tcBorders>
          </w:tcPr>
          <w:p>
            <w:pPr>
              <w:rPr>
                <w:sz w:val="2"/>
                <w:szCs w:val="2"/>
              </w:rPr>
            </w:pPr>
          </w:p>
        </w:tc>
        <w:tc>
          <w:tcPr>
            <w:tcW w:w="1296" w:type="dxa"/>
            <w:tcBorders>
              <w:top w:val="single" w:sz="2" w:space="0" w:color="A6A6A6"/>
              <w:bottom w:val="single" w:sz="2" w:space="0" w:color="A6A6A6"/>
            </w:tcBorders>
            <w:shd w:val="clear" w:color="auto" w:fill="CCDBEA"/>
          </w:tcPr>
          <w:p>
            <w:pPr>
              <w:pStyle w:val="TableParagraph"/>
              <w:spacing w:before="76"/>
              <w:ind w:right="2"/>
              <w:jc w:val="center"/>
              <w:rPr>
                <w:sz w:val="20"/>
              </w:rPr>
            </w:pPr>
            <w:r>
              <w:rPr>
                <w:spacing w:val="-5"/>
                <w:sz w:val="20"/>
              </w:rPr>
              <w:t>75</w:t>
            </w:r>
          </w:p>
        </w:tc>
        <w:tc>
          <w:tcPr>
            <w:tcW w:w="3809" w:type="dxa"/>
            <w:tcBorders>
              <w:top w:val="single" w:sz="2" w:space="0" w:color="A6A6A6"/>
              <w:bottom w:val="single" w:sz="2" w:space="0" w:color="A6A6A6"/>
            </w:tcBorders>
          </w:tcPr>
          <w:p>
            <w:pPr>
              <w:pStyle w:val="TableParagraph"/>
              <w:spacing w:before="76"/>
              <w:ind w:left="108"/>
              <w:rPr>
                <w:sz w:val="20"/>
              </w:rPr>
            </w:pPr>
            <w:r>
              <w:rPr>
                <w:sz w:val="20"/>
              </w:rPr>
              <w:t>Macquarie</w:t>
            </w:r>
            <w:r>
              <w:rPr>
                <w:spacing w:val="-11"/>
                <w:sz w:val="20"/>
              </w:rPr>
              <w:t> </w:t>
            </w:r>
            <w:r>
              <w:rPr>
                <w:sz w:val="20"/>
              </w:rPr>
              <w:t>Marshes,</w:t>
            </w:r>
            <w:r>
              <w:rPr>
                <w:spacing w:val="-12"/>
                <w:sz w:val="20"/>
              </w:rPr>
              <w:t> </w:t>
            </w:r>
            <w:r>
              <w:rPr>
                <w:spacing w:val="-5"/>
                <w:sz w:val="20"/>
              </w:rPr>
              <w:t>NSW</w:t>
            </w:r>
          </w:p>
        </w:tc>
        <w:tc>
          <w:tcPr>
            <w:tcW w:w="4537" w:type="dxa"/>
            <w:tcBorders>
              <w:top w:val="single" w:sz="2" w:space="0" w:color="A6A6A6"/>
              <w:bottom w:val="single" w:sz="2" w:space="0" w:color="A6A6A6"/>
            </w:tcBorders>
            <w:shd w:val="clear" w:color="auto" w:fill="CCDBEA"/>
          </w:tcPr>
          <w:p>
            <w:pPr>
              <w:pStyle w:val="TableParagraph"/>
              <w:spacing w:before="76"/>
              <w:ind w:left="106"/>
              <w:rPr>
                <w:sz w:val="20"/>
              </w:rPr>
            </w:pPr>
            <w:r>
              <w:rPr>
                <w:sz w:val="20"/>
              </w:rPr>
              <w:t>Aerial</w:t>
            </w:r>
            <w:r>
              <w:rPr>
                <w:spacing w:val="-9"/>
                <w:sz w:val="20"/>
              </w:rPr>
              <w:t> </w:t>
            </w:r>
            <w:r>
              <w:rPr>
                <w:sz w:val="20"/>
              </w:rPr>
              <w:t>surveys</w:t>
            </w:r>
            <w:r>
              <w:rPr>
                <w:spacing w:val="-6"/>
                <w:sz w:val="20"/>
              </w:rPr>
              <w:t> </w:t>
            </w:r>
            <w:r>
              <w:rPr>
                <w:sz w:val="20"/>
              </w:rPr>
              <w:t>pre-</w:t>
            </w:r>
            <w:r>
              <w:rPr>
                <w:spacing w:val="-7"/>
                <w:sz w:val="20"/>
              </w:rPr>
              <w:t> </w:t>
            </w:r>
            <w:r>
              <w:rPr>
                <w:sz w:val="20"/>
              </w:rPr>
              <w:t>and</w:t>
            </w:r>
            <w:r>
              <w:rPr>
                <w:spacing w:val="-8"/>
                <w:sz w:val="20"/>
              </w:rPr>
              <w:t> </w:t>
            </w:r>
            <w:r>
              <w:rPr>
                <w:sz w:val="20"/>
              </w:rPr>
              <w:t>post-</w:t>
            </w:r>
            <w:r>
              <w:rPr>
                <w:spacing w:val="-2"/>
                <w:sz w:val="20"/>
              </w:rPr>
              <w:t>control</w:t>
            </w:r>
          </w:p>
        </w:tc>
        <w:tc>
          <w:tcPr>
            <w:tcW w:w="2868" w:type="dxa"/>
            <w:tcBorders>
              <w:top w:val="single" w:sz="2" w:space="0" w:color="A6A6A6"/>
              <w:bottom w:val="single" w:sz="2" w:space="0" w:color="A6A6A6"/>
            </w:tcBorders>
          </w:tcPr>
          <w:p>
            <w:pPr>
              <w:pStyle w:val="TableParagraph"/>
              <w:spacing w:before="76"/>
              <w:ind w:left="105"/>
              <w:rPr>
                <w:sz w:val="20"/>
              </w:rPr>
            </w:pPr>
            <w:r>
              <w:rPr>
                <w:sz w:val="20"/>
              </w:rPr>
              <w:t>Saunders</w:t>
            </w:r>
            <w:r>
              <w:rPr>
                <w:spacing w:val="-7"/>
                <w:sz w:val="20"/>
              </w:rPr>
              <w:t> </w:t>
            </w:r>
            <w:r>
              <w:rPr>
                <w:sz w:val="20"/>
              </w:rPr>
              <w:t>and</w:t>
            </w:r>
            <w:r>
              <w:rPr>
                <w:spacing w:val="-8"/>
                <w:sz w:val="20"/>
              </w:rPr>
              <w:t> </w:t>
            </w:r>
            <w:r>
              <w:rPr>
                <w:sz w:val="20"/>
              </w:rPr>
              <w:t>Bryant</w:t>
            </w:r>
            <w:r>
              <w:rPr>
                <w:spacing w:val="-8"/>
                <w:sz w:val="20"/>
              </w:rPr>
              <w:t> </w:t>
            </w:r>
            <w:r>
              <w:rPr>
                <w:spacing w:val="-4"/>
                <w:sz w:val="20"/>
              </w:rPr>
              <w:t>1988</w:t>
            </w:r>
          </w:p>
        </w:tc>
      </w:tr>
      <w:tr>
        <w:trPr>
          <w:trHeight w:val="366" w:hRule="atLeast"/>
        </w:trPr>
        <w:tc>
          <w:tcPr>
            <w:tcW w:w="1810" w:type="dxa"/>
            <w:vMerge/>
            <w:tcBorders>
              <w:top w:val="nil"/>
              <w:bottom w:val="single" w:sz="4" w:space="0" w:color="000000"/>
            </w:tcBorders>
          </w:tcPr>
          <w:p>
            <w:pPr>
              <w:rPr>
                <w:sz w:val="2"/>
                <w:szCs w:val="2"/>
              </w:rPr>
            </w:pPr>
          </w:p>
        </w:tc>
        <w:tc>
          <w:tcPr>
            <w:tcW w:w="1296" w:type="dxa"/>
            <w:tcBorders>
              <w:top w:val="single" w:sz="2" w:space="0" w:color="A6A6A6"/>
              <w:bottom w:val="single" w:sz="4" w:space="0" w:color="000000"/>
            </w:tcBorders>
            <w:shd w:val="clear" w:color="auto" w:fill="CCDBEA"/>
          </w:tcPr>
          <w:p>
            <w:pPr>
              <w:pStyle w:val="TableParagraph"/>
              <w:spacing w:before="76"/>
              <w:ind w:right="2"/>
              <w:jc w:val="center"/>
              <w:rPr>
                <w:sz w:val="20"/>
              </w:rPr>
            </w:pPr>
            <w:r>
              <w:rPr>
                <w:spacing w:val="-5"/>
                <w:sz w:val="20"/>
              </w:rPr>
              <w:t>86</w:t>
            </w:r>
          </w:p>
        </w:tc>
        <w:tc>
          <w:tcPr>
            <w:tcW w:w="3809" w:type="dxa"/>
            <w:tcBorders>
              <w:top w:val="single" w:sz="2" w:space="0" w:color="A6A6A6"/>
              <w:bottom w:val="single" w:sz="4" w:space="0" w:color="000000"/>
            </w:tcBorders>
          </w:tcPr>
          <w:p>
            <w:pPr>
              <w:pStyle w:val="TableParagraph"/>
              <w:spacing w:before="76"/>
              <w:ind w:left="108"/>
              <w:rPr>
                <w:sz w:val="20"/>
              </w:rPr>
            </w:pPr>
            <w:r>
              <w:rPr>
                <w:sz w:val="20"/>
              </w:rPr>
              <w:t>Barnard/Hunter</w:t>
            </w:r>
            <w:r>
              <w:rPr>
                <w:spacing w:val="-11"/>
                <w:sz w:val="20"/>
              </w:rPr>
              <w:t> </w:t>
            </w:r>
            <w:r>
              <w:rPr>
                <w:sz w:val="20"/>
              </w:rPr>
              <w:t>River</w:t>
            </w:r>
            <w:r>
              <w:rPr>
                <w:spacing w:val="-10"/>
                <w:sz w:val="20"/>
              </w:rPr>
              <w:t> </w:t>
            </w:r>
            <w:r>
              <w:rPr>
                <w:sz w:val="20"/>
              </w:rPr>
              <w:t>catchment,</w:t>
            </w:r>
            <w:r>
              <w:rPr>
                <w:spacing w:val="-10"/>
                <w:sz w:val="20"/>
              </w:rPr>
              <w:t> </w:t>
            </w:r>
            <w:r>
              <w:rPr>
                <w:spacing w:val="-5"/>
                <w:sz w:val="20"/>
              </w:rPr>
              <w:t>NSW</w:t>
            </w:r>
          </w:p>
        </w:tc>
        <w:tc>
          <w:tcPr>
            <w:tcW w:w="4537" w:type="dxa"/>
            <w:tcBorders>
              <w:top w:val="single" w:sz="2" w:space="0" w:color="A6A6A6"/>
              <w:bottom w:val="single" w:sz="4" w:space="0" w:color="000000"/>
            </w:tcBorders>
            <w:shd w:val="clear" w:color="auto" w:fill="CCDBEA"/>
          </w:tcPr>
          <w:p>
            <w:pPr>
              <w:pStyle w:val="TableParagraph"/>
              <w:spacing w:before="76"/>
              <w:ind w:left="106"/>
              <w:rPr>
                <w:sz w:val="20"/>
              </w:rPr>
            </w:pPr>
            <w:r>
              <w:rPr>
                <w:sz w:val="20"/>
              </w:rPr>
              <w:t>Aerial</w:t>
            </w:r>
            <w:r>
              <w:rPr>
                <w:spacing w:val="-9"/>
                <w:sz w:val="20"/>
              </w:rPr>
              <w:t> </w:t>
            </w:r>
            <w:r>
              <w:rPr>
                <w:sz w:val="20"/>
              </w:rPr>
              <w:t>surveys</w:t>
            </w:r>
            <w:r>
              <w:rPr>
                <w:spacing w:val="-6"/>
                <w:sz w:val="20"/>
              </w:rPr>
              <w:t> </w:t>
            </w:r>
            <w:r>
              <w:rPr>
                <w:sz w:val="20"/>
              </w:rPr>
              <w:t>pre-</w:t>
            </w:r>
            <w:r>
              <w:rPr>
                <w:spacing w:val="-7"/>
                <w:sz w:val="20"/>
              </w:rPr>
              <w:t> </w:t>
            </w:r>
            <w:r>
              <w:rPr>
                <w:sz w:val="20"/>
              </w:rPr>
              <w:t>and</w:t>
            </w:r>
            <w:r>
              <w:rPr>
                <w:spacing w:val="-8"/>
                <w:sz w:val="20"/>
              </w:rPr>
              <w:t> </w:t>
            </w:r>
            <w:r>
              <w:rPr>
                <w:sz w:val="20"/>
              </w:rPr>
              <w:t>post-</w:t>
            </w:r>
            <w:r>
              <w:rPr>
                <w:spacing w:val="-2"/>
                <w:sz w:val="20"/>
              </w:rPr>
              <w:t>control</w:t>
            </w:r>
          </w:p>
        </w:tc>
        <w:tc>
          <w:tcPr>
            <w:tcW w:w="2868" w:type="dxa"/>
            <w:tcBorders>
              <w:top w:val="single" w:sz="2" w:space="0" w:color="A6A6A6"/>
              <w:bottom w:val="single" w:sz="4" w:space="0" w:color="000000"/>
            </w:tcBorders>
          </w:tcPr>
          <w:p>
            <w:pPr>
              <w:pStyle w:val="TableParagraph"/>
              <w:spacing w:before="76"/>
              <w:ind w:left="105"/>
              <w:rPr>
                <w:sz w:val="20"/>
              </w:rPr>
            </w:pPr>
            <w:r>
              <w:rPr>
                <w:sz w:val="20"/>
              </w:rPr>
              <w:t>Ferris</w:t>
            </w:r>
            <w:r>
              <w:rPr>
                <w:spacing w:val="-7"/>
                <w:sz w:val="20"/>
              </w:rPr>
              <w:t> </w:t>
            </w:r>
            <w:r>
              <w:rPr>
                <w:spacing w:val="-4"/>
                <w:sz w:val="20"/>
              </w:rPr>
              <w:t>2010</w:t>
            </w:r>
          </w:p>
        </w:tc>
      </w:tr>
      <w:tr>
        <w:trPr>
          <w:trHeight w:val="369" w:hRule="atLeast"/>
        </w:trPr>
        <w:tc>
          <w:tcPr>
            <w:tcW w:w="1810" w:type="dxa"/>
            <w:vMerge w:val="restart"/>
            <w:tcBorders>
              <w:top w:val="single" w:sz="4" w:space="0" w:color="000000"/>
              <w:bottom w:val="single" w:sz="4" w:space="0" w:color="000000"/>
            </w:tcBorders>
          </w:tcPr>
          <w:p>
            <w:pPr>
              <w:pStyle w:val="TableParagraph"/>
              <w:spacing w:before="81"/>
              <w:ind w:left="107" w:right="125"/>
              <w:rPr>
                <w:sz w:val="20"/>
              </w:rPr>
            </w:pPr>
            <w:r>
              <w:rPr>
                <w:spacing w:val="-2"/>
                <w:sz w:val="20"/>
              </w:rPr>
              <w:t>Ground-based </w:t>
            </w:r>
            <w:r>
              <w:rPr>
                <w:sz w:val="20"/>
              </w:rPr>
              <w:t>shooting (with and</w:t>
            </w:r>
            <w:r>
              <w:rPr>
                <w:spacing w:val="-14"/>
                <w:sz w:val="20"/>
              </w:rPr>
              <w:t> </w:t>
            </w:r>
            <w:r>
              <w:rPr>
                <w:sz w:val="20"/>
              </w:rPr>
              <w:t>without</w:t>
            </w:r>
            <w:r>
              <w:rPr>
                <w:spacing w:val="-14"/>
                <w:sz w:val="20"/>
              </w:rPr>
              <w:t> </w:t>
            </w:r>
            <w:r>
              <w:rPr>
                <w:sz w:val="20"/>
              </w:rPr>
              <w:t>dogs)</w:t>
            </w:r>
          </w:p>
        </w:tc>
        <w:tc>
          <w:tcPr>
            <w:tcW w:w="1296" w:type="dxa"/>
            <w:tcBorders>
              <w:top w:val="single" w:sz="4" w:space="0" w:color="000000"/>
              <w:bottom w:val="single" w:sz="2" w:space="0" w:color="A6A6A6"/>
            </w:tcBorders>
            <w:shd w:val="clear" w:color="auto" w:fill="CCDBEA"/>
          </w:tcPr>
          <w:p>
            <w:pPr>
              <w:pStyle w:val="TableParagraph"/>
              <w:spacing w:before="81"/>
              <w:ind w:right="2"/>
              <w:jc w:val="center"/>
              <w:rPr>
                <w:sz w:val="20"/>
              </w:rPr>
            </w:pPr>
            <w:r>
              <w:rPr>
                <w:spacing w:val="-5"/>
                <w:sz w:val="20"/>
              </w:rPr>
              <w:t>22</w:t>
            </w:r>
          </w:p>
        </w:tc>
        <w:tc>
          <w:tcPr>
            <w:tcW w:w="3809" w:type="dxa"/>
            <w:tcBorders>
              <w:top w:val="single" w:sz="4" w:space="0" w:color="000000"/>
              <w:bottom w:val="single" w:sz="2" w:space="0" w:color="A6A6A6"/>
            </w:tcBorders>
          </w:tcPr>
          <w:p>
            <w:pPr>
              <w:pStyle w:val="TableParagraph"/>
              <w:spacing w:before="81"/>
              <w:ind w:left="108"/>
              <w:rPr>
                <w:sz w:val="20"/>
              </w:rPr>
            </w:pPr>
            <w:r>
              <w:rPr>
                <w:sz w:val="20"/>
              </w:rPr>
              <w:t>Douglas</w:t>
            </w:r>
            <w:r>
              <w:rPr>
                <w:spacing w:val="-10"/>
                <w:sz w:val="20"/>
              </w:rPr>
              <w:t> </w:t>
            </w:r>
            <w:r>
              <w:rPr>
                <w:sz w:val="20"/>
              </w:rPr>
              <w:t>Daily,</w:t>
            </w:r>
            <w:r>
              <w:rPr>
                <w:spacing w:val="-8"/>
                <w:sz w:val="20"/>
              </w:rPr>
              <w:t> </w:t>
            </w:r>
            <w:r>
              <w:rPr>
                <w:spacing w:val="-5"/>
                <w:sz w:val="20"/>
              </w:rPr>
              <w:t>NT</w:t>
            </w:r>
          </w:p>
        </w:tc>
        <w:tc>
          <w:tcPr>
            <w:tcW w:w="4537" w:type="dxa"/>
            <w:tcBorders>
              <w:top w:val="single" w:sz="4" w:space="0" w:color="000000"/>
              <w:bottom w:val="single" w:sz="2" w:space="0" w:color="A6A6A6"/>
            </w:tcBorders>
            <w:shd w:val="clear" w:color="auto" w:fill="CCDBEA"/>
          </w:tcPr>
          <w:p>
            <w:pPr>
              <w:pStyle w:val="TableParagraph"/>
              <w:spacing w:before="81"/>
              <w:ind w:left="106"/>
              <w:rPr>
                <w:sz w:val="20"/>
              </w:rPr>
            </w:pPr>
            <w:r>
              <w:rPr>
                <w:spacing w:val="-2"/>
                <w:sz w:val="20"/>
              </w:rPr>
              <w:t>Effort-removal</w:t>
            </w:r>
            <w:r>
              <w:rPr>
                <w:spacing w:val="11"/>
                <w:sz w:val="20"/>
              </w:rPr>
              <w:t> </w:t>
            </w:r>
            <w:r>
              <w:rPr>
                <w:spacing w:val="-2"/>
                <w:sz w:val="20"/>
              </w:rPr>
              <w:t>estimate</w:t>
            </w:r>
          </w:p>
        </w:tc>
        <w:tc>
          <w:tcPr>
            <w:tcW w:w="2868" w:type="dxa"/>
            <w:tcBorders>
              <w:top w:val="single" w:sz="4" w:space="0" w:color="000000"/>
              <w:bottom w:val="single" w:sz="2" w:space="0" w:color="A6A6A6"/>
            </w:tcBorders>
          </w:tcPr>
          <w:p>
            <w:pPr>
              <w:pStyle w:val="TableParagraph"/>
              <w:spacing w:before="81"/>
              <w:ind w:left="105"/>
              <w:rPr>
                <w:sz w:val="20"/>
              </w:rPr>
            </w:pPr>
            <w:r>
              <w:rPr>
                <w:sz w:val="20"/>
              </w:rPr>
              <w:t>Caley</w:t>
            </w:r>
            <w:r>
              <w:rPr>
                <w:spacing w:val="-5"/>
                <w:sz w:val="20"/>
              </w:rPr>
              <w:t> </w:t>
            </w:r>
            <w:r>
              <w:rPr>
                <w:sz w:val="20"/>
              </w:rPr>
              <w:t>and</w:t>
            </w:r>
            <w:r>
              <w:rPr>
                <w:spacing w:val="-7"/>
                <w:sz w:val="20"/>
              </w:rPr>
              <w:t> </w:t>
            </w:r>
            <w:r>
              <w:rPr>
                <w:sz w:val="20"/>
              </w:rPr>
              <w:t>Otley</w:t>
            </w:r>
            <w:r>
              <w:rPr>
                <w:spacing w:val="-7"/>
                <w:sz w:val="20"/>
              </w:rPr>
              <w:t> </w:t>
            </w:r>
            <w:r>
              <w:rPr>
                <w:spacing w:val="-4"/>
                <w:sz w:val="20"/>
              </w:rPr>
              <w:t>1995</w:t>
            </w:r>
          </w:p>
        </w:tc>
      </w:tr>
      <w:tr>
        <w:trPr>
          <w:trHeight w:val="453" w:hRule="atLeast"/>
        </w:trPr>
        <w:tc>
          <w:tcPr>
            <w:tcW w:w="1810" w:type="dxa"/>
            <w:vMerge/>
            <w:tcBorders>
              <w:top w:val="nil"/>
              <w:bottom w:val="single" w:sz="4" w:space="0" w:color="000000"/>
            </w:tcBorders>
          </w:tcPr>
          <w:p>
            <w:pPr>
              <w:rPr>
                <w:sz w:val="2"/>
                <w:szCs w:val="2"/>
              </w:rPr>
            </w:pPr>
          </w:p>
        </w:tc>
        <w:tc>
          <w:tcPr>
            <w:tcW w:w="1296" w:type="dxa"/>
            <w:tcBorders>
              <w:top w:val="single" w:sz="2" w:space="0" w:color="A6A6A6"/>
              <w:bottom w:val="single" w:sz="4" w:space="0" w:color="000000"/>
            </w:tcBorders>
            <w:shd w:val="clear" w:color="auto" w:fill="CCDBEA"/>
          </w:tcPr>
          <w:p>
            <w:pPr>
              <w:pStyle w:val="TableParagraph"/>
              <w:spacing w:before="76"/>
              <w:ind w:right="2"/>
              <w:jc w:val="center"/>
              <w:rPr>
                <w:sz w:val="20"/>
              </w:rPr>
            </w:pPr>
            <w:r>
              <w:rPr>
                <w:spacing w:val="-5"/>
                <w:sz w:val="20"/>
              </w:rPr>
              <w:t>13</w:t>
            </w:r>
          </w:p>
        </w:tc>
        <w:tc>
          <w:tcPr>
            <w:tcW w:w="3809" w:type="dxa"/>
            <w:tcBorders>
              <w:top w:val="single" w:sz="2" w:space="0" w:color="A6A6A6"/>
              <w:bottom w:val="single" w:sz="4" w:space="0" w:color="000000"/>
            </w:tcBorders>
          </w:tcPr>
          <w:p>
            <w:pPr>
              <w:pStyle w:val="TableParagraph"/>
              <w:spacing w:before="76"/>
              <w:ind w:left="108"/>
              <w:rPr>
                <w:sz w:val="20"/>
              </w:rPr>
            </w:pPr>
            <w:r>
              <w:rPr>
                <w:sz w:val="20"/>
              </w:rPr>
              <w:t>Namadgi</w:t>
            </w:r>
            <w:r>
              <w:rPr>
                <w:spacing w:val="-9"/>
                <w:sz w:val="20"/>
              </w:rPr>
              <w:t> </w:t>
            </w:r>
            <w:r>
              <w:rPr>
                <w:sz w:val="20"/>
              </w:rPr>
              <w:t>NP,</w:t>
            </w:r>
            <w:r>
              <w:rPr>
                <w:spacing w:val="-7"/>
                <w:sz w:val="20"/>
              </w:rPr>
              <w:t> </w:t>
            </w:r>
            <w:r>
              <w:rPr>
                <w:spacing w:val="-5"/>
                <w:sz w:val="20"/>
              </w:rPr>
              <w:t>ACT</w:t>
            </w:r>
          </w:p>
        </w:tc>
        <w:tc>
          <w:tcPr>
            <w:tcW w:w="4537" w:type="dxa"/>
            <w:tcBorders>
              <w:top w:val="single" w:sz="2" w:space="0" w:color="A6A6A6"/>
              <w:bottom w:val="single" w:sz="4" w:space="0" w:color="000000"/>
            </w:tcBorders>
            <w:shd w:val="clear" w:color="auto" w:fill="CCDBEA"/>
          </w:tcPr>
          <w:p>
            <w:pPr>
              <w:pStyle w:val="TableParagraph"/>
              <w:spacing w:before="76"/>
              <w:ind w:left="106"/>
              <w:rPr>
                <w:sz w:val="20"/>
              </w:rPr>
            </w:pPr>
            <w:r>
              <w:rPr>
                <w:sz w:val="20"/>
              </w:rPr>
              <w:t>Proportion</w:t>
            </w:r>
            <w:r>
              <w:rPr>
                <w:spacing w:val="-6"/>
                <w:sz w:val="20"/>
              </w:rPr>
              <w:t> </w:t>
            </w:r>
            <w:r>
              <w:rPr>
                <w:sz w:val="20"/>
              </w:rPr>
              <w:t>killed</w:t>
            </w:r>
            <w:r>
              <w:rPr>
                <w:spacing w:val="-6"/>
                <w:sz w:val="20"/>
              </w:rPr>
              <w:t> </w:t>
            </w:r>
            <w:r>
              <w:rPr>
                <w:sz w:val="20"/>
              </w:rPr>
              <w:t>of</w:t>
            </w:r>
            <w:r>
              <w:rPr>
                <w:spacing w:val="-4"/>
                <w:sz w:val="20"/>
              </w:rPr>
              <w:t> </w:t>
            </w:r>
            <w:r>
              <w:rPr>
                <w:sz w:val="20"/>
              </w:rPr>
              <w:t>KBTA</w:t>
            </w:r>
            <w:r>
              <w:rPr>
                <w:spacing w:val="-4"/>
                <w:sz w:val="20"/>
              </w:rPr>
              <w:t> </w:t>
            </w:r>
            <w:r>
              <w:rPr>
                <w:sz w:val="20"/>
              </w:rPr>
              <w:t>at</w:t>
            </w:r>
            <w:r>
              <w:rPr>
                <w:spacing w:val="-6"/>
                <w:sz w:val="20"/>
              </w:rPr>
              <w:t> </w:t>
            </w:r>
            <w:r>
              <w:rPr>
                <w:sz w:val="20"/>
              </w:rPr>
              <w:t>time</w:t>
            </w:r>
            <w:r>
              <w:rPr>
                <w:spacing w:val="-6"/>
                <w:sz w:val="20"/>
              </w:rPr>
              <w:t> </w:t>
            </w:r>
            <w:r>
              <w:rPr>
                <w:sz w:val="20"/>
              </w:rPr>
              <w:t>of</w:t>
            </w:r>
            <w:r>
              <w:rPr>
                <w:spacing w:val="-4"/>
                <w:sz w:val="20"/>
              </w:rPr>
              <w:t> </w:t>
            </w:r>
            <w:r>
              <w:rPr>
                <w:spacing w:val="-2"/>
                <w:sz w:val="20"/>
              </w:rPr>
              <w:t>hunting</w:t>
            </w:r>
          </w:p>
        </w:tc>
        <w:tc>
          <w:tcPr>
            <w:tcW w:w="2868" w:type="dxa"/>
            <w:tcBorders>
              <w:top w:val="single" w:sz="2" w:space="0" w:color="A6A6A6"/>
              <w:bottom w:val="single" w:sz="4" w:space="0" w:color="000000"/>
            </w:tcBorders>
          </w:tcPr>
          <w:p>
            <w:pPr>
              <w:pStyle w:val="TableParagraph"/>
              <w:spacing w:before="76"/>
              <w:ind w:left="105"/>
              <w:rPr>
                <w:sz w:val="20"/>
              </w:rPr>
            </w:pPr>
            <w:r>
              <w:rPr>
                <w:sz w:val="20"/>
              </w:rPr>
              <w:t>McIlroy</w:t>
            </w:r>
            <w:r>
              <w:rPr>
                <w:spacing w:val="-8"/>
                <w:sz w:val="20"/>
              </w:rPr>
              <w:t> </w:t>
            </w:r>
            <w:r>
              <w:rPr>
                <w:sz w:val="20"/>
              </w:rPr>
              <w:t>and</w:t>
            </w:r>
            <w:r>
              <w:rPr>
                <w:spacing w:val="-9"/>
                <w:sz w:val="20"/>
              </w:rPr>
              <w:t> </w:t>
            </w:r>
            <w:r>
              <w:rPr>
                <w:sz w:val="20"/>
              </w:rPr>
              <w:t>Saillard</w:t>
            </w:r>
            <w:r>
              <w:rPr>
                <w:spacing w:val="-9"/>
                <w:sz w:val="20"/>
              </w:rPr>
              <w:t> </w:t>
            </w:r>
            <w:r>
              <w:rPr>
                <w:spacing w:val="-4"/>
                <w:sz w:val="20"/>
              </w:rPr>
              <w:t>1989</w:t>
            </w:r>
          </w:p>
        </w:tc>
      </w:tr>
    </w:tbl>
    <w:p>
      <w:pPr>
        <w:spacing w:after="0"/>
        <w:rPr>
          <w:sz w:val="20"/>
        </w:rPr>
        <w:sectPr>
          <w:footerReference w:type="even" r:id="rId43"/>
          <w:pgSz w:w="16850" w:h="11910" w:orient="landscape"/>
          <w:pgMar w:header="0" w:footer="686" w:top="1100" w:bottom="880" w:left="1020" w:right="1020"/>
          <w:pgNumType w:start="44"/>
        </w:sectPr>
      </w:pPr>
    </w:p>
    <w:p>
      <w:pPr>
        <w:pStyle w:val="Heading7"/>
        <w:spacing w:before="66"/>
        <w:ind w:right="76"/>
      </w:pPr>
      <w:bookmarkStart w:name="_bookmark9" w:id="60"/>
      <w:bookmarkEnd w:id="60"/>
      <w:r>
        <w:rPr>
          <w:b w:val="0"/>
        </w:rPr>
      </w:r>
      <w:r>
        <w:rPr>
          <w:color w:val="1F1546"/>
        </w:rPr>
        <w:t>Table</w:t>
      </w:r>
      <w:r>
        <w:rPr>
          <w:color w:val="1F1546"/>
          <w:spacing w:val="-2"/>
        </w:rPr>
        <w:t> </w:t>
      </w:r>
      <w:r>
        <w:rPr>
          <w:color w:val="1F1546"/>
        </w:rPr>
        <w:t>5.</w:t>
      </w:r>
      <w:r>
        <w:rPr>
          <w:color w:val="1F1546"/>
          <w:spacing w:val="-1"/>
        </w:rPr>
        <w:t> </w:t>
      </w:r>
      <w:r>
        <w:rPr>
          <w:color w:val="1F1546"/>
        </w:rPr>
        <w:t>Summary</w:t>
      </w:r>
      <w:r>
        <w:rPr>
          <w:color w:val="1F1546"/>
          <w:spacing w:val="-3"/>
        </w:rPr>
        <w:t> </w:t>
      </w:r>
      <w:r>
        <w:rPr>
          <w:color w:val="1F1546"/>
        </w:rPr>
        <w:t>of efficacy,</w:t>
      </w:r>
      <w:r>
        <w:rPr>
          <w:color w:val="1F1546"/>
          <w:spacing w:val="-1"/>
        </w:rPr>
        <w:t> </w:t>
      </w:r>
      <w:r>
        <w:rPr>
          <w:color w:val="1F1546"/>
        </w:rPr>
        <w:t>cost-effectiveness,</w:t>
      </w:r>
      <w:r>
        <w:rPr>
          <w:color w:val="1F1546"/>
          <w:spacing w:val="-3"/>
        </w:rPr>
        <w:t> </w:t>
      </w:r>
      <w:r>
        <w:rPr>
          <w:color w:val="1F1546"/>
        </w:rPr>
        <w:t>target</w:t>
      </w:r>
      <w:r>
        <w:rPr>
          <w:color w:val="1F1546"/>
          <w:spacing w:val="-3"/>
        </w:rPr>
        <w:t> </w:t>
      </w:r>
      <w:r>
        <w:rPr>
          <w:color w:val="1F1546"/>
        </w:rPr>
        <w:t>specificity,</w:t>
      </w:r>
      <w:r>
        <w:rPr>
          <w:color w:val="1F1546"/>
          <w:spacing w:val="-3"/>
        </w:rPr>
        <w:t> </w:t>
      </w:r>
      <w:r>
        <w:rPr>
          <w:color w:val="1F1546"/>
        </w:rPr>
        <w:t>and advantages</w:t>
      </w:r>
      <w:r>
        <w:rPr>
          <w:color w:val="1F1546"/>
          <w:spacing w:val="-3"/>
        </w:rPr>
        <w:t> </w:t>
      </w:r>
      <w:r>
        <w:rPr>
          <w:color w:val="1F1546"/>
        </w:rPr>
        <w:t>and</w:t>
      </w:r>
      <w:r>
        <w:rPr>
          <w:color w:val="1F1546"/>
          <w:spacing w:val="-2"/>
        </w:rPr>
        <w:t> </w:t>
      </w:r>
      <w:r>
        <w:rPr>
          <w:color w:val="1F1546"/>
        </w:rPr>
        <w:t>disadvantages</w:t>
      </w:r>
      <w:r>
        <w:rPr>
          <w:color w:val="1F1546"/>
          <w:spacing w:val="-4"/>
        </w:rPr>
        <w:t> </w:t>
      </w:r>
      <w:r>
        <w:rPr>
          <w:color w:val="1F1546"/>
        </w:rPr>
        <w:t>of lethal</w:t>
      </w:r>
      <w:r>
        <w:rPr>
          <w:color w:val="1F1546"/>
          <w:spacing w:val="-3"/>
        </w:rPr>
        <w:t> </w:t>
      </w:r>
      <w:r>
        <w:rPr>
          <w:color w:val="1F1546"/>
        </w:rPr>
        <w:t>Feral</w:t>
      </w:r>
      <w:r>
        <w:rPr>
          <w:color w:val="1F1546"/>
          <w:spacing w:val="-3"/>
        </w:rPr>
        <w:t> </w:t>
      </w:r>
      <w:r>
        <w:rPr>
          <w:color w:val="1F1546"/>
        </w:rPr>
        <w:t>Pig</w:t>
      </w:r>
      <w:r>
        <w:rPr>
          <w:color w:val="1F1546"/>
          <w:spacing w:val="-1"/>
        </w:rPr>
        <w:t> </w:t>
      </w:r>
      <w:r>
        <w:rPr>
          <w:color w:val="1F1546"/>
        </w:rPr>
        <w:t>control</w:t>
      </w:r>
      <w:r>
        <w:rPr>
          <w:color w:val="1F1546"/>
          <w:spacing w:val="-3"/>
        </w:rPr>
        <w:t> </w:t>
      </w:r>
      <w:r>
        <w:rPr>
          <w:color w:val="1F1546"/>
        </w:rPr>
        <w:t>methods</w:t>
      </w:r>
      <w:r>
        <w:rPr>
          <w:color w:val="1F1546"/>
          <w:spacing w:val="-3"/>
        </w:rPr>
        <w:t> </w:t>
      </w:r>
      <w:r>
        <w:rPr>
          <w:color w:val="1F1546"/>
        </w:rPr>
        <w:t>used</w:t>
      </w:r>
      <w:r>
        <w:rPr>
          <w:color w:val="1F1546"/>
          <w:spacing w:val="-3"/>
        </w:rPr>
        <w:t> </w:t>
      </w:r>
      <w:r>
        <w:rPr>
          <w:color w:val="1F1546"/>
        </w:rPr>
        <w:t>in Victoria. Adapted from the State and National Codes of Practices and updated using outcomes from the literature review.</w:t>
      </w:r>
    </w:p>
    <w:p>
      <w:pPr>
        <w:pStyle w:val="BodyText"/>
        <w:spacing w:before="1" w:after="1"/>
        <w:rPr>
          <w:b/>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0"/>
        <w:gridCol w:w="2098"/>
        <w:gridCol w:w="3401"/>
        <w:gridCol w:w="3404"/>
        <w:gridCol w:w="3402"/>
      </w:tblGrid>
      <w:tr>
        <w:trPr>
          <w:trHeight w:val="580" w:hRule="atLeast"/>
        </w:trPr>
        <w:tc>
          <w:tcPr>
            <w:tcW w:w="2100" w:type="dxa"/>
            <w:shd w:val="clear" w:color="auto" w:fill="004B96"/>
          </w:tcPr>
          <w:p>
            <w:pPr>
              <w:pStyle w:val="TableParagraph"/>
              <w:spacing w:before="59"/>
              <w:ind w:left="107"/>
              <w:rPr>
                <w:b/>
                <w:sz w:val="20"/>
              </w:rPr>
            </w:pPr>
            <w:r>
              <w:rPr>
                <w:b/>
                <w:color w:val="FFFFFF"/>
                <w:sz w:val="20"/>
              </w:rPr>
              <w:t>Control</w:t>
            </w:r>
            <w:r>
              <w:rPr>
                <w:b/>
                <w:color w:val="FFFFFF"/>
                <w:spacing w:val="-10"/>
                <w:sz w:val="20"/>
              </w:rPr>
              <w:t> </w:t>
            </w:r>
            <w:r>
              <w:rPr>
                <w:b/>
                <w:color w:val="FFFFFF"/>
                <w:spacing w:val="-2"/>
                <w:sz w:val="20"/>
              </w:rPr>
              <w:t>technique</w:t>
            </w:r>
          </w:p>
        </w:tc>
        <w:tc>
          <w:tcPr>
            <w:tcW w:w="2098" w:type="dxa"/>
            <w:shd w:val="clear" w:color="auto" w:fill="004B96"/>
          </w:tcPr>
          <w:p>
            <w:pPr>
              <w:pStyle w:val="TableParagraph"/>
              <w:spacing w:before="59"/>
              <w:ind w:left="108"/>
              <w:rPr>
                <w:b/>
                <w:sz w:val="20"/>
              </w:rPr>
            </w:pPr>
            <w:r>
              <w:rPr>
                <w:b/>
                <w:color w:val="FFFFFF"/>
                <w:spacing w:val="-2"/>
                <w:sz w:val="20"/>
              </w:rPr>
              <w:t>Cost-effectiveness</w:t>
            </w:r>
          </w:p>
        </w:tc>
        <w:tc>
          <w:tcPr>
            <w:tcW w:w="3401" w:type="dxa"/>
            <w:shd w:val="clear" w:color="auto" w:fill="004B96"/>
          </w:tcPr>
          <w:p>
            <w:pPr>
              <w:pStyle w:val="TableParagraph"/>
              <w:spacing w:before="59"/>
              <w:ind w:left="108" w:right="130"/>
              <w:rPr>
                <w:b/>
                <w:sz w:val="20"/>
              </w:rPr>
            </w:pPr>
            <w:r>
              <w:rPr>
                <w:b/>
                <w:color w:val="FFFFFF"/>
                <w:sz w:val="20"/>
              </w:rPr>
              <w:t>Target</w:t>
            </w:r>
            <w:r>
              <w:rPr>
                <w:b/>
                <w:color w:val="FFFFFF"/>
                <w:spacing w:val="-14"/>
                <w:sz w:val="20"/>
              </w:rPr>
              <w:t> </w:t>
            </w:r>
            <w:r>
              <w:rPr>
                <w:b/>
                <w:color w:val="FFFFFF"/>
                <w:sz w:val="20"/>
              </w:rPr>
              <w:t>specificity</w:t>
            </w:r>
            <w:r>
              <w:rPr>
                <w:b/>
                <w:color w:val="FFFFFF"/>
                <w:spacing w:val="-12"/>
                <w:sz w:val="20"/>
              </w:rPr>
              <w:t> </w:t>
            </w:r>
            <w:r>
              <w:rPr>
                <w:b/>
                <w:color w:val="FFFFFF"/>
                <w:sz w:val="20"/>
              </w:rPr>
              <w:t>and</w:t>
            </w:r>
            <w:r>
              <w:rPr>
                <w:b/>
                <w:color w:val="FFFFFF"/>
                <w:spacing w:val="-13"/>
                <w:sz w:val="20"/>
              </w:rPr>
              <w:t> </w:t>
            </w:r>
            <w:r>
              <w:rPr>
                <w:b/>
                <w:color w:val="FFFFFF"/>
                <w:sz w:val="20"/>
              </w:rPr>
              <w:t>non-target </w:t>
            </w:r>
            <w:r>
              <w:rPr>
                <w:b/>
                <w:color w:val="FFFFFF"/>
                <w:spacing w:val="-2"/>
                <w:sz w:val="20"/>
              </w:rPr>
              <w:t>impacts</w:t>
            </w:r>
          </w:p>
        </w:tc>
        <w:tc>
          <w:tcPr>
            <w:tcW w:w="3404" w:type="dxa"/>
            <w:shd w:val="clear" w:color="auto" w:fill="004B96"/>
          </w:tcPr>
          <w:p>
            <w:pPr>
              <w:pStyle w:val="TableParagraph"/>
              <w:spacing w:before="59"/>
              <w:ind w:left="108"/>
              <w:rPr>
                <w:b/>
                <w:sz w:val="20"/>
              </w:rPr>
            </w:pPr>
            <w:r>
              <w:rPr>
                <w:b/>
                <w:color w:val="FFFFFF"/>
                <w:spacing w:val="-2"/>
                <w:sz w:val="20"/>
              </w:rPr>
              <w:t>Advantages</w:t>
            </w:r>
          </w:p>
        </w:tc>
        <w:tc>
          <w:tcPr>
            <w:tcW w:w="3402" w:type="dxa"/>
            <w:shd w:val="clear" w:color="auto" w:fill="004B96"/>
          </w:tcPr>
          <w:p>
            <w:pPr>
              <w:pStyle w:val="TableParagraph"/>
              <w:spacing w:before="59"/>
              <w:ind w:left="108"/>
              <w:rPr>
                <w:b/>
                <w:sz w:val="20"/>
              </w:rPr>
            </w:pPr>
            <w:r>
              <w:rPr>
                <w:b/>
                <w:color w:val="FFFFFF"/>
                <w:spacing w:val="-2"/>
                <w:sz w:val="20"/>
              </w:rPr>
              <w:t>Disadvantages</w:t>
            </w:r>
          </w:p>
        </w:tc>
      </w:tr>
      <w:tr>
        <w:trPr>
          <w:trHeight w:val="4980" w:hRule="atLeast"/>
        </w:trPr>
        <w:tc>
          <w:tcPr>
            <w:tcW w:w="2100" w:type="dxa"/>
            <w:tcBorders>
              <w:bottom w:val="single" w:sz="4" w:space="0" w:color="000000"/>
            </w:tcBorders>
          </w:tcPr>
          <w:p>
            <w:pPr>
              <w:pStyle w:val="TableParagraph"/>
              <w:spacing w:before="79"/>
              <w:ind w:left="107"/>
              <w:rPr>
                <w:sz w:val="20"/>
              </w:rPr>
            </w:pPr>
            <w:r>
              <w:rPr>
                <w:sz w:val="20"/>
              </w:rPr>
              <w:t>Ground</w:t>
            </w:r>
            <w:r>
              <w:rPr>
                <w:spacing w:val="-14"/>
                <w:sz w:val="20"/>
              </w:rPr>
              <w:t> </w:t>
            </w:r>
            <w:r>
              <w:rPr>
                <w:sz w:val="20"/>
              </w:rPr>
              <w:t>baiting</w:t>
            </w:r>
            <w:r>
              <w:rPr>
                <w:spacing w:val="-14"/>
                <w:sz w:val="20"/>
              </w:rPr>
              <w:t> </w:t>
            </w:r>
            <w:r>
              <w:rPr>
                <w:sz w:val="20"/>
              </w:rPr>
              <w:t>with </w:t>
            </w:r>
            <w:r>
              <w:rPr>
                <w:spacing w:val="-4"/>
                <w:sz w:val="20"/>
              </w:rPr>
              <w:t>1080</w:t>
            </w:r>
          </w:p>
        </w:tc>
        <w:tc>
          <w:tcPr>
            <w:tcW w:w="2098" w:type="dxa"/>
            <w:tcBorders>
              <w:bottom w:val="single" w:sz="4" w:space="0" w:color="000000"/>
            </w:tcBorders>
            <w:shd w:val="clear" w:color="auto" w:fill="CCDBEA"/>
          </w:tcPr>
          <w:p>
            <w:pPr>
              <w:pStyle w:val="TableParagraph"/>
              <w:spacing w:before="79"/>
              <w:ind w:left="108"/>
              <w:rPr>
                <w:sz w:val="20"/>
              </w:rPr>
            </w:pPr>
            <w:r>
              <w:rPr>
                <w:spacing w:val="-2"/>
                <w:sz w:val="20"/>
              </w:rPr>
              <w:t>Cost-effective</w:t>
            </w:r>
          </w:p>
        </w:tc>
        <w:tc>
          <w:tcPr>
            <w:tcW w:w="3401" w:type="dxa"/>
            <w:tcBorders>
              <w:bottom w:val="single" w:sz="4" w:space="0" w:color="000000"/>
            </w:tcBorders>
          </w:tcPr>
          <w:p>
            <w:pPr>
              <w:pStyle w:val="TableParagraph"/>
              <w:spacing w:before="79"/>
              <w:ind w:left="108" w:right="130"/>
              <w:rPr>
                <w:sz w:val="20"/>
              </w:rPr>
            </w:pPr>
            <w:r>
              <w:rPr>
                <w:sz w:val="20"/>
              </w:rPr>
              <w:t>Relatively large amounts of 1080 are required to kill pigs; therefore, there is a risk of poisoning non- target animals. Strategic ground baiting</w:t>
            </w:r>
            <w:r>
              <w:rPr>
                <w:spacing w:val="-3"/>
                <w:sz w:val="20"/>
              </w:rPr>
              <w:t> </w:t>
            </w:r>
            <w:r>
              <w:rPr>
                <w:sz w:val="20"/>
              </w:rPr>
              <w:t>uses</w:t>
            </w:r>
            <w:r>
              <w:rPr>
                <w:spacing w:val="-2"/>
                <w:sz w:val="20"/>
              </w:rPr>
              <w:t> </w:t>
            </w:r>
            <w:r>
              <w:rPr>
                <w:sz w:val="20"/>
              </w:rPr>
              <w:t>fewer</w:t>
            </w:r>
            <w:r>
              <w:rPr>
                <w:spacing w:val="-2"/>
                <w:sz w:val="20"/>
              </w:rPr>
              <w:t> </w:t>
            </w:r>
            <w:r>
              <w:rPr>
                <w:sz w:val="20"/>
              </w:rPr>
              <w:t>baits</w:t>
            </w:r>
            <w:r>
              <w:rPr>
                <w:spacing w:val="-2"/>
                <w:sz w:val="20"/>
              </w:rPr>
              <w:t> </w:t>
            </w:r>
            <w:r>
              <w:rPr>
                <w:sz w:val="20"/>
              </w:rPr>
              <w:t>than</w:t>
            </w:r>
            <w:r>
              <w:rPr>
                <w:spacing w:val="-3"/>
                <w:sz w:val="20"/>
              </w:rPr>
              <w:t> </w:t>
            </w:r>
            <w:r>
              <w:rPr>
                <w:sz w:val="20"/>
              </w:rPr>
              <w:t>aerial baiting</w:t>
            </w:r>
            <w:r>
              <w:rPr>
                <w:spacing w:val="-14"/>
                <w:sz w:val="20"/>
              </w:rPr>
              <w:t> </w:t>
            </w:r>
            <w:r>
              <w:rPr>
                <w:sz w:val="20"/>
              </w:rPr>
              <w:t>programmes.</w:t>
            </w:r>
            <w:r>
              <w:rPr>
                <w:spacing w:val="-14"/>
                <w:sz w:val="20"/>
              </w:rPr>
              <w:t> </w:t>
            </w:r>
            <w:r>
              <w:rPr>
                <w:sz w:val="20"/>
              </w:rPr>
              <w:t>Uneaten</w:t>
            </w:r>
            <w:r>
              <w:rPr>
                <w:spacing w:val="-14"/>
                <w:sz w:val="20"/>
              </w:rPr>
              <w:t> </w:t>
            </w:r>
            <w:r>
              <w:rPr>
                <w:sz w:val="20"/>
              </w:rPr>
              <w:t>baits can be collected and destroyed.</w:t>
            </w:r>
          </w:p>
          <w:p>
            <w:pPr>
              <w:pStyle w:val="TableParagraph"/>
              <w:spacing w:before="80"/>
              <w:ind w:left="108" w:right="187"/>
              <w:rPr>
                <w:sz w:val="20"/>
              </w:rPr>
            </w:pPr>
            <w:r>
              <w:rPr>
                <w:sz w:val="20"/>
              </w:rPr>
              <w:t>Potential</w:t>
            </w:r>
            <w:r>
              <w:rPr>
                <w:spacing w:val="-12"/>
                <w:sz w:val="20"/>
              </w:rPr>
              <w:t> </w:t>
            </w:r>
            <w:r>
              <w:rPr>
                <w:sz w:val="20"/>
              </w:rPr>
              <w:t>risk</w:t>
            </w:r>
            <w:r>
              <w:rPr>
                <w:spacing w:val="-10"/>
                <w:sz w:val="20"/>
              </w:rPr>
              <w:t> </w:t>
            </w:r>
            <w:r>
              <w:rPr>
                <w:sz w:val="20"/>
              </w:rPr>
              <w:t>to</w:t>
            </w:r>
            <w:r>
              <w:rPr>
                <w:spacing w:val="-12"/>
                <w:sz w:val="20"/>
              </w:rPr>
              <w:t> </w:t>
            </w:r>
            <w:r>
              <w:rPr>
                <w:sz w:val="20"/>
              </w:rPr>
              <w:t>non-target</w:t>
            </w:r>
            <w:r>
              <w:rPr>
                <w:spacing w:val="-9"/>
                <w:sz w:val="20"/>
              </w:rPr>
              <w:t> </w:t>
            </w:r>
            <w:r>
              <w:rPr>
                <w:sz w:val="20"/>
              </w:rPr>
              <w:t>species if stomach contents, stomach, gastrointestinal tract, and/or any vomit is consumed.</w:t>
            </w:r>
          </w:p>
          <w:p>
            <w:pPr>
              <w:pStyle w:val="TableParagraph"/>
              <w:spacing w:before="81"/>
              <w:ind w:left="108" w:right="130"/>
              <w:rPr>
                <w:sz w:val="20"/>
              </w:rPr>
            </w:pPr>
            <w:r>
              <w:rPr>
                <w:sz w:val="20"/>
              </w:rPr>
              <w:t>To minimise non-target impacts, remove livestock from paddocks, lock</w:t>
            </w:r>
            <w:r>
              <w:rPr>
                <w:spacing w:val="-7"/>
                <w:sz w:val="20"/>
              </w:rPr>
              <w:t> </w:t>
            </w:r>
            <w:r>
              <w:rPr>
                <w:sz w:val="20"/>
              </w:rPr>
              <w:t>gates</w:t>
            </w:r>
            <w:r>
              <w:rPr>
                <w:spacing w:val="-7"/>
                <w:sz w:val="20"/>
              </w:rPr>
              <w:t> </w:t>
            </w:r>
            <w:r>
              <w:rPr>
                <w:sz w:val="20"/>
              </w:rPr>
              <w:t>to</w:t>
            </w:r>
            <w:r>
              <w:rPr>
                <w:spacing w:val="-8"/>
                <w:sz w:val="20"/>
              </w:rPr>
              <w:t> </w:t>
            </w:r>
            <w:r>
              <w:rPr>
                <w:sz w:val="20"/>
              </w:rPr>
              <w:t>paddocks,</w:t>
            </w:r>
            <w:r>
              <w:rPr>
                <w:spacing w:val="-6"/>
                <w:sz w:val="20"/>
              </w:rPr>
              <w:t> </w:t>
            </w:r>
            <w:r>
              <w:rPr>
                <w:sz w:val="20"/>
              </w:rPr>
              <w:t>and</w:t>
            </w:r>
            <w:r>
              <w:rPr>
                <w:spacing w:val="-8"/>
                <w:sz w:val="20"/>
              </w:rPr>
              <w:t> </w:t>
            </w:r>
            <w:r>
              <w:rPr>
                <w:sz w:val="20"/>
              </w:rPr>
              <w:t>use</w:t>
            </w:r>
            <w:r>
              <w:rPr>
                <w:spacing w:val="-8"/>
                <w:sz w:val="20"/>
              </w:rPr>
              <w:t> </w:t>
            </w:r>
            <w:r>
              <w:rPr>
                <w:sz w:val="20"/>
              </w:rPr>
              <w:t>a HogHopper™ and exclusion </w:t>
            </w:r>
            <w:r>
              <w:rPr>
                <w:spacing w:val="-2"/>
                <w:sz w:val="20"/>
              </w:rPr>
              <w:t>fencing.</w:t>
            </w:r>
          </w:p>
          <w:p>
            <w:pPr>
              <w:pStyle w:val="TableParagraph"/>
              <w:spacing w:before="79"/>
              <w:ind w:left="108" w:right="130"/>
              <w:rPr>
                <w:sz w:val="20"/>
              </w:rPr>
            </w:pPr>
            <w:r>
              <w:rPr>
                <w:sz w:val="20"/>
              </w:rPr>
              <w:t>All</w:t>
            </w:r>
            <w:r>
              <w:rPr>
                <w:spacing w:val="-9"/>
                <w:sz w:val="20"/>
              </w:rPr>
              <w:t> </w:t>
            </w:r>
            <w:r>
              <w:rPr>
                <w:sz w:val="20"/>
              </w:rPr>
              <w:t>canids</w:t>
            </w:r>
            <w:r>
              <w:rPr>
                <w:spacing w:val="-7"/>
                <w:sz w:val="20"/>
              </w:rPr>
              <w:t> </w:t>
            </w:r>
            <w:r>
              <w:rPr>
                <w:sz w:val="20"/>
              </w:rPr>
              <w:t>can</w:t>
            </w:r>
            <w:r>
              <w:rPr>
                <w:spacing w:val="-7"/>
                <w:sz w:val="20"/>
              </w:rPr>
              <w:t> </w:t>
            </w:r>
            <w:r>
              <w:rPr>
                <w:sz w:val="20"/>
              </w:rPr>
              <w:t>die</w:t>
            </w:r>
            <w:r>
              <w:rPr>
                <w:spacing w:val="-8"/>
                <w:sz w:val="20"/>
              </w:rPr>
              <w:t> </w:t>
            </w:r>
            <w:r>
              <w:rPr>
                <w:sz w:val="20"/>
              </w:rPr>
              <w:t>if</w:t>
            </w:r>
            <w:r>
              <w:rPr>
                <w:spacing w:val="-6"/>
                <w:sz w:val="20"/>
              </w:rPr>
              <w:t> </w:t>
            </w:r>
            <w:r>
              <w:rPr>
                <w:sz w:val="20"/>
              </w:rPr>
              <w:t>they</w:t>
            </w:r>
            <w:r>
              <w:rPr>
                <w:spacing w:val="-7"/>
                <w:sz w:val="20"/>
              </w:rPr>
              <w:t> </w:t>
            </w:r>
            <w:r>
              <w:rPr>
                <w:sz w:val="20"/>
              </w:rPr>
              <w:t>consume vomit, eat a meat bait (where allowable for use) or feed on a poisoned carcase.</w:t>
            </w:r>
          </w:p>
        </w:tc>
        <w:tc>
          <w:tcPr>
            <w:tcW w:w="3404" w:type="dxa"/>
            <w:tcBorders>
              <w:bottom w:val="single" w:sz="4" w:space="0" w:color="000000"/>
            </w:tcBorders>
            <w:shd w:val="clear" w:color="auto" w:fill="CCDBEA"/>
          </w:tcPr>
          <w:p>
            <w:pPr>
              <w:pStyle w:val="TableParagraph"/>
              <w:spacing w:before="79"/>
              <w:ind w:left="108"/>
              <w:rPr>
                <w:sz w:val="20"/>
              </w:rPr>
            </w:pPr>
            <w:r>
              <w:rPr>
                <w:sz w:val="20"/>
              </w:rPr>
              <w:t>Currently</w:t>
            </w:r>
            <w:r>
              <w:rPr>
                <w:spacing w:val="-13"/>
                <w:sz w:val="20"/>
              </w:rPr>
              <w:t> </w:t>
            </w:r>
            <w:r>
              <w:rPr>
                <w:sz w:val="20"/>
              </w:rPr>
              <w:t>the</w:t>
            </w:r>
            <w:r>
              <w:rPr>
                <w:spacing w:val="-13"/>
                <w:sz w:val="20"/>
              </w:rPr>
              <w:t> </w:t>
            </w:r>
            <w:r>
              <w:rPr>
                <w:sz w:val="20"/>
              </w:rPr>
              <w:t>most</w:t>
            </w:r>
            <w:r>
              <w:rPr>
                <w:spacing w:val="-14"/>
                <w:sz w:val="20"/>
              </w:rPr>
              <w:t> </w:t>
            </w:r>
            <w:r>
              <w:rPr>
                <w:sz w:val="20"/>
              </w:rPr>
              <w:t>cost-effective technique available.</w:t>
            </w:r>
          </w:p>
          <w:p>
            <w:pPr>
              <w:pStyle w:val="TableParagraph"/>
              <w:spacing w:before="80"/>
              <w:ind w:left="108" w:right="222"/>
              <w:rPr>
                <w:sz w:val="20"/>
              </w:rPr>
            </w:pPr>
            <w:r>
              <w:rPr>
                <w:sz w:val="20"/>
              </w:rPr>
              <w:t>Highly palatable even after prolonged</w:t>
            </w:r>
            <w:r>
              <w:rPr>
                <w:spacing w:val="-11"/>
                <w:sz w:val="20"/>
              </w:rPr>
              <w:t> </w:t>
            </w:r>
            <w:r>
              <w:rPr>
                <w:sz w:val="20"/>
              </w:rPr>
              <w:t>storage</w:t>
            </w:r>
            <w:r>
              <w:rPr>
                <w:spacing w:val="-11"/>
                <w:sz w:val="20"/>
              </w:rPr>
              <w:t> </w:t>
            </w:r>
            <w:r>
              <w:rPr>
                <w:sz w:val="20"/>
              </w:rPr>
              <w:t>and</w:t>
            </w:r>
            <w:r>
              <w:rPr>
                <w:spacing w:val="-10"/>
                <w:sz w:val="20"/>
              </w:rPr>
              <w:t> </w:t>
            </w:r>
            <w:r>
              <w:rPr>
                <w:sz w:val="20"/>
              </w:rPr>
              <w:t>proven</w:t>
            </w:r>
            <w:r>
              <w:rPr>
                <w:spacing w:val="-12"/>
                <w:sz w:val="20"/>
              </w:rPr>
              <w:t> </w:t>
            </w:r>
            <w:r>
              <w:rPr>
                <w:sz w:val="20"/>
              </w:rPr>
              <w:t>to effectively knockdown pigs.</w:t>
            </w:r>
          </w:p>
          <w:p>
            <w:pPr>
              <w:pStyle w:val="TableParagraph"/>
              <w:spacing w:before="80"/>
              <w:ind w:left="108"/>
              <w:rPr>
                <w:sz w:val="20"/>
              </w:rPr>
            </w:pPr>
            <w:r>
              <w:rPr>
                <w:sz w:val="20"/>
              </w:rPr>
              <w:t>Very</w:t>
            </w:r>
            <w:r>
              <w:rPr>
                <w:spacing w:val="-8"/>
                <w:sz w:val="20"/>
              </w:rPr>
              <w:t> </w:t>
            </w:r>
            <w:r>
              <w:rPr>
                <w:sz w:val="20"/>
              </w:rPr>
              <w:t>little</w:t>
            </w:r>
            <w:r>
              <w:rPr>
                <w:spacing w:val="-8"/>
                <w:sz w:val="20"/>
              </w:rPr>
              <w:t> </w:t>
            </w:r>
            <w:r>
              <w:rPr>
                <w:sz w:val="20"/>
              </w:rPr>
              <w:t>non-target</w:t>
            </w:r>
            <w:r>
              <w:rPr>
                <w:spacing w:val="-9"/>
                <w:sz w:val="20"/>
              </w:rPr>
              <w:t> </w:t>
            </w:r>
            <w:r>
              <w:rPr>
                <w:spacing w:val="-2"/>
                <w:sz w:val="20"/>
              </w:rPr>
              <w:t>interest.</w:t>
            </w:r>
          </w:p>
          <w:p>
            <w:pPr>
              <w:pStyle w:val="TableParagraph"/>
              <w:spacing w:before="80"/>
              <w:ind w:left="108"/>
              <w:rPr>
                <w:sz w:val="20"/>
              </w:rPr>
            </w:pPr>
            <w:r>
              <w:rPr>
                <w:sz w:val="20"/>
              </w:rPr>
              <w:t>Stays</w:t>
            </w:r>
            <w:r>
              <w:rPr>
                <w:spacing w:val="-9"/>
                <w:sz w:val="20"/>
              </w:rPr>
              <w:t> </w:t>
            </w:r>
            <w:r>
              <w:rPr>
                <w:sz w:val="20"/>
              </w:rPr>
              <w:t>attractive</w:t>
            </w:r>
            <w:r>
              <w:rPr>
                <w:spacing w:val="-10"/>
                <w:sz w:val="20"/>
              </w:rPr>
              <w:t> </w:t>
            </w:r>
            <w:r>
              <w:rPr>
                <w:sz w:val="20"/>
              </w:rPr>
              <w:t>and</w:t>
            </w:r>
            <w:r>
              <w:rPr>
                <w:spacing w:val="-11"/>
                <w:sz w:val="20"/>
              </w:rPr>
              <w:t> </w:t>
            </w:r>
            <w:r>
              <w:rPr>
                <w:sz w:val="20"/>
              </w:rPr>
              <w:t>palatable</w:t>
            </w:r>
            <w:r>
              <w:rPr>
                <w:spacing w:val="-8"/>
                <w:sz w:val="20"/>
              </w:rPr>
              <w:t> </w:t>
            </w:r>
            <w:r>
              <w:rPr>
                <w:sz w:val="20"/>
              </w:rPr>
              <w:t>in</w:t>
            </w:r>
            <w:r>
              <w:rPr>
                <w:spacing w:val="-8"/>
                <w:sz w:val="20"/>
              </w:rPr>
              <w:t> </w:t>
            </w:r>
            <w:r>
              <w:rPr>
                <w:sz w:val="20"/>
              </w:rPr>
              <w:t>hot and dry conditions.</w:t>
            </w:r>
          </w:p>
        </w:tc>
        <w:tc>
          <w:tcPr>
            <w:tcW w:w="3402" w:type="dxa"/>
            <w:tcBorders>
              <w:bottom w:val="single" w:sz="4" w:space="0" w:color="000000"/>
            </w:tcBorders>
          </w:tcPr>
          <w:p>
            <w:pPr>
              <w:pStyle w:val="TableParagraph"/>
              <w:spacing w:before="79"/>
              <w:ind w:left="108" w:right="357"/>
              <w:jc w:val="both"/>
              <w:rPr>
                <w:sz w:val="20"/>
              </w:rPr>
            </w:pPr>
            <w:r>
              <w:rPr>
                <w:sz w:val="20"/>
              </w:rPr>
              <w:t>1080</w:t>
            </w:r>
            <w:r>
              <w:rPr>
                <w:spacing w:val="-9"/>
                <w:sz w:val="20"/>
              </w:rPr>
              <w:t> </w:t>
            </w:r>
            <w:r>
              <w:rPr>
                <w:sz w:val="20"/>
              </w:rPr>
              <w:t>ingestion</w:t>
            </w:r>
            <w:r>
              <w:rPr>
                <w:spacing w:val="-11"/>
                <w:sz w:val="20"/>
              </w:rPr>
              <w:t> </w:t>
            </w:r>
            <w:r>
              <w:rPr>
                <w:sz w:val="20"/>
              </w:rPr>
              <w:t>can</w:t>
            </w:r>
            <w:r>
              <w:rPr>
                <w:spacing w:val="-11"/>
                <w:sz w:val="20"/>
              </w:rPr>
              <w:t> </w:t>
            </w:r>
            <w:r>
              <w:rPr>
                <w:sz w:val="20"/>
              </w:rPr>
              <w:t>kill</w:t>
            </w:r>
            <w:r>
              <w:rPr>
                <w:spacing w:val="-10"/>
                <w:sz w:val="20"/>
              </w:rPr>
              <w:t> </w:t>
            </w:r>
            <w:r>
              <w:rPr>
                <w:sz w:val="20"/>
              </w:rPr>
              <w:t>non-target animals</w:t>
            </w:r>
            <w:r>
              <w:rPr>
                <w:spacing w:val="-5"/>
                <w:sz w:val="20"/>
              </w:rPr>
              <w:t> </w:t>
            </w:r>
            <w:r>
              <w:rPr>
                <w:sz w:val="20"/>
              </w:rPr>
              <w:t>including</w:t>
            </w:r>
            <w:r>
              <w:rPr>
                <w:spacing w:val="-5"/>
                <w:sz w:val="20"/>
              </w:rPr>
              <w:t> </w:t>
            </w:r>
            <w:r>
              <w:rPr>
                <w:sz w:val="20"/>
              </w:rPr>
              <w:t>native</w:t>
            </w:r>
            <w:r>
              <w:rPr>
                <w:spacing w:val="-6"/>
                <w:sz w:val="20"/>
              </w:rPr>
              <w:t> </w:t>
            </w:r>
            <w:r>
              <w:rPr>
                <w:sz w:val="20"/>
              </w:rPr>
              <w:t>species, cats, dogs and livestock.</w:t>
            </w:r>
          </w:p>
        </w:tc>
      </w:tr>
      <w:tr>
        <w:trPr>
          <w:trHeight w:val="2450" w:hRule="atLeast"/>
        </w:trPr>
        <w:tc>
          <w:tcPr>
            <w:tcW w:w="2100" w:type="dxa"/>
            <w:tcBorders>
              <w:top w:val="single" w:sz="4" w:space="0" w:color="000000"/>
              <w:bottom w:val="single" w:sz="4" w:space="0" w:color="000000"/>
            </w:tcBorders>
          </w:tcPr>
          <w:p>
            <w:pPr>
              <w:pStyle w:val="TableParagraph"/>
              <w:spacing w:before="78"/>
              <w:ind w:left="107"/>
              <w:rPr>
                <w:sz w:val="20"/>
              </w:rPr>
            </w:pPr>
            <w:r>
              <w:rPr>
                <w:sz w:val="20"/>
              </w:rPr>
              <w:t>Ground</w:t>
            </w:r>
            <w:r>
              <w:rPr>
                <w:spacing w:val="-14"/>
                <w:sz w:val="20"/>
              </w:rPr>
              <w:t> </w:t>
            </w:r>
            <w:r>
              <w:rPr>
                <w:sz w:val="20"/>
              </w:rPr>
              <w:t>baiting</w:t>
            </w:r>
            <w:r>
              <w:rPr>
                <w:spacing w:val="-14"/>
                <w:sz w:val="20"/>
              </w:rPr>
              <w:t> </w:t>
            </w:r>
            <w:r>
              <w:rPr>
                <w:sz w:val="20"/>
              </w:rPr>
              <w:t>with sodium nitrite</w:t>
            </w:r>
          </w:p>
        </w:tc>
        <w:tc>
          <w:tcPr>
            <w:tcW w:w="2098" w:type="dxa"/>
            <w:tcBorders>
              <w:top w:val="single" w:sz="4" w:space="0" w:color="000000"/>
              <w:bottom w:val="single" w:sz="4" w:space="0" w:color="000000"/>
            </w:tcBorders>
            <w:shd w:val="clear" w:color="auto" w:fill="CCDBEA"/>
          </w:tcPr>
          <w:p>
            <w:pPr>
              <w:pStyle w:val="TableParagraph"/>
              <w:spacing w:before="78"/>
              <w:ind w:left="108"/>
              <w:rPr>
                <w:sz w:val="20"/>
              </w:rPr>
            </w:pPr>
            <w:r>
              <w:rPr>
                <w:spacing w:val="-2"/>
                <w:sz w:val="20"/>
              </w:rPr>
              <w:t>Cost-effective</w:t>
            </w:r>
          </w:p>
        </w:tc>
        <w:tc>
          <w:tcPr>
            <w:tcW w:w="3401" w:type="dxa"/>
            <w:tcBorders>
              <w:top w:val="single" w:sz="4" w:space="0" w:color="000000"/>
              <w:bottom w:val="single" w:sz="4" w:space="0" w:color="000000"/>
            </w:tcBorders>
          </w:tcPr>
          <w:p>
            <w:pPr>
              <w:pStyle w:val="TableParagraph"/>
              <w:spacing w:before="78"/>
              <w:ind w:left="108"/>
              <w:rPr>
                <w:sz w:val="20"/>
              </w:rPr>
            </w:pPr>
            <w:r>
              <w:rPr>
                <w:sz w:val="20"/>
              </w:rPr>
              <w:t>NaN</w:t>
            </w:r>
            <w:r>
              <w:rPr>
                <w:spacing w:val="-7"/>
                <w:sz w:val="20"/>
              </w:rPr>
              <w:t> </w:t>
            </w:r>
            <w:r>
              <w:rPr>
                <w:sz w:val="20"/>
              </w:rPr>
              <w:t>is</w:t>
            </w:r>
            <w:r>
              <w:rPr>
                <w:spacing w:val="-3"/>
                <w:sz w:val="20"/>
              </w:rPr>
              <w:t> </w:t>
            </w:r>
            <w:r>
              <w:rPr>
                <w:sz w:val="20"/>
              </w:rPr>
              <w:t>highly</w:t>
            </w:r>
            <w:r>
              <w:rPr>
                <w:spacing w:val="-6"/>
                <w:sz w:val="20"/>
              </w:rPr>
              <w:t> </w:t>
            </w:r>
            <w:r>
              <w:rPr>
                <w:sz w:val="20"/>
              </w:rPr>
              <w:t>target</w:t>
            </w:r>
            <w:r>
              <w:rPr>
                <w:spacing w:val="-6"/>
                <w:sz w:val="20"/>
              </w:rPr>
              <w:t> </w:t>
            </w:r>
            <w:r>
              <w:rPr>
                <w:spacing w:val="-2"/>
                <w:sz w:val="20"/>
              </w:rPr>
              <w:t>specific.</w:t>
            </w:r>
          </w:p>
          <w:p>
            <w:pPr>
              <w:pStyle w:val="TableParagraph"/>
              <w:spacing w:before="80"/>
              <w:ind w:left="108" w:right="130"/>
              <w:rPr>
                <w:sz w:val="20"/>
              </w:rPr>
            </w:pPr>
            <w:r>
              <w:rPr>
                <w:sz w:val="20"/>
              </w:rPr>
              <w:t>Minimal</w:t>
            </w:r>
            <w:r>
              <w:rPr>
                <w:spacing w:val="-14"/>
                <w:sz w:val="20"/>
              </w:rPr>
              <w:t> </w:t>
            </w:r>
            <w:r>
              <w:rPr>
                <w:sz w:val="20"/>
              </w:rPr>
              <w:t>non-target</w:t>
            </w:r>
            <w:r>
              <w:rPr>
                <w:spacing w:val="-14"/>
                <w:sz w:val="20"/>
              </w:rPr>
              <w:t> </w:t>
            </w:r>
            <w:r>
              <w:rPr>
                <w:sz w:val="20"/>
              </w:rPr>
              <w:t>risks</w:t>
            </w:r>
            <w:r>
              <w:rPr>
                <w:spacing w:val="-13"/>
                <w:sz w:val="20"/>
              </w:rPr>
              <w:t> </w:t>
            </w:r>
            <w:r>
              <w:rPr>
                <w:sz w:val="20"/>
              </w:rPr>
              <w:t>managed by bait box (APVMA/label </w:t>
            </w:r>
            <w:r>
              <w:rPr>
                <w:spacing w:val="-2"/>
                <w:sz w:val="20"/>
              </w:rPr>
              <w:t>requirement).</w:t>
            </w:r>
          </w:p>
          <w:p>
            <w:pPr>
              <w:pStyle w:val="TableParagraph"/>
              <w:spacing w:before="80"/>
              <w:ind w:left="108" w:right="130"/>
              <w:rPr>
                <w:sz w:val="20"/>
              </w:rPr>
            </w:pPr>
            <w:r>
              <w:rPr>
                <w:sz w:val="20"/>
              </w:rPr>
              <w:t>Poses</w:t>
            </w:r>
            <w:r>
              <w:rPr>
                <w:spacing w:val="-8"/>
                <w:sz w:val="20"/>
              </w:rPr>
              <w:t> </w:t>
            </w:r>
            <w:r>
              <w:rPr>
                <w:sz w:val="20"/>
              </w:rPr>
              <w:t>little</w:t>
            </w:r>
            <w:r>
              <w:rPr>
                <w:spacing w:val="-9"/>
                <w:sz w:val="20"/>
              </w:rPr>
              <w:t> </w:t>
            </w:r>
            <w:r>
              <w:rPr>
                <w:sz w:val="20"/>
              </w:rPr>
              <w:t>potential</w:t>
            </w:r>
            <w:r>
              <w:rPr>
                <w:spacing w:val="-9"/>
                <w:sz w:val="20"/>
              </w:rPr>
              <w:t> </w:t>
            </w:r>
            <w:r>
              <w:rPr>
                <w:sz w:val="20"/>
              </w:rPr>
              <w:t>risk</w:t>
            </w:r>
            <w:r>
              <w:rPr>
                <w:spacing w:val="-8"/>
                <w:sz w:val="20"/>
              </w:rPr>
              <w:t> </w:t>
            </w:r>
            <w:r>
              <w:rPr>
                <w:sz w:val="20"/>
              </w:rPr>
              <w:t>to</w:t>
            </w:r>
            <w:r>
              <w:rPr>
                <w:spacing w:val="-8"/>
                <w:sz w:val="20"/>
              </w:rPr>
              <w:t> </w:t>
            </w:r>
            <w:r>
              <w:rPr>
                <w:sz w:val="20"/>
              </w:rPr>
              <w:t>non- target species.</w:t>
            </w:r>
          </w:p>
          <w:p>
            <w:pPr>
              <w:pStyle w:val="TableParagraph"/>
              <w:spacing w:before="80"/>
              <w:ind w:left="108" w:right="130"/>
              <w:rPr>
                <w:sz w:val="20"/>
              </w:rPr>
            </w:pPr>
            <w:r>
              <w:rPr>
                <w:sz w:val="20"/>
              </w:rPr>
              <w:t>Minimise non-target impacts by removing</w:t>
            </w:r>
            <w:r>
              <w:rPr>
                <w:spacing w:val="-14"/>
                <w:sz w:val="20"/>
              </w:rPr>
              <w:t> </w:t>
            </w:r>
            <w:r>
              <w:rPr>
                <w:sz w:val="20"/>
              </w:rPr>
              <w:t>livestock</w:t>
            </w:r>
            <w:r>
              <w:rPr>
                <w:spacing w:val="-14"/>
                <w:sz w:val="20"/>
              </w:rPr>
              <w:t> </w:t>
            </w:r>
            <w:r>
              <w:rPr>
                <w:sz w:val="20"/>
              </w:rPr>
              <w:t>from</w:t>
            </w:r>
            <w:r>
              <w:rPr>
                <w:spacing w:val="-14"/>
                <w:sz w:val="20"/>
              </w:rPr>
              <w:t> </w:t>
            </w:r>
            <w:r>
              <w:rPr>
                <w:sz w:val="20"/>
              </w:rPr>
              <w:t>paddocks and locking gates to paddocks.</w:t>
            </w:r>
          </w:p>
        </w:tc>
        <w:tc>
          <w:tcPr>
            <w:tcW w:w="3404" w:type="dxa"/>
            <w:tcBorders>
              <w:top w:val="single" w:sz="4" w:space="0" w:color="000000"/>
              <w:bottom w:val="single" w:sz="4" w:space="0" w:color="000000"/>
            </w:tcBorders>
            <w:shd w:val="clear" w:color="auto" w:fill="CCDBEA"/>
          </w:tcPr>
          <w:p>
            <w:pPr>
              <w:pStyle w:val="TableParagraph"/>
              <w:spacing w:line="324" w:lineRule="auto" w:before="78"/>
              <w:ind w:left="108"/>
              <w:rPr>
                <w:sz w:val="20"/>
              </w:rPr>
            </w:pPr>
            <w:r>
              <w:rPr>
                <w:sz w:val="20"/>
              </w:rPr>
              <w:t>Available</w:t>
            </w:r>
            <w:r>
              <w:rPr>
                <w:spacing w:val="-14"/>
                <w:sz w:val="20"/>
              </w:rPr>
              <w:t> </w:t>
            </w:r>
            <w:r>
              <w:rPr>
                <w:sz w:val="20"/>
              </w:rPr>
              <w:t>through</w:t>
            </w:r>
            <w:r>
              <w:rPr>
                <w:spacing w:val="-14"/>
                <w:sz w:val="20"/>
              </w:rPr>
              <w:t> </w:t>
            </w:r>
            <w:r>
              <w:rPr>
                <w:sz w:val="20"/>
              </w:rPr>
              <w:t>re-seller</w:t>
            </w:r>
            <w:r>
              <w:rPr>
                <w:spacing w:val="-13"/>
                <w:sz w:val="20"/>
              </w:rPr>
              <w:t> </w:t>
            </w:r>
            <w:r>
              <w:rPr>
                <w:sz w:val="20"/>
              </w:rPr>
              <w:t>network. No special permits are required.</w:t>
            </w:r>
          </w:p>
          <w:p>
            <w:pPr>
              <w:pStyle w:val="TableParagraph"/>
              <w:ind w:left="108"/>
              <w:rPr>
                <w:sz w:val="20"/>
              </w:rPr>
            </w:pPr>
            <w:r>
              <w:rPr>
                <w:sz w:val="20"/>
              </w:rPr>
              <w:t>Uneaten</w:t>
            </w:r>
            <w:r>
              <w:rPr>
                <w:spacing w:val="-8"/>
                <w:sz w:val="20"/>
              </w:rPr>
              <w:t> </w:t>
            </w:r>
            <w:r>
              <w:rPr>
                <w:sz w:val="20"/>
              </w:rPr>
              <w:t>baits</w:t>
            </w:r>
            <w:r>
              <w:rPr>
                <w:spacing w:val="-8"/>
                <w:sz w:val="20"/>
              </w:rPr>
              <w:t> </w:t>
            </w:r>
            <w:r>
              <w:rPr>
                <w:sz w:val="20"/>
              </w:rPr>
              <w:t>can</w:t>
            </w:r>
            <w:r>
              <w:rPr>
                <w:spacing w:val="-10"/>
                <w:sz w:val="20"/>
              </w:rPr>
              <w:t> </w:t>
            </w:r>
            <w:r>
              <w:rPr>
                <w:sz w:val="20"/>
              </w:rPr>
              <w:t>be</w:t>
            </w:r>
            <w:r>
              <w:rPr>
                <w:spacing w:val="-9"/>
                <w:sz w:val="20"/>
              </w:rPr>
              <w:t> </w:t>
            </w:r>
            <w:r>
              <w:rPr>
                <w:sz w:val="20"/>
              </w:rPr>
              <w:t>collected</w:t>
            </w:r>
            <w:r>
              <w:rPr>
                <w:spacing w:val="-10"/>
                <w:sz w:val="20"/>
              </w:rPr>
              <w:t> </w:t>
            </w:r>
            <w:r>
              <w:rPr>
                <w:sz w:val="20"/>
              </w:rPr>
              <w:t>and </w:t>
            </w:r>
            <w:r>
              <w:rPr>
                <w:spacing w:val="-2"/>
                <w:sz w:val="20"/>
              </w:rPr>
              <w:t>destroyed.</w:t>
            </w:r>
          </w:p>
        </w:tc>
        <w:tc>
          <w:tcPr>
            <w:tcW w:w="3402" w:type="dxa"/>
            <w:tcBorders>
              <w:top w:val="single" w:sz="4" w:space="0" w:color="000000"/>
              <w:bottom w:val="single" w:sz="4" w:space="0" w:color="000000"/>
            </w:tcBorders>
          </w:tcPr>
          <w:p>
            <w:pPr>
              <w:pStyle w:val="TableParagraph"/>
              <w:spacing w:before="78"/>
              <w:ind w:left="108"/>
              <w:rPr>
                <w:sz w:val="20"/>
              </w:rPr>
            </w:pPr>
            <w:r>
              <w:rPr>
                <w:sz w:val="20"/>
              </w:rPr>
              <w:t>More</w:t>
            </w:r>
            <w:r>
              <w:rPr>
                <w:spacing w:val="-9"/>
                <w:sz w:val="20"/>
              </w:rPr>
              <w:t> </w:t>
            </w:r>
            <w:r>
              <w:rPr>
                <w:sz w:val="20"/>
              </w:rPr>
              <w:t>expensive</w:t>
            </w:r>
            <w:r>
              <w:rPr>
                <w:spacing w:val="-6"/>
                <w:sz w:val="20"/>
              </w:rPr>
              <w:t> </w:t>
            </w:r>
            <w:r>
              <w:rPr>
                <w:sz w:val="20"/>
              </w:rPr>
              <w:t>than</w:t>
            </w:r>
            <w:r>
              <w:rPr>
                <w:spacing w:val="-8"/>
                <w:sz w:val="20"/>
              </w:rPr>
              <w:t> </w:t>
            </w:r>
            <w:r>
              <w:rPr>
                <w:spacing w:val="-4"/>
                <w:sz w:val="20"/>
              </w:rPr>
              <w:t>1080.</w:t>
            </w:r>
          </w:p>
        </w:tc>
      </w:tr>
      <w:tr>
        <w:trPr>
          <w:trHeight w:val="829" w:hRule="atLeast"/>
        </w:trPr>
        <w:tc>
          <w:tcPr>
            <w:tcW w:w="2100" w:type="dxa"/>
            <w:tcBorders>
              <w:top w:val="single" w:sz="4" w:space="0" w:color="000000"/>
              <w:bottom w:val="single" w:sz="4" w:space="0" w:color="000000"/>
            </w:tcBorders>
          </w:tcPr>
          <w:p>
            <w:pPr>
              <w:pStyle w:val="TableParagraph"/>
              <w:spacing w:before="78"/>
              <w:ind w:left="107"/>
              <w:rPr>
                <w:sz w:val="20"/>
              </w:rPr>
            </w:pPr>
            <w:r>
              <w:rPr>
                <w:sz w:val="20"/>
              </w:rPr>
              <w:t>Ground</w:t>
            </w:r>
            <w:r>
              <w:rPr>
                <w:spacing w:val="-12"/>
                <w:sz w:val="20"/>
              </w:rPr>
              <w:t> </w:t>
            </w:r>
            <w:r>
              <w:rPr>
                <w:spacing w:val="-2"/>
                <w:sz w:val="20"/>
              </w:rPr>
              <w:t>shooting</w:t>
            </w:r>
          </w:p>
        </w:tc>
        <w:tc>
          <w:tcPr>
            <w:tcW w:w="2098" w:type="dxa"/>
            <w:tcBorders>
              <w:top w:val="single" w:sz="4" w:space="0" w:color="000000"/>
              <w:bottom w:val="single" w:sz="4" w:space="0" w:color="000000"/>
            </w:tcBorders>
            <w:shd w:val="clear" w:color="auto" w:fill="CCDBEA"/>
          </w:tcPr>
          <w:p>
            <w:pPr>
              <w:pStyle w:val="TableParagraph"/>
              <w:spacing w:before="78"/>
              <w:ind w:left="108"/>
              <w:rPr>
                <w:sz w:val="20"/>
              </w:rPr>
            </w:pPr>
            <w:r>
              <w:rPr>
                <w:sz w:val="20"/>
              </w:rPr>
              <w:t>Not</w:t>
            </w:r>
            <w:r>
              <w:rPr>
                <w:spacing w:val="-9"/>
                <w:sz w:val="20"/>
              </w:rPr>
              <w:t> </w:t>
            </w:r>
            <w:r>
              <w:rPr>
                <w:sz w:val="20"/>
              </w:rPr>
              <w:t>cost-</w:t>
            </w:r>
            <w:r>
              <w:rPr>
                <w:spacing w:val="-2"/>
                <w:sz w:val="20"/>
              </w:rPr>
              <w:t>effective</w:t>
            </w:r>
          </w:p>
        </w:tc>
        <w:tc>
          <w:tcPr>
            <w:tcW w:w="3401" w:type="dxa"/>
            <w:tcBorders>
              <w:top w:val="single" w:sz="4" w:space="0" w:color="000000"/>
              <w:bottom w:val="single" w:sz="4" w:space="0" w:color="000000"/>
            </w:tcBorders>
          </w:tcPr>
          <w:p>
            <w:pPr>
              <w:pStyle w:val="TableParagraph"/>
              <w:spacing w:before="78"/>
              <w:ind w:left="108" w:right="130"/>
              <w:rPr>
                <w:sz w:val="20"/>
              </w:rPr>
            </w:pPr>
            <w:r>
              <w:rPr>
                <w:sz w:val="20"/>
              </w:rPr>
              <w:t>Target</w:t>
            </w:r>
            <w:r>
              <w:rPr>
                <w:spacing w:val="-13"/>
                <w:sz w:val="20"/>
              </w:rPr>
              <w:t> </w:t>
            </w:r>
            <w:r>
              <w:rPr>
                <w:sz w:val="20"/>
              </w:rPr>
              <w:t>specific.</w:t>
            </w:r>
            <w:r>
              <w:rPr>
                <w:spacing w:val="-13"/>
                <w:sz w:val="20"/>
              </w:rPr>
              <w:t> </w:t>
            </w:r>
            <w:r>
              <w:rPr>
                <w:sz w:val="20"/>
              </w:rPr>
              <w:t>No</w:t>
            </w:r>
            <w:r>
              <w:rPr>
                <w:spacing w:val="-13"/>
                <w:sz w:val="20"/>
              </w:rPr>
              <w:t> </w:t>
            </w:r>
            <w:r>
              <w:rPr>
                <w:sz w:val="20"/>
              </w:rPr>
              <w:t>non-target </w:t>
            </w:r>
            <w:r>
              <w:rPr>
                <w:spacing w:val="-2"/>
                <w:sz w:val="20"/>
              </w:rPr>
              <w:t>impacts.</w:t>
            </w:r>
          </w:p>
        </w:tc>
        <w:tc>
          <w:tcPr>
            <w:tcW w:w="3404" w:type="dxa"/>
            <w:tcBorders>
              <w:top w:val="single" w:sz="4" w:space="0" w:color="000000"/>
              <w:bottom w:val="single" w:sz="4" w:space="0" w:color="000000"/>
            </w:tcBorders>
            <w:shd w:val="clear" w:color="auto" w:fill="CCDBEA"/>
          </w:tcPr>
          <w:p>
            <w:pPr>
              <w:pStyle w:val="TableParagraph"/>
              <w:spacing w:before="78"/>
              <w:ind w:left="108" w:right="222"/>
              <w:rPr>
                <w:sz w:val="20"/>
              </w:rPr>
            </w:pPr>
            <w:r>
              <w:rPr>
                <w:sz w:val="20"/>
              </w:rPr>
              <w:t>Can</w:t>
            </w:r>
            <w:r>
              <w:rPr>
                <w:spacing w:val="-8"/>
                <w:sz w:val="20"/>
              </w:rPr>
              <w:t> </w:t>
            </w:r>
            <w:r>
              <w:rPr>
                <w:sz w:val="20"/>
              </w:rPr>
              <w:t>be</w:t>
            </w:r>
            <w:r>
              <w:rPr>
                <w:spacing w:val="-7"/>
                <w:sz w:val="20"/>
              </w:rPr>
              <w:t> </w:t>
            </w:r>
            <w:r>
              <w:rPr>
                <w:sz w:val="20"/>
              </w:rPr>
              <w:t>useful</w:t>
            </w:r>
            <w:r>
              <w:rPr>
                <w:spacing w:val="-6"/>
                <w:sz w:val="20"/>
              </w:rPr>
              <w:t> </w:t>
            </w:r>
            <w:r>
              <w:rPr>
                <w:sz w:val="20"/>
              </w:rPr>
              <w:t>to</w:t>
            </w:r>
            <w:r>
              <w:rPr>
                <w:spacing w:val="-8"/>
                <w:sz w:val="20"/>
              </w:rPr>
              <w:t> </w:t>
            </w:r>
            <w:r>
              <w:rPr>
                <w:sz w:val="20"/>
              </w:rPr>
              <w:t>clean</w:t>
            </w:r>
            <w:r>
              <w:rPr>
                <w:spacing w:val="-5"/>
                <w:sz w:val="20"/>
              </w:rPr>
              <w:t> </w:t>
            </w:r>
            <w:r>
              <w:rPr>
                <w:sz w:val="20"/>
              </w:rPr>
              <w:t>up</w:t>
            </w:r>
            <w:r>
              <w:rPr>
                <w:spacing w:val="-8"/>
                <w:sz w:val="20"/>
              </w:rPr>
              <w:t> </w:t>
            </w:r>
            <w:r>
              <w:rPr>
                <w:sz w:val="20"/>
              </w:rPr>
              <w:t>small populations in conjunction with baiting and/or trapping.</w:t>
            </w:r>
          </w:p>
        </w:tc>
        <w:tc>
          <w:tcPr>
            <w:tcW w:w="3402" w:type="dxa"/>
            <w:tcBorders>
              <w:top w:val="single" w:sz="4" w:space="0" w:color="000000"/>
              <w:bottom w:val="single" w:sz="4" w:space="0" w:color="000000"/>
            </w:tcBorders>
          </w:tcPr>
          <w:p>
            <w:pPr>
              <w:pStyle w:val="TableParagraph"/>
              <w:spacing w:before="78"/>
              <w:ind w:left="108" w:right="316"/>
              <w:rPr>
                <w:sz w:val="20"/>
              </w:rPr>
            </w:pPr>
            <w:r>
              <w:rPr>
                <w:sz w:val="20"/>
              </w:rPr>
              <w:t>Labour</w:t>
            </w:r>
            <w:r>
              <w:rPr>
                <w:spacing w:val="-12"/>
                <w:sz w:val="20"/>
              </w:rPr>
              <w:t> </w:t>
            </w:r>
            <w:r>
              <w:rPr>
                <w:sz w:val="20"/>
              </w:rPr>
              <w:t>intensive,</w:t>
            </w:r>
            <w:r>
              <w:rPr>
                <w:spacing w:val="-12"/>
                <w:sz w:val="20"/>
              </w:rPr>
              <w:t> </w:t>
            </w:r>
            <w:r>
              <w:rPr>
                <w:sz w:val="20"/>
              </w:rPr>
              <w:t>only</w:t>
            </w:r>
            <w:r>
              <w:rPr>
                <w:spacing w:val="-11"/>
                <w:sz w:val="20"/>
              </w:rPr>
              <w:t> </w:t>
            </w:r>
            <w:r>
              <w:rPr>
                <w:sz w:val="20"/>
              </w:rPr>
              <w:t>suitable</w:t>
            </w:r>
            <w:r>
              <w:rPr>
                <w:spacing w:val="-10"/>
                <w:sz w:val="20"/>
              </w:rPr>
              <w:t> </w:t>
            </w:r>
            <w:r>
              <w:rPr>
                <w:sz w:val="20"/>
              </w:rPr>
              <w:t>for smaller-scale operations.</w:t>
            </w:r>
          </w:p>
        </w:tc>
      </w:tr>
    </w:tbl>
    <w:p>
      <w:pPr>
        <w:pStyle w:val="BodyText"/>
        <w:rPr>
          <w:b/>
          <w:sz w:val="18"/>
        </w:rPr>
      </w:pPr>
    </w:p>
    <w:p>
      <w:pPr>
        <w:pStyle w:val="BodyText"/>
        <w:spacing w:before="22"/>
        <w:rPr>
          <w:b/>
          <w:sz w:val="18"/>
        </w:rPr>
      </w:pPr>
    </w:p>
    <w:p>
      <w:pPr>
        <w:tabs>
          <w:tab w:pos="14689" w:val="right" w:leader="none"/>
        </w:tabs>
        <w:spacing w:before="0"/>
        <w:ind w:left="10167"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r>
        <w:rPr>
          <w:sz w:val="18"/>
        </w:rPr>
        <w:tab/>
      </w:r>
      <w:r>
        <w:rPr>
          <w:spacing w:val="-5"/>
          <w:sz w:val="18"/>
        </w:rPr>
        <w:t>45</w:t>
      </w:r>
    </w:p>
    <w:p>
      <w:pPr>
        <w:spacing w:before="175"/>
        <w:ind w:left="0" w:right="0" w:firstLine="0"/>
        <w:jc w:val="center"/>
        <w:rPr>
          <w:rFonts w:ascii="Calibri"/>
          <w:sz w:val="24"/>
        </w:rPr>
      </w:pPr>
      <w:r>
        <w:rPr>
          <w:rFonts w:ascii="Calibri"/>
          <w:spacing w:val="-2"/>
          <w:sz w:val="24"/>
        </w:rPr>
        <w:t>OFFICIAL</w:t>
      </w:r>
    </w:p>
    <w:p>
      <w:pPr>
        <w:spacing w:after="0"/>
        <w:jc w:val="center"/>
        <w:rPr>
          <w:rFonts w:ascii="Calibri"/>
          <w:sz w:val="24"/>
        </w:rPr>
        <w:sectPr>
          <w:footerReference w:type="default" r:id="rId44"/>
          <w:pgSz w:w="16850" w:h="11910" w:orient="landscape"/>
          <w:pgMar w:header="0" w:footer="0" w:top="1060" w:bottom="0" w:left="1020" w:right="102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0"/>
        <w:gridCol w:w="2098"/>
        <w:gridCol w:w="3401"/>
        <w:gridCol w:w="3404"/>
        <w:gridCol w:w="3402"/>
      </w:tblGrid>
      <w:tr>
        <w:trPr>
          <w:trHeight w:val="581" w:hRule="atLeast"/>
        </w:trPr>
        <w:tc>
          <w:tcPr>
            <w:tcW w:w="2100" w:type="dxa"/>
            <w:tcBorders>
              <w:bottom w:val="single" w:sz="4" w:space="0" w:color="000000"/>
            </w:tcBorders>
            <w:shd w:val="clear" w:color="auto" w:fill="004B96"/>
          </w:tcPr>
          <w:p>
            <w:pPr>
              <w:pStyle w:val="TableParagraph"/>
              <w:spacing w:before="60"/>
              <w:ind w:left="107"/>
              <w:rPr>
                <w:b/>
                <w:sz w:val="20"/>
              </w:rPr>
            </w:pPr>
            <w:r>
              <w:rPr>
                <w:b/>
                <w:color w:val="FFFFFF"/>
                <w:sz w:val="20"/>
              </w:rPr>
              <w:t>Control</w:t>
            </w:r>
            <w:r>
              <w:rPr>
                <w:b/>
                <w:color w:val="FFFFFF"/>
                <w:spacing w:val="-10"/>
                <w:sz w:val="20"/>
              </w:rPr>
              <w:t> </w:t>
            </w:r>
            <w:r>
              <w:rPr>
                <w:b/>
                <w:color w:val="FFFFFF"/>
                <w:spacing w:val="-2"/>
                <w:sz w:val="20"/>
              </w:rPr>
              <w:t>technique</w:t>
            </w:r>
          </w:p>
        </w:tc>
        <w:tc>
          <w:tcPr>
            <w:tcW w:w="2098" w:type="dxa"/>
            <w:tcBorders>
              <w:bottom w:val="single" w:sz="4" w:space="0" w:color="000000"/>
            </w:tcBorders>
            <w:shd w:val="clear" w:color="auto" w:fill="004B96"/>
          </w:tcPr>
          <w:p>
            <w:pPr>
              <w:pStyle w:val="TableParagraph"/>
              <w:spacing w:before="60"/>
              <w:ind w:left="108"/>
              <w:rPr>
                <w:b/>
                <w:sz w:val="20"/>
              </w:rPr>
            </w:pPr>
            <w:r>
              <w:rPr>
                <w:b/>
                <w:color w:val="FFFFFF"/>
                <w:spacing w:val="-2"/>
                <w:sz w:val="20"/>
              </w:rPr>
              <w:t>Cost-effectiveness</w:t>
            </w:r>
          </w:p>
        </w:tc>
        <w:tc>
          <w:tcPr>
            <w:tcW w:w="3401" w:type="dxa"/>
            <w:tcBorders>
              <w:bottom w:val="single" w:sz="4" w:space="0" w:color="000000"/>
            </w:tcBorders>
            <w:shd w:val="clear" w:color="auto" w:fill="004B96"/>
          </w:tcPr>
          <w:p>
            <w:pPr>
              <w:pStyle w:val="TableParagraph"/>
              <w:spacing w:before="60"/>
              <w:ind w:left="108" w:right="130"/>
              <w:rPr>
                <w:b/>
                <w:sz w:val="20"/>
              </w:rPr>
            </w:pPr>
            <w:r>
              <w:rPr>
                <w:b/>
                <w:color w:val="FFFFFF"/>
                <w:sz w:val="20"/>
              </w:rPr>
              <w:t>Target</w:t>
            </w:r>
            <w:r>
              <w:rPr>
                <w:b/>
                <w:color w:val="FFFFFF"/>
                <w:spacing w:val="-14"/>
                <w:sz w:val="20"/>
              </w:rPr>
              <w:t> </w:t>
            </w:r>
            <w:r>
              <w:rPr>
                <w:b/>
                <w:color w:val="FFFFFF"/>
                <w:sz w:val="20"/>
              </w:rPr>
              <w:t>specificity</w:t>
            </w:r>
            <w:r>
              <w:rPr>
                <w:b/>
                <w:color w:val="FFFFFF"/>
                <w:spacing w:val="-12"/>
                <w:sz w:val="20"/>
              </w:rPr>
              <w:t> </w:t>
            </w:r>
            <w:r>
              <w:rPr>
                <w:b/>
                <w:color w:val="FFFFFF"/>
                <w:sz w:val="20"/>
              </w:rPr>
              <w:t>and</w:t>
            </w:r>
            <w:r>
              <w:rPr>
                <w:b/>
                <w:color w:val="FFFFFF"/>
                <w:spacing w:val="-13"/>
                <w:sz w:val="20"/>
              </w:rPr>
              <w:t> </w:t>
            </w:r>
            <w:r>
              <w:rPr>
                <w:b/>
                <w:color w:val="FFFFFF"/>
                <w:sz w:val="20"/>
              </w:rPr>
              <w:t>non-target </w:t>
            </w:r>
            <w:r>
              <w:rPr>
                <w:b/>
                <w:color w:val="FFFFFF"/>
                <w:spacing w:val="-2"/>
                <w:sz w:val="20"/>
              </w:rPr>
              <w:t>impacts</w:t>
            </w:r>
          </w:p>
        </w:tc>
        <w:tc>
          <w:tcPr>
            <w:tcW w:w="3404" w:type="dxa"/>
            <w:tcBorders>
              <w:bottom w:val="single" w:sz="4" w:space="0" w:color="000000"/>
            </w:tcBorders>
            <w:shd w:val="clear" w:color="auto" w:fill="004B96"/>
          </w:tcPr>
          <w:p>
            <w:pPr>
              <w:pStyle w:val="TableParagraph"/>
              <w:spacing w:before="60"/>
              <w:ind w:left="108"/>
              <w:rPr>
                <w:b/>
                <w:sz w:val="20"/>
              </w:rPr>
            </w:pPr>
            <w:r>
              <w:rPr>
                <w:b/>
                <w:color w:val="FFFFFF"/>
                <w:spacing w:val="-2"/>
                <w:sz w:val="20"/>
              </w:rPr>
              <w:t>Advantages</w:t>
            </w:r>
          </w:p>
        </w:tc>
        <w:tc>
          <w:tcPr>
            <w:tcW w:w="3402" w:type="dxa"/>
            <w:tcBorders>
              <w:bottom w:val="single" w:sz="4" w:space="0" w:color="000000"/>
            </w:tcBorders>
            <w:shd w:val="clear" w:color="auto" w:fill="004B96"/>
          </w:tcPr>
          <w:p>
            <w:pPr>
              <w:pStyle w:val="TableParagraph"/>
              <w:spacing w:before="60"/>
              <w:ind w:left="108"/>
              <w:rPr>
                <w:b/>
                <w:sz w:val="20"/>
              </w:rPr>
            </w:pPr>
            <w:r>
              <w:rPr>
                <w:b/>
                <w:color w:val="FFFFFF"/>
                <w:spacing w:val="-2"/>
                <w:sz w:val="20"/>
              </w:rPr>
              <w:t>Disadvantages</w:t>
            </w:r>
          </w:p>
        </w:tc>
      </w:tr>
      <w:tr>
        <w:trPr>
          <w:trHeight w:val="1060" w:hRule="atLeast"/>
        </w:trPr>
        <w:tc>
          <w:tcPr>
            <w:tcW w:w="2100" w:type="dxa"/>
            <w:tcBorders>
              <w:top w:val="single" w:sz="4" w:space="0" w:color="000000"/>
              <w:bottom w:val="single" w:sz="4" w:space="0" w:color="000000"/>
            </w:tcBorders>
          </w:tcPr>
          <w:p>
            <w:pPr>
              <w:pStyle w:val="TableParagraph"/>
              <w:spacing w:before="78"/>
              <w:ind w:left="107"/>
              <w:rPr>
                <w:sz w:val="20"/>
              </w:rPr>
            </w:pPr>
            <w:r>
              <w:rPr>
                <w:sz w:val="20"/>
              </w:rPr>
              <w:t>Aerial</w:t>
            </w:r>
            <w:r>
              <w:rPr>
                <w:spacing w:val="-11"/>
                <w:sz w:val="20"/>
              </w:rPr>
              <w:t> </w:t>
            </w:r>
            <w:r>
              <w:rPr>
                <w:spacing w:val="-2"/>
                <w:sz w:val="20"/>
              </w:rPr>
              <w:t>shooting</w:t>
            </w:r>
          </w:p>
        </w:tc>
        <w:tc>
          <w:tcPr>
            <w:tcW w:w="2098" w:type="dxa"/>
            <w:tcBorders>
              <w:top w:val="single" w:sz="4" w:space="0" w:color="000000"/>
              <w:bottom w:val="single" w:sz="4" w:space="0" w:color="000000"/>
            </w:tcBorders>
            <w:shd w:val="clear" w:color="auto" w:fill="CCDBEA"/>
          </w:tcPr>
          <w:p>
            <w:pPr>
              <w:pStyle w:val="TableParagraph"/>
              <w:spacing w:before="78"/>
              <w:ind w:left="108" w:right="105"/>
              <w:rPr>
                <w:sz w:val="20"/>
              </w:rPr>
            </w:pPr>
            <w:r>
              <w:rPr>
                <w:sz w:val="20"/>
              </w:rPr>
              <w:t>Relatively</w:t>
            </w:r>
            <w:r>
              <w:rPr>
                <w:spacing w:val="-14"/>
                <w:sz w:val="20"/>
              </w:rPr>
              <w:t> </w:t>
            </w:r>
            <w:r>
              <w:rPr>
                <w:sz w:val="20"/>
              </w:rPr>
              <w:t>expensive. Can</w:t>
            </w:r>
            <w:r>
              <w:rPr>
                <w:spacing w:val="-14"/>
                <w:sz w:val="20"/>
              </w:rPr>
              <w:t> </w:t>
            </w:r>
            <w:r>
              <w:rPr>
                <w:sz w:val="20"/>
              </w:rPr>
              <w:t>be</w:t>
            </w:r>
            <w:r>
              <w:rPr>
                <w:spacing w:val="-14"/>
                <w:sz w:val="20"/>
              </w:rPr>
              <w:t> </w:t>
            </w:r>
            <w:r>
              <w:rPr>
                <w:sz w:val="20"/>
              </w:rPr>
              <w:t>cost-effective when pig density is </w:t>
            </w:r>
            <w:r>
              <w:rPr>
                <w:spacing w:val="-2"/>
                <w:sz w:val="20"/>
              </w:rPr>
              <w:t>high.</w:t>
            </w:r>
          </w:p>
        </w:tc>
        <w:tc>
          <w:tcPr>
            <w:tcW w:w="3401" w:type="dxa"/>
            <w:tcBorders>
              <w:top w:val="single" w:sz="4" w:space="0" w:color="000000"/>
              <w:bottom w:val="single" w:sz="4" w:space="0" w:color="000000"/>
            </w:tcBorders>
          </w:tcPr>
          <w:p>
            <w:pPr>
              <w:pStyle w:val="TableParagraph"/>
              <w:spacing w:before="78"/>
              <w:ind w:left="108" w:right="130"/>
              <w:rPr>
                <w:sz w:val="20"/>
              </w:rPr>
            </w:pPr>
            <w:r>
              <w:rPr>
                <w:sz w:val="20"/>
              </w:rPr>
              <w:t>Target</w:t>
            </w:r>
            <w:r>
              <w:rPr>
                <w:spacing w:val="-13"/>
                <w:sz w:val="20"/>
              </w:rPr>
              <w:t> </w:t>
            </w:r>
            <w:r>
              <w:rPr>
                <w:sz w:val="20"/>
              </w:rPr>
              <w:t>specific.</w:t>
            </w:r>
            <w:r>
              <w:rPr>
                <w:spacing w:val="-13"/>
                <w:sz w:val="20"/>
              </w:rPr>
              <w:t> </w:t>
            </w:r>
            <w:r>
              <w:rPr>
                <w:sz w:val="20"/>
              </w:rPr>
              <w:t>No</w:t>
            </w:r>
            <w:r>
              <w:rPr>
                <w:spacing w:val="-13"/>
                <w:sz w:val="20"/>
              </w:rPr>
              <w:t> </w:t>
            </w:r>
            <w:r>
              <w:rPr>
                <w:sz w:val="20"/>
              </w:rPr>
              <w:t>non-target </w:t>
            </w:r>
            <w:r>
              <w:rPr>
                <w:spacing w:val="-2"/>
                <w:sz w:val="20"/>
              </w:rPr>
              <w:t>impacts.</w:t>
            </w:r>
          </w:p>
        </w:tc>
        <w:tc>
          <w:tcPr>
            <w:tcW w:w="3404" w:type="dxa"/>
            <w:tcBorders>
              <w:top w:val="single" w:sz="4" w:space="0" w:color="000000"/>
              <w:bottom w:val="single" w:sz="4" w:space="0" w:color="000000"/>
            </w:tcBorders>
            <w:shd w:val="clear" w:color="auto" w:fill="CCDBEA"/>
          </w:tcPr>
          <w:p>
            <w:pPr>
              <w:pStyle w:val="TableParagraph"/>
              <w:spacing w:before="78"/>
              <w:ind w:left="108" w:right="559"/>
              <w:rPr>
                <w:sz w:val="20"/>
              </w:rPr>
            </w:pPr>
            <w:r>
              <w:rPr>
                <w:sz w:val="20"/>
              </w:rPr>
              <w:t>Provides</w:t>
            </w:r>
            <w:r>
              <w:rPr>
                <w:spacing w:val="-10"/>
                <w:sz w:val="20"/>
              </w:rPr>
              <w:t> </w:t>
            </w:r>
            <w:r>
              <w:rPr>
                <w:sz w:val="20"/>
              </w:rPr>
              <w:t>high</w:t>
            </w:r>
            <w:r>
              <w:rPr>
                <w:spacing w:val="-10"/>
                <w:sz w:val="20"/>
              </w:rPr>
              <w:t> </w:t>
            </w:r>
            <w:r>
              <w:rPr>
                <w:sz w:val="20"/>
              </w:rPr>
              <w:t>level</w:t>
            </w:r>
            <w:r>
              <w:rPr>
                <w:spacing w:val="-11"/>
                <w:sz w:val="20"/>
              </w:rPr>
              <w:t> </w:t>
            </w:r>
            <w:r>
              <w:rPr>
                <w:sz w:val="20"/>
              </w:rPr>
              <w:t>medium-</w:t>
            </w:r>
            <w:r>
              <w:rPr>
                <w:spacing w:val="-10"/>
                <w:sz w:val="20"/>
              </w:rPr>
              <w:t> </w:t>
            </w:r>
            <w:r>
              <w:rPr>
                <w:sz w:val="20"/>
              </w:rPr>
              <w:t>to long-term control of Feral Pig </w:t>
            </w:r>
            <w:r>
              <w:rPr>
                <w:spacing w:val="-2"/>
                <w:sz w:val="20"/>
              </w:rPr>
              <w:t>populations.</w:t>
            </w:r>
          </w:p>
        </w:tc>
        <w:tc>
          <w:tcPr>
            <w:tcW w:w="3402" w:type="dxa"/>
            <w:tcBorders>
              <w:top w:val="single" w:sz="4" w:space="0" w:color="000000"/>
              <w:bottom w:val="single" w:sz="4" w:space="0" w:color="000000"/>
            </w:tcBorders>
          </w:tcPr>
          <w:p>
            <w:pPr>
              <w:pStyle w:val="TableParagraph"/>
              <w:spacing w:before="78"/>
              <w:ind w:left="108" w:right="316"/>
              <w:rPr>
                <w:sz w:val="20"/>
              </w:rPr>
            </w:pPr>
            <w:r>
              <w:rPr>
                <w:sz w:val="20"/>
              </w:rPr>
              <w:t>Relatively</w:t>
            </w:r>
            <w:r>
              <w:rPr>
                <w:spacing w:val="-13"/>
                <w:sz w:val="20"/>
              </w:rPr>
              <w:t> </w:t>
            </w:r>
            <w:r>
              <w:rPr>
                <w:sz w:val="20"/>
              </w:rPr>
              <w:t>expensive.</w:t>
            </w:r>
            <w:r>
              <w:rPr>
                <w:spacing w:val="-14"/>
                <w:sz w:val="20"/>
              </w:rPr>
              <w:t> </w:t>
            </w:r>
            <w:r>
              <w:rPr>
                <w:sz w:val="20"/>
              </w:rPr>
              <w:t>Is</w:t>
            </w:r>
            <w:r>
              <w:rPr>
                <w:spacing w:val="-13"/>
                <w:sz w:val="20"/>
              </w:rPr>
              <w:t> </w:t>
            </w:r>
            <w:r>
              <w:rPr>
                <w:sz w:val="20"/>
              </w:rPr>
              <w:t>habitat- dependant and operationally complex to implement.</w:t>
            </w:r>
          </w:p>
        </w:tc>
      </w:tr>
      <w:tr>
        <w:trPr>
          <w:trHeight w:val="830" w:hRule="atLeast"/>
        </w:trPr>
        <w:tc>
          <w:tcPr>
            <w:tcW w:w="2100" w:type="dxa"/>
            <w:tcBorders>
              <w:top w:val="single" w:sz="4" w:space="0" w:color="000000"/>
              <w:bottom w:val="single" w:sz="4" w:space="0" w:color="000000"/>
            </w:tcBorders>
          </w:tcPr>
          <w:p>
            <w:pPr>
              <w:pStyle w:val="TableParagraph"/>
              <w:spacing w:before="78"/>
              <w:ind w:left="107"/>
              <w:rPr>
                <w:sz w:val="20"/>
              </w:rPr>
            </w:pPr>
            <w:r>
              <w:rPr>
                <w:spacing w:val="-2"/>
                <w:sz w:val="20"/>
              </w:rPr>
              <w:t>Trapping</w:t>
            </w:r>
          </w:p>
        </w:tc>
        <w:tc>
          <w:tcPr>
            <w:tcW w:w="2098" w:type="dxa"/>
            <w:tcBorders>
              <w:top w:val="single" w:sz="4" w:space="0" w:color="000000"/>
              <w:bottom w:val="single" w:sz="4" w:space="0" w:color="000000"/>
            </w:tcBorders>
            <w:shd w:val="clear" w:color="auto" w:fill="CCDBEA"/>
          </w:tcPr>
          <w:p>
            <w:pPr>
              <w:pStyle w:val="TableParagraph"/>
              <w:spacing w:before="78"/>
              <w:ind w:left="108" w:right="105"/>
              <w:rPr>
                <w:sz w:val="20"/>
              </w:rPr>
            </w:pPr>
            <w:r>
              <w:rPr>
                <w:sz w:val="20"/>
              </w:rPr>
              <w:t>Can</w:t>
            </w:r>
            <w:r>
              <w:rPr>
                <w:spacing w:val="-14"/>
                <w:sz w:val="20"/>
              </w:rPr>
              <w:t> </w:t>
            </w:r>
            <w:r>
              <w:rPr>
                <w:sz w:val="20"/>
              </w:rPr>
              <w:t>be</w:t>
            </w:r>
            <w:r>
              <w:rPr>
                <w:spacing w:val="-14"/>
                <w:sz w:val="20"/>
              </w:rPr>
              <w:t> </w:t>
            </w:r>
            <w:r>
              <w:rPr>
                <w:sz w:val="20"/>
              </w:rPr>
              <w:t>cost-effective in certain situations</w:t>
            </w:r>
          </w:p>
        </w:tc>
        <w:tc>
          <w:tcPr>
            <w:tcW w:w="3401" w:type="dxa"/>
            <w:tcBorders>
              <w:top w:val="single" w:sz="4" w:space="0" w:color="000000"/>
              <w:bottom w:val="single" w:sz="4" w:space="0" w:color="000000"/>
            </w:tcBorders>
          </w:tcPr>
          <w:p>
            <w:pPr>
              <w:pStyle w:val="TableParagraph"/>
              <w:spacing w:before="78"/>
              <w:ind w:left="108" w:right="303"/>
              <w:rPr>
                <w:sz w:val="20"/>
              </w:rPr>
            </w:pPr>
            <w:r>
              <w:rPr>
                <w:sz w:val="20"/>
              </w:rPr>
              <w:t>May</w:t>
            </w:r>
            <w:r>
              <w:rPr>
                <w:spacing w:val="-10"/>
                <w:sz w:val="20"/>
              </w:rPr>
              <w:t> </w:t>
            </w:r>
            <w:r>
              <w:rPr>
                <w:sz w:val="20"/>
              </w:rPr>
              <w:t>catch</w:t>
            </w:r>
            <w:r>
              <w:rPr>
                <w:spacing w:val="-11"/>
                <w:sz w:val="20"/>
              </w:rPr>
              <w:t> </w:t>
            </w:r>
            <w:r>
              <w:rPr>
                <w:sz w:val="20"/>
              </w:rPr>
              <w:t>non-target</w:t>
            </w:r>
            <w:r>
              <w:rPr>
                <w:spacing w:val="-11"/>
                <w:sz w:val="20"/>
              </w:rPr>
              <w:t> </w:t>
            </w:r>
            <w:r>
              <w:rPr>
                <w:sz w:val="20"/>
              </w:rPr>
              <w:t>animals.</w:t>
            </w:r>
            <w:r>
              <w:rPr>
                <w:spacing w:val="-11"/>
                <w:sz w:val="20"/>
              </w:rPr>
              <w:t> </w:t>
            </w:r>
            <w:r>
              <w:rPr>
                <w:sz w:val="20"/>
              </w:rPr>
              <w:t>No non-target impacts.</w:t>
            </w:r>
          </w:p>
        </w:tc>
        <w:tc>
          <w:tcPr>
            <w:tcW w:w="3404" w:type="dxa"/>
            <w:tcBorders>
              <w:top w:val="single" w:sz="4" w:space="0" w:color="000000"/>
              <w:bottom w:val="single" w:sz="4" w:space="0" w:color="000000"/>
            </w:tcBorders>
            <w:shd w:val="clear" w:color="auto" w:fill="CCDBEA"/>
          </w:tcPr>
          <w:p>
            <w:pPr>
              <w:pStyle w:val="TableParagraph"/>
              <w:spacing w:before="78"/>
              <w:ind w:left="108" w:right="222"/>
              <w:rPr>
                <w:sz w:val="20"/>
              </w:rPr>
            </w:pPr>
            <w:r>
              <w:rPr>
                <w:sz w:val="20"/>
              </w:rPr>
              <w:t>Important</w:t>
            </w:r>
            <w:r>
              <w:rPr>
                <w:spacing w:val="-14"/>
                <w:sz w:val="20"/>
              </w:rPr>
              <w:t> </w:t>
            </w:r>
            <w:r>
              <w:rPr>
                <w:sz w:val="20"/>
              </w:rPr>
              <w:t>control</w:t>
            </w:r>
            <w:r>
              <w:rPr>
                <w:spacing w:val="-14"/>
                <w:sz w:val="20"/>
              </w:rPr>
              <w:t> </w:t>
            </w:r>
            <w:r>
              <w:rPr>
                <w:sz w:val="20"/>
              </w:rPr>
              <w:t>technique</w:t>
            </w:r>
            <w:r>
              <w:rPr>
                <w:spacing w:val="-14"/>
                <w:sz w:val="20"/>
              </w:rPr>
              <w:t> </w:t>
            </w:r>
            <w:r>
              <w:rPr>
                <w:sz w:val="20"/>
              </w:rPr>
              <w:t>in areas where baiting or aerial shooting is not possible.</w:t>
            </w:r>
          </w:p>
        </w:tc>
        <w:tc>
          <w:tcPr>
            <w:tcW w:w="3402" w:type="dxa"/>
            <w:tcBorders>
              <w:top w:val="single" w:sz="4" w:space="0" w:color="000000"/>
              <w:bottom w:val="single" w:sz="4" w:space="0" w:color="000000"/>
            </w:tcBorders>
          </w:tcPr>
          <w:p>
            <w:pPr>
              <w:pStyle w:val="TableParagraph"/>
              <w:spacing w:before="78"/>
              <w:ind w:left="108"/>
              <w:rPr>
                <w:sz w:val="20"/>
              </w:rPr>
            </w:pPr>
            <w:r>
              <w:rPr>
                <w:sz w:val="20"/>
              </w:rPr>
              <w:t>Not</w:t>
            </w:r>
            <w:r>
              <w:rPr>
                <w:spacing w:val="-8"/>
                <w:sz w:val="20"/>
              </w:rPr>
              <w:t> </w:t>
            </w:r>
            <w:r>
              <w:rPr>
                <w:sz w:val="20"/>
              </w:rPr>
              <w:t>practical</w:t>
            </w:r>
            <w:r>
              <w:rPr>
                <w:spacing w:val="-8"/>
                <w:sz w:val="20"/>
              </w:rPr>
              <w:t> </w:t>
            </w:r>
            <w:r>
              <w:rPr>
                <w:sz w:val="20"/>
              </w:rPr>
              <w:t>for</w:t>
            </w:r>
            <w:r>
              <w:rPr>
                <w:spacing w:val="-7"/>
                <w:sz w:val="20"/>
              </w:rPr>
              <w:t> </w:t>
            </w:r>
            <w:r>
              <w:rPr>
                <w:sz w:val="20"/>
              </w:rPr>
              <w:t>large-scale</w:t>
            </w:r>
            <w:r>
              <w:rPr>
                <w:spacing w:val="-5"/>
                <w:sz w:val="20"/>
              </w:rPr>
              <w:t> </w:t>
            </w:r>
            <w:r>
              <w:rPr>
                <w:spacing w:val="-2"/>
                <w:sz w:val="20"/>
              </w:rPr>
              <w:t>control.</w:t>
            </w:r>
          </w:p>
        </w:tc>
      </w:tr>
    </w:tbl>
    <w:p>
      <w:pPr>
        <w:spacing w:after="0"/>
        <w:rPr>
          <w:sz w:val="20"/>
        </w:rPr>
        <w:sectPr>
          <w:footerReference w:type="even" r:id="rId45"/>
          <w:pgSz w:w="16850" w:h="11910" w:orient="landscape"/>
          <w:pgMar w:header="0" w:footer="686" w:top="1100" w:bottom="880" w:left="1020" w:right="1020"/>
          <w:pgNumType w:start="46"/>
        </w:sectPr>
      </w:pPr>
    </w:p>
    <w:p>
      <w:pPr>
        <w:pStyle w:val="Heading2"/>
        <w:numPr>
          <w:ilvl w:val="0"/>
          <w:numId w:val="14"/>
        </w:numPr>
        <w:tabs>
          <w:tab w:pos="678" w:val="left" w:leader="none"/>
        </w:tabs>
        <w:spacing w:line="240" w:lineRule="auto" w:before="61" w:after="0"/>
        <w:ind w:left="678" w:right="0" w:hanging="566"/>
        <w:jc w:val="left"/>
      </w:pPr>
      <w:bookmarkStart w:name="_TOC_250044" w:id="61"/>
      <w:r>
        <w:rPr>
          <w:color w:val="001F5F"/>
        </w:rPr>
        <w:t>Lethal</w:t>
      </w:r>
      <w:r>
        <w:rPr>
          <w:color w:val="001F5F"/>
          <w:spacing w:val="-12"/>
        </w:rPr>
        <w:t> </w:t>
      </w:r>
      <w:r>
        <w:rPr>
          <w:color w:val="001F5F"/>
        </w:rPr>
        <w:t>methods</w:t>
      </w:r>
      <w:r>
        <w:rPr>
          <w:color w:val="001F5F"/>
          <w:spacing w:val="-10"/>
        </w:rPr>
        <w:t> </w:t>
      </w:r>
      <w:r>
        <w:rPr>
          <w:color w:val="001F5F"/>
        </w:rPr>
        <w:t>for</w:t>
      </w:r>
      <w:r>
        <w:rPr>
          <w:color w:val="001F5F"/>
          <w:spacing w:val="-11"/>
        </w:rPr>
        <w:t> </w:t>
      </w:r>
      <w:r>
        <w:rPr>
          <w:color w:val="001F5F"/>
        </w:rPr>
        <w:t>managing</w:t>
      </w:r>
      <w:r>
        <w:rPr>
          <w:color w:val="001F5F"/>
          <w:spacing w:val="-11"/>
        </w:rPr>
        <w:t> </w:t>
      </w:r>
      <w:bookmarkEnd w:id="61"/>
      <w:r>
        <w:rPr>
          <w:color w:val="001F5F"/>
          <w:spacing w:val="-2"/>
        </w:rPr>
        <w:t>foxes</w:t>
      </w:r>
    </w:p>
    <w:p>
      <w:pPr>
        <w:pStyle w:val="BodyText"/>
        <w:spacing w:before="280"/>
        <w:rPr>
          <w:b/>
          <w:sz w:val="32"/>
        </w:rPr>
      </w:pPr>
    </w:p>
    <w:p>
      <w:pPr>
        <w:pStyle w:val="Heading3"/>
        <w:ind w:left="112" w:firstLine="0"/>
      </w:pPr>
      <w:bookmarkStart w:name="_TOC_250043" w:id="62"/>
      <w:r>
        <w:rPr>
          <w:color w:val="2D1E66"/>
        </w:rPr>
        <w:t>10.1</w:t>
      </w:r>
      <w:r>
        <w:rPr>
          <w:color w:val="2D1E66"/>
          <w:spacing w:val="37"/>
        </w:rPr>
        <w:t> </w:t>
      </w:r>
      <w:bookmarkEnd w:id="62"/>
      <w:r>
        <w:rPr>
          <w:color w:val="2D1E66"/>
          <w:spacing w:val="-4"/>
        </w:rPr>
        <w:t>1080</w:t>
      </w:r>
    </w:p>
    <w:p>
      <w:pPr>
        <w:pStyle w:val="BodyText"/>
        <w:spacing w:before="112"/>
        <w:ind w:left="112" w:right="142"/>
      </w:pPr>
      <w:r>
        <w:rPr/>
        <w:t>1080 baiting is the most widely utilised tool for managing fox populations across Australia (Reddiex et al. 2006; Saunders et al. 2010). In Victoria, 68% of public land managers and 48% of commercial farms authorised to use 1080 employ 1080 baiting as their primary method for controlling foxes (Quantum Market Research</w:t>
      </w:r>
      <w:r>
        <w:rPr>
          <w:spacing w:val="-4"/>
        </w:rPr>
        <w:t> </w:t>
      </w:r>
      <w:r>
        <w:rPr/>
        <w:t>2024).</w:t>
      </w:r>
      <w:r>
        <w:rPr>
          <w:spacing w:val="-4"/>
        </w:rPr>
        <w:t> </w:t>
      </w:r>
      <w:r>
        <w:rPr/>
        <w:t>This</w:t>
      </w:r>
      <w:r>
        <w:rPr>
          <w:spacing w:val="-3"/>
        </w:rPr>
        <w:t> </w:t>
      </w:r>
      <w:r>
        <w:rPr/>
        <w:t>method</w:t>
      </w:r>
      <w:r>
        <w:rPr>
          <w:spacing w:val="-5"/>
        </w:rPr>
        <w:t> </w:t>
      </w:r>
      <w:r>
        <w:rPr/>
        <w:t>is</w:t>
      </w:r>
      <w:r>
        <w:rPr>
          <w:spacing w:val="-3"/>
        </w:rPr>
        <w:t> </w:t>
      </w:r>
      <w:r>
        <w:rPr/>
        <w:t>considered</w:t>
      </w:r>
      <w:r>
        <w:rPr>
          <w:spacing w:val="-5"/>
        </w:rPr>
        <w:t> </w:t>
      </w:r>
      <w:r>
        <w:rPr/>
        <w:t>the</w:t>
      </w:r>
      <w:r>
        <w:rPr>
          <w:spacing w:val="-5"/>
        </w:rPr>
        <w:t> </w:t>
      </w:r>
      <w:r>
        <w:rPr/>
        <w:t>most</w:t>
      </w:r>
      <w:r>
        <w:rPr>
          <w:spacing w:val="-4"/>
        </w:rPr>
        <w:t> </w:t>
      </w:r>
      <w:r>
        <w:rPr/>
        <w:t>cost-effective</w:t>
      </w:r>
      <w:r>
        <w:rPr>
          <w:spacing w:val="-2"/>
        </w:rPr>
        <w:t> </w:t>
      </w:r>
      <w:r>
        <w:rPr/>
        <w:t>and</w:t>
      </w:r>
      <w:r>
        <w:rPr>
          <w:spacing w:val="-2"/>
        </w:rPr>
        <w:t> </w:t>
      </w:r>
      <w:r>
        <w:rPr/>
        <w:t>efficient</w:t>
      </w:r>
      <w:r>
        <w:rPr>
          <w:spacing w:val="-4"/>
        </w:rPr>
        <w:t> </w:t>
      </w:r>
      <w:r>
        <w:rPr/>
        <w:t>approach</w:t>
      </w:r>
      <w:r>
        <w:rPr>
          <w:spacing w:val="-4"/>
        </w:rPr>
        <w:t> </w:t>
      </w:r>
      <w:r>
        <w:rPr/>
        <w:t>currently</w:t>
      </w:r>
      <w:r>
        <w:rPr>
          <w:spacing w:val="-3"/>
        </w:rPr>
        <w:t> </w:t>
      </w:r>
      <w:r>
        <w:rPr/>
        <w:t>available for reducing fox numbers, thereby protecting biodiversity and agricultural values (Saunders et al. 2010).</w:t>
      </w:r>
    </w:p>
    <w:p>
      <w:pPr>
        <w:pStyle w:val="BodyText"/>
        <w:spacing w:before="120"/>
        <w:ind w:left="112"/>
      </w:pPr>
      <w:r>
        <w:rPr/>
        <w:t>In</w:t>
      </w:r>
      <w:r>
        <w:rPr>
          <w:spacing w:val="-8"/>
        </w:rPr>
        <w:t> </w:t>
      </w:r>
      <w:r>
        <w:rPr/>
        <w:t>Victoria,</w:t>
      </w:r>
      <w:r>
        <w:rPr>
          <w:spacing w:val="-6"/>
        </w:rPr>
        <w:t> </w:t>
      </w:r>
      <w:r>
        <w:rPr/>
        <w:t>three</w:t>
      </w:r>
      <w:r>
        <w:rPr>
          <w:spacing w:val="-7"/>
        </w:rPr>
        <w:t> </w:t>
      </w:r>
      <w:r>
        <w:rPr/>
        <w:t>types</w:t>
      </w:r>
      <w:r>
        <w:rPr>
          <w:spacing w:val="-4"/>
        </w:rPr>
        <w:t> </w:t>
      </w:r>
      <w:r>
        <w:rPr/>
        <w:t>of</w:t>
      </w:r>
      <w:r>
        <w:rPr>
          <w:spacing w:val="-6"/>
        </w:rPr>
        <w:t> </w:t>
      </w:r>
      <w:r>
        <w:rPr/>
        <w:t>1080</w:t>
      </w:r>
      <w:r>
        <w:rPr>
          <w:spacing w:val="-5"/>
        </w:rPr>
        <w:t> </w:t>
      </w:r>
      <w:r>
        <w:rPr/>
        <w:t>bait</w:t>
      </w:r>
      <w:r>
        <w:rPr>
          <w:spacing w:val="-6"/>
        </w:rPr>
        <w:t> </w:t>
      </w:r>
      <w:r>
        <w:rPr/>
        <w:t>products</w:t>
      </w:r>
      <w:r>
        <w:rPr>
          <w:spacing w:val="-6"/>
        </w:rPr>
        <w:t> </w:t>
      </w:r>
      <w:r>
        <w:rPr/>
        <w:t>are</w:t>
      </w:r>
      <w:r>
        <w:rPr>
          <w:spacing w:val="-7"/>
        </w:rPr>
        <w:t> </w:t>
      </w:r>
      <w:r>
        <w:rPr/>
        <w:t>registered</w:t>
      </w:r>
      <w:r>
        <w:rPr>
          <w:spacing w:val="-6"/>
        </w:rPr>
        <w:t> </w:t>
      </w:r>
      <w:r>
        <w:rPr/>
        <w:t>for</w:t>
      </w:r>
      <w:r>
        <w:rPr>
          <w:spacing w:val="-4"/>
        </w:rPr>
        <w:t> </w:t>
      </w:r>
      <w:r>
        <w:rPr/>
        <w:t>fox</w:t>
      </w:r>
      <w:r>
        <w:rPr>
          <w:spacing w:val="-6"/>
        </w:rPr>
        <w:t> </w:t>
      </w:r>
      <w:r>
        <w:rPr>
          <w:spacing w:val="-2"/>
        </w:rPr>
        <w:t>control:</w:t>
      </w:r>
    </w:p>
    <w:p>
      <w:pPr>
        <w:pStyle w:val="ListParagraph"/>
        <w:numPr>
          <w:ilvl w:val="0"/>
          <w:numId w:val="15"/>
        </w:numPr>
        <w:tabs>
          <w:tab w:pos="831" w:val="left" w:leader="none"/>
          <w:tab w:pos="833" w:val="left" w:leader="none"/>
        </w:tabs>
        <w:spacing w:line="280" w:lineRule="auto" w:before="152" w:after="0"/>
        <w:ind w:left="833" w:right="302" w:hanging="360"/>
        <w:jc w:val="left"/>
        <w:rPr>
          <w:sz w:val="20"/>
        </w:rPr>
      </w:pPr>
      <w:r>
        <w:rPr>
          <w:sz w:val="20"/>
        </w:rPr>
        <w:t>Shelf-stable</w:t>
      </w:r>
      <w:r>
        <w:rPr>
          <w:spacing w:val="-3"/>
          <w:sz w:val="20"/>
        </w:rPr>
        <w:t> </w:t>
      </w:r>
      <w:r>
        <w:rPr>
          <w:sz w:val="20"/>
        </w:rPr>
        <w:t>baits</w:t>
      </w:r>
      <w:r>
        <w:rPr>
          <w:spacing w:val="-4"/>
          <w:sz w:val="20"/>
        </w:rPr>
        <w:t> </w:t>
      </w:r>
      <w:r>
        <w:rPr>
          <w:sz w:val="20"/>
        </w:rPr>
        <w:t>(FOXOFF®,</w:t>
      </w:r>
      <w:r>
        <w:rPr>
          <w:spacing w:val="-5"/>
          <w:sz w:val="20"/>
        </w:rPr>
        <w:t> </w:t>
      </w:r>
      <w:r>
        <w:rPr>
          <w:sz w:val="20"/>
        </w:rPr>
        <w:t>FOXSHIELD,</w:t>
      </w:r>
      <w:r>
        <w:rPr>
          <w:spacing w:val="-3"/>
          <w:sz w:val="20"/>
        </w:rPr>
        <w:t> </w:t>
      </w:r>
      <w:r>
        <w:rPr>
          <w:sz w:val="20"/>
        </w:rPr>
        <w:t>ACTA</w:t>
      </w:r>
      <w:r>
        <w:rPr>
          <w:spacing w:val="-5"/>
          <w:sz w:val="20"/>
        </w:rPr>
        <w:t> </w:t>
      </w:r>
      <w:r>
        <w:rPr>
          <w:sz w:val="20"/>
        </w:rPr>
        <w:t>1080</w:t>
      </w:r>
      <w:r>
        <w:rPr>
          <w:spacing w:val="-5"/>
          <w:sz w:val="20"/>
        </w:rPr>
        <w:t> </w:t>
      </w:r>
      <w:r>
        <w:rPr>
          <w:sz w:val="20"/>
        </w:rPr>
        <w:t>Dried</w:t>
      </w:r>
      <w:r>
        <w:rPr>
          <w:spacing w:val="-4"/>
          <w:sz w:val="20"/>
        </w:rPr>
        <w:t> </w:t>
      </w:r>
      <w:r>
        <w:rPr>
          <w:sz w:val="20"/>
        </w:rPr>
        <w:t>Meat</w:t>
      </w:r>
      <w:r>
        <w:rPr>
          <w:spacing w:val="-3"/>
          <w:sz w:val="20"/>
        </w:rPr>
        <w:t> </w:t>
      </w:r>
      <w:r>
        <w:rPr>
          <w:sz w:val="20"/>
        </w:rPr>
        <w:t>Fox</w:t>
      </w:r>
      <w:r>
        <w:rPr>
          <w:spacing w:val="-3"/>
          <w:sz w:val="20"/>
        </w:rPr>
        <w:t> </w:t>
      </w:r>
      <w:r>
        <w:rPr>
          <w:sz w:val="20"/>
        </w:rPr>
        <w:t>Baits</w:t>
      </w:r>
      <w:r>
        <w:rPr>
          <w:spacing w:val="-1"/>
          <w:sz w:val="20"/>
        </w:rPr>
        <w:t> </w:t>
      </w:r>
      <w:r>
        <w:rPr>
          <w:sz w:val="20"/>
        </w:rPr>
        <w:t>and</w:t>
      </w:r>
      <w:r>
        <w:rPr>
          <w:spacing w:val="-5"/>
          <w:sz w:val="20"/>
        </w:rPr>
        <w:t> </w:t>
      </w:r>
      <w:r>
        <w:rPr>
          <w:sz w:val="20"/>
        </w:rPr>
        <w:t>DeFox®)</w:t>
      </w:r>
      <w:r>
        <w:rPr>
          <w:spacing w:val="-2"/>
          <w:sz w:val="20"/>
        </w:rPr>
        <w:t> </w:t>
      </w:r>
      <w:r>
        <w:rPr>
          <w:sz w:val="20"/>
        </w:rPr>
        <w:t>made from dried, manufactured meat.</w:t>
      </w:r>
    </w:p>
    <w:p>
      <w:pPr>
        <w:pStyle w:val="ListParagraph"/>
        <w:numPr>
          <w:ilvl w:val="0"/>
          <w:numId w:val="15"/>
        </w:numPr>
        <w:tabs>
          <w:tab w:pos="831" w:val="left" w:leader="none"/>
        </w:tabs>
        <w:spacing w:line="240" w:lineRule="auto" w:before="2" w:after="0"/>
        <w:ind w:left="831" w:right="0" w:hanging="358"/>
        <w:jc w:val="left"/>
        <w:rPr>
          <w:sz w:val="20"/>
        </w:rPr>
      </w:pPr>
      <w:r>
        <w:rPr>
          <w:sz w:val="20"/>
        </w:rPr>
        <w:t>Perishable</w:t>
      </w:r>
      <w:r>
        <w:rPr>
          <w:spacing w:val="-6"/>
          <w:sz w:val="20"/>
        </w:rPr>
        <w:t> </w:t>
      </w:r>
      <w:r>
        <w:rPr>
          <w:sz w:val="20"/>
        </w:rPr>
        <w:t>baits</w:t>
      </w:r>
      <w:r>
        <w:rPr>
          <w:spacing w:val="-5"/>
          <w:sz w:val="20"/>
        </w:rPr>
        <w:t> </w:t>
      </w:r>
      <w:r>
        <w:rPr>
          <w:sz w:val="20"/>
        </w:rPr>
        <w:t>(short-life</w:t>
      </w:r>
      <w:r>
        <w:rPr>
          <w:spacing w:val="-3"/>
          <w:sz w:val="20"/>
        </w:rPr>
        <w:t> </w:t>
      </w:r>
      <w:r>
        <w:rPr>
          <w:sz w:val="20"/>
        </w:rPr>
        <w:t>or</w:t>
      </w:r>
      <w:r>
        <w:rPr>
          <w:spacing w:val="-6"/>
          <w:sz w:val="20"/>
        </w:rPr>
        <w:t> </w:t>
      </w:r>
      <w:r>
        <w:rPr>
          <w:sz w:val="20"/>
        </w:rPr>
        <w:t>fresh</w:t>
      </w:r>
      <w:r>
        <w:rPr>
          <w:spacing w:val="-6"/>
          <w:sz w:val="20"/>
        </w:rPr>
        <w:t> </w:t>
      </w:r>
      <w:r>
        <w:rPr>
          <w:sz w:val="20"/>
        </w:rPr>
        <w:t>liver</w:t>
      </w:r>
      <w:r>
        <w:rPr>
          <w:spacing w:val="-6"/>
          <w:sz w:val="20"/>
        </w:rPr>
        <w:t> </w:t>
      </w:r>
      <w:r>
        <w:rPr>
          <w:sz w:val="20"/>
        </w:rPr>
        <w:t>baits)</w:t>
      </w:r>
      <w:r>
        <w:rPr>
          <w:spacing w:val="-5"/>
          <w:sz w:val="20"/>
        </w:rPr>
        <w:t> </w:t>
      </w:r>
      <w:r>
        <w:rPr>
          <w:sz w:val="20"/>
        </w:rPr>
        <w:t>that</w:t>
      </w:r>
      <w:r>
        <w:rPr>
          <w:spacing w:val="-6"/>
          <w:sz w:val="20"/>
        </w:rPr>
        <w:t> </w:t>
      </w:r>
      <w:r>
        <w:rPr>
          <w:sz w:val="20"/>
        </w:rPr>
        <w:t>must</w:t>
      </w:r>
      <w:r>
        <w:rPr>
          <w:spacing w:val="-5"/>
          <w:sz w:val="20"/>
        </w:rPr>
        <w:t> </w:t>
      </w:r>
      <w:r>
        <w:rPr>
          <w:sz w:val="20"/>
        </w:rPr>
        <w:t>be</w:t>
      </w:r>
      <w:r>
        <w:rPr>
          <w:spacing w:val="-6"/>
          <w:sz w:val="20"/>
        </w:rPr>
        <w:t> </w:t>
      </w:r>
      <w:r>
        <w:rPr>
          <w:sz w:val="20"/>
        </w:rPr>
        <w:t>used</w:t>
      </w:r>
      <w:r>
        <w:rPr>
          <w:spacing w:val="-6"/>
          <w:sz w:val="20"/>
        </w:rPr>
        <w:t> </w:t>
      </w:r>
      <w:r>
        <w:rPr>
          <w:sz w:val="20"/>
        </w:rPr>
        <w:t>within</w:t>
      </w:r>
      <w:r>
        <w:rPr>
          <w:spacing w:val="-6"/>
          <w:sz w:val="20"/>
        </w:rPr>
        <w:t> </w:t>
      </w:r>
      <w:r>
        <w:rPr>
          <w:sz w:val="20"/>
        </w:rPr>
        <w:t>three</w:t>
      </w:r>
      <w:r>
        <w:rPr>
          <w:spacing w:val="-7"/>
          <w:sz w:val="20"/>
        </w:rPr>
        <w:t> </w:t>
      </w:r>
      <w:r>
        <w:rPr>
          <w:sz w:val="20"/>
        </w:rPr>
        <w:t>days</w:t>
      </w:r>
      <w:r>
        <w:rPr>
          <w:spacing w:val="-5"/>
          <w:sz w:val="20"/>
        </w:rPr>
        <w:t> </w:t>
      </w:r>
      <w:r>
        <w:rPr>
          <w:sz w:val="20"/>
        </w:rPr>
        <w:t>of</w:t>
      </w:r>
      <w:r>
        <w:rPr>
          <w:spacing w:val="-6"/>
          <w:sz w:val="20"/>
        </w:rPr>
        <w:t> </w:t>
      </w:r>
      <w:r>
        <w:rPr>
          <w:spacing w:val="-2"/>
          <w:sz w:val="20"/>
        </w:rPr>
        <w:t>production.</w:t>
      </w:r>
    </w:p>
    <w:p>
      <w:pPr>
        <w:pStyle w:val="ListParagraph"/>
        <w:numPr>
          <w:ilvl w:val="0"/>
          <w:numId w:val="15"/>
        </w:numPr>
        <w:tabs>
          <w:tab w:pos="831" w:val="left" w:leader="none"/>
        </w:tabs>
        <w:spacing w:line="240" w:lineRule="auto" w:before="41" w:after="0"/>
        <w:ind w:left="831" w:right="0" w:hanging="358"/>
        <w:jc w:val="left"/>
        <w:rPr>
          <w:sz w:val="20"/>
        </w:rPr>
      </w:pPr>
      <w:r>
        <w:rPr>
          <w:sz w:val="20"/>
        </w:rPr>
        <w:t>Capsules</w:t>
      </w:r>
      <w:r>
        <w:rPr>
          <w:spacing w:val="-7"/>
          <w:sz w:val="20"/>
        </w:rPr>
        <w:t> </w:t>
      </w:r>
      <w:r>
        <w:rPr>
          <w:sz w:val="20"/>
        </w:rPr>
        <w:t>containing</w:t>
      </w:r>
      <w:r>
        <w:rPr>
          <w:spacing w:val="-7"/>
          <w:sz w:val="20"/>
        </w:rPr>
        <w:t> </w:t>
      </w:r>
      <w:r>
        <w:rPr>
          <w:sz w:val="20"/>
        </w:rPr>
        <w:t>1080,</w:t>
      </w:r>
      <w:r>
        <w:rPr>
          <w:spacing w:val="-6"/>
          <w:sz w:val="20"/>
        </w:rPr>
        <w:t> </w:t>
      </w:r>
      <w:r>
        <w:rPr>
          <w:sz w:val="20"/>
        </w:rPr>
        <w:t>designed</w:t>
      </w:r>
      <w:r>
        <w:rPr>
          <w:spacing w:val="-5"/>
          <w:sz w:val="20"/>
        </w:rPr>
        <w:t> </w:t>
      </w:r>
      <w:r>
        <w:rPr>
          <w:sz w:val="20"/>
        </w:rPr>
        <w:t>for</w:t>
      </w:r>
      <w:r>
        <w:rPr>
          <w:spacing w:val="-8"/>
          <w:sz w:val="20"/>
        </w:rPr>
        <w:t> </w:t>
      </w:r>
      <w:r>
        <w:rPr>
          <w:sz w:val="20"/>
        </w:rPr>
        <w:t>use</w:t>
      </w:r>
      <w:r>
        <w:rPr>
          <w:spacing w:val="-5"/>
          <w:sz w:val="20"/>
        </w:rPr>
        <w:t> </w:t>
      </w:r>
      <w:r>
        <w:rPr>
          <w:sz w:val="20"/>
        </w:rPr>
        <w:t>in</w:t>
      </w:r>
      <w:r>
        <w:rPr>
          <w:spacing w:val="-8"/>
          <w:sz w:val="20"/>
        </w:rPr>
        <w:t> </w:t>
      </w:r>
      <w:r>
        <w:rPr>
          <w:sz w:val="20"/>
        </w:rPr>
        <w:t>canid</w:t>
      </w:r>
      <w:r>
        <w:rPr>
          <w:spacing w:val="-7"/>
          <w:sz w:val="20"/>
        </w:rPr>
        <w:t> </w:t>
      </w:r>
      <w:r>
        <w:rPr>
          <w:sz w:val="20"/>
        </w:rPr>
        <w:t>pest</w:t>
      </w:r>
      <w:r>
        <w:rPr>
          <w:spacing w:val="-7"/>
          <w:sz w:val="20"/>
        </w:rPr>
        <w:t> </w:t>
      </w:r>
      <w:r>
        <w:rPr>
          <w:sz w:val="20"/>
        </w:rPr>
        <w:t>ejectors</w:t>
      </w:r>
      <w:r>
        <w:rPr>
          <w:spacing w:val="-6"/>
          <w:sz w:val="20"/>
        </w:rPr>
        <w:t> </w:t>
      </w:r>
      <w:r>
        <w:rPr>
          <w:spacing w:val="-2"/>
          <w:sz w:val="20"/>
        </w:rPr>
        <w:t>(CPEs).</w:t>
      </w:r>
    </w:p>
    <w:p>
      <w:pPr>
        <w:pStyle w:val="BodyText"/>
        <w:spacing w:before="128"/>
        <w:ind w:left="112"/>
      </w:pPr>
      <w:r>
        <w:rPr/>
        <w:t>Shelf-stable</w:t>
      </w:r>
      <w:r>
        <w:rPr>
          <w:spacing w:val="-1"/>
        </w:rPr>
        <w:t> </w:t>
      </w:r>
      <w:r>
        <w:rPr/>
        <w:t>and</w:t>
      </w:r>
      <w:r>
        <w:rPr>
          <w:spacing w:val="-1"/>
        </w:rPr>
        <w:t> </w:t>
      </w:r>
      <w:r>
        <w:rPr/>
        <w:t>perishable bait</w:t>
      </w:r>
      <w:r>
        <w:rPr>
          <w:spacing w:val="-3"/>
        </w:rPr>
        <w:t> </w:t>
      </w:r>
      <w:r>
        <w:rPr/>
        <w:t>types</w:t>
      </w:r>
      <w:r>
        <w:rPr>
          <w:spacing w:val="-2"/>
        </w:rPr>
        <w:t> </w:t>
      </w:r>
      <w:r>
        <w:rPr/>
        <w:t>must</w:t>
      </w:r>
      <w:r>
        <w:rPr>
          <w:spacing w:val="-3"/>
        </w:rPr>
        <w:t> </w:t>
      </w:r>
      <w:r>
        <w:rPr/>
        <w:t>be</w:t>
      </w:r>
      <w:r>
        <w:rPr>
          <w:spacing w:val="-1"/>
        </w:rPr>
        <w:t> </w:t>
      </w:r>
      <w:r>
        <w:rPr/>
        <w:t>buried</w:t>
      </w:r>
      <w:r>
        <w:rPr>
          <w:spacing w:val="-2"/>
        </w:rPr>
        <w:t> </w:t>
      </w:r>
      <w:r>
        <w:rPr/>
        <w:t>to a</w:t>
      </w:r>
      <w:r>
        <w:rPr>
          <w:spacing w:val="-3"/>
        </w:rPr>
        <w:t> </w:t>
      </w:r>
      <w:r>
        <w:rPr/>
        <w:t>depth</w:t>
      </w:r>
      <w:r>
        <w:rPr>
          <w:spacing w:val="-3"/>
        </w:rPr>
        <w:t> </w:t>
      </w:r>
      <w:r>
        <w:rPr/>
        <w:t>of 8</w:t>
      </w:r>
      <w:r>
        <w:rPr>
          <w:spacing w:val="-3"/>
        </w:rPr>
        <w:t> </w:t>
      </w:r>
      <w:r>
        <w:rPr/>
        <w:t>–</w:t>
      </w:r>
      <w:r>
        <w:rPr>
          <w:spacing w:val="-1"/>
        </w:rPr>
        <w:t> </w:t>
      </w:r>
      <w:r>
        <w:rPr/>
        <w:t>10</w:t>
      </w:r>
      <w:r>
        <w:rPr>
          <w:spacing w:val="-3"/>
        </w:rPr>
        <w:t> </w:t>
      </w:r>
      <w:r>
        <w:rPr/>
        <w:t>cm</w:t>
      </w:r>
      <w:r>
        <w:rPr>
          <w:spacing w:val="-1"/>
        </w:rPr>
        <w:t> </w:t>
      </w:r>
      <w:r>
        <w:rPr/>
        <w:t>to</w:t>
      </w:r>
      <w:r>
        <w:rPr>
          <w:spacing w:val="-3"/>
        </w:rPr>
        <w:t> </w:t>
      </w:r>
      <w:r>
        <w:rPr/>
        <w:t>reduce</w:t>
      </w:r>
      <w:r>
        <w:rPr>
          <w:spacing w:val="-3"/>
        </w:rPr>
        <w:t> </w:t>
      </w:r>
      <w:r>
        <w:rPr/>
        <w:t>uptake</w:t>
      </w:r>
      <w:r>
        <w:rPr>
          <w:spacing w:val="-1"/>
        </w:rPr>
        <w:t> </w:t>
      </w:r>
      <w:r>
        <w:rPr/>
        <w:t>by</w:t>
      </w:r>
      <w:r>
        <w:rPr>
          <w:spacing w:val="-2"/>
        </w:rPr>
        <w:t> </w:t>
      </w:r>
      <w:r>
        <w:rPr/>
        <w:t>non-target species (Allen et al. 1989; Bloomfield 1999). Aerial baiting for foxes in Victoria is not permitted.</w:t>
      </w:r>
    </w:p>
    <w:p>
      <w:pPr>
        <w:pStyle w:val="BodyText"/>
        <w:spacing w:before="121"/>
        <w:ind w:left="112" w:right="133"/>
      </w:pPr>
      <w:r>
        <w:rPr/>
        <w:t>More</w:t>
      </w:r>
      <w:r>
        <w:rPr>
          <w:spacing w:val="-3"/>
        </w:rPr>
        <w:t> </w:t>
      </w:r>
      <w:r>
        <w:rPr/>
        <w:t>than</w:t>
      </w:r>
      <w:r>
        <w:rPr>
          <w:spacing w:val="-1"/>
        </w:rPr>
        <w:t> </w:t>
      </w:r>
      <w:r>
        <w:rPr/>
        <w:t>30</w:t>
      </w:r>
      <w:r>
        <w:rPr>
          <w:spacing w:val="-3"/>
        </w:rPr>
        <w:t> </w:t>
      </w:r>
      <w:r>
        <w:rPr/>
        <w:t>studies</w:t>
      </w:r>
      <w:r>
        <w:rPr>
          <w:spacing w:val="-2"/>
        </w:rPr>
        <w:t> </w:t>
      </w:r>
      <w:r>
        <w:rPr/>
        <w:t>have</w:t>
      </w:r>
      <w:r>
        <w:rPr>
          <w:spacing w:val="-1"/>
        </w:rPr>
        <w:t> </w:t>
      </w:r>
      <w:r>
        <w:rPr/>
        <w:t>examined</w:t>
      </w:r>
      <w:r>
        <w:rPr>
          <w:spacing w:val="-1"/>
        </w:rPr>
        <w:t> </w:t>
      </w:r>
      <w:r>
        <w:rPr/>
        <w:t>the</w:t>
      </w:r>
      <w:r>
        <w:rPr>
          <w:spacing w:val="-1"/>
        </w:rPr>
        <w:t> </w:t>
      </w:r>
      <w:r>
        <w:rPr/>
        <w:t>effectiveness</w:t>
      </w:r>
      <w:r>
        <w:rPr>
          <w:spacing w:val="-2"/>
        </w:rPr>
        <w:t> </w:t>
      </w:r>
      <w:r>
        <w:rPr/>
        <w:t>of</w:t>
      </w:r>
      <w:r>
        <w:rPr>
          <w:spacing w:val="-3"/>
        </w:rPr>
        <w:t> </w:t>
      </w:r>
      <w:r>
        <w:rPr/>
        <w:t>1080</w:t>
      </w:r>
      <w:r>
        <w:rPr>
          <w:spacing w:val="-1"/>
        </w:rPr>
        <w:t> </w:t>
      </w:r>
      <w:r>
        <w:rPr/>
        <w:t>baiting</w:t>
      </w:r>
      <w:r>
        <w:rPr>
          <w:spacing w:val="-2"/>
        </w:rPr>
        <w:t> </w:t>
      </w:r>
      <w:r>
        <w:rPr/>
        <w:t>in</w:t>
      </w:r>
      <w:r>
        <w:rPr>
          <w:spacing w:val="-3"/>
        </w:rPr>
        <w:t> </w:t>
      </w:r>
      <w:r>
        <w:rPr/>
        <w:t>reducing</w:t>
      </w:r>
      <w:r>
        <w:rPr>
          <w:spacing w:val="-1"/>
        </w:rPr>
        <w:t> </w:t>
      </w:r>
      <w:r>
        <w:rPr/>
        <w:t>fox</w:t>
      </w:r>
      <w:r>
        <w:rPr>
          <w:spacing w:val="-2"/>
        </w:rPr>
        <w:t> </w:t>
      </w:r>
      <w:r>
        <w:rPr/>
        <w:t>populations</w:t>
      </w:r>
      <w:r>
        <w:rPr>
          <w:spacing w:val="-2"/>
        </w:rPr>
        <w:t> </w:t>
      </w:r>
      <w:r>
        <w:rPr/>
        <w:t>and</w:t>
      </w:r>
      <w:r>
        <w:rPr>
          <w:spacing w:val="-4"/>
        </w:rPr>
        <w:t> </w:t>
      </w:r>
      <w:r>
        <w:rPr/>
        <w:t>aiding native species recovery since Kinnear et al. (1988) described the response of Brush-tailed Rock Wallabies (</w:t>
      </w:r>
      <w:r>
        <w:rPr>
          <w:i/>
        </w:rPr>
        <w:t>Petrogale penicillata</w:t>
      </w:r>
      <w:r>
        <w:rPr/>
        <w:t>) in Western Australia to a 1080 baiting campaign. Reported reductions in fox populations range between 0–99%. Dexter and Meek (1998) recorded a 97% reduction in fox populations in southern NSW coastal habitats with a bait density of 0.14 baits km</w:t>
      </w:r>
      <w:r>
        <w:rPr>
          <w:position w:val="6"/>
          <w:sz w:val="13"/>
        </w:rPr>
        <w:t>-</w:t>
      </w:r>
      <w:r>
        <w:rPr/>
        <w:t>². While Berry et al. (2012) documented a 99%</w:t>
      </w:r>
      <w:r>
        <w:rPr>
          <w:spacing w:val="-3"/>
        </w:rPr>
        <w:t> </w:t>
      </w:r>
      <w:r>
        <w:rPr/>
        <w:t>reduction</w:t>
      </w:r>
      <w:r>
        <w:rPr>
          <w:spacing w:val="-3"/>
        </w:rPr>
        <w:t> </w:t>
      </w:r>
      <w:r>
        <w:rPr/>
        <w:t>in</w:t>
      </w:r>
      <w:r>
        <w:rPr>
          <w:spacing w:val="-3"/>
        </w:rPr>
        <w:t> </w:t>
      </w:r>
      <w:r>
        <w:rPr/>
        <w:t>a</w:t>
      </w:r>
      <w:r>
        <w:rPr>
          <w:spacing w:val="-2"/>
        </w:rPr>
        <w:t> </w:t>
      </w:r>
      <w:r>
        <w:rPr/>
        <w:t>fox</w:t>
      </w:r>
      <w:r>
        <w:rPr>
          <w:spacing w:val="-2"/>
        </w:rPr>
        <w:t> </w:t>
      </w:r>
      <w:r>
        <w:rPr/>
        <w:t>eradication</w:t>
      </w:r>
      <w:r>
        <w:rPr>
          <w:spacing w:val="-1"/>
        </w:rPr>
        <w:t> </w:t>
      </w:r>
      <w:r>
        <w:rPr/>
        <w:t>programme,</w:t>
      </w:r>
      <w:r>
        <w:rPr>
          <w:spacing w:val="-2"/>
        </w:rPr>
        <w:t> </w:t>
      </w:r>
      <w:r>
        <w:rPr/>
        <w:t>decreasing</w:t>
      </w:r>
      <w:r>
        <w:rPr>
          <w:spacing w:val="-2"/>
        </w:rPr>
        <w:t> </w:t>
      </w:r>
      <w:r>
        <w:rPr/>
        <w:t>the</w:t>
      </w:r>
      <w:r>
        <w:rPr>
          <w:spacing w:val="-3"/>
        </w:rPr>
        <w:t> </w:t>
      </w:r>
      <w:r>
        <w:rPr/>
        <w:t>density</w:t>
      </w:r>
      <w:r>
        <w:rPr>
          <w:spacing w:val="-2"/>
        </w:rPr>
        <w:t> </w:t>
      </w:r>
      <w:r>
        <w:rPr/>
        <w:t>from</w:t>
      </w:r>
      <w:r>
        <w:rPr>
          <w:spacing w:val="-3"/>
        </w:rPr>
        <w:t> </w:t>
      </w:r>
      <w:r>
        <w:rPr/>
        <w:t>0.73</w:t>
      </w:r>
      <w:r>
        <w:rPr>
          <w:spacing w:val="-3"/>
        </w:rPr>
        <w:t> </w:t>
      </w:r>
      <w:r>
        <w:rPr/>
        <w:t>km</w:t>
      </w:r>
      <w:r>
        <w:rPr>
          <w:position w:val="6"/>
          <w:sz w:val="13"/>
        </w:rPr>
        <w:t>-</w:t>
      </w:r>
      <w:r>
        <w:rPr/>
        <w:t>²</w:t>
      </w:r>
      <w:r>
        <w:rPr>
          <w:spacing w:val="-2"/>
        </w:rPr>
        <w:t> </w:t>
      </w:r>
      <w:r>
        <w:rPr/>
        <w:t>to</w:t>
      </w:r>
      <w:r>
        <w:rPr>
          <w:spacing w:val="-4"/>
        </w:rPr>
        <w:t> </w:t>
      </w:r>
      <w:r>
        <w:rPr/>
        <w:t>0.004/km².</w:t>
      </w:r>
      <w:r>
        <w:rPr>
          <w:spacing w:val="-2"/>
        </w:rPr>
        <w:t> </w:t>
      </w:r>
      <w:r>
        <w:rPr/>
        <w:t>Similarly, Marlow et al. (2015a) reported an 81% reduction over 25 years in south-west Western Australia woodlands. More moderate reductions have been reported. Thompson and Fleming (1994) achieved a 70% reduction in agricultural areas of NSW with a bait density of 12 baits</w:t>
      </w:r>
      <w:r>
        <w:rPr>
          <w:spacing w:val="12"/>
        </w:rPr>
        <w:t> </w:t>
      </w:r>
      <w:r>
        <w:rPr/>
        <w:t>km</w:t>
      </w:r>
      <w:r>
        <w:rPr>
          <w:position w:val="6"/>
          <w:sz w:val="13"/>
        </w:rPr>
        <w:t>-</w:t>
      </w:r>
      <w:r>
        <w:rPr/>
        <w:t>². While Fleming (1997) reported a 50%</w:t>
      </w:r>
      <w:r>
        <w:rPr>
          <w:spacing w:val="40"/>
        </w:rPr>
        <w:t> </w:t>
      </w:r>
      <w:r>
        <w:rPr/>
        <w:t>reduction on farmland also in NSW at a bait density of 4.4 baits km</w:t>
      </w:r>
      <w:r>
        <w:rPr>
          <w:position w:val="6"/>
          <w:sz w:val="13"/>
        </w:rPr>
        <w:t>-2</w:t>
      </w:r>
      <w:r>
        <w:rPr>
          <w:spacing w:val="26"/>
          <w:position w:val="6"/>
          <w:sz w:val="13"/>
        </w:rPr>
        <w:t> </w:t>
      </w:r>
      <w:r>
        <w:rPr/>
        <w:t>for a density of 1.3–1.9 foxes km</w:t>
      </w:r>
      <w:r>
        <w:rPr>
          <w:position w:val="6"/>
          <w:sz w:val="13"/>
        </w:rPr>
        <w:t>-2</w:t>
      </w:r>
      <w:r>
        <w:rPr/>
        <w:t>. In some cases, 1080 baiting appears to have limited effectiveness. For example, in south-west Victoria,</w:t>
      </w:r>
    </w:p>
    <w:p>
      <w:pPr>
        <w:pStyle w:val="BodyText"/>
        <w:ind w:left="112" w:right="173"/>
      </w:pPr>
      <w:r>
        <w:rPr/>
        <w:t>Le</w:t>
      </w:r>
      <w:r>
        <w:rPr>
          <w:spacing w:val="-4"/>
        </w:rPr>
        <w:t> </w:t>
      </w:r>
      <w:r>
        <w:rPr/>
        <w:t>Pla</w:t>
      </w:r>
      <w:r>
        <w:rPr>
          <w:spacing w:val="-2"/>
        </w:rPr>
        <w:t> </w:t>
      </w:r>
      <w:r>
        <w:rPr/>
        <w:t>et</w:t>
      </w:r>
      <w:r>
        <w:rPr>
          <w:spacing w:val="-4"/>
        </w:rPr>
        <w:t> </w:t>
      </w:r>
      <w:r>
        <w:rPr/>
        <w:t>al.</w:t>
      </w:r>
      <w:r>
        <w:rPr>
          <w:spacing w:val="-4"/>
        </w:rPr>
        <w:t> </w:t>
      </w:r>
      <w:r>
        <w:rPr/>
        <w:t>(2022) observed</w:t>
      </w:r>
      <w:r>
        <w:rPr>
          <w:spacing w:val="-4"/>
        </w:rPr>
        <w:t> </w:t>
      </w:r>
      <w:r>
        <w:rPr/>
        <w:t>densities</w:t>
      </w:r>
      <w:r>
        <w:rPr>
          <w:spacing w:val="-3"/>
        </w:rPr>
        <w:t> </w:t>
      </w:r>
      <w:r>
        <w:rPr/>
        <w:t>of</w:t>
      </w:r>
      <w:r>
        <w:rPr>
          <w:spacing w:val="-2"/>
        </w:rPr>
        <w:t> </w:t>
      </w:r>
      <w:r>
        <w:rPr/>
        <w:t>0.21</w:t>
      </w:r>
      <w:r>
        <w:rPr>
          <w:spacing w:val="-4"/>
        </w:rPr>
        <w:t> </w:t>
      </w:r>
      <w:r>
        <w:rPr/>
        <w:t>foxes km</w:t>
      </w:r>
      <w:r>
        <w:rPr>
          <w:position w:val="6"/>
          <w:sz w:val="13"/>
        </w:rPr>
        <w:t>-</w:t>
      </w:r>
      <w:r>
        <w:rPr/>
        <w:t>²</w:t>
      </w:r>
      <w:r>
        <w:rPr>
          <w:spacing w:val="-3"/>
        </w:rPr>
        <w:t> </w:t>
      </w:r>
      <w:r>
        <w:rPr/>
        <w:t>during</w:t>
      </w:r>
      <w:r>
        <w:rPr>
          <w:spacing w:val="-3"/>
        </w:rPr>
        <w:t> </w:t>
      </w:r>
      <w:r>
        <w:rPr/>
        <w:t>baited</w:t>
      </w:r>
      <w:r>
        <w:rPr>
          <w:spacing w:val="-3"/>
        </w:rPr>
        <w:t> </w:t>
      </w:r>
      <w:r>
        <w:rPr/>
        <w:t>periods</w:t>
      </w:r>
      <w:r>
        <w:rPr>
          <w:spacing w:val="-3"/>
        </w:rPr>
        <w:t> </w:t>
      </w:r>
      <w:r>
        <w:rPr/>
        <w:t>compared</w:t>
      </w:r>
      <w:r>
        <w:rPr>
          <w:spacing w:val="-4"/>
        </w:rPr>
        <w:t> </w:t>
      </w:r>
      <w:r>
        <w:rPr/>
        <w:t>to</w:t>
      </w:r>
      <w:r>
        <w:rPr>
          <w:spacing w:val="-4"/>
        </w:rPr>
        <w:t> </w:t>
      </w:r>
      <w:r>
        <w:rPr/>
        <w:t>0.28</w:t>
      </w:r>
      <w:r>
        <w:rPr>
          <w:spacing w:val="-4"/>
        </w:rPr>
        <w:t> </w:t>
      </w:r>
      <w:r>
        <w:rPr/>
        <w:t>foxes/km² during unbaited periods, and in semi-arid regions in Victoria, Keem et al. (2023) observed densities of between 0.69 and 1.06 foxes km</w:t>
      </w:r>
      <w:r>
        <w:rPr>
          <w:position w:val="6"/>
          <w:sz w:val="13"/>
        </w:rPr>
        <w:t>-2</w:t>
      </w:r>
      <w:r>
        <w:rPr/>
        <w:t>, with no differences between baiting periods or regions, possibly due to the limited spatial and temporal distribution of baits in their study.</w:t>
      </w:r>
    </w:p>
    <w:p>
      <w:pPr>
        <w:pStyle w:val="BodyText"/>
        <w:spacing w:before="119"/>
        <w:ind w:left="112" w:right="142"/>
      </w:pPr>
      <w:r>
        <w:rPr/>
        <w:t>Foxes</w:t>
      </w:r>
      <w:r>
        <w:rPr>
          <w:spacing w:val="-4"/>
        </w:rPr>
        <w:t> </w:t>
      </w:r>
      <w:r>
        <w:rPr/>
        <w:t>significantly</w:t>
      </w:r>
      <w:r>
        <w:rPr>
          <w:spacing w:val="-2"/>
        </w:rPr>
        <w:t> </w:t>
      </w:r>
      <w:r>
        <w:rPr/>
        <w:t>impact</w:t>
      </w:r>
      <w:r>
        <w:rPr>
          <w:spacing w:val="-5"/>
        </w:rPr>
        <w:t> </w:t>
      </w:r>
      <w:r>
        <w:rPr/>
        <w:t>animal</w:t>
      </w:r>
      <w:r>
        <w:rPr>
          <w:spacing w:val="-4"/>
        </w:rPr>
        <w:t> </w:t>
      </w:r>
      <w:r>
        <w:rPr/>
        <w:t>agriculture.</w:t>
      </w:r>
      <w:r>
        <w:rPr>
          <w:spacing w:val="-5"/>
        </w:rPr>
        <w:t> </w:t>
      </w:r>
      <w:r>
        <w:rPr/>
        <w:t>Studies</w:t>
      </w:r>
      <w:r>
        <w:rPr>
          <w:spacing w:val="-4"/>
        </w:rPr>
        <w:t> </w:t>
      </w:r>
      <w:r>
        <w:rPr/>
        <w:t>have</w:t>
      </w:r>
      <w:r>
        <w:rPr>
          <w:spacing w:val="-5"/>
        </w:rPr>
        <w:t> </w:t>
      </w:r>
      <w:r>
        <w:rPr/>
        <w:t>consistently</w:t>
      </w:r>
      <w:r>
        <w:rPr>
          <w:spacing w:val="-4"/>
        </w:rPr>
        <w:t> </w:t>
      </w:r>
      <w:r>
        <w:rPr/>
        <w:t>reported</w:t>
      </w:r>
      <w:r>
        <w:rPr>
          <w:spacing w:val="-5"/>
        </w:rPr>
        <w:t> </w:t>
      </w:r>
      <w:r>
        <w:rPr/>
        <w:t>predation</w:t>
      </w:r>
      <w:r>
        <w:rPr>
          <w:spacing w:val="-4"/>
        </w:rPr>
        <w:t> </w:t>
      </w:r>
      <w:r>
        <w:rPr/>
        <w:t>on</w:t>
      </w:r>
      <w:r>
        <w:rPr>
          <w:spacing w:val="-6"/>
        </w:rPr>
        <w:t> </w:t>
      </w:r>
      <w:r>
        <w:rPr/>
        <w:t>viable</w:t>
      </w:r>
      <w:r>
        <w:rPr>
          <w:spacing w:val="-3"/>
        </w:rPr>
        <w:t> </w:t>
      </w:r>
      <w:r>
        <w:rPr/>
        <w:t>lambs, with estimated losses of 1–3% of lambs born annually (Dennis 1965; Mann 1968; Rowley 1970;</w:t>
      </w:r>
    </w:p>
    <w:p>
      <w:pPr>
        <w:pStyle w:val="BodyText"/>
        <w:spacing w:before="1"/>
        <w:ind w:left="112" w:right="173"/>
      </w:pPr>
      <w:r>
        <w:rPr/>
        <w:t>Greentree</w:t>
      </w:r>
      <w:r>
        <w:rPr>
          <w:spacing w:val="-2"/>
        </w:rPr>
        <w:t> </w:t>
      </w:r>
      <w:r>
        <w:rPr/>
        <w:t>et</w:t>
      </w:r>
      <w:r>
        <w:rPr>
          <w:spacing w:val="-5"/>
        </w:rPr>
        <w:t> </w:t>
      </w:r>
      <w:r>
        <w:rPr/>
        <w:t>al.</w:t>
      </w:r>
      <w:r>
        <w:rPr>
          <w:spacing w:val="-2"/>
        </w:rPr>
        <w:t> </w:t>
      </w:r>
      <w:r>
        <w:rPr/>
        <w:t>2000).</w:t>
      </w:r>
      <w:r>
        <w:rPr>
          <w:spacing w:val="-5"/>
        </w:rPr>
        <w:t> </w:t>
      </w:r>
      <w:r>
        <w:rPr/>
        <w:t>This</w:t>
      </w:r>
      <w:r>
        <w:rPr>
          <w:spacing w:val="-1"/>
        </w:rPr>
        <w:t> </w:t>
      </w:r>
      <w:r>
        <w:rPr/>
        <w:t>equates</w:t>
      </w:r>
      <w:r>
        <w:rPr>
          <w:spacing w:val="-4"/>
        </w:rPr>
        <w:t> </w:t>
      </w:r>
      <w:r>
        <w:rPr/>
        <w:t>to</w:t>
      </w:r>
      <w:r>
        <w:rPr>
          <w:spacing w:val="-3"/>
        </w:rPr>
        <w:t> </w:t>
      </w:r>
      <w:r>
        <w:rPr/>
        <w:t>approximately</w:t>
      </w:r>
      <w:r>
        <w:rPr>
          <w:spacing w:val="-4"/>
        </w:rPr>
        <w:t> </w:t>
      </w:r>
      <w:r>
        <w:rPr/>
        <w:t>1.58</w:t>
      </w:r>
      <w:r>
        <w:rPr>
          <w:spacing w:val="-3"/>
        </w:rPr>
        <w:t> </w:t>
      </w:r>
      <w:r>
        <w:rPr/>
        <w:t>million</w:t>
      </w:r>
      <w:r>
        <w:rPr>
          <w:spacing w:val="-5"/>
        </w:rPr>
        <w:t> </w:t>
      </w:r>
      <w:r>
        <w:rPr/>
        <w:t>lambs</w:t>
      </w:r>
      <w:r>
        <w:rPr>
          <w:spacing w:val="-2"/>
        </w:rPr>
        <w:t> </w:t>
      </w:r>
      <w:r>
        <w:rPr/>
        <w:t>lost</w:t>
      </w:r>
      <w:r>
        <w:rPr>
          <w:spacing w:val="-5"/>
        </w:rPr>
        <w:t> </w:t>
      </w:r>
      <w:r>
        <w:rPr/>
        <w:t>annually</w:t>
      </w:r>
      <w:r>
        <w:rPr>
          <w:spacing w:val="-4"/>
        </w:rPr>
        <w:t> </w:t>
      </w:r>
      <w:r>
        <w:rPr/>
        <w:t>across</w:t>
      </w:r>
      <w:r>
        <w:rPr>
          <w:spacing w:val="-4"/>
        </w:rPr>
        <w:t> </w:t>
      </w:r>
      <w:r>
        <w:rPr/>
        <w:t>Australia (MLA 2024). Fox predation also affects piglets in commercial piggeries (Fleming et al. 2016) and kid Goats (Long et al. 1988), although</w:t>
      </w:r>
      <w:r>
        <w:rPr>
          <w:spacing w:val="-1"/>
        </w:rPr>
        <w:t> </w:t>
      </w:r>
      <w:r>
        <w:rPr/>
        <w:t>studies assessing</w:t>
      </w:r>
      <w:r>
        <w:rPr>
          <w:spacing w:val="-1"/>
        </w:rPr>
        <w:t> </w:t>
      </w:r>
      <w:r>
        <w:rPr/>
        <w:t>the effectiveness of control</w:t>
      </w:r>
      <w:r>
        <w:rPr>
          <w:spacing w:val="-1"/>
        </w:rPr>
        <w:t> </w:t>
      </w:r>
      <w:r>
        <w:rPr/>
        <w:t>measures in these contexts are lacking.</w:t>
      </w:r>
    </w:p>
    <w:p>
      <w:pPr>
        <w:pStyle w:val="BodyText"/>
        <w:spacing w:before="119"/>
        <w:ind w:left="112" w:right="142"/>
      </w:pPr>
      <w:r>
        <w:rPr/>
        <w:t>In New South Wales, Greentree et al. (2000) found that applying fox control three times per year reduced lamb carcass predation from 10% to less than 4%. McLeod et al. (2010) demonstrated that biannual fox control—once</w:t>
      </w:r>
      <w:r>
        <w:rPr>
          <w:spacing w:val="-2"/>
        </w:rPr>
        <w:t> </w:t>
      </w:r>
      <w:r>
        <w:rPr/>
        <w:t>in</w:t>
      </w:r>
      <w:r>
        <w:rPr>
          <w:spacing w:val="-2"/>
        </w:rPr>
        <w:t> </w:t>
      </w:r>
      <w:r>
        <w:rPr/>
        <w:t>autumn</w:t>
      </w:r>
      <w:r>
        <w:rPr>
          <w:spacing w:val="-2"/>
        </w:rPr>
        <w:t> </w:t>
      </w:r>
      <w:r>
        <w:rPr/>
        <w:t>and</w:t>
      </w:r>
      <w:r>
        <w:rPr>
          <w:spacing w:val="-4"/>
        </w:rPr>
        <w:t> </w:t>
      </w:r>
      <w:r>
        <w:rPr/>
        <w:t>again</w:t>
      </w:r>
      <w:r>
        <w:rPr>
          <w:spacing w:val="-2"/>
        </w:rPr>
        <w:t> </w:t>
      </w:r>
      <w:r>
        <w:rPr/>
        <w:t>in</w:t>
      </w:r>
      <w:r>
        <w:rPr>
          <w:spacing w:val="-2"/>
        </w:rPr>
        <w:t> </w:t>
      </w:r>
      <w:r>
        <w:rPr/>
        <w:t>late</w:t>
      </w:r>
      <w:r>
        <w:rPr>
          <w:spacing w:val="-5"/>
        </w:rPr>
        <w:t> </w:t>
      </w:r>
      <w:r>
        <w:rPr/>
        <w:t>winter</w:t>
      </w:r>
      <w:r>
        <w:rPr>
          <w:spacing w:val="-4"/>
        </w:rPr>
        <w:t> </w:t>
      </w:r>
      <w:r>
        <w:rPr/>
        <w:t>or</w:t>
      </w:r>
      <w:r>
        <w:rPr>
          <w:spacing w:val="-3"/>
        </w:rPr>
        <w:t> </w:t>
      </w:r>
      <w:r>
        <w:rPr/>
        <w:t>early</w:t>
      </w:r>
      <w:r>
        <w:rPr>
          <w:spacing w:val="-3"/>
        </w:rPr>
        <w:t> </w:t>
      </w:r>
      <w:r>
        <w:rPr/>
        <w:t>spring—significantly</w:t>
      </w:r>
      <w:r>
        <w:rPr>
          <w:spacing w:val="-3"/>
        </w:rPr>
        <w:t> </w:t>
      </w:r>
      <w:r>
        <w:rPr/>
        <w:t>reduced</w:t>
      </w:r>
      <w:r>
        <w:rPr>
          <w:spacing w:val="-5"/>
        </w:rPr>
        <w:t> </w:t>
      </w:r>
      <w:r>
        <w:rPr/>
        <w:t>lamb</w:t>
      </w:r>
      <w:r>
        <w:rPr>
          <w:spacing w:val="-2"/>
        </w:rPr>
        <w:t> </w:t>
      </w:r>
      <w:r>
        <w:rPr/>
        <w:t>predation,</w:t>
      </w:r>
      <w:r>
        <w:rPr>
          <w:spacing w:val="-4"/>
        </w:rPr>
        <w:t> </w:t>
      </w:r>
      <w:r>
        <w:rPr/>
        <w:t>with farms participating in coordinated efforts experiencing fewer losses.</w:t>
      </w:r>
    </w:p>
    <w:p>
      <w:pPr>
        <w:pStyle w:val="BodyText"/>
        <w:spacing w:before="119"/>
        <w:ind w:left="112" w:right="375"/>
      </w:pPr>
      <w:r>
        <w:rPr/>
        <w:t>However, it remains a challenge to coordinate efforts across multiple properties due to the rapid recolonisation of foxes. For example, in central-western NSW, private landholders across two sites encompassing multiple properties in a coordinated baiting program failed to achieve any detectable reduction</w:t>
      </w:r>
      <w:r>
        <w:rPr>
          <w:spacing w:val="-1"/>
        </w:rPr>
        <w:t> </w:t>
      </w:r>
      <w:r>
        <w:rPr/>
        <w:t>in</w:t>
      </w:r>
      <w:r>
        <w:rPr>
          <w:spacing w:val="-3"/>
        </w:rPr>
        <w:t> </w:t>
      </w:r>
      <w:r>
        <w:rPr/>
        <w:t>foxes,</w:t>
      </w:r>
      <w:r>
        <w:rPr>
          <w:spacing w:val="-3"/>
        </w:rPr>
        <w:t> </w:t>
      </w:r>
      <w:r>
        <w:rPr/>
        <w:t>with</w:t>
      </w:r>
      <w:r>
        <w:rPr>
          <w:spacing w:val="-1"/>
        </w:rPr>
        <w:t> </w:t>
      </w:r>
      <w:r>
        <w:rPr/>
        <w:t>a</w:t>
      </w:r>
      <w:r>
        <w:rPr>
          <w:spacing w:val="-3"/>
        </w:rPr>
        <w:t> </w:t>
      </w:r>
      <w:r>
        <w:rPr/>
        <w:t>survival</w:t>
      </w:r>
      <w:r>
        <w:rPr>
          <w:spacing w:val="-4"/>
        </w:rPr>
        <w:t> </w:t>
      </w:r>
      <w:r>
        <w:rPr/>
        <w:t>rate</w:t>
      </w:r>
      <w:r>
        <w:rPr>
          <w:spacing w:val="-3"/>
        </w:rPr>
        <w:t> </w:t>
      </w:r>
      <w:r>
        <w:rPr/>
        <w:t>of</w:t>
      </w:r>
      <w:r>
        <w:rPr>
          <w:spacing w:val="-1"/>
        </w:rPr>
        <w:t> </w:t>
      </w:r>
      <w:r>
        <w:rPr/>
        <w:t>69% among</w:t>
      </w:r>
      <w:r>
        <w:rPr>
          <w:spacing w:val="-4"/>
        </w:rPr>
        <w:t> </w:t>
      </w:r>
      <w:r>
        <w:rPr/>
        <w:t>foxes,</w:t>
      </w:r>
      <w:r>
        <w:rPr>
          <w:spacing w:val="-3"/>
        </w:rPr>
        <w:t> </w:t>
      </w:r>
      <w:r>
        <w:rPr/>
        <w:t>largely</w:t>
      </w:r>
      <w:r>
        <w:rPr>
          <w:spacing w:val="-2"/>
        </w:rPr>
        <w:t> </w:t>
      </w:r>
      <w:r>
        <w:rPr/>
        <w:t>due</w:t>
      </w:r>
      <w:r>
        <w:rPr>
          <w:spacing w:val="-4"/>
        </w:rPr>
        <w:t> </w:t>
      </w:r>
      <w:r>
        <w:rPr/>
        <w:t>to</w:t>
      </w:r>
      <w:r>
        <w:rPr>
          <w:spacing w:val="-3"/>
        </w:rPr>
        <w:t> </w:t>
      </w:r>
      <w:r>
        <w:rPr/>
        <w:t>bait</w:t>
      </w:r>
      <w:r>
        <w:rPr>
          <w:spacing w:val="-1"/>
        </w:rPr>
        <w:t> </w:t>
      </w:r>
      <w:r>
        <w:rPr/>
        <w:t>location</w:t>
      </w:r>
      <w:r>
        <w:rPr>
          <w:spacing w:val="-3"/>
        </w:rPr>
        <w:t> </w:t>
      </w:r>
      <w:r>
        <w:rPr/>
        <w:t>and</w:t>
      </w:r>
      <w:r>
        <w:rPr>
          <w:spacing w:val="-4"/>
        </w:rPr>
        <w:t> </w:t>
      </w:r>
      <w:r>
        <w:rPr/>
        <w:t>consumption failures (Bengsen 2014).</w:t>
      </w:r>
    </w:p>
    <w:p>
      <w:pPr>
        <w:pStyle w:val="BodyText"/>
        <w:spacing w:before="123"/>
        <w:ind w:left="112" w:right="142"/>
      </w:pPr>
      <w:r>
        <w:rPr/>
        <w:t>The</w:t>
      </w:r>
      <w:r>
        <w:rPr>
          <w:spacing w:val="-5"/>
        </w:rPr>
        <w:t> </w:t>
      </w:r>
      <w:r>
        <w:rPr/>
        <w:t>effectiveness</w:t>
      </w:r>
      <w:r>
        <w:rPr>
          <w:spacing w:val="-3"/>
        </w:rPr>
        <w:t> </w:t>
      </w:r>
      <w:r>
        <w:rPr/>
        <w:t>of</w:t>
      </w:r>
      <w:r>
        <w:rPr>
          <w:spacing w:val="-2"/>
        </w:rPr>
        <w:t> </w:t>
      </w:r>
      <w:r>
        <w:rPr/>
        <w:t>ground-based</w:t>
      </w:r>
      <w:r>
        <w:rPr>
          <w:spacing w:val="-1"/>
        </w:rPr>
        <w:t> </w:t>
      </w:r>
      <w:r>
        <w:rPr/>
        <w:t>1080</w:t>
      </w:r>
      <w:r>
        <w:rPr>
          <w:spacing w:val="-4"/>
        </w:rPr>
        <w:t> </w:t>
      </w:r>
      <w:r>
        <w:rPr/>
        <w:t>baiting</w:t>
      </w:r>
      <w:r>
        <w:rPr>
          <w:spacing w:val="-2"/>
        </w:rPr>
        <w:t> </w:t>
      </w:r>
      <w:r>
        <w:rPr/>
        <w:t>depends</w:t>
      </w:r>
      <w:r>
        <w:rPr>
          <w:spacing w:val="-3"/>
        </w:rPr>
        <w:t> </w:t>
      </w:r>
      <w:r>
        <w:rPr/>
        <w:t>on</w:t>
      </w:r>
      <w:r>
        <w:rPr>
          <w:spacing w:val="-3"/>
        </w:rPr>
        <w:t> </w:t>
      </w:r>
      <w:r>
        <w:rPr/>
        <w:t>several</w:t>
      </w:r>
      <w:r>
        <w:rPr>
          <w:spacing w:val="-3"/>
        </w:rPr>
        <w:t> </w:t>
      </w:r>
      <w:r>
        <w:rPr/>
        <w:t>interacting</w:t>
      </w:r>
      <w:r>
        <w:rPr>
          <w:spacing w:val="-4"/>
        </w:rPr>
        <w:t> </w:t>
      </w:r>
      <w:r>
        <w:rPr/>
        <w:t>factors.</w:t>
      </w:r>
      <w:r>
        <w:rPr>
          <w:spacing w:val="-4"/>
        </w:rPr>
        <w:t> </w:t>
      </w:r>
      <w:r>
        <w:rPr/>
        <w:t>Francis</w:t>
      </w:r>
      <w:r>
        <w:rPr>
          <w:spacing w:val="-1"/>
        </w:rPr>
        <w:t> </w:t>
      </w:r>
      <w:r>
        <w:rPr/>
        <w:t>et</w:t>
      </w:r>
      <w:r>
        <w:rPr>
          <w:spacing w:val="-2"/>
        </w:rPr>
        <w:t> </w:t>
      </w:r>
      <w:r>
        <w:rPr/>
        <w:t>al.</w:t>
      </w:r>
      <w:r>
        <w:rPr>
          <w:spacing w:val="-4"/>
        </w:rPr>
        <w:t> </w:t>
      </w:r>
      <w:r>
        <w:rPr/>
        <w:t>(2020) used a spatially explicit population model (FoxNet; Hradsky et al. 2019) to evaluate 14 Victorian fox control projects across areas ranging from 200–800,000 hectares. Their findings highlighted the importance of several factors, including bait density, the spatial layout of bait stations, the frequency and duration of the baiting programme, and the bait replacement rates. The study also revealed that interactions among these factors significantly influence the success of fox control operations, underscoring the need for tailored approaches to maximise efficacy.</w:t>
      </w:r>
    </w:p>
    <w:p>
      <w:pPr>
        <w:pStyle w:val="BodyText"/>
        <w:spacing w:before="118"/>
        <w:ind w:left="112"/>
      </w:pPr>
      <w:hyperlink w:history="true" w:anchor="_bookmark10">
        <w:r>
          <w:rPr/>
          <w:t>Table</w:t>
        </w:r>
        <w:r>
          <w:rPr>
            <w:spacing w:val="-2"/>
          </w:rPr>
          <w:t> </w:t>
        </w:r>
        <w:r>
          <w:rPr/>
          <w:t>6</w:t>
        </w:r>
      </w:hyperlink>
      <w:r>
        <w:rPr>
          <w:spacing w:val="-4"/>
        </w:rPr>
        <w:t> </w:t>
      </w:r>
      <w:r>
        <w:rPr/>
        <w:t>compares</w:t>
      </w:r>
      <w:r>
        <w:rPr>
          <w:spacing w:val="-3"/>
        </w:rPr>
        <w:t> </w:t>
      </w:r>
      <w:r>
        <w:rPr/>
        <w:t>the</w:t>
      </w:r>
      <w:r>
        <w:rPr>
          <w:spacing w:val="-5"/>
        </w:rPr>
        <w:t> </w:t>
      </w:r>
      <w:r>
        <w:rPr/>
        <w:t>reported</w:t>
      </w:r>
      <w:r>
        <w:rPr>
          <w:spacing w:val="-5"/>
        </w:rPr>
        <w:t> </w:t>
      </w:r>
      <w:r>
        <w:rPr/>
        <w:t>percentage</w:t>
      </w:r>
      <w:r>
        <w:rPr>
          <w:spacing w:val="-4"/>
        </w:rPr>
        <w:t> </w:t>
      </w:r>
      <w:r>
        <w:rPr/>
        <w:t>reductions</w:t>
      </w:r>
      <w:r>
        <w:rPr>
          <w:spacing w:val="-2"/>
        </w:rPr>
        <w:t> </w:t>
      </w:r>
      <w:r>
        <w:rPr/>
        <w:t>in</w:t>
      </w:r>
      <w:r>
        <w:rPr>
          <w:spacing w:val="-4"/>
        </w:rPr>
        <w:t> </w:t>
      </w:r>
      <w:r>
        <w:rPr/>
        <w:t>fox</w:t>
      </w:r>
      <w:r>
        <w:rPr>
          <w:spacing w:val="-4"/>
        </w:rPr>
        <w:t> </w:t>
      </w:r>
      <w:r>
        <w:rPr/>
        <w:t>populations</w:t>
      </w:r>
      <w:r>
        <w:rPr>
          <w:spacing w:val="-4"/>
        </w:rPr>
        <w:t> </w:t>
      </w:r>
      <w:r>
        <w:rPr/>
        <w:t>achieved</w:t>
      </w:r>
      <w:r>
        <w:rPr>
          <w:spacing w:val="-3"/>
        </w:rPr>
        <w:t> </w:t>
      </w:r>
      <w:r>
        <w:rPr/>
        <w:t>using</w:t>
      </w:r>
      <w:r>
        <w:rPr>
          <w:spacing w:val="-3"/>
        </w:rPr>
        <w:t> </w:t>
      </w:r>
      <w:r>
        <w:rPr/>
        <w:t>the</w:t>
      </w:r>
      <w:r>
        <w:rPr>
          <w:spacing w:val="-3"/>
        </w:rPr>
        <w:t> </w:t>
      </w:r>
      <w:r>
        <w:rPr/>
        <w:t>various</w:t>
      </w:r>
      <w:r>
        <w:rPr>
          <w:spacing w:val="-4"/>
        </w:rPr>
        <w:t> </w:t>
      </w:r>
      <w:r>
        <w:rPr/>
        <w:t>lethal control methods available for managing them.</w:t>
      </w:r>
    </w:p>
    <w:p>
      <w:pPr>
        <w:tabs>
          <w:tab w:pos="9750" w:val="right" w:leader="none"/>
        </w:tabs>
        <w:spacing w:before="229"/>
        <w:ind w:left="5319"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47</w:t>
      </w:r>
    </w:p>
    <w:p>
      <w:pPr>
        <w:spacing w:after="0"/>
        <w:jc w:val="left"/>
        <w:rPr>
          <w:sz w:val="20"/>
        </w:rPr>
        <w:sectPr>
          <w:footerReference w:type="default" r:id="rId46"/>
          <w:pgSz w:w="11910" w:h="16850"/>
          <w:pgMar w:header="0" w:footer="0" w:top="1140" w:bottom="280" w:left="1020" w:right="1020"/>
        </w:sectPr>
      </w:pPr>
    </w:p>
    <w:p>
      <w:pPr>
        <w:pStyle w:val="Heading7"/>
      </w:pPr>
      <w:bookmarkStart w:name="_bookmark10" w:id="63"/>
      <w:bookmarkEnd w:id="63"/>
      <w:r>
        <w:rPr>
          <w:b w:val="0"/>
        </w:rPr>
      </w:r>
      <w:r>
        <w:rPr>
          <w:color w:val="1F1546"/>
        </w:rPr>
        <w:t>Table</w:t>
      </w:r>
      <w:r>
        <w:rPr>
          <w:color w:val="1F1546"/>
          <w:spacing w:val="-6"/>
        </w:rPr>
        <w:t> </w:t>
      </w:r>
      <w:r>
        <w:rPr>
          <w:color w:val="1F1546"/>
        </w:rPr>
        <w:t>6.</w:t>
      </w:r>
      <w:r>
        <w:rPr>
          <w:color w:val="1F1546"/>
          <w:spacing w:val="-6"/>
        </w:rPr>
        <w:t> </w:t>
      </w:r>
      <w:r>
        <w:rPr>
          <w:color w:val="1F1546"/>
        </w:rPr>
        <w:t>Comparisons</w:t>
      </w:r>
      <w:r>
        <w:rPr>
          <w:color w:val="1F1546"/>
          <w:spacing w:val="-6"/>
        </w:rPr>
        <w:t> </w:t>
      </w:r>
      <w:r>
        <w:rPr>
          <w:color w:val="1F1546"/>
        </w:rPr>
        <w:t>of</w:t>
      </w:r>
      <w:r>
        <w:rPr>
          <w:color w:val="1F1546"/>
          <w:spacing w:val="-6"/>
        </w:rPr>
        <w:t> </w:t>
      </w:r>
      <w:r>
        <w:rPr>
          <w:color w:val="1F1546"/>
        </w:rPr>
        <w:t>reported</w:t>
      </w:r>
      <w:r>
        <w:rPr>
          <w:color w:val="1F1546"/>
          <w:spacing w:val="-7"/>
        </w:rPr>
        <w:t> </w:t>
      </w:r>
      <w:r>
        <w:rPr>
          <w:color w:val="1F1546"/>
        </w:rPr>
        <w:t>changes</w:t>
      </w:r>
      <w:r>
        <w:rPr>
          <w:color w:val="1F1546"/>
          <w:spacing w:val="-8"/>
        </w:rPr>
        <w:t> </w:t>
      </w:r>
      <w:r>
        <w:rPr>
          <w:color w:val="1F1546"/>
        </w:rPr>
        <w:t>in</w:t>
      </w:r>
      <w:r>
        <w:rPr>
          <w:color w:val="1F1546"/>
          <w:spacing w:val="-7"/>
        </w:rPr>
        <w:t> </w:t>
      </w:r>
      <w:r>
        <w:rPr>
          <w:color w:val="1F1546"/>
        </w:rPr>
        <w:t>fox</w:t>
      </w:r>
      <w:r>
        <w:rPr>
          <w:color w:val="1F1546"/>
          <w:spacing w:val="-5"/>
        </w:rPr>
        <w:t> </w:t>
      </w:r>
      <w:r>
        <w:rPr>
          <w:color w:val="1F1546"/>
        </w:rPr>
        <w:t>abundance</w:t>
      </w:r>
      <w:r>
        <w:rPr>
          <w:color w:val="1F1546"/>
          <w:spacing w:val="-7"/>
        </w:rPr>
        <w:t> </w:t>
      </w:r>
      <w:r>
        <w:rPr>
          <w:color w:val="1F1546"/>
        </w:rPr>
        <w:t>using</w:t>
      </w:r>
      <w:r>
        <w:rPr>
          <w:color w:val="1F1546"/>
          <w:spacing w:val="-6"/>
        </w:rPr>
        <w:t> </w:t>
      </w:r>
      <w:r>
        <w:rPr>
          <w:color w:val="1F1546"/>
        </w:rPr>
        <w:t>different</w:t>
      </w:r>
      <w:r>
        <w:rPr>
          <w:color w:val="1F1546"/>
          <w:spacing w:val="-4"/>
        </w:rPr>
        <w:t> </w:t>
      </w:r>
      <w:r>
        <w:rPr>
          <w:color w:val="1F1546"/>
        </w:rPr>
        <w:t>lethal</w:t>
      </w:r>
      <w:r>
        <w:rPr>
          <w:color w:val="1F1546"/>
          <w:spacing w:val="-7"/>
        </w:rPr>
        <w:t> </w:t>
      </w:r>
      <w:r>
        <w:rPr>
          <w:color w:val="1F1546"/>
        </w:rPr>
        <w:t>control</w:t>
      </w:r>
      <w:r>
        <w:rPr>
          <w:color w:val="1F1546"/>
          <w:spacing w:val="-7"/>
        </w:rPr>
        <w:t> </w:t>
      </w:r>
      <w:r>
        <w:rPr>
          <w:color w:val="1F1546"/>
        </w:rPr>
        <w:t>methods</w:t>
      </w:r>
      <w:r>
        <w:rPr>
          <w:color w:val="1F1546"/>
          <w:spacing w:val="-7"/>
        </w:rPr>
        <w:t> </w:t>
      </w:r>
      <w:r>
        <w:rPr>
          <w:color w:val="1F1546"/>
        </w:rPr>
        <w:t>in</w:t>
      </w:r>
      <w:r>
        <w:rPr>
          <w:color w:val="1F1546"/>
          <w:spacing w:val="-4"/>
        </w:rPr>
        <w:t> </w:t>
      </w:r>
      <w:r>
        <w:rPr>
          <w:color w:val="1F1546"/>
          <w:spacing w:val="-2"/>
        </w:rPr>
        <w:t>Australia.</w:t>
      </w:r>
    </w:p>
    <w:p>
      <w:pPr>
        <w:pStyle w:val="BodyText"/>
        <w:spacing w:before="4"/>
        <w:rPr>
          <w:b/>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2"/>
        <w:gridCol w:w="2129"/>
        <w:gridCol w:w="2790"/>
        <w:gridCol w:w="4297"/>
        <w:gridCol w:w="3404"/>
      </w:tblGrid>
      <w:tr>
        <w:trPr>
          <w:trHeight w:val="578" w:hRule="atLeast"/>
        </w:trPr>
        <w:tc>
          <w:tcPr>
            <w:tcW w:w="1702" w:type="dxa"/>
            <w:shd w:val="clear" w:color="auto" w:fill="004B96"/>
          </w:tcPr>
          <w:p>
            <w:pPr>
              <w:pStyle w:val="TableParagraph"/>
              <w:spacing w:before="59"/>
              <w:ind w:left="107"/>
              <w:rPr>
                <w:b/>
                <w:sz w:val="20"/>
              </w:rPr>
            </w:pPr>
            <w:r>
              <w:rPr>
                <w:b/>
                <w:color w:val="FFFFFF"/>
                <w:spacing w:val="-2"/>
                <w:sz w:val="20"/>
              </w:rPr>
              <w:t>Method</w:t>
            </w:r>
          </w:p>
        </w:tc>
        <w:tc>
          <w:tcPr>
            <w:tcW w:w="2129" w:type="dxa"/>
            <w:shd w:val="clear" w:color="auto" w:fill="004B96"/>
          </w:tcPr>
          <w:p>
            <w:pPr>
              <w:pStyle w:val="TableParagraph"/>
              <w:spacing w:before="57"/>
              <w:ind w:left="107"/>
              <w:rPr>
                <w:b/>
                <w:sz w:val="20"/>
              </w:rPr>
            </w:pPr>
            <w:r>
              <w:rPr>
                <w:b/>
                <w:color w:val="FFFFFF"/>
                <w:sz w:val="20"/>
              </w:rPr>
              <w:t>Reduction</w:t>
            </w:r>
            <w:r>
              <w:rPr>
                <w:b/>
                <w:color w:val="FFFFFF"/>
                <w:spacing w:val="-14"/>
                <w:sz w:val="20"/>
              </w:rPr>
              <w:t> </w:t>
            </w:r>
            <w:r>
              <w:rPr>
                <w:b/>
                <w:color w:val="FFFFFF"/>
                <w:sz w:val="20"/>
              </w:rPr>
              <w:t>(%)</w:t>
            </w:r>
            <w:r>
              <w:rPr>
                <w:b/>
                <w:color w:val="FFFFFF"/>
                <w:spacing w:val="-14"/>
                <w:sz w:val="20"/>
              </w:rPr>
              <w:t> </w:t>
            </w:r>
            <w:r>
              <w:rPr>
                <w:b/>
                <w:color w:val="FFFFFF"/>
                <w:sz w:val="20"/>
              </w:rPr>
              <w:t>or </w:t>
            </w:r>
            <w:r>
              <w:rPr>
                <w:b/>
                <w:color w:val="FFFFFF"/>
                <w:spacing w:val="-2"/>
                <w:sz w:val="20"/>
              </w:rPr>
              <w:t>efficacy</w:t>
            </w:r>
          </w:p>
        </w:tc>
        <w:tc>
          <w:tcPr>
            <w:tcW w:w="2790" w:type="dxa"/>
            <w:shd w:val="clear" w:color="auto" w:fill="004B96"/>
          </w:tcPr>
          <w:p>
            <w:pPr>
              <w:pStyle w:val="TableParagraph"/>
              <w:spacing w:before="59"/>
              <w:ind w:left="105"/>
              <w:rPr>
                <w:b/>
                <w:sz w:val="20"/>
              </w:rPr>
            </w:pPr>
            <w:r>
              <w:rPr>
                <w:b/>
                <w:color w:val="FFFFFF"/>
                <w:spacing w:val="-2"/>
                <w:sz w:val="20"/>
              </w:rPr>
              <w:t>Region</w:t>
            </w:r>
          </w:p>
        </w:tc>
        <w:tc>
          <w:tcPr>
            <w:tcW w:w="4297" w:type="dxa"/>
            <w:shd w:val="clear" w:color="auto" w:fill="004B96"/>
          </w:tcPr>
          <w:p>
            <w:pPr>
              <w:pStyle w:val="TableParagraph"/>
              <w:spacing w:before="59"/>
              <w:ind w:left="107"/>
              <w:rPr>
                <w:b/>
                <w:sz w:val="20"/>
              </w:rPr>
            </w:pPr>
            <w:r>
              <w:rPr>
                <w:b/>
                <w:color w:val="FFFFFF"/>
                <w:sz w:val="20"/>
              </w:rPr>
              <w:t>Method</w:t>
            </w:r>
            <w:r>
              <w:rPr>
                <w:b/>
                <w:color w:val="FFFFFF"/>
                <w:spacing w:val="-6"/>
                <w:sz w:val="20"/>
              </w:rPr>
              <w:t> </w:t>
            </w:r>
            <w:r>
              <w:rPr>
                <w:b/>
                <w:color w:val="FFFFFF"/>
                <w:sz w:val="20"/>
              </w:rPr>
              <w:t>used</w:t>
            </w:r>
            <w:r>
              <w:rPr>
                <w:b/>
                <w:color w:val="FFFFFF"/>
                <w:spacing w:val="-6"/>
                <w:sz w:val="20"/>
              </w:rPr>
              <w:t> </w:t>
            </w:r>
            <w:r>
              <w:rPr>
                <w:b/>
                <w:color w:val="FFFFFF"/>
                <w:sz w:val="20"/>
              </w:rPr>
              <w:t>to</w:t>
            </w:r>
            <w:r>
              <w:rPr>
                <w:b/>
                <w:color w:val="FFFFFF"/>
                <w:spacing w:val="-5"/>
                <w:sz w:val="20"/>
              </w:rPr>
              <w:t> </w:t>
            </w:r>
            <w:r>
              <w:rPr>
                <w:b/>
                <w:color w:val="FFFFFF"/>
                <w:sz w:val="20"/>
              </w:rPr>
              <w:t>measure</w:t>
            </w:r>
            <w:r>
              <w:rPr>
                <w:b/>
                <w:color w:val="FFFFFF"/>
                <w:spacing w:val="-3"/>
                <w:sz w:val="20"/>
              </w:rPr>
              <w:t> </w:t>
            </w:r>
            <w:r>
              <w:rPr>
                <w:b/>
                <w:color w:val="FFFFFF"/>
                <w:spacing w:val="-2"/>
                <w:sz w:val="20"/>
              </w:rPr>
              <w:t>change</w:t>
            </w:r>
          </w:p>
        </w:tc>
        <w:tc>
          <w:tcPr>
            <w:tcW w:w="3404" w:type="dxa"/>
            <w:shd w:val="clear" w:color="auto" w:fill="004B96"/>
          </w:tcPr>
          <w:p>
            <w:pPr>
              <w:pStyle w:val="TableParagraph"/>
              <w:spacing w:before="59"/>
              <w:ind w:left="106"/>
              <w:rPr>
                <w:b/>
                <w:sz w:val="20"/>
              </w:rPr>
            </w:pPr>
            <w:r>
              <w:rPr>
                <w:b/>
                <w:color w:val="FFFFFF"/>
                <w:spacing w:val="-2"/>
                <w:sz w:val="20"/>
              </w:rPr>
              <w:t>Reference</w:t>
            </w:r>
          </w:p>
        </w:tc>
      </w:tr>
      <w:tr>
        <w:trPr>
          <w:trHeight w:val="366" w:hRule="atLeast"/>
        </w:trPr>
        <w:tc>
          <w:tcPr>
            <w:tcW w:w="1702" w:type="dxa"/>
            <w:vMerge w:val="restart"/>
            <w:tcBorders>
              <w:bottom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4"/>
              <w:rPr>
                <w:b/>
                <w:sz w:val="20"/>
              </w:rPr>
            </w:pPr>
          </w:p>
          <w:p>
            <w:pPr>
              <w:pStyle w:val="TableParagraph"/>
              <w:ind w:left="107"/>
              <w:rPr>
                <w:sz w:val="20"/>
              </w:rPr>
            </w:pPr>
            <w:r>
              <w:rPr>
                <w:sz w:val="20"/>
              </w:rPr>
              <w:t>FOXOFF</w:t>
            </w:r>
            <w:r>
              <w:rPr>
                <w:spacing w:val="-10"/>
                <w:sz w:val="20"/>
              </w:rPr>
              <w:t> </w:t>
            </w:r>
            <w:r>
              <w:rPr>
                <w:spacing w:val="-2"/>
                <w:sz w:val="20"/>
              </w:rPr>
              <w:t>(1080)</w:t>
            </w:r>
          </w:p>
        </w:tc>
        <w:tc>
          <w:tcPr>
            <w:tcW w:w="2129" w:type="dxa"/>
            <w:tcBorders>
              <w:bottom w:val="single" w:sz="2" w:space="0" w:color="A6A6A6"/>
            </w:tcBorders>
            <w:shd w:val="clear" w:color="auto" w:fill="CCDBEA"/>
          </w:tcPr>
          <w:p>
            <w:pPr>
              <w:pStyle w:val="TableParagraph"/>
              <w:spacing w:before="79"/>
              <w:ind w:left="8" w:right="8"/>
              <w:jc w:val="center"/>
              <w:rPr>
                <w:sz w:val="20"/>
              </w:rPr>
            </w:pPr>
            <w:r>
              <w:rPr>
                <w:spacing w:val="-4"/>
                <w:sz w:val="20"/>
              </w:rPr>
              <w:t>66–73</w:t>
            </w:r>
          </w:p>
        </w:tc>
        <w:tc>
          <w:tcPr>
            <w:tcW w:w="2790" w:type="dxa"/>
            <w:tcBorders>
              <w:bottom w:val="single" w:sz="2" w:space="0" w:color="A6A6A6"/>
            </w:tcBorders>
          </w:tcPr>
          <w:p>
            <w:pPr>
              <w:pStyle w:val="TableParagraph"/>
              <w:spacing w:before="79"/>
              <w:ind w:left="105"/>
              <w:rPr>
                <w:sz w:val="20"/>
              </w:rPr>
            </w:pPr>
            <w:r>
              <w:rPr>
                <w:sz w:val="20"/>
              </w:rPr>
              <w:t>Glen</w:t>
            </w:r>
            <w:r>
              <w:rPr>
                <w:spacing w:val="-9"/>
                <w:sz w:val="20"/>
              </w:rPr>
              <w:t> </w:t>
            </w:r>
            <w:r>
              <w:rPr>
                <w:sz w:val="20"/>
              </w:rPr>
              <w:t>Innes,</w:t>
            </w:r>
            <w:r>
              <w:rPr>
                <w:spacing w:val="-6"/>
                <w:sz w:val="20"/>
              </w:rPr>
              <w:t> </w:t>
            </w:r>
            <w:r>
              <w:rPr>
                <w:spacing w:val="-5"/>
                <w:sz w:val="20"/>
              </w:rPr>
              <w:t>NSW</w:t>
            </w:r>
          </w:p>
        </w:tc>
        <w:tc>
          <w:tcPr>
            <w:tcW w:w="4297" w:type="dxa"/>
            <w:tcBorders>
              <w:bottom w:val="single" w:sz="2" w:space="0" w:color="A6A6A6"/>
            </w:tcBorders>
            <w:shd w:val="clear" w:color="auto" w:fill="CCDBEA"/>
          </w:tcPr>
          <w:p>
            <w:pPr>
              <w:pStyle w:val="TableParagraph"/>
              <w:spacing w:before="79"/>
              <w:ind w:left="107"/>
              <w:rPr>
                <w:sz w:val="20"/>
              </w:rPr>
            </w:pPr>
            <w:r>
              <w:rPr>
                <w:sz w:val="20"/>
              </w:rPr>
              <w:t>Index-removal</w:t>
            </w:r>
            <w:r>
              <w:rPr>
                <w:spacing w:val="-9"/>
                <w:sz w:val="20"/>
              </w:rPr>
              <w:t> </w:t>
            </w:r>
            <w:r>
              <w:rPr>
                <w:sz w:val="20"/>
              </w:rPr>
              <w:t>index</w:t>
            </w:r>
            <w:r>
              <w:rPr>
                <w:spacing w:val="-9"/>
                <w:sz w:val="20"/>
              </w:rPr>
              <w:t> </w:t>
            </w:r>
            <w:r>
              <w:rPr>
                <w:sz w:val="20"/>
              </w:rPr>
              <w:t>pre-</w:t>
            </w:r>
            <w:r>
              <w:rPr>
                <w:spacing w:val="-9"/>
                <w:sz w:val="20"/>
              </w:rPr>
              <w:t> </w:t>
            </w:r>
            <w:r>
              <w:rPr>
                <w:sz w:val="20"/>
              </w:rPr>
              <w:t>and</w:t>
            </w:r>
            <w:r>
              <w:rPr>
                <w:spacing w:val="-10"/>
                <w:sz w:val="20"/>
              </w:rPr>
              <w:t> </w:t>
            </w:r>
            <w:r>
              <w:rPr>
                <w:sz w:val="20"/>
              </w:rPr>
              <w:t>post-</w:t>
            </w:r>
            <w:r>
              <w:rPr>
                <w:spacing w:val="-2"/>
                <w:sz w:val="20"/>
              </w:rPr>
              <w:t>control</w:t>
            </w:r>
          </w:p>
        </w:tc>
        <w:tc>
          <w:tcPr>
            <w:tcW w:w="3404" w:type="dxa"/>
            <w:tcBorders>
              <w:bottom w:val="single" w:sz="2" w:space="0" w:color="A6A6A6"/>
            </w:tcBorders>
          </w:tcPr>
          <w:p>
            <w:pPr>
              <w:pStyle w:val="TableParagraph"/>
              <w:spacing w:before="79"/>
              <w:ind w:left="106"/>
              <w:rPr>
                <w:sz w:val="20"/>
              </w:rPr>
            </w:pPr>
            <w:r>
              <w:rPr>
                <w:sz w:val="20"/>
              </w:rPr>
              <w:t>Thompson</w:t>
            </w:r>
            <w:r>
              <w:rPr>
                <w:spacing w:val="-9"/>
                <w:sz w:val="20"/>
              </w:rPr>
              <w:t> </w:t>
            </w:r>
            <w:r>
              <w:rPr>
                <w:sz w:val="20"/>
              </w:rPr>
              <w:t>and</w:t>
            </w:r>
            <w:r>
              <w:rPr>
                <w:spacing w:val="-9"/>
                <w:sz w:val="20"/>
              </w:rPr>
              <w:t> </w:t>
            </w:r>
            <w:r>
              <w:rPr>
                <w:sz w:val="20"/>
              </w:rPr>
              <w:t>Fleming</w:t>
            </w:r>
            <w:r>
              <w:rPr>
                <w:spacing w:val="-8"/>
                <w:sz w:val="20"/>
              </w:rPr>
              <w:t> </w:t>
            </w:r>
            <w:r>
              <w:rPr>
                <w:spacing w:val="-4"/>
                <w:sz w:val="20"/>
              </w:rPr>
              <w:t>1994</w:t>
            </w:r>
          </w:p>
        </w:tc>
      </w:tr>
      <w:tr>
        <w:trPr>
          <w:trHeight w:val="371"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2" w:space="0" w:color="A6A6A6"/>
            </w:tcBorders>
            <w:shd w:val="clear" w:color="auto" w:fill="CCDBEA"/>
          </w:tcPr>
          <w:p>
            <w:pPr>
              <w:pStyle w:val="TableParagraph"/>
              <w:spacing w:before="83"/>
              <w:ind w:left="3" w:right="8"/>
              <w:jc w:val="center"/>
              <w:rPr>
                <w:sz w:val="20"/>
              </w:rPr>
            </w:pPr>
            <w:r>
              <w:rPr>
                <w:spacing w:val="-5"/>
                <w:sz w:val="20"/>
              </w:rPr>
              <w:t>58</w:t>
            </w:r>
          </w:p>
        </w:tc>
        <w:tc>
          <w:tcPr>
            <w:tcW w:w="2790" w:type="dxa"/>
            <w:tcBorders>
              <w:top w:val="single" w:sz="2" w:space="0" w:color="A6A6A6"/>
              <w:bottom w:val="single" w:sz="2" w:space="0" w:color="A6A6A6"/>
            </w:tcBorders>
          </w:tcPr>
          <w:p>
            <w:pPr>
              <w:pStyle w:val="TableParagraph"/>
              <w:spacing w:before="83"/>
              <w:ind w:left="105"/>
              <w:rPr>
                <w:sz w:val="20"/>
              </w:rPr>
            </w:pPr>
            <w:r>
              <w:rPr>
                <w:sz w:val="20"/>
              </w:rPr>
              <w:t>Glen</w:t>
            </w:r>
            <w:r>
              <w:rPr>
                <w:spacing w:val="-9"/>
                <w:sz w:val="20"/>
              </w:rPr>
              <w:t> </w:t>
            </w:r>
            <w:r>
              <w:rPr>
                <w:sz w:val="20"/>
              </w:rPr>
              <w:t>Innes,</w:t>
            </w:r>
            <w:r>
              <w:rPr>
                <w:spacing w:val="-6"/>
                <w:sz w:val="20"/>
              </w:rPr>
              <w:t> </w:t>
            </w:r>
            <w:r>
              <w:rPr>
                <w:spacing w:val="-5"/>
                <w:sz w:val="20"/>
              </w:rPr>
              <w:t>NSW</w:t>
            </w:r>
          </w:p>
        </w:tc>
        <w:tc>
          <w:tcPr>
            <w:tcW w:w="4297" w:type="dxa"/>
            <w:tcBorders>
              <w:top w:val="single" w:sz="2" w:space="0" w:color="A6A6A6"/>
              <w:bottom w:val="single" w:sz="2" w:space="0" w:color="A6A6A6"/>
            </w:tcBorders>
            <w:shd w:val="clear" w:color="auto" w:fill="CCDBEA"/>
          </w:tcPr>
          <w:p>
            <w:pPr>
              <w:pStyle w:val="TableParagraph"/>
              <w:spacing w:before="83"/>
              <w:ind w:left="107"/>
              <w:rPr>
                <w:sz w:val="20"/>
              </w:rPr>
            </w:pPr>
            <w:r>
              <w:rPr>
                <w:sz w:val="20"/>
              </w:rPr>
              <w:t>Index-removal</w:t>
            </w:r>
            <w:r>
              <w:rPr>
                <w:spacing w:val="-9"/>
                <w:sz w:val="20"/>
              </w:rPr>
              <w:t> </w:t>
            </w:r>
            <w:r>
              <w:rPr>
                <w:sz w:val="20"/>
              </w:rPr>
              <w:t>index</w:t>
            </w:r>
            <w:r>
              <w:rPr>
                <w:spacing w:val="-9"/>
                <w:sz w:val="20"/>
              </w:rPr>
              <w:t> </w:t>
            </w:r>
            <w:r>
              <w:rPr>
                <w:sz w:val="20"/>
              </w:rPr>
              <w:t>pre-</w:t>
            </w:r>
            <w:r>
              <w:rPr>
                <w:spacing w:val="-9"/>
                <w:sz w:val="20"/>
              </w:rPr>
              <w:t> </w:t>
            </w:r>
            <w:r>
              <w:rPr>
                <w:sz w:val="20"/>
              </w:rPr>
              <w:t>and</w:t>
            </w:r>
            <w:r>
              <w:rPr>
                <w:spacing w:val="-10"/>
                <w:sz w:val="20"/>
              </w:rPr>
              <w:t> </w:t>
            </w:r>
            <w:r>
              <w:rPr>
                <w:sz w:val="20"/>
              </w:rPr>
              <w:t>post-</w:t>
            </w:r>
            <w:r>
              <w:rPr>
                <w:spacing w:val="-2"/>
                <w:sz w:val="20"/>
              </w:rPr>
              <w:t>control</w:t>
            </w:r>
          </w:p>
        </w:tc>
        <w:tc>
          <w:tcPr>
            <w:tcW w:w="3404" w:type="dxa"/>
            <w:tcBorders>
              <w:top w:val="single" w:sz="2" w:space="0" w:color="A6A6A6"/>
              <w:bottom w:val="single" w:sz="2" w:space="0" w:color="A6A6A6"/>
            </w:tcBorders>
          </w:tcPr>
          <w:p>
            <w:pPr>
              <w:pStyle w:val="TableParagraph"/>
              <w:spacing w:before="83"/>
              <w:ind w:left="106"/>
              <w:rPr>
                <w:sz w:val="20"/>
              </w:rPr>
            </w:pPr>
            <w:r>
              <w:rPr>
                <w:sz w:val="20"/>
              </w:rPr>
              <w:t>Fleming</w:t>
            </w:r>
            <w:r>
              <w:rPr>
                <w:spacing w:val="-11"/>
                <w:sz w:val="20"/>
              </w:rPr>
              <w:t> </w:t>
            </w:r>
            <w:r>
              <w:rPr>
                <w:spacing w:val="-4"/>
                <w:sz w:val="20"/>
              </w:rPr>
              <w:t>1997</w:t>
            </w:r>
          </w:p>
        </w:tc>
      </w:tr>
      <w:tr>
        <w:trPr>
          <w:trHeight w:val="599"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2" w:space="0" w:color="A6A6A6"/>
            </w:tcBorders>
            <w:shd w:val="clear" w:color="auto" w:fill="CCDBEA"/>
          </w:tcPr>
          <w:p>
            <w:pPr>
              <w:pStyle w:val="TableParagraph"/>
              <w:spacing w:before="81"/>
              <w:ind w:left="6" w:right="8"/>
              <w:jc w:val="center"/>
              <w:rPr>
                <w:sz w:val="20"/>
              </w:rPr>
            </w:pPr>
            <w:r>
              <w:rPr>
                <w:spacing w:val="-2"/>
                <w:sz w:val="20"/>
              </w:rPr>
              <w:t>97–100</w:t>
            </w:r>
          </w:p>
        </w:tc>
        <w:tc>
          <w:tcPr>
            <w:tcW w:w="2790" w:type="dxa"/>
            <w:tcBorders>
              <w:top w:val="single" w:sz="2" w:space="0" w:color="A6A6A6"/>
              <w:bottom w:val="single" w:sz="2" w:space="0" w:color="A6A6A6"/>
            </w:tcBorders>
          </w:tcPr>
          <w:p>
            <w:pPr>
              <w:pStyle w:val="TableParagraph"/>
              <w:spacing w:before="81"/>
              <w:ind w:left="105"/>
              <w:rPr>
                <w:sz w:val="20"/>
              </w:rPr>
            </w:pPr>
            <w:r>
              <w:rPr>
                <w:sz w:val="20"/>
              </w:rPr>
              <w:t>Beecroft</w:t>
            </w:r>
            <w:r>
              <w:rPr>
                <w:spacing w:val="-10"/>
                <w:sz w:val="20"/>
              </w:rPr>
              <w:t> </w:t>
            </w:r>
            <w:r>
              <w:rPr>
                <w:sz w:val="20"/>
              </w:rPr>
              <w:t>Peninsula,</w:t>
            </w:r>
            <w:r>
              <w:rPr>
                <w:spacing w:val="-11"/>
                <w:sz w:val="20"/>
              </w:rPr>
              <w:t> </w:t>
            </w:r>
            <w:r>
              <w:rPr>
                <w:spacing w:val="-5"/>
                <w:sz w:val="20"/>
              </w:rPr>
              <w:t>NSW</w:t>
            </w:r>
          </w:p>
        </w:tc>
        <w:tc>
          <w:tcPr>
            <w:tcW w:w="4297" w:type="dxa"/>
            <w:tcBorders>
              <w:top w:val="single" w:sz="2" w:space="0" w:color="A6A6A6"/>
              <w:bottom w:val="single" w:sz="2" w:space="0" w:color="A6A6A6"/>
            </w:tcBorders>
            <w:shd w:val="clear" w:color="auto" w:fill="CCDBEA"/>
          </w:tcPr>
          <w:p>
            <w:pPr>
              <w:pStyle w:val="TableParagraph"/>
              <w:spacing w:before="81"/>
              <w:ind w:left="107" w:right="734"/>
              <w:rPr>
                <w:sz w:val="20"/>
              </w:rPr>
            </w:pPr>
            <w:r>
              <w:rPr>
                <w:sz w:val="20"/>
              </w:rPr>
              <w:t>Proportion</w:t>
            </w:r>
            <w:r>
              <w:rPr>
                <w:spacing w:val="-11"/>
                <w:sz w:val="20"/>
              </w:rPr>
              <w:t> </w:t>
            </w:r>
            <w:r>
              <w:rPr>
                <w:sz w:val="20"/>
              </w:rPr>
              <w:t>of</w:t>
            </w:r>
            <w:r>
              <w:rPr>
                <w:spacing w:val="-11"/>
                <w:sz w:val="20"/>
              </w:rPr>
              <w:t> </w:t>
            </w:r>
            <w:r>
              <w:rPr>
                <w:sz w:val="20"/>
              </w:rPr>
              <w:t>radio-collared</w:t>
            </w:r>
            <w:r>
              <w:rPr>
                <w:spacing w:val="-10"/>
                <w:sz w:val="20"/>
              </w:rPr>
              <w:t> </w:t>
            </w:r>
            <w:r>
              <w:rPr>
                <w:sz w:val="20"/>
              </w:rPr>
              <w:t>foxes</w:t>
            </w:r>
            <w:r>
              <w:rPr>
                <w:spacing w:val="-11"/>
                <w:sz w:val="20"/>
              </w:rPr>
              <w:t> </w:t>
            </w:r>
            <w:r>
              <w:rPr>
                <w:sz w:val="20"/>
              </w:rPr>
              <w:t>killed Pre-post bait take</w:t>
            </w:r>
          </w:p>
        </w:tc>
        <w:tc>
          <w:tcPr>
            <w:tcW w:w="3404" w:type="dxa"/>
            <w:tcBorders>
              <w:top w:val="single" w:sz="2" w:space="0" w:color="A6A6A6"/>
              <w:bottom w:val="single" w:sz="2" w:space="0" w:color="A6A6A6"/>
            </w:tcBorders>
          </w:tcPr>
          <w:p>
            <w:pPr>
              <w:pStyle w:val="TableParagraph"/>
              <w:spacing w:before="81"/>
              <w:ind w:left="106"/>
              <w:rPr>
                <w:sz w:val="20"/>
              </w:rPr>
            </w:pPr>
            <w:r>
              <w:rPr>
                <w:sz w:val="20"/>
              </w:rPr>
              <w:t>Dexter</w:t>
            </w:r>
            <w:r>
              <w:rPr>
                <w:spacing w:val="-6"/>
                <w:sz w:val="20"/>
              </w:rPr>
              <w:t> </w:t>
            </w:r>
            <w:r>
              <w:rPr>
                <w:sz w:val="20"/>
              </w:rPr>
              <w:t>and</w:t>
            </w:r>
            <w:r>
              <w:rPr>
                <w:spacing w:val="-7"/>
                <w:sz w:val="20"/>
              </w:rPr>
              <w:t> </w:t>
            </w:r>
            <w:r>
              <w:rPr>
                <w:sz w:val="20"/>
              </w:rPr>
              <w:t>Meek</w:t>
            </w:r>
            <w:r>
              <w:rPr>
                <w:spacing w:val="-5"/>
                <w:sz w:val="20"/>
              </w:rPr>
              <w:t> </w:t>
            </w:r>
            <w:r>
              <w:rPr>
                <w:spacing w:val="-4"/>
                <w:sz w:val="20"/>
              </w:rPr>
              <w:t>1998</w:t>
            </w:r>
          </w:p>
        </w:tc>
      </w:tr>
      <w:tr>
        <w:trPr>
          <w:trHeight w:val="600"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2" w:space="0" w:color="A6A6A6"/>
            </w:tcBorders>
            <w:shd w:val="clear" w:color="auto" w:fill="CCDBEA"/>
          </w:tcPr>
          <w:p>
            <w:pPr>
              <w:pStyle w:val="TableParagraph"/>
              <w:spacing w:before="81"/>
              <w:ind w:left="8" w:right="8"/>
              <w:jc w:val="center"/>
              <w:rPr>
                <w:sz w:val="20"/>
              </w:rPr>
            </w:pPr>
            <w:r>
              <w:rPr>
                <w:spacing w:val="-4"/>
                <w:sz w:val="20"/>
              </w:rPr>
              <w:t>64–88</w:t>
            </w:r>
          </w:p>
        </w:tc>
        <w:tc>
          <w:tcPr>
            <w:tcW w:w="2790" w:type="dxa"/>
            <w:tcBorders>
              <w:top w:val="single" w:sz="2" w:space="0" w:color="A6A6A6"/>
              <w:bottom w:val="single" w:sz="2" w:space="0" w:color="A6A6A6"/>
            </w:tcBorders>
          </w:tcPr>
          <w:p>
            <w:pPr>
              <w:pStyle w:val="TableParagraph"/>
              <w:spacing w:before="81"/>
              <w:ind w:left="105" w:right="671"/>
              <w:rPr>
                <w:sz w:val="20"/>
              </w:rPr>
            </w:pPr>
            <w:r>
              <w:rPr>
                <w:sz w:val="20"/>
              </w:rPr>
              <w:t>Ben</w:t>
            </w:r>
            <w:r>
              <w:rPr>
                <w:spacing w:val="-14"/>
                <w:sz w:val="20"/>
              </w:rPr>
              <w:t> </w:t>
            </w:r>
            <w:r>
              <w:rPr>
                <w:sz w:val="20"/>
              </w:rPr>
              <w:t>Boyd,</w:t>
            </w:r>
            <w:r>
              <w:rPr>
                <w:spacing w:val="-14"/>
                <w:sz w:val="20"/>
              </w:rPr>
              <w:t> </w:t>
            </w:r>
            <w:r>
              <w:rPr>
                <w:sz w:val="20"/>
              </w:rPr>
              <w:t>NSW Genoa, NSW</w:t>
            </w:r>
          </w:p>
        </w:tc>
        <w:tc>
          <w:tcPr>
            <w:tcW w:w="4297" w:type="dxa"/>
            <w:tcBorders>
              <w:top w:val="single" w:sz="2" w:space="0" w:color="A6A6A6"/>
              <w:bottom w:val="single" w:sz="2" w:space="0" w:color="A6A6A6"/>
            </w:tcBorders>
            <w:shd w:val="clear" w:color="auto" w:fill="CCDBEA"/>
          </w:tcPr>
          <w:p>
            <w:pPr>
              <w:pStyle w:val="TableParagraph"/>
              <w:spacing w:before="81"/>
              <w:ind w:left="107"/>
              <w:rPr>
                <w:sz w:val="20"/>
              </w:rPr>
            </w:pPr>
            <w:r>
              <w:rPr>
                <w:sz w:val="20"/>
              </w:rPr>
              <w:t>Sand</w:t>
            </w:r>
            <w:r>
              <w:rPr>
                <w:spacing w:val="-7"/>
                <w:sz w:val="20"/>
              </w:rPr>
              <w:t> </w:t>
            </w:r>
            <w:r>
              <w:rPr>
                <w:sz w:val="20"/>
              </w:rPr>
              <w:t>pad</w:t>
            </w:r>
            <w:r>
              <w:rPr>
                <w:spacing w:val="-6"/>
                <w:sz w:val="20"/>
              </w:rPr>
              <w:t> </w:t>
            </w:r>
            <w:r>
              <w:rPr>
                <w:sz w:val="20"/>
              </w:rPr>
              <w:t>activity</w:t>
            </w:r>
            <w:r>
              <w:rPr>
                <w:spacing w:val="-6"/>
                <w:sz w:val="20"/>
              </w:rPr>
              <w:t> </w:t>
            </w:r>
            <w:r>
              <w:rPr>
                <w:spacing w:val="-2"/>
                <w:sz w:val="20"/>
              </w:rPr>
              <w:t>index</w:t>
            </w:r>
          </w:p>
        </w:tc>
        <w:tc>
          <w:tcPr>
            <w:tcW w:w="3404" w:type="dxa"/>
            <w:tcBorders>
              <w:top w:val="single" w:sz="2" w:space="0" w:color="A6A6A6"/>
              <w:bottom w:val="single" w:sz="2" w:space="0" w:color="A6A6A6"/>
            </w:tcBorders>
          </w:tcPr>
          <w:p>
            <w:pPr>
              <w:pStyle w:val="TableParagraph"/>
              <w:spacing w:before="81"/>
              <w:ind w:left="106"/>
              <w:rPr>
                <w:sz w:val="20"/>
              </w:rPr>
            </w:pPr>
            <w:r>
              <w:rPr>
                <w:sz w:val="20"/>
              </w:rPr>
              <w:t>Claridge</w:t>
            </w:r>
            <w:r>
              <w:rPr>
                <w:spacing w:val="-5"/>
                <w:sz w:val="20"/>
              </w:rPr>
              <w:t> </w:t>
            </w:r>
            <w:r>
              <w:rPr>
                <w:sz w:val="20"/>
              </w:rPr>
              <w:t>et</w:t>
            </w:r>
            <w:r>
              <w:rPr>
                <w:spacing w:val="-5"/>
                <w:sz w:val="20"/>
              </w:rPr>
              <w:t> </w:t>
            </w:r>
            <w:r>
              <w:rPr>
                <w:sz w:val="20"/>
              </w:rPr>
              <w:t>al.</w:t>
            </w:r>
            <w:r>
              <w:rPr>
                <w:spacing w:val="-4"/>
                <w:sz w:val="20"/>
              </w:rPr>
              <w:t> 2010</w:t>
            </w:r>
          </w:p>
        </w:tc>
      </w:tr>
      <w:tr>
        <w:trPr>
          <w:trHeight w:val="369"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2" w:space="0" w:color="A6A6A6"/>
            </w:tcBorders>
            <w:shd w:val="clear" w:color="auto" w:fill="CCDBEA"/>
          </w:tcPr>
          <w:p>
            <w:pPr>
              <w:pStyle w:val="TableParagraph"/>
              <w:spacing w:before="81"/>
              <w:ind w:left="3" w:right="8"/>
              <w:jc w:val="center"/>
              <w:rPr>
                <w:sz w:val="20"/>
              </w:rPr>
            </w:pPr>
            <w:r>
              <w:rPr>
                <w:spacing w:val="-5"/>
                <w:sz w:val="20"/>
              </w:rPr>
              <w:t>58</w:t>
            </w:r>
          </w:p>
        </w:tc>
        <w:tc>
          <w:tcPr>
            <w:tcW w:w="2790" w:type="dxa"/>
            <w:tcBorders>
              <w:top w:val="single" w:sz="2" w:space="0" w:color="A6A6A6"/>
              <w:bottom w:val="single" w:sz="2" w:space="0" w:color="A6A6A6"/>
            </w:tcBorders>
          </w:tcPr>
          <w:p>
            <w:pPr>
              <w:pStyle w:val="TableParagraph"/>
              <w:spacing w:before="81"/>
              <w:ind w:left="105"/>
              <w:rPr>
                <w:sz w:val="20"/>
              </w:rPr>
            </w:pPr>
            <w:r>
              <w:rPr>
                <w:sz w:val="20"/>
              </w:rPr>
              <w:t>Goonoo</w:t>
            </w:r>
            <w:r>
              <w:rPr>
                <w:spacing w:val="-8"/>
                <w:sz w:val="20"/>
              </w:rPr>
              <w:t> </w:t>
            </w:r>
            <w:r>
              <w:rPr>
                <w:sz w:val="20"/>
              </w:rPr>
              <w:t>SF,</w:t>
            </w:r>
            <w:r>
              <w:rPr>
                <w:spacing w:val="-7"/>
                <w:sz w:val="20"/>
              </w:rPr>
              <w:t> </w:t>
            </w:r>
            <w:r>
              <w:rPr>
                <w:spacing w:val="-5"/>
                <w:sz w:val="20"/>
              </w:rPr>
              <w:t>NSW</w:t>
            </w:r>
          </w:p>
        </w:tc>
        <w:tc>
          <w:tcPr>
            <w:tcW w:w="4297" w:type="dxa"/>
            <w:tcBorders>
              <w:top w:val="single" w:sz="2" w:space="0" w:color="A6A6A6"/>
              <w:bottom w:val="single" w:sz="2" w:space="0" w:color="A6A6A6"/>
            </w:tcBorders>
            <w:shd w:val="clear" w:color="auto" w:fill="CCDBEA"/>
          </w:tcPr>
          <w:p>
            <w:pPr>
              <w:pStyle w:val="TableParagraph"/>
              <w:spacing w:before="81"/>
              <w:ind w:left="107"/>
              <w:rPr>
                <w:sz w:val="20"/>
              </w:rPr>
            </w:pPr>
            <w:r>
              <w:rPr>
                <w:sz w:val="20"/>
              </w:rPr>
              <w:t>Camera</w:t>
            </w:r>
            <w:r>
              <w:rPr>
                <w:spacing w:val="-9"/>
                <w:sz w:val="20"/>
              </w:rPr>
              <w:t> </w:t>
            </w:r>
            <w:r>
              <w:rPr>
                <w:sz w:val="20"/>
              </w:rPr>
              <w:t>trap</w:t>
            </w:r>
            <w:r>
              <w:rPr>
                <w:spacing w:val="-8"/>
                <w:sz w:val="20"/>
              </w:rPr>
              <w:t> </w:t>
            </w:r>
            <w:r>
              <w:rPr>
                <w:sz w:val="20"/>
              </w:rPr>
              <w:t>activity</w:t>
            </w:r>
            <w:r>
              <w:rPr>
                <w:spacing w:val="-7"/>
                <w:sz w:val="20"/>
              </w:rPr>
              <w:t> </w:t>
            </w:r>
            <w:r>
              <w:rPr>
                <w:spacing w:val="-4"/>
                <w:sz w:val="20"/>
              </w:rPr>
              <w:t>index</w:t>
            </w:r>
          </w:p>
        </w:tc>
        <w:tc>
          <w:tcPr>
            <w:tcW w:w="3404" w:type="dxa"/>
            <w:tcBorders>
              <w:top w:val="single" w:sz="2" w:space="0" w:color="A6A6A6"/>
              <w:bottom w:val="single" w:sz="2" w:space="0" w:color="A6A6A6"/>
            </w:tcBorders>
          </w:tcPr>
          <w:p>
            <w:pPr>
              <w:pStyle w:val="TableParagraph"/>
              <w:spacing w:before="81"/>
              <w:ind w:left="106"/>
              <w:rPr>
                <w:sz w:val="20"/>
              </w:rPr>
            </w:pPr>
            <w:r>
              <w:rPr>
                <w:sz w:val="20"/>
              </w:rPr>
              <w:t>Towerton,</w:t>
            </w:r>
            <w:r>
              <w:rPr>
                <w:spacing w:val="-7"/>
                <w:sz w:val="20"/>
              </w:rPr>
              <w:t> </w:t>
            </w:r>
            <w:r>
              <w:rPr>
                <w:sz w:val="20"/>
              </w:rPr>
              <w:t>et</w:t>
            </w:r>
            <w:r>
              <w:rPr>
                <w:spacing w:val="-6"/>
                <w:sz w:val="20"/>
              </w:rPr>
              <w:t> </w:t>
            </w:r>
            <w:r>
              <w:rPr>
                <w:sz w:val="20"/>
              </w:rPr>
              <w:t>al.</w:t>
            </w:r>
            <w:r>
              <w:rPr>
                <w:spacing w:val="-5"/>
                <w:sz w:val="20"/>
              </w:rPr>
              <w:t> </w:t>
            </w:r>
            <w:r>
              <w:rPr>
                <w:spacing w:val="-4"/>
                <w:sz w:val="20"/>
              </w:rPr>
              <w:t>2011</w:t>
            </w:r>
          </w:p>
        </w:tc>
      </w:tr>
      <w:tr>
        <w:trPr>
          <w:trHeight w:val="371"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2" w:space="0" w:color="A6A6A6"/>
            </w:tcBorders>
            <w:shd w:val="clear" w:color="auto" w:fill="CCDBEA"/>
          </w:tcPr>
          <w:p>
            <w:pPr>
              <w:pStyle w:val="TableParagraph"/>
              <w:spacing w:before="83"/>
              <w:ind w:left="3" w:right="8"/>
              <w:jc w:val="center"/>
              <w:rPr>
                <w:sz w:val="20"/>
              </w:rPr>
            </w:pPr>
            <w:r>
              <w:rPr>
                <w:spacing w:val="-5"/>
                <w:sz w:val="20"/>
              </w:rPr>
              <w:t>83</w:t>
            </w:r>
          </w:p>
        </w:tc>
        <w:tc>
          <w:tcPr>
            <w:tcW w:w="2790" w:type="dxa"/>
            <w:tcBorders>
              <w:top w:val="single" w:sz="2" w:space="0" w:color="A6A6A6"/>
              <w:bottom w:val="single" w:sz="2" w:space="0" w:color="A6A6A6"/>
            </w:tcBorders>
          </w:tcPr>
          <w:p>
            <w:pPr>
              <w:pStyle w:val="TableParagraph"/>
              <w:spacing w:before="83"/>
              <w:ind w:left="105"/>
              <w:rPr>
                <w:sz w:val="20"/>
              </w:rPr>
            </w:pPr>
            <w:r>
              <w:rPr>
                <w:sz w:val="20"/>
              </w:rPr>
              <w:t>SW</w:t>
            </w:r>
            <w:r>
              <w:rPr>
                <w:spacing w:val="-4"/>
                <w:sz w:val="20"/>
              </w:rPr>
              <w:t> </w:t>
            </w:r>
            <w:r>
              <w:rPr>
                <w:spacing w:val="-2"/>
                <w:sz w:val="20"/>
              </w:rPr>
              <w:t>Victoria</w:t>
            </w:r>
          </w:p>
        </w:tc>
        <w:tc>
          <w:tcPr>
            <w:tcW w:w="4297" w:type="dxa"/>
            <w:tcBorders>
              <w:top w:val="single" w:sz="2" w:space="0" w:color="A6A6A6"/>
              <w:bottom w:val="single" w:sz="2" w:space="0" w:color="A6A6A6"/>
            </w:tcBorders>
            <w:shd w:val="clear" w:color="auto" w:fill="CCDBEA"/>
          </w:tcPr>
          <w:p>
            <w:pPr>
              <w:pStyle w:val="TableParagraph"/>
              <w:spacing w:before="83"/>
              <w:ind w:left="107"/>
              <w:rPr>
                <w:sz w:val="20"/>
              </w:rPr>
            </w:pPr>
            <w:r>
              <w:rPr>
                <w:sz w:val="20"/>
              </w:rPr>
              <w:t>Bait</w:t>
            </w:r>
            <w:r>
              <w:rPr>
                <w:spacing w:val="-7"/>
                <w:sz w:val="20"/>
              </w:rPr>
              <w:t> </w:t>
            </w:r>
            <w:r>
              <w:rPr>
                <w:sz w:val="20"/>
              </w:rPr>
              <w:t>take</w:t>
            </w:r>
            <w:r>
              <w:rPr>
                <w:spacing w:val="-4"/>
                <w:sz w:val="20"/>
              </w:rPr>
              <w:t> </w:t>
            </w:r>
            <w:r>
              <w:rPr>
                <w:spacing w:val="-2"/>
                <w:sz w:val="20"/>
              </w:rPr>
              <w:t>index</w:t>
            </w:r>
          </w:p>
        </w:tc>
        <w:tc>
          <w:tcPr>
            <w:tcW w:w="3404" w:type="dxa"/>
            <w:tcBorders>
              <w:top w:val="single" w:sz="2" w:space="0" w:color="A6A6A6"/>
              <w:bottom w:val="single" w:sz="2" w:space="0" w:color="A6A6A6"/>
            </w:tcBorders>
          </w:tcPr>
          <w:p>
            <w:pPr>
              <w:pStyle w:val="TableParagraph"/>
              <w:spacing w:before="83"/>
              <w:ind w:left="106"/>
              <w:rPr>
                <w:sz w:val="20"/>
              </w:rPr>
            </w:pPr>
            <w:r>
              <w:rPr>
                <w:sz w:val="20"/>
              </w:rPr>
              <w:t>Robley</w:t>
            </w:r>
            <w:r>
              <w:rPr>
                <w:spacing w:val="-7"/>
                <w:sz w:val="20"/>
              </w:rPr>
              <w:t> </w:t>
            </w:r>
            <w:r>
              <w:rPr>
                <w:sz w:val="20"/>
              </w:rPr>
              <w:t>et</w:t>
            </w:r>
            <w:r>
              <w:rPr>
                <w:spacing w:val="-4"/>
                <w:sz w:val="20"/>
              </w:rPr>
              <w:t> </w:t>
            </w:r>
            <w:r>
              <w:rPr>
                <w:sz w:val="20"/>
              </w:rPr>
              <w:t>al.</w:t>
            </w:r>
            <w:r>
              <w:rPr>
                <w:spacing w:val="-3"/>
                <w:sz w:val="20"/>
              </w:rPr>
              <w:t> </w:t>
            </w:r>
            <w:r>
              <w:rPr>
                <w:spacing w:val="-4"/>
                <w:sz w:val="20"/>
              </w:rPr>
              <w:t>2014</w:t>
            </w:r>
          </w:p>
        </w:tc>
      </w:tr>
      <w:tr>
        <w:trPr>
          <w:trHeight w:val="599"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2" w:space="0" w:color="A6A6A6"/>
            </w:tcBorders>
            <w:shd w:val="clear" w:color="auto" w:fill="CCDBEA"/>
          </w:tcPr>
          <w:p>
            <w:pPr>
              <w:pStyle w:val="TableParagraph"/>
              <w:spacing w:before="81"/>
              <w:ind w:left="3" w:right="8"/>
              <w:jc w:val="center"/>
              <w:rPr>
                <w:sz w:val="20"/>
              </w:rPr>
            </w:pPr>
            <w:r>
              <w:rPr>
                <w:spacing w:val="-5"/>
                <w:sz w:val="20"/>
              </w:rPr>
              <w:t>80</w:t>
            </w:r>
          </w:p>
        </w:tc>
        <w:tc>
          <w:tcPr>
            <w:tcW w:w="2790" w:type="dxa"/>
            <w:tcBorders>
              <w:top w:val="single" w:sz="2" w:space="0" w:color="A6A6A6"/>
              <w:bottom w:val="single" w:sz="2" w:space="0" w:color="A6A6A6"/>
            </w:tcBorders>
          </w:tcPr>
          <w:p>
            <w:pPr>
              <w:pStyle w:val="TableParagraph"/>
              <w:spacing w:before="81"/>
              <w:ind w:left="105"/>
              <w:rPr>
                <w:sz w:val="20"/>
              </w:rPr>
            </w:pPr>
            <w:r>
              <w:rPr>
                <w:sz w:val="20"/>
              </w:rPr>
              <w:t>WA</w:t>
            </w:r>
            <w:r>
              <w:rPr>
                <w:spacing w:val="-4"/>
                <w:sz w:val="20"/>
              </w:rPr>
              <w:t> </w:t>
            </w:r>
            <w:r>
              <w:rPr>
                <w:spacing w:val="-2"/>
                <w:sz w:val="20"/>
              </w:rPr>
              <w:t>Wheatbelt</w:t>
            </w:r>
          </w:p>
        </w:tc>
        <w:tc>
          <w:tcPr>
            <w:tcW w:w="4297" w:type="dxa"/>
            <w:tcBorders>
              <w:top w:val="single" w:sz="2" w:space="0" w:color="A6A6A6"/>
              <w:bottom w:val="single" w:sz="2" w:space="0" w:color="A6A6A6"/>
            </w:tcBorders>
            <w:shd w:val="clear" w:color="auto" w:fill="CCDBEA"/>
          </w:tcPr>
          <w:p>
            <w:pPr>
              <w:pStyle w:val="TableParagraph"/>
              <w:spacing w:before="81"/>
              <w:ind w:left="107" w:right="120"/>
              <w:rPr>
                <w:sz w:val="20"/>
              </w:rPr>
            </w:pPr>
            <w:r>
              <w:rPr>
                <w:sz w:val="20"/>
              </w:rPr>
              <w:t>Mark-recapture</w:t>
            </w:r>
            <w:r>
              <w:rPr>
                <w:spacing w:val="-10"/>
                <w:sz w:val="20"/>
              </w:rPr>
              <w:t> </w:t>
            </w:r>
            <w:r>
              <w:rPr>
                <w:sz w:val="20"/>
              </w:rPr>
              <w:t>DNA</w:t>
            </w:r>
            <w:r>
              <w:rPr>
                <w:spacing w:val="-9"/>
                <w:sz w:val="20"/>
              </w:rPr>
              <w:t> </w:t>
            </w:r>
            <w:r>
              <w:rPr>
                <w:sz w:val="20"/>
              </w:rPr>
              <w:t>genotyping</w:t>
            </w:r>
            <w:r>
              <w:rPr>
                <w:spacing w:val="-11"/>
                <w:sz w:val="20"/>
              </w:rPr>
              <w:t> </w:t>
            </w:r>
            <w:r>
              <w:rPr>
                <w:sz w:val="20"/>
              </w:rPr>
              <w:t>scats</w:t>
            </w:r>
            <w:r>
              <w:rPr>
                <w:spacing w:val="-10"/>
                <w:sz w:val="20"/>
              </w:rPr>
              <w:t> </w:t>
            </w:r>
            <w:r>
              <w:rPr>
                <w:sz w:val="20"/>
              </w:rPr>
              <w:t>pre- post control</w:t>
            </w:r>
          </w:p>
        </w:tc>
        <w:tc>
          <w:tcPr>
            <w:tcW w:w="3404" w:type="dxa"/>
            <w:tcBorders>
              <w:top w:val="single" w:sz="2" w:space="0" w:color="A6A6A6"/>
              <w:bottom w:val="single" w:sz="2" w:space="0" w:color="A6A6A6"/>
            </w:tcBorders>
          </w:tcPr>
          <w:p>
            <w:pPr>
              <w:pStyle w:val="TableParagraph"/>
              <w:spacing w:before="81"/>
              <w:ind w:left="106"/>
              <w:rPr>
                <w:sz w:val="20"/>
              </w:rPr>
            </w:pPr>
            <w:r>
              <w:rPr>
                <w:sz w:val="20"/>
              </w:rPr>
              <w:t>Marlow</w:t>
            </w:r>
            <w:r>
              <w:rPr>
                <w:spacing w:val="-6"/>
                <w:sz w:val="20"/>
              </w:rPr>
              <w:t> </w:t>
            </w:r>
            <w:r>
              <w:rPr>
                <w:sz w:val="20"/>
              </w:rPr>
              <w:t>et</w:t>
            </w:r>
            <w:r>
              <w:rPr>
                <w:spacing w:val="-4"/>
                <w:sz w:val="20"/>
              </w:rPr>
              <w:t> </w:t>
            </w:r>
            <w:r>
              <w:rPr>
                <w:sz w:val="20"/>
              </w:rPr>
              <w:t>al.</w:t>
            </w:r>
            <w:r>
              <w:rPr>
                <w:spacing w:val="-4"/>
                <w:sz w:val="20"/>
              </w:rPr>
              <w:t> 2015</w:t>
            </w:r>
          </w:p>
        </w:tc>
      </w:tr>
      <w:tr>
        <w:trPr>
          <w:trHeight w:val="369"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2" w:space="0" w:color="A6A6A6"/>
            </w:tcBorders>
            <w:shd w:val="clear" w:color="auto" w:fill="CCDBEA"/>
          </w:tcPr>
          <w:p>
            <w:pPr>
              <w:pStyle w:val="TableParagraph"/>
              <w:spacing w:before="81"/>
              <w:ind w:left="3" w:right="8"/>
              <w:jc w:val="center"/>
              <w:rPr>
                <w:sz w:val="20"/>
              </w:rPr>
            </w:pPr>
            <w:r>
              <w:rPr>
                <w:spacing w:val="-5"/>
                <w:sz w:val="20"/>
              </w:rPr>
              <w:t>41</w:t>
            </w:r>
          </w:p>
        </w:tc>
        <w:tc>
          <w:tcPr>
            <w:tcW w:w="2790" w:type="dxa"/>
            <w:tcBorders>
              <w:top w:val="single" w:sz="2" w:space="0" w:color="A6A6A6"/>
              <w:bottom w:val="single" w:sz="2" w:space="0" w:color="A6A6A6"/>
            </w:tcBorders>
          </w:tcPr>
          <w:p>
            <w:pPr>
              <w:pStyle w:val="TableParagraph"/>
              <w:spacing w:before="81"/>
              <w:ind w:left="105"/>
              <w:rPr>
                <w:sz w:val="20"/>
              </w:rPr>
            </w:pPr>
            <w:r>
              <w:rPr>
                <w:sz w:val="20"/>
              </w:rPr>
              <w:t>Mallee,</w:t>
            </w:r>
            <w:r>
              <w:rPr>
                <w:spacing w:val="-9"/>
                <w:sz w:val="20"/>
              </w:rPr>
              <w:t> </w:t>
            </w:r>
            <w:r>
              <w:rPr>
                <w:spacing w:val="-2"/>
                <w:sz w:val="20"/>
              </w:rPr>
              <w:t>Victoria</w:t>
            </w:r>
          </w:p>
        </w:tc>
        <w:tc>
          <w:tcPr>
            <w:tcW w:w="4297" w:type="dxa"/>
            <w:tcBorders>
              <w:top w:val="single" w:sz="2" w:space="0" w:color="A6A6A6"/>
              <w:bottom w:val="single" w:sz="2" w:space="0" w:color="A6A6A6"/>
            </w:tcBorders>
            <w:shd w:val="clear" w:color="auto" w:fill="CCDBEA"/>
          </w:tcPr>
          <w:p>
            <w:pPr>
              <w:pStyle w:val="TableParagraph"/>
              <w:spacing w:before="81"/>
              <w:ind w:left="107"/>
              <w:rPr>
                <w:sz w:val="20"/>
              </w:rPr>
            </w:pPr>
            <w:r>
              <w:rPr>
                <w:sz w:val="20"/>
              </w:rPr>
              <w:t>Change</w:t>
            </w:r>
            <w:r>
              <w:rPr>
                <w:spacing w:val="-8"/>
                <w:sz w:val="20"/>
              </w:rPr>
              <w:t> </w:t>
            </w:r>
            <w:r>
              <w:rPr>
                <w:sz w:val="20"/>
              </w:rPr>
              <w:t>in</w:t>
            </w:r>
            <w:r>
              <w:rPr>
                <w:spacing w:val="-9"/>
                <w:sz w:val="20"/>
              </w:rPr>
              <w:t> </w:t>
            </w:r>
            <w:r>
              <w:rPr>
                <w:sz w:val="20"/>
              </w:rPr>
              <w:t>occupancy</w:t>
            </w:r>
            <w:r>
              <w:rPr>
                <w:spacing w:val="-7"/>
                <w:sz w:val="20"/>
              </w:rPr>
              <w:t> </w:t>
            </w:r>
            <w:r>
              <w:rPr>
                <w:sz w:val="20"/>
              </w:rPr>
              <w:t>pre-</w:t>
            </w:r>
            <w:r>
              <w:rPr>
                <w:spacing w:val="-6"/>
                <w:sz w:val="20"/>
              </w:rPr>
              <w:t> </w:t>
            </w:r>
            <w:r>
              <w:rPr>
                <w:sz w:val="20"/>
              </w:rPr>
              <w:t>and</w:t>
            </w:r>
            <w:r>
              <w:rPr>
                <w:spacing w:val="-7"/>
                <w:sz w:val="20"/>
              </w:rPr>
              <w:t> </w:t>
            </w:r>
            <w:r>
              <w:rPr>
                <w:sz w:val="20"/>
              </w:rPr>
              <w:t>post-</w:t>
            </w:r>
            <w:r>
              <w:rPr>
                <w:spacing w:val="-2"/>
                <w:sz w:val="20"/>
              </w:rPr>
              <w:t>control</w:t>
            </w:r>
          </w:p>
        </w:tc>
        <w:tc>
          <w:tcPr>
            <w:tcW w:w="3404" w:type="dxa"/>
            <w:tcBorders>
              <w:top w:val="single" w:sz="2" w:space="0" w:color="A6A6A6"/>
              <w:bottom w:val="single" w:sz="2" w:space="0" w:color="A6A6A6"/>
            </w:tcBorders>
          </w:tcPr>
          <w:p>
            <w:pPr>
              <w:pStyle w:val="TableParagraph"/>
              <w:spacing w:before="81"/>
              <w:ind w:left="106"/>
              <w:rPr>
                <w:sz w:val="20"/>
              </w:rPr>
            </w:pPr>
            <w:r>
              <w:rPr>
                <w:sz w:val="20"/>
              </w:rPr>
              <w:t>Robley</w:t>
            </w:r>
            <w:r>
              <w:rPr>
                <w:spacing w:val="-7"/>
                <w:sz w:val="20"/>
              </w:rPr>
              <w:t> </w:t>
            </w:r>
            <w:r>
              <w:rPr>
                <w:sz w:val="20"/>
              </w:rPr>
              <w:t>et</w:t>
            </w:r>
            <w:r>
              <w:rPr>
                <w:spacing w:val="-4"/>
                <w:sz w:val="20"/>
              </w:rPr>
              <w:t> </w:t>
            </w:r>
            <w:r>
              <w:rPr>
                <w:sz w:val="20"/>
              </w:rPr>
              <w:t>al.</w:t>
            </w:r>
            <w:r>
              <w:rPr>
                <w:spacing w:val="-3"/>
                <w:sz w:val="20"/>
              </w:rPr>
              <w:t> </w:t>
            </w:r>
            <w:r>
              <w:rPr>
                <w:spacing w:val="-4"/>
                <w:sz w:val="20"/>
              </w:rPr>
              <w:t>2016</w:t>
            </w:r>
          </w:p>
        </w:tc>
      </w:tr>
      <w:tr>
        <w:trPr>
          <w:trHeight w:val="373"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4" w:space="0" w:color="000000"/>
            </w:tcBorders>
            <w:shd w:val="clear" w:color="auto" w:fill="CCDBEA"/>
          </w:tcPr>
          <w:p>
            <w:pPr>
              <w:pStyle w:val="TableParagraph"/>
              <w:spacing w:before="81"/>
              <w:ind w:left="3" w:right="8"/>
              <w:jc w:val="center"/>
              <w:rPr>
                <w:sz w:val="20"/>
              </w:rPr>
            </w:pPr>
            <w:r>
              <w:rPr>
                <w:spacing w:val="-5"/>
                <w:sz w:val="20"/>
              </w:rPr>
              <w:t>73</w:t>
            </w:r>
          </w:p>
        </w:tc>
        <w:tc>
          <w:tcPr>
            <w:tcW w:w="2790" w:type="dxa"/>
            <w:tcBorders>
              <w:top w:val="single" w:sz="2" w:space="0" w:color="A6A6A6"/>
              <w:bottom w:val="single" w:sz="4" w:space="0" w:color="000000"/>
            </w:tcBorders>
          </w:tcPr>
          <w:p>
            <w:pPr>
              <w:pStyle w:val="TableParagraph"/>
              <w:spacing w:before="81"/>
              <w:ind w:left="105"/>
              <w:rPr>
                <w:sz w:val="20"/>
              </w:rPr>
            </w:pPr>
            <w:r>
              <w:rPr>
                <w:sz w:val="20"/>
              </w:rPr>
              <w:t>Southwest</w:t>
            </w:r>
            <w:r>
              <w:rPr>
                <w:spacing w:val="-9"/>
                <w:sz w:val="20"/>
              </w:rPr>
              <w:t> </w:t>
            </w:r>
            <w:r>
              <w:rPr>
                <w:spacing w:val="-2"/>
                <w:sz w:val="20"/>
              </w:rPr>
              <w:t>Victoria</w:t>
            </w:r>
          </w:p>
        </w:tc>
        <w:tc>
          <w:tcPr>
            <w:tcW w:w="4297" w:type="dxa"/>
            <w:tcBorders>
              <w:top w:val="single" w:sz="2" w:space="0" w:color="A6A6A6"/>
              <w:bottom w:val="single" w:sz="4" w:space="0" w:color="000000"/>
            </w:tcBorders>
            <w:shd w:val="clear" w:color="auto" w:fill="CCDBEA"/>
          </w:tcPr>
          <w:p>
            <w:pPr>
              <w:pStyle w:val="TableParagraph"/>
              <w:spacing w:before="81"/>
              <w:ind w:left="107"/>
              <w:rPr>
                <w:sz w:val="20"/>
              </w:rPr>
            </w:pPr>
            <w:r>
              <w:rPr>
                <w:sz w:val="20"/>
              </w:rPr>
              <w:t>Spatially</w:t>
            </w:r>
            <w:r>
              <w:rPr>
                <w:spacing w:val="-9"/>
                <w:sz w:val="20"/>
              </w:rPr>
              <w:t> </w:t>
            </w:r>
            <w:r>
              <w:rPr>
                <w:sz w:val="20"/>
              </w:rPr>
              <w:t>modelled</w:t>
            </w:r>
            <w:r>
              <w:rPr>
                <w:spacing w:val="-9"/>
                <w:sz w:val="20"/>
              </w:rPr>
              <w:t> </w:t>
            </w:r>
            <w:r>
              <w:rPr>
                <w:sz w:val="20"/>
              </w:rPr>
              <w:t>changes</w:t>
            </w:r>
            <w:r>
              <w:rPr>
                <w:spacing w:val="-7"/>
                <w:sz w:val="20"/>
              </w:rPr>
              <w:t> </w:t>
            </w:r>
            <w:r>
              <w:rPr>
                <w:sz w:val="20"/>
              </w:rPr>
              <w:t>in</w:t>
            </w:r>
            <w:r>
              <w:rPr>
                <w:spacing w:val="-9"/>
                <w:sz w:val="20"/>
              </w:rPr>
              <w:t> </w:t>
            </w:r>
            <w:r>
              <w:rPr>
                <w:spacing w:val="-2"/>
                <w:sz w:val="20"/>
              </w:rPr>
              <w:t>density</w:t>
            </w:r>
          </w:p>
        </w:tc>
        <w:tc>
          <w:tcPr>
            <w:tcW w:w="3404" w:type="dxa"/>
            <w:tcBorders>
              <w:top w:val="single" w:sz="2" w:space="0" w:color="A6A6A6"/>
              <w:bottom w:val="single" w:sz="4" w:space="0" w:color="000000"/>
            </w:tcBorders>
          </w:tcPr>
          <w:p>
            <w:pPr>
              <w:pStyle w:val="TableParagraph"/>
              <w:spacing w:before="81"/>
              <w:ind w:left="106"/>
              <w:rPr>
                <w:sz w:val="20"/>
              </w:rPr>
            </w:pPr>
            <w:r>
              <w:rPr>
                <w:sz w:val="20"/>
              </w:rPr>
              <w:t>Hradsky</w:t>
            </w:r>
            <w:r>
              <w:rPr>
                <w:spacing w:val="-3"/>
                <w:sz w:val="20"/>
              </w:rPr>
              <w:t> </w:t>
            </w:r>
            <w:r>
              <w:rPr>
                <w:sz w:val="20"/>
              </w:rPr>
              <w:t>et</w:t>
            </w:r>
            <w:r>
              <w:rPr>
                <w:spacing w:val="-6"/>
                <w:sz w:val="20"/>
              </w:rPr>
              <w:t> </w:t>
            </w:r>
            <w:r>
              <w:rPr>
                <w:sz w:val="20"/>
              </w:rPr>
              <w:t>al.</w:t>
            </w:r>
            <w:r>
              <w:rPr>
                <w:spacing w:val="-4"/>
                <w:sz w:val="20"/>
              </w:rPr>
              <w:t> 2018</w:t>
            </w:r>
          </w:p>
        </w:tc>
      </w:tr>
      <w:tr>
        <w:trPr>
          <w:trHeight w:val="830" w:hRule="atLeast"/>
        </w:trPr>
        <w:tc>
          <w:tcPr>
            <w:tcW w:w="1702" w:type="dxa"/>
            <w:tcBorders>
              <w:top w:val="single" w:sz="4" w:space="0" w:color="000000"/>
              <w:bottom w:val="single" w:sz="4" w:space="0" w:color="000000"/>
            </w:tcBorders>
          </w:tcPr>
          <w:p>
            <w:pPr>
              <w:pStyle w:val="TableParagraph"/>
              <w:spacing w:before="194"/>
              <w:ind w:left="107" w:right="502"/>
              <w:rPr>
                <w:sz w:val="20"/>
              </w:rPr>
            </w:pPr>
            <w:r>
              <w:rPr>
                <w:spacing w:val="-2"/>
                <w:sz w:val="20"/>
              </w:rPr>
              <w:t>FOXECUTE (PAPP)</w:t>
            </w:r>
          </w:p>
        </w:tc>
        <w:tc>
          <w:tcPr>
            <w:tcW w:w="2129" w:type="dxa"/>
            <w:tcBorders>
              <w:top w:val="single" w:sz="4" w:space="0" w:color="000000"/>
              <w:bottom w:val="single" w:sz="4" w:space="0" w:color="000000"/>
            </w:tcBorders>
            <w:shd w:val="clear" w:color="auto" w:fill="CCDBEA"/>
          </w:tcPr>
          <w:p>
            <w:pPr>
              <w:pStyle w:val="TableParagraph"/>
              <w:spacing w:before="79"/>
              <w:rPr>
                <w:b/>
                <w:sz w:val="20"/>
              </w:rPr>
            </w:pPr>
          </w:p>
          <w:p>
            <w:pPr>
              <w:pStyle w:val="TableParagraph"/>
              <w:ind w:left="8" w:right="8"/>
              <w:jc w:val="center"/>
              <w:rPr>
                <w:sz w:val="20"/>
              </w:rPr>
            </w:pPr>
            <w:r>
              <w:rPr>
                <w:spacing w:val="-4"/>
                <w:sz w:val="20"/>
              </w:rPr>
              <w:t>65–80</w:t>
            </w:r>
          </w:p>
        </w:tc>
        <w:tc>
          <w:tcPr>
            <w:tcW w:w="2790" w:type="dxa"/>
            <w:tcBorders>
              <w:top w:val="single" w:sz="4" w:space="0" w:color="000000"/>
              <w:bottom w:val="single" w:sz="4" w:space="0" w:color="000000"/>
            </w:tcBorders>
          </w:tcPr>
          <w:p>
            <w:pPr>
              <w:pStyle w:val="TableParagraph"/>
              <w:spacing w:before="78"/>
              <w:ind w:left="105" w:right="671"/>
              <w:rPr>
                <w:sz w:val="20"/>
              </w:rPr>
            </w:pPr>
            <w:r>
              <w:rPr>
                <w:sz w:val="20"/>
              </w:rPr>
              <w:t>Dubbo, NSW Werribee, Victoria Phillip</w:t>
            </w:r>
            <w:r>
              <w:rPr>
                <w:spacing w:val="-14"/>
                <w:sz w:val="20"/>
              </w:rPr>
              <w:t> </w:t>
            </w:r>
            <w:r>
              <w:rPr>
                <w:sz w:val="20"/>
              </w:rPr>
              <w:t>Island,</w:t>
            </w:r>
            <w:r>
              <w:rPr>
                <w:spacing w:val="-14"/>
                <w:sz w:val="20"/>
              </w:rPr>
              <w:t> </w:t>
            </w:r>
            <w:r>
              <w:rPr>
                <w:sz w:val="20"/>
              </w:rPr>
              <w:t>Victoria</w:t>
            </w:r>
          </w:p>
        </w:tc>
        <w:tc>
          <w:tcPr>
            <w:tcW w:w="4297" w:type="dxa"/>
            <w:tcBorders>
              <w:top w:val="single" w:sz="4" w:space="0" w:color="000000"/>
              <w:bottom w:val="single" w:sz="4" w:space="0" w:color="000000"/>
            </w:tcBorders>
            <w:shd w:val="clear" w:color="auto" w:fill="CCDBEA"/>
          </w:tcPr>
          <w:p>
            <w:pPr>
              <w:pStyle w:val="TableParagraph"/>
              <w:spacing w:before="79"/>
              <w:rPr>
                <w:b/>
                <w:sz w:val="20"/>
              </w:rPr>
            </w:pPr>
          </w:p>
          <w:p>
            <w:pPr>
              <w:pStyle w:val="TableParagraph"/>
              <w:ind w:left="107"/>
              <w:rPr>
                <w:sz w:val="20"/>
              </w:rPr>
            </w:pPr>
            <w:r>
              <w:rPr>
                <w:sz w:val="20"/>
              </w:rPr>
              <w:t>Not</w:t>
            </w:r>
            <w:r>
              <w:rPr>
                <w:spacing w:val="-5"/>
                <w:sz w:val="20"/>
              </w:rPr>
              <w:t> </w:t>
            </w:r>
            <w:r>
              <w:rPr>
                <w:spacing w:val="-2"/>
                <w:sz w:val="20"/>
              </w:rPr>
              <w:t>reported</w:t>
            </w:r>
          </w:p>
        </w:tc>
        <w:tc>
          <w:tcPr>
            <w:tcW w:w="3404" w:type="dxa"/>
            <w:tcBorders>
              <w:top w:val="single" w:sz="4" w:space="0" w:color="000000"/>
              <w:bottom w:val="single" w:sz="4" w:space="0" w:color="000000"/>
            </w:tcBorders>
          </w:tcPr>
          <w:p>
            <w:pPr>
              <w:pStyle w:val="TableParagraph"/>
              <w:spacing w:before="79"/>
              <w:rPr>
                <w:b/>
                <w:sz w:val="20"/>
              </w:rPr>
            </w:pPr>
          </w:p>
          <w:p>
            <w:pPr>
              <w:pStyle w:val="TableParagraph"/>
              <w:ind w:left="106"/>
              <w:rPr>
                <w:sz w:val="20"/>
              </w:rPr>
            </w:pPr>
            <w:r>
              <w:rPr>
                <w:sz w:val="20"/>
              </w:rPr>
              <w:t>APVMA</w:t>
            </w:r>
            <w:r>
              <w:rPr>
                <w:spacing w:val="-10"/>
                <w:sz w:val="20"/>
              </w:rPr>
              <w:t> </w:t>
            </w:r>
            <w:r>
              <w:rPr>
                <w:spacing w:val="-4"/>
                <w:sz w:val="20"/>
              </w:rPr>
              <w:t>2015</w:t>
            </w:r>
          </w:p>
        </w:tc>
      </w:tr>
      <w:tr>
        <w:trPr>
          <w:trHeight w:val="366" w:hRule="atLeast"/>
        </w:trPr>
        <w:tc>
          <w:tcPr>
            <w:tcW w:w="1702" w:type="dxa"/>
            <w:vMerge w:val="restart"/>
            <w:tcBorders>
              <w:top w:val="single" w:sz="4" w:space="0" w:color="000000"/>
              <w:bottom w:val="single" w:sz="4" w:space="0" w:color="000000"/>
            </w:tcBorders>
          </w:tcPr>
          <w:p>
            <w:pPr>
              <w:pStyle w:val="TableParagraph"/>
              <w:rPr>
                <w:b/>
                <w:sz w:val="20"/>
              </w:rPr>
            </w:pPr>
          </w:p>
          <w:p>
            <w:pPr>
              <w:pStyle w:val="TableParagraph"/>
              <w:spacing w:before="113"/>
              <w:rPr>
                <w:b/>
                <w:sz w:val="20"/>
              </w:rPr>
            </w:pPr>
          </w:p>
          <w:p>
            <w:pPr>
              <w:pStyle w:val="TableParagraph"/>
              <w:ind w:left="107"/>
              <w:rPr>
                <w:sz w:val="20"/>
              </w:rPr>
            </w:pPr>
            <w:r>
              <w:rPr>
                <w:sz w:val="20"/>
              </w:rPr>
              <w:t>CPE</w:t>
            </w:r>
            <w:r>
              <w:rPr>
                <w:spacing w:val="-5"/>
                <w:sz w:val="20"/>
              </w:rPr>
              <w:t> </w:t>
            </w:r>
            <w:r>
              <w:rPr>
                <w:spacing w:val="-2"/>
                <w:sz w:val="20"/>
              </w:rPr>
              <w:t>(1080)</w:t>
            </w:r>
          </w:p>
        </w:tc>
        <w:tc>
          <w:tcPr>
            <w:tcW w:w="2129" w:type="dxa"/>
            <w:tcBorders>
              <w:top w:val="single" w:sz="4" w:space="0" w:color="000000"/>
              <w:bottom w:val="single" w:sz="2" w:space="0" w:color="A6A6A6"/>
            </w:tcBorders>
            <w:shd w:val="clear" w:color="auto" w:fill="CCDBEA"/>
          </w:tcPr>
          <w:p>
            <w:pPr>
              <w:pStyle w:val="TableParagraph"/>
              <w:spacing w:before="78"/>
              <w:ind w:left="2" w:right="8"/>
              <w:jc w:val="center"/>
              <w:rPr>
                <w:sz w:val="20"/>
              </w:rPr>
            </w:pPr>
            <w:r>
              <w:rPr>
                <w:sz w:val="20"/>
              </w:rPr>
              <w:t>0.016/trap</w:t>
            </w:r>
            <w:r>
              <w:rPr>
                <w:spacing w:val="-13"/>
                <w:sz w:val="20"/>
              </w:rPr>
              <w:t> </w:t>
            </w:r>
            <w:r>
              <w:rPr>
                <w:spacing w:val="-2"/>
                <w:sz w:val="20"/>
              </w:rPr>
              <w:t>night</w:t>
            </w:r>
          </w:p>
        </w:tc>
        <w:tc>
          <w:tcPr>
            <w:tcW w:w="2790" w:type="dxa"/>
            <w:tcBorders>
              <w:top w:val="single" w:sz="4" w:space="0" w:color="000000"/>
              <w:bottom w:val="single" w:sz="2" w:space="0" w:color="A6A6A6"/>
            </w:tcBorders>
          </w:tcPr>
          <w:p>
            <w:pPr>
              <w:pStyle w:val="TableParagraph"/>
              <w:spacing w:before="78"/>
              <w:ind w:left="105"/>
              <w:rPr>
                <w:sz w:val="20"/>
              </w:rPr>
            </w:pPr>
            <w:r>
              <w:rPr>
                <w:sz w:val="20"/>
              </w:rPr>
              <w:t>5</w:t>
            </w:r>
            <w:r>
              <w:rPr>
                <w:spacing w:val="-6"/>
                <w:sz w:val="20"/>
              </w:rPr>
              <w:t> </w:t>
            </w:r>
            <w:r>
              <w:rPr>
                <w:sz w:val="20"/>
              </w:rPr>
              <w:t>sites</w:t>
            </w:r>
            <w:r>
              <w:rPr>
                <w:spacing w:val="-4"/>
                <w:sz w:val="20"/>
              </w:rPr>
              <w:t> </w:t>
            </w:r>
            <w:r>
              <w:rPr>
                <w:sz w:val="20"/>
              </w:rPr>
              <w:t>across</w:t>
            </w:r>
            <w:r>
              <w:rPr>
                <w:spacing w:val="-5"/>
                <w:sz w:val="20"/>
              </w:rPr>
              <w:t> </w:t>
            </w:r>
            <w:r>
              <w:rPr>
                <w:spacing w:val="-2"/>
                <w:sz w:val="20"/>
              </w:rPr>
              <w:t>Victoria</w:t>
            </w:r>
          </w:p>
        </w:tc>
        <w:tc>
          <w:tcPr>
            <w:tcW w:w="4297" w:type="dxa"/>
            <w:tcBorders>
              <w:top w:val="single" w:sz="4" w:space="0" w:color="000000"/>
              <w:bottom w:val="single" w:sz="2" w:space="0" w:color="A6A6A6"/>
            </w:tcBorders>
            <w:shd w:val="clear" w:color="auto" w:fill="CCDBEA"/>
          </w:tcPr>
          <w:p>
            <w:pPr>
              <w:pStyle w:val="TableParagraph"/>
              <w:spacing w:before="78"/>
              <w:ind w:left="107"/>
              <w:rPr>
                <w:sz w:val="20"/>
              </w:rPr>
            </w:pPr>
            <w:r>
              <w:rPr>
                <w:sz w:val="20"/>
              </w:rPr>
              <w:t>No.</w:t>
            </w:r>
            <w:r>
              <w:rPr>
                <w:spacing w:val="-5"/>
                <w:sz w:val="20"/>
              </w:rPr>
              <w:t> </w:t>
            </w:r>
            <w:r>
              <w:rPr>
                <w:spacing w:val="-2"/>
                <w:sz w:val="20"/>
              </w:rPr>
              <w:t>killed</w:t>
            </w:r>
          </w:p>
        </w:tc>
        <w:tc>
          <w:tcPr>
            <w:tcW w:w="3404" w:type="dxa"/>
            <w:tcBorders>
              <w:top w:val="single" w:sz="4" w:space="0" w:color="000000"/>
              <w:bottom w:val="single" w:sz="2" w:space="0" w:color="A6A6A6"/>
            </w:tcBorders>
          </w:tcPr>
          <w:p>
            <w:pPr>
              <w:pStyle w:val="TableParagraph"/>
              <w:spacing w:before="78"/>
              <w:ind w:left="106"/>
              <w:rPr>
                <w:sz w:val="20"/>
              </w:rPr>
            </w:pPr>
            <w:r>
              <w:rPr>
                <w:sz w:val="20"/>
              </w:rPr>
              <w:t>Marks</w:t>
            </w:r>
            <w:r>
              <w:rPr>
                <w:spacing w:val="-3"/>
                <w:sz w:val="20"/>
              </w:rPr>
              <w:t> </w:t>
            </w:r>
            <w:r>
              <w:rPr>
                <w:sz w:val="20"/>
              </w:rPr>
              <w:t>et</w:t>
            </w:r>
            <w:r>
              <w:rPr>
                <w:spacing w:val="-5"/>
                <w:sz w:val="20"/>
              </w:rPr>
              <w:t> </w:t>
            </w:r>
            <w:r>
              <w:rPr>
                <w:sz w:val="20"/>
              </w:rPr>
              <w:t>al.</w:t>
            </w:r>
            <w:r>
              <w:rPr>
                <w:spacing w:val="-5"/>
                <w:sz w:val="20"/>
              </w:rPr>
              <w:t> </w:t>
            </w:r>
            <w:r>
              <w:rPr>
                <w:spacing w:val="-4"/>
                <w:sz w:val="20"/>
              </w:rPr>
              <w:t>2003</w:t>
            </w:r>
          </w:p>
        </w:tc>
      </w:tr>
      <w:tr>
        <w:trPr>
          <w:trHeight w:val="599"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2" w:space="0" w:color="A6A6A6"/>
            </w:tcBorders>
            <w:shd w:val="clear" w:color="auto" w:fill="CCDBEA"/>
          </w:tcPr>
          <w:p>
            <w:pPr>
              <w:pStyle w:val="TableParagraph"/>
              <w:spacing w:before="81"/>
              <w:ind w:left="480" w:right="432" w:hanging="46"/>
              <w:rPr>
                <w:sz w:val="20"/>
              </w:rPr>
            </w:pPr>
            <w:r>
              <w:rPr>
                <w:sz w:val="20"/>
              </w:rPr>
              <w:t>42</w:t>
            </w:r>
            <w:r>
              <w:rPr>
                <w:spacing w:val="-14"/>
                <w:sz w:val="20"/>
              </w:rPr>
              <w:t> </w:t>
            </w:r>
            <w:r>
              <w:rPr>
                <w:sz w:val="20"/>
              </w:rPr>
              <w:t>foxes/100</w:t>
            </w:r>
            <w:r>
              <w:rPr>
                <w:sz w:val="20"/>
              </w:rPr>
              <w:t>0</w:t>
            </w:r>
            <w:r>
              <w:rPr>
                <w:sz w:val="20"/>
              </w:rPr>
              <w:t> person</w:t>
            </w:r>
            <w:r>
              <w:rPr>
                <w:spacing w:val="-11"/>
                <w:sz w:val="20"/>
              </w:rPr>
              <w:t> </w:t>
            </w:r>
            <w:r>
              <w:rPr>
                <w:spacing w:val="-2"/>
                <w:sz w:val="20"/>
              </w:rPr>
              <w:t>hours</w:t>
            </w:r>
          </w:p>
        </w:tc>
        <w:tc>
          <w:tcPr>
            <w:tcW w:w="2790" w:type="dxa"/>
            <w:tcBorders>
              <w:top w:val="single" w:sz="2" w:space="0" w:color="A6A6A6"/>
              <w:bottom w:val="single" w:sz="2" w:space="0" w:color="A6A6A6"/>
            </w:tcBorders>
          </w:tcPr>
          <w:p>
            <w:pPr>
              <w:pStyle w:val="TableParagraph"/>
              <w:spacing w:before="81"/>
              <w:ind w:left="105"/>
              <w:rPr>
                <w:sz w:val="20"/>
              </w:rPr>
            </w:pPr>
            <w:r>
              <w:rPr>
                <w:sz w:val="20"/>
              </w:rPr>
              <w:t>Phillip</w:t>
            </w:r>
            <w:r>
              <w:rPr>
                <w:spacing w:val="-9"/>
                <w:sz w:val="20"/>
              </w:rPr>
              <w:t> </w:t>
            </w:r>
            <w:r>
              <w:rPr>
                <w:sz w:val="20"/>
              </w:rPr>
              <w:t>Island,</w:t>
            </w:r>
            <w:r>
              <w:rPr>
                <w:spacing w:val="-7"/>
                <w:sz w:val="20"/>
              </w:rPr>
              <w:t> </w:t>
            </w:r>
            <w:r>
              <w:rPr>
                <w:spacing w:val="-2"/>
                <w:sz w:val="20"/>
              </w:rPr>
              <w:t>Victoria</w:t>
            </w:r>
          </w:p>
        </w:tc>
        <w:tc>
          <w:tcPr>
            <w:tcW w:w="4297" w:type="dxa"/>
            <w:tcBorders>
              <w:top w:val="single" w:sz="2" w:space="0" w:color="A6A6A6"/>
              <w:bottom w:val="single" w:sz="2" w:space="0" w:color="A6A6A6"/>
            </w:tcBorders>
            <w:shd w:val="clear" w:color="auto" w:fill="CCDBEA"/>
          </w:tcPr>
          <w:p>
            <w:pPr>
              <w:pStyle w:val="TableParagraph"/>
              <w:spacing w:before="81"/>
              <w:ind w:left="107"/>
              <w:rPr>
                <w:sz w:val="20"/>
              </w:rPr>
            </w:pPr>
            <w:r>
              <w:rPr>
                <w:sz w:val="20"/>
              </w:rPr>
              <w:t>Catch</w:t>
            </w:r>
            <w:r>
              <w:rPr>
                <w:spacing w:val="-6"/>
                <w:sz w:val="20"/>
              </w:rPr>
              <w:t> </w:t>
            </w:r>
            <w:r>
              <w:rPr>
                <w:sz w:val="20"/>
              </w:rPr>
              <w:t>per</w:t>
            </w:r>
            <w:r>
              <w:rPr>
                <w:spacing w:val="-5"/>
                <w:sz w:val="20"/>
              </w:rPr>
              <w:t> </w:t>
            </w:r>
            <w:r>
              <w:rPr>
                <w:sz w:val="20"/>
              </w:rPr>
              <w:t>unit</w:t>
            </w:r>
            <w:r>
              <w:rPr>
                <w:spacing w:val="-5"/>
                <w:sz w:val="20"/>
              </w:rPr>
              <w:t> </w:t>
            </w:r>
            <w:r>
              <w:rPr>
                <w:spacing w:val="-2"/>
                <w:sz w:val="20"/>
              </w:rPr>
              <w:t>effort</w:t>
            </w:r>
          </w:p>
        </w:tc>
        <w:tc>
          <w:tcPr>
            <w:tcW w:w="3404" w:type="dxa"/>
            <w:tcBorders>
              <w:top w:val="single" w:sz="2" w:space="0" w:color="A6A6A6"/>
              <w:bottom w:val="single" w:sz="2" w:space="0" w:color="A6A6A6"/>
            </w:tcBorders>
          </w:tcPr>
          <w:p>
            <w:pPr>
              <w:pStyle w:val="TableParagraph"/>
              <w:spacing w:before="81"/>
              <w:ind w:left="106"/>
              <w:rPr>
                <w:sz w:val="20"/>
              </w:rPr>
            </w:pPr>
            <w:r>
              <w:rPr>
                <w:sz w:val="20"/>
              </w:rPr>
              <w:t>van</w:t>
            </w:r>
            <w:r>
              <w:rPr>
                <w:spacing w:val="-6"/>
                <w:sz w:val="20"/>
              </w:rPr>
              <w:t> </w:t>
            </w:r>
            <w:r>
              <w:rPr>
                <w:sz w:val="20"/>
              </w:rPr>
              <w:t>Polen</w:t>
            </w:r>
            <w:r>
              <w:rPr>
                <w:spacing w:val="-5"/>
                <w:sz w:val="20"/>
              </w:rPr>
              <w:t> </w:t>
            </w:r>
            <w:r>
              <w:rPr>
                <w:sz w:val="20"/>
              </w:rPr>
              <w:t>Petel</w:t>
            </w:r>
            <w:r>
              <w:rPr>
                <w:spacing w:val="-4"/>
                <w:sz w:val="20"/>
              </w:rPr>
              <w:t> </w:t>
            </w:r>
            <w:r>
              <w:rPr>
                <w:sz w:val="20"/>
              </w:rPr>
              <w:t>et</w:t>
            </w:r>
            <w:r>
              <w:rPr>
                <w:spacing w:val="-3"/>
                <w:sz w:val="20"/>
              </w:rPr>
              <w:t> </w:t>
            </w:r>
            <w:r>
              <w:rPr>
                <w:sz w:val="20"/>
              </w:rPr>
              <w:t>al.</w:t>
            </w:r>
            <w:r>
              <w:rPr>
                <w:spacing w:val="-5"/>
                <w:sz w:val="20"/>
              </w:rPr>
              <w:t> </w:t>
            </w:r>
            <w:r>
              <w:rPr>
                <w:spacing w:val="-4"/>
                <w:sz w:val="20"/>
              </w:rPr>
              <w:t>2004</w:t>
            </w:r>
          </w:p>
        </w:tc>
      </w:tr>
      <w:tr>
        <w:trPr>
          <w:trHeight w:val="371"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4" w:space="0" w:color="000000"/>
            </w:tcBorders>
            <w:shd w:val="clear" w:color="auto" w:fill="CCDBEA"/>
          </w:tcPr>
          <w:p>
            <w:pPr>
              <w:pStyle w:val="TableParagraph"/>
              <w:spacing w:before="81"/>
              <w:ind w:left="5" w:right="8"/>
              <w:jc w:val="center"/>
              <w:rPr>
                <w:sz w:val="20"/>
              </w:rPr>
            </w:pPr>
            <w:r>
              <w:rPr>
                <w:sz w:val="20"/>
              </w:rPr>
              <w:t>Mean</w:t>
            </w:r>
            <w:r>
              <w:rPr>
                <w:spacing w:val="-5"/>
                <w:sz w:val="20"/>
              </w:rPr>
              <w:t> </w:t>
            </w:r>
            <w:r>
              <w:rPr>
                <w:sz w:val="20"/>
              </w:rPr>
              <w:t>78,</w:t>
            </w:r>
            <w:r>
              <w:rPr>
                <w:spacing w:val="-5"/>
                <w:sz w:val="20"/>
              </w:rPr>
              <w:t> </w:t>
            </w:r>
            <w:r>
              <w:rPr>
                <w:sz w:val="20"/>
              </w:rPr>
              <w:t>max</w:t>
            </w:r>
            <w:r>
              <w:rPr>
                <w:spacing w:val="-4"/>
                <w:sz w:val="20"/>
              </w:rPr>
              <w:t> </w:t>
            </w:r>
            <w:r>
              <w:rPr>
                <w:spacing w:val="-5"/>
                <w:sz w:val="20"/>
              </w:rPr>
              <w:t>98</w:t>
            </w:r>
          </w:p>
        </w:tc>
        <w:tc>
          <w:tcPr>
            <w:tcW w:w="2790" w:type="dxa"/>
            <w:tcBorders>
              <w:top w:val="single" w:sz="2" w:space="0" w:color="A6A6A6"/>
              <w:bottom w:val="single" w:sz="4" w:space="0" w:color="000000"/>
            </w:tcBorders>
          </w:tcPr>
          <w:p>
            <w:pPr>
              <w:pStyle w:val="TableParagraph"/>
              <w:spacing w:before="81"/>
              <w:ind w:left="105"/>
              <w:rPr>
                <w:sz w:val="20"/>
              </w:rPr>
            </w:pPr>
            <w:r>
              <w:rPr>
                <w:sz w:val="20"/>
              </w:rPr>
              <w:t>Seven</w:t>
            </w:r>
            <w:r>
              <w:rPr>
                <w:spacing w:val="-8"/>
                <w:sz w:val="20"/>
              </w:rPr>
              <w:t> </w:t>
            </w:r>
            <w:r>
              <w:rPr>
                <w:sz w:val="20"/>
              </w:rPr>
              <w:t>sites</w:t>
            </w:r>
            <w:r>
              <w:rPr>
                <w:spacing w:val="-6"/>
                <w:sz w:val="20"/>
              </w:rPr>
              <w:t> </w:t>
            </w:r>
            <w:r>
              <w:rPr>
                <w:sz w:val="20"/>
              </w:rPr>
              <w:t>across</w:t>
            </w:r>
            <w:r>
              <w:rPr>
                <w:spacing w:val="-5"/>
                <w:sz w:val="20"/>
              </w:rPr>
              <w:t> NSW</w:t>
            </w:r>
          </w:p>
        </w:tc>
        <w:tc>
          <w:tcPr>
            <w:tcW w:w="4297" w:type="dxa"/>
            <w:tcBorders>
              <w:top w:val="single" w:sz="2" w:space="0" w:color="A6A6A6"/>
              <w:bottom w:val="single" w:sz="4" w:space="0" w:color="000000"/>
            </w:tcBorders>
            <w:shd w:val="clear" w:color="auto" w:fill="CCDBEA"/>
          </w:tcPr>
          <w:p>
            <w:pPr>
              <w:pStyle w:val="TableParagraph"/>
              <w:spacing w:before="81"/>
              <w:ind w:left="107"/>
              <w:rPr>
                <w:sz w:val="20"/>
              </w:rPr>
            </w:pPr>
            <w:r>
              <w:rPr>
                <w:sz w:val="20"/>
              </w:rPr>
              <w:t>Pre-</w:t>
            </w:r>
            <w:r>
              <w:rPr>
                <w:spacing w:val="-7"/>
                <w:sz w:val="20"/>
              </w:rPr>
              <w:t> </w:t>
            </w:r>
            <w:r>
              <w:rPr>
                <w:sz w:val="20"/>
              </w:rPr>
              <w:t>and</w:t>
            </w:r>
            <w:r>
              <w:rPr>
                <w:spacing w:val="-7"/>
                <w:sz w:val="20"/>
              </w:rPr>
              <w:t> </w:t>
            </w:r>
            <w:r>
              <w:rPr>
                <w:sz w:val="20"/>
              </w:rPr>
              <w:t>post-control</w:t>
            </w:r>
            <w:r>
              <w:rPr>
                <w:spacing w:val="-8"/>
                <w:sz w:val="20"/>
              </w:rPr>
              <w:t> </w:t>
            </w:r>
            <w:r>
              <w:rPr>
                <w:sz w:val="20"/>
              </w:rPr>
              <w:t>sand</w:t>
            </w:r>
            <w:r>
              <w:rPr>
                <w:spacing w:val="-6"/>
                <w:sz w:val="20"/>
              </w:rPr>
              <w:t> </w:t>
            </w:r>
            <w:r>
              <w:rPr>
                <w:sz w:val="20"/>
              </w:rPr>
              <w:t>plot</w:t>
            </w:r>
            <w:r>
              <w:rPr>
                <w:spacing w:val="-6"/>
                <w:sz w:val="20"/>
              </w:rPr>
              <w:t> </w:t>
            </w:r>
            <w:r>
              <w:rPr>
                <w:spacing w:val="-2"/>
                <w:sz w:val="20"/>
              </w:rPr>
              <w:t>activity</w:t>
            </w:r>
          </w:p>
        </w:tc>
        <w:tc>
          <w:tcPr>
            <w:tcW w:w="3404" w:type="dxa"/>
            <w:tcBorders>
              <w:top w:val="single" w:sz="2" w:space="0" w:color="A6A6A6"/>
              <w:bottom w:val="single" w:sz="4" w:space="0" w:color="000000"/>
            </w:tcBorders>
          </w:tcPr>
          <w:p>
            <w:pPr>
              <w:pStyle w:val="TableParagraph"/>
              <w:spacing w:before="81"/>
              <w:ind w:left="106"/>
              <w:rPr>
                <w:sz w:val="20"/>
              </w:rPr>
            </w:pPr>
            <w:r>
              <w:rPr>
                <w:sz w:val="20"/>
              </w:rPr>
              <w:t>Hunt</w:t>
            </w:r>
            <w:r>
              <w:rPr>
                <w:spacing w:val="-4"/>
                <w:sz w:val="20"/>
              </w:rPr>
              <w:t> 2010</w:t>
            </w:r>
          </w:p>
        </w:tc>
      </w:tr>
      <w:tr>
        <w:trPr>
          <w:trHeight w:val="597" w:hRule="atLeast"/>
        </w:trPr>
        <w:tc>
          <w:tcPr>
            <w:tcW w:w="1702" w:type="dxa"/>
            <w:vMerge w:val="restart"/>
            <w:tcBorders>
              <w:top w:val="single" w:sz="4" w:space="0" w:color="000000"/>
              <w:bottom w:val="single" w:sz="4" w:space="0" w:color="000000"/>
            </w:tcBorders>
          </w:tcPr>
          <w:p>
            <w:pPr>
              <w:pStyle w:val="TableParagraph"/>
              <w:spacing w:before="122"/>
              <w:rPr>
                <w:b/>
                <w:sz w:val="20"/>
              </w:rPr>
            </w:pPr>
          </w:p>
          <w:p>
            <w:pPr>
              <w:pStyle w:val="TableParagraph"/>
              <w:spacing w:line="242" w:lineRule="auto"/>
              <w:ind w:left="107"/>
              <w:rPr>
                <w:sz w:val="20"/>
              </w:rPr>
            </w:pPr>
            <w:r>
              <w:rPr>
                <w:spacing w:val="-2"/>
                <w:sz w:val="20"/>
              </w:rPr>
              <w:t>Ground-based shooting</w:t>
            </w:r>
          </w:p>
        </w:tc>
        <w:tc>
          <w:tcPr>
            <w:tcW w:w="2129" w:type="dxa"/>
            <w:tcBorders>
              <w:top w:val="single" w:sz="4" w:space="0" w:color="000000"/>
              <w:bottom w:val="single" w:sz="2" w:space="0" w:color="A6A6A6"/>
            </w:tcBorders>
            <w:shd w:val="clear" w:color="auto" w:fill="CCDBEA"/>
          </w:tcPr>
          <w:p>
            <w:pPr>
              <w:pStyle w:val="TableParagraph"/>
              <w:spacing w:before="81"/>
              <w:ind w:left="8" w:right="8"/>
              <w:jc w:val="center"/>
              <w:rPr>
                <w:sz w:val="20"/>
              </w:rPr>
            </w:pPr>
            <w:r>
              <w:rPr>
                <w:spacing w:val="-4"/>
                <w:sz w:val="20"/>
              </w:rPr>
              <w:t>31–92</w:t>
            </w:r>
          </w:p>
        </w:tc>
        <w:tc>
          <w:tcPr>
            <w:tcW w:w="2790" w:type="dxa"/>
            <w:tcBorders>
              <w:top w:val="single" w:sz="4" w:space="0" w:color="000000"/>
              <w:bottom w:val="single" w:sz="2" w:space="0" w:color="A6A6A6"/>
            </w:tcBorders>
          </w:tcPr>
          <w:p>
            <w:pPr>
              <w:pStyle w:val="TableParagraph"/>
              <w:spacing w:before="81"/>
              <w:ind w:left="105" w:right="577"/>
              <w:rPr>
                <w:sz w:val="20"/>
              </w:rPr>
            </w:pPr>
            <w:r>
              <w:rPr>
                <w:sz w:val="20"/>
              </w:rPr>
              <w:t>Milton/Ulladulla</w:t>
            </w:r>
            <w:r>
              <w:rPr>
                <w:spacing w:val="-14"/>
                <w:sz w:val="20"/>
              </w:rPr>
              <w:t> </w:t>
            </w:r>
            <w:r>
              <w:rPr>
                <w:sz w:val="20"/>
              </w:rPr>
              <w:t>Region, </w:t>
            </w:r>
            <w:r>
              <w:rPr>
                <w:spacing w:val="-4"/>
                <w:sz w:val="20"/>
              </w:rPr>
              <w:t>NSW</w:t>
            </w:r>
          </w:p>
        </w:tc>
        <w:tc>
          <w:tcPr>
            <w:tcW w:w="4297" w:type="dxa"/>
            <w:tcBorders>
              <w:top w:val="single" w:sz="4" w:space="0" w:color="000000"/>
              <w:bottom w:val="single" w:sz="2" w:space="0" w:color="A6A6A6"/>
            </w:tcBorders>
            <w:shd w:val="clear" w:color="auto" w:fill="CCDBEA"/>
          </w:tcPr>
          <w:p>
            <w:pPr>
              <w:pStyle w:val="TableParagraph"/>
              <w:spacing w:before="81"/>
              <w:ind w:left="107" w:right="120"/>
              <w:rPr>
                <w:sz w:val="20"/>
              </w:rPr>
            </w:pPr>
            <w:r>
              <w:rPr>
                <w:sz w:val="20"/>
              </w:rPr>
              <w:t>Change</w:t>
            </w:r>
            <w:r>
              <w:rPr>
                <w:spacing w:val="-7"/>
                <w:sz w:val="20"/>
              </w:rPr>
              <w:t> </w:t>
            </w:r>
            <w:r>
              <w:rPr>
                <w:sz w:val="20"/>
              </w:rPr>
              <w:t>in</w:t>
            </w:r>
            <w:r>
              <w:rPr>
                <w:spacing w:val="-8"/>
                <w:sz w:val="20"/>
              </w:rPr>
              <w:t> </w:t>
            </w:r>
            <w:r>
              <w:rPr>
                <w:sz w:val="20"/>
              </w:rPr>
              <w:t>spotlight</w:t>
            </w:r>
            <w:r>
              <w:rPr>
                <w:spacing w:val="-8"/>
                <w:sz w:val="20"/>
              </w:rPr>
              <w:t> </w:t>
            </w:r>
            <w:r>
              <w:rPr>
                <w:sz w:val="20"/>
              </w:rPr>
              <w:t>index</w:t>
            </w:r>
            <w:r>
              <w:rPr>
                <w:spacing w:val="-7"/>
                <w:sz w:val="20"/>
              </w:rPr>
              <w:t> </w:t>
            </w:r>
            <w:r>
              <w:rPr>
                <w:sz w:val="20"/>
              </w:rPr>
              <w:t>pre-</w:t>
            </w:r>
            <w:r>
              <w:rPr>
                <w:spacing w:val="-7"/>
                <w:sz w:val="20"/>
              </w:rPr>
              <w:t> </w:t>
            </w:r>
            <w:r>
              <w:rPr>
                <w:sz w:val="20"/>
              </w:rPr>
              <w:t>and</w:t>
            </w:r>
            <w:r>
              <w:rPr>
                <w:spacing w:val="-6"/>
                <w:sz w:val="20"/>
              </w:rPr>
              <w:t> </w:t>
            </w:r>
            <w:r>
              <w:rPr>
                <w:sz w:val="20"/>
              </w:rPr>
              <w:t>post- </w:t>
            </w:r>
            <w:r>
              <w:rPr>
                <w:spacing w:val="-2"/>
                <w:sz w:val="20"/>
              </w:rPr>
              <w:t>control</w:t>
            </w:r>
          </w:p>
        </w:tc>
        <w:tc>
          <w:tcPr>
            <w:tcW w:w="3404" w:type="dxa"/>
            <w:tcBorders>
              <w:top w:val="single" w:sz="4" w:space="0" w:color="000000"/>
              <w:bottom w:val="single" w:sz="2" w:space="0" w:color="A6A6A6"/>
            </w:tcBorders>
          </w:tcPr>
          <w:p>
            <w:pPr>
              <w:pStyle w:val="TableParagraph"/>
              <w:spacing w:before="81"/>
              <w:ind w:left="106"/>
              <w:rPr>
                <w:sz w:val="20"/>
              </w:rPr>
            </w:pPr>
            <w:r>
              <w:rPr>
                <w:sz w:val="20"/>
              </w:rPr>
              <w:t>McLeod</w:t>
            </w:r>
            <w:r>
              <w:rPr>
                <w:spacing w:val="-4"/>
                <w:sz w:val="20"/>
              </w:rPr>
              <w:t> </w:t>
            </w:r>
            <w:r>
              <w:rPr>
                <w:sz w:val="20"/>
              </w:rPr>
              <w:t>et</w:t>
            </w:r>
            <w:r>
              <w:rPr>
                <w:spacing w:val="-5"/>
                <w:sz w:val="20"/>
              </w:rPr>
              <w:t> </w:t>
            </w:r>
            <w:r>
              <w:rPr>
                <w:sz w:val="20"/>
              </w:rPr>
              <w:t>al.</w:t>
            </w:r>
            <w:r>
              <w:rPr>
                <w:spacing w:val="-3"/>
                <w:sz w:val="20"/>
              </w:rPr>
              <w:t> </w:t>
            </w:r>
            <w:r>
              <w:rPr>
                <w:spacing w:val="-4"/>
                <w:sz w:val="20"/>
              </w:rPr>
              <w:t>2011</w:t>
            </w:r>
          </w:p>
        </w:tc>
      </w:tr>
      <w:tr>
        <w:trPr>
          <w:trHeight w:val="540"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4" w:space="0" w:color="000000"/>
            </w:tcBorders>
            <w:shd w:val="clear" w:color="auto" w:fill="CCDBEA"/>
          </w:tcPr>
          <w:p>
            <w:pPr>
              <w:pStyle w:val="TableParagraph"/>
              <w:spacing w:before="84"/>
              <w:ind w:left="3" w:right="8"/>
              <w:jc w:val="center"/>
              <w:rPr>
                <w:sz w:val="20"/>
              </w:rPr>
            </w:pPr>
            <w:r>
              <w:rPr>
                <w:spacing w:val="-5"/>
                <w:sz w:val="20"/>
              </w:rPr>
              <w:t>22</w:t>
            </w:r>
          </w:p>
        </w:tc>
        <w:tc>
          <w:tcPr>
            <w:tcW w:w="2790" w:type="dxa"/>
            <w:tcBorders>
              <w:top w:val="single" w:sz="2" w:space="0" w:color="A6A6A6"/>
              <w:bottom w:val="single" w:sz="4" w:space="0" w:color="000000"/>
            </w:tcBorders>
          </w:tcPr>
          <w:p>
            <w:pPr>
              <w:pStyle w:val="TableParagraph"/>
              <w:spacing w:before="84"/>
              <w:ind w:left="105"/>
              <w:rPr>
                <w:sz w:val="20"/>
              </w:rPr>
            </w:pPr>
            <w:r>
              <w:rPr>
                <w:sz w:val="20"/>
              </w:rPr>
              <w:t>Arthursleigh</w:t>
            </w:r>
            <w:r>
              <w:rPr>
                <w:spacing w:val="-12"/>
                <w:sz w:val="20"/>
              </w:rPr>
              <w:t> </w:t>
            </w:r>
            <w:r>
              <w:rPr>
                <w:sz w:val="20"/>
              </w:rPr>
              <w:t>Farm,</w:t>
            </w:r>
            <w:r>
              <w:rPr>
                <w:spacing w:val="-9"/>
                <w:sz w:val="20"/>
              </w:rPr>
              <w:t> </w:t>
            </w:r>
            <w:r>
              <w:rPr>
                <w:spacing w:val="-5"/>
                <w:sz w:val="20"/>
              </w:rPr>
              <w:t>NSW</w:t>
            </w:r>
          </w:p>
        </w:tc>
        <w:tc>
          <w:tcPr>
            <w:tcW w:w="4297" w:type="dxa"/>
            <w:tcBorders>
              <w:top w:val="single" w:sz="2" w:space="0" w:color="A6A6A6"/>
              <w:bottom w:val="single" w:sz="4" w:space="0" w:color="000000"/>
            </w:tcBorders>
            <w:shd w:val="clear" w:color="auto" w:fill="CCDBEA"/>
          </w:tcPr>
          <w:p>
            <w:pPr>
              <w:pStyle w:val="TableParagraph"/>
              <w:spacing w:before="84"/>
              <w:ind w:left="107"/>
              <w:rPr>
                <w:sz w:val="20"/>
              </w:rPr>
            </w:pPr>
            <w:r>
              <w:rPr>
                <w:sz w:val="20"/>
              </w:rPr>
              <w:t>Density</w:t>
            </w:r>
            <w:r>
              <w:rPr>
                <w:spacing w:val="-9"/>
                <w:sz w:val="20"/>
              </w:rPr>
              <w:t> </w:t>
            </w:r>
            <w:r>
              <w:rPr>
                <w:sz w:val="20"/>
              </w:rPr>
              <w:t>estimates</w:t>
            </w:r>
            <w:r>
              <w:rPr>
                <w:spacing w:val="-8"/>
                <w:sz w:val="20"/>
              </w:rPr>
              <w:t> </w:t>
            </w:r>
            <w:r>
              <w:rPr>
                <w:sz w:val="20"/>
              </w:rPr>
              <w:t>from</w:t>
            </w:r>
            <w:r>
              <w:rPr>
                <w:spacing w:val="-9"/>
                <w:sz w:val="20"/>
              </w:rPr>
              <w:t> </w:t>
            </w:r>
            <w:r>
              <w:rPr>
                <w:sz w:val="20"/>
              </w:rPr>
              <w:t>distance</w:t>
            </w:r>
            <w:r>
              <w:rPr>
                <w:spacing w:val="-9"/>
                <w:sz w:val="20"/>
              </w:rPr>
              <w:t> </w:t>
            </w:r>
            <w:r>
              <w:rPr>
                <w:spacing w:val="-2"/>
                <w:sz w:val="20"/>
              </w:rPr>
              <w:t>sampling</w:t>
            </w:r>
          </w:p>
        </w:tc>
        <w:tc>
          <w:tcPr>
            <w:tcW w:w="3404" w:type="dxa"/>
            <w:tcBorders>
              <w:top w:val="single" w:sz="2" w:space="0" w:color="A6A6A6"/>
              <w:bottom w:val="single" w:sz="4" w:space="0" w:color="000000"/>
            </w:tcBorders>
          </w:tcPr>
          <w:p>
            <w:pPr>
              <w:pStyle w:val="TableParagraph"/>
              <w:spacing w:before="84"/>
              <w:ind w:left="106"/>
              <w:rPr>
                <w:sz w:val="20"/>
              </w:rPr>
            </w:pPr>
            <w:r>
              <w:rPr>
                <w:sz w:val="20"/>
              </w:rPr>
              <w:t>Newsome</w:t>
            </w:r>
            <w:r>
              <w:rPr>
                <w:spacing w:val="-5"/>
                <w:sz w:val="20"/>
              </w:rPr>
              <w:t> </w:t>
            </w:r>
            <w:r>
              <w:rPr>
                <w:sz w:val="20"/>
              </w:rPr>
              <w:t>et</w:t>
            </w:r>
            <w:r>
              <w:rPr>
                <w:spacing w:val="-4"/>
                <w:sz w:val="20"/>
              </w:rPr>
              <w:t> </w:t>
            </w:r>
            <w:r>
              <w:rPr>
                <w:sz w:val="20"/>
              </w:rPr>
              <w:t>al.</w:t>
            </w:r>
            <w:r>
              <w:rPr>
                <w:spacing w:val="-2"/>
                <w:sz w:val="20"/>
              </w:rPr>
              <w:t> </w:t>
            </w:r>
            <w:r>
              <w:rPr>
                <w:spacing w:val="-4"/>
                <w:sz w:val="20"/>
              </w:rPr>
              <w:t>2014</w:t>
            </w:r>
          </w:p>
        </w:tc>
      </w:tr>
      <w:tr>
        <w:trPr>
          <w:trHeight w:val="369" w:hRule="atLeast"/>
        </w:trPr>
        <w:tc>
          <w:tcPr>
            <w:tcW w:w="1702" w:type="dxa"/>
            <w:tcBorders>
              <w:top w:val="single" w:sz="4" w:space="0" w:color="000000"/>
              <w:bottom w:val="single" w:sz="4" w:space="0" w:color="000000"/>
            </w:tcBorders>
          </w:tcPr>
          <w:p>
            <w:pPr>
              <w:pStyle w:val="TableParagraph"/>
              <w:rPr>
                <w:rFonts w:ascii="Times New Roman"/>
                <w:sz w:val="18"/>
              </w:rPr>
            </w:pPr>
          </w:p>
        </w:tc>
        <w:tc>
          <w:tcPr>
            <w:tcW w:w="2129" w:type="dxa"/>
            <w:tcBorders>
              <w:top w:val="single" w:sz="4" w:space="0" w:color="000000"/>
              <w:bottom w:val="single" w:sz="2" w:space="0" w:color="A6A6A6"/>
            </w:tcBorders>
            <w:shd w:val="clear" w:color="auto" w:fill="CCDBEA"/>
          </w:tcPr>
          <w:p>
            <w:pPr>
              <w:pStyle w:val="TableParagraph"/>
              <w:spacing w:before="81"/>
              <w:ind w:right="8"/>
              <w:jc w:val="center"/>
              <w:rPr>
                <w:sz w:val="20"/>
              </w:rPr>
            </w:pPr>
            <w:r>
              <w:rPr>
                <w:sz w:val="20"/>
              </w:rPr>
              <w:t>1</w:t>
            </w:r>
            <w:r>
              <w:rPr>
                <w:spacing w:val="-7"/>
                <w:sz w:val="20"/>
              </w:rPr>
              <w:t> </w:t>
            </w:r>
            <w:r>
              <w:rPr>
                <w:sz w:val="20"/>
              </w:rPr>
              <w:t>fox/36</w:t>
            </w:r>
            <w:r>
              <w:rPr>
                <w:spacing w:val="-5"/>
                <w:sz w:val="20"/>
              </w:rPr>
              <w:t> </w:t>
            </w:r>
            <w:r>
              <w:rPr>
                <w:sz w:val="20"/>
              </w:rPr>
              <w:t>trap</w:t>
            </w:r>
            <w:r>
              <w:rPr>
                <w:spacing w:val="-4"/>
                <w:sz w:val="20"/>
              </w:rPr>
              <w:t> </w:t>
            </w:r>
            <w:r>
              <w:rPr>
                <w:spacing w:val="-2"/>
                <w:sz w:val="20"/>
              </w:rPr>
              <w:t>nights</w:t>
            </w:r>
          </w:p>
        </w:tc>
        <w:tc>
          <w:tcPr>
            <w:tcW w:w="2790" w:type="dxa"/>
            <w:tcBorders>
              <w:top w:val="single" w:sz="4" w:space="0" w:color="000000"/>
              <w:bottom w:val="single" w:sz="2" w:space="0" w:color="A6A6A6"/>
            </w:tcBorders>
          </w:tcPr>
          <w:p>
            <w:pPr>
              <w:pStyle w:val="TableParagraph"/>
              <w:spacing w:before="81"/>
              <w:ind w:left="105"/>
              <w:rPr>
                <w:sz w:val="20"/>
              </w:rPr>
            </w:pPr>
            <w:r>
              <w:rPr>
                <w:sz w:val="20"/>
              </w:rPr>
              <w:t>Jervis</w:t>
            </w:r>
            <w:r>
              <w:rPr>
                <w:spacing w:val="-6"/>
                <w:sz w:val="20"/>
              </w:rPr>
              <w:t> </w:t>
            </w:r>
            <w:r>
              <w:rPr>
                <w:sz w:val="20"/>
              </w:rPr>
              <w:t>Bay,</w:t>
            </w:r>
            <w:r>
              <w:rPr>
                <w:spacing w:val="-6"/>
                <w:sz w:val="20"/>
              </w:rPr>
              <w:t> </w:t>
            </w:r>
            <w:r>
              <w:rPr>
                <w:spacing w:val="-5"/>
                <w:sz w:val="20"/>
              </w:rPr>
              <w:t>NSW</w:t>
            </w:r>
          </w:p>
        </w:tc>
        <w:tc>
          <w:tcPr>
            <w:tcW w:w="4297" w:type="dxa"/>
            <w:tcBorders>
              <w:top w:val="single" w:sz="4" w:space="0" w:color="000000"/>
              <w:bottom w:val="single" w:sz="2" w:space="0" w:color="A6A6A6"/>
            </w:tcBorders>
            <w:shd w:val="clear" w:color="auto" w:fill="CCDBEA"/>
          </w:tcPr>
          <w:p>
            <w:pPr>
              <w:pStyle w:val="TableParagraph"/>
              <w:spacing w:before="81"/>
              <w:ind w:left="107"/>
              <w:rPr>
                <w:sz w:val="20"/>
              </w:rPr>
            </w:pPr>
            <w:r>
              <w:rPr>
                <w:sz w:val="20"/>
              </w:rPr>
              <w:t>Catch</w:t>
            </w:r>
            <w:r>
              <w:rPr>
                <w:spacing w:val="-6"/>
                <w:sz w:val="20"/>
              </w:rPr>
              <w:t> </w:t>
            </w:r>
            <w:r>
              <w:rPr>
                <w:sz w:val="20"/>
              </w:rPr>
              <w:t>per</w:t>
            </w:r>
            <w:r>
              <w:rPr>
                <w:spacing w:val="-5"/>
                <w:sz w:val="20"/>
              </w:rPr>
              <w:t> </w:t>
            </w:r>
            <w:r>
              <w:rPr>
                <w:sz w:val="20"/>
              </w:rPr>
              <w:t>unit</w:t>
            </w:r>
            <w:r>
              <w:rPr>
                <w:spacing w:val="-5"/>
                <w:sz w:val="20"/>
              </w:rPr>
              <w:t> </w:t>
            </w:r>
            <w:r>
              <w:rPr>
                <w:spacing w:val="-2"/>
                <w:sz w:val="20"/>
              </w:rPr>
              <w:t>effort</w:t>
            </w:r>
          </w:p>
        </w:tc>
        <w:tc>
          <w:tcPr>
            <w:tcW w:w="3404" w:type="dxa"/>
            <w:tcBorders>
              <w:top w:val="single" w:sz="4" w:space="0" w:color="000000"/>
              <w:bottom w:val="single" w:sz="2" w:space="0" w:color="A6A6A6"/>
            </w:tcBorders>
          </w:tcPr>
          <w:p>
            <w:pPr>
              <w:pStyle w:val="TableParagraph"/>
              <w:spacing w:before="81"/>
              <w:ind w:left="106"/>
              <w:rPr>
                <w:sz w:val="20"/>
              </w:rPr>
            </w:pPr>
            <w:r>
              <w:rPr>
                <w:sz w:val="20"/>
              </w:rPr>
              <w:t>Meek</w:t>
            </w:r>
            <w:r>
              <w:rPr>
                <w:spacing w:val="-4"/>
                <w:sz w:val="20"/>
              </w:rPr>
              <w:t> </w:t>
            </w:r>
            <w:r>
              <w:rPr>
                <w:sz w:val="20"/>
              </w:rPr>
              <w:t>et</w:t>
            </w:r>
            <w:r>
              <w:rPr>
                <w:spacing w:val="-3"/>
                <w:sz w:val="20"/>
              </w:rPr>
              <w:t> </w:t>
            </w:r>
            <w:r>
              <w:rPr>
                <w:sz w:val="20"/>
              </w:rPr>
              <w:t>al.</w:t>
            </w:r>
            <w:r>
              <w:rPr>
                <w:spacing w:val="-5"/>
                <w:sz w:val="20"/>
              </w:rPr>
              <w:t> </w:t>
            </w:r>
            <w:r>
              <w:rPr>
                <w:spacing w:val="-4"/>
                <w:sz w:val="20"/>
              </w:rPr>
              <w:t>1995</w:t>
            </w:r>
          </w:p>
        </w:tc>
      </w:tr>
    </w:tbl>
    <w:p>
      <w:pPr>
        <w:pStyle w:val="BodyText"/>
        <w:rPr>
          <w:b/>
        </w:rPr>
      </w:pPr>
    </w:p>
    <w:p>
      <w:pPr>
        <w:pStyle w:val="BodyText"/>
        <w:spacing w:before="193"/>
        <w:rPr>
          <w:b/>
        </w:rPr>
      </w:pPr>
    </w:p>
    <w:p>
      <w:pPr>
        <w:tabs>
          <w:tab w:pos="14464" w:val="left" w:leader="none"/>
        </w:tabs>
        <w:spacing w:before="0"/>
        <w:ind w:left="10254"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48</w:t>
      </w:r>
    </w:p>
    <w:p>
      <w:pPr>
        <w:spacing w:after="0"/>
        <w:jc w:val="left"/>
        <w:rPr>
          <w:sz w:val="20"/>
        </w:rPr>
        <w:sectPr>
          <w:footerReference w:type="even" r:id="rId47"/>
          <w:pgSz w:w="16850" w:h="11910" w:orient="landscape"/>
          <w:pgMar w:header="0" w:footer="0" w:top="1140" w:bottom="280" w:left="1020" w:right="102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2"/>
        <w:gridCol w:w="2129"/>
        <w:gridCol w:w="2790"/>
        <w:gridCol w:w="4297"/>
        <w:gridCol w:w="3404"/>
      </w:tblGrid>
      <w:tr>
        <w:trPr>
          <w:trHeight w:val="581" w:hRule="atLeast"/>
        </w:trPr>
        <w:tc>
          <w:tcPr>
            <w:tcW w:w="1702" w:type="dxa"/>
            <w:tcBorders>
              <w:bottom w:val="single" w:sz="2" w:space="0" w:color="A6A6A6"/>
            </w:tcBorders>
            <w:shd w:val="clear" w:color="auto" w:fill="004B96"/>
          </w:tcPr>
          <w:p>
            <w:pPr>
              <w:pStyle w:val="TableParagraph"/>
              <w:spacing w:before="60"/>
              <w:ind w:left="107"/>
              <w:rPr>
                <w:b/>
                <w:sz w:val="20"/>
              </w:rPr>
            </w:pPr>
            <w:r>
              <w:rPr>
                <w:b/>
                <w:color w:val="FFFFFF"/>
                <w:spacing w:val="-2"/>
                <w:sz w:val="20"/>
              </w:rPr>
              <w:t>Method</w:t>
            </w:r>
          </w:p>
        </w:tc>
        <w:tc>
          <w:tcPr>
            <w:tcW w:w="2129" w:type="dxa"/>
            <w:tcBorders>
              <w:bottom w:val="single" w:sz="2" w:space="0" w:color="A6A6A6"/>
            </w:tcBorders>
            <w:shd w:val="clear" w:color="auto" w:fill="004B96"/>
          </w:tcPr>
          <w:p>
            <w:pPr>
              <w:pStyle w:val="TableParagraph"/>
              <w:spacing w:before="60"/>
              <w:ind w:left="107"/>
              <w:rPr>
                <w:b/>
                <w:sz w:val="20"/>
              </w:rPr>
            </w:pPr>
            <w:r>
              <w:rPr>
                <w:b/>
                <w:color w:val="FFFFFF"/>
                <w:sz w:val="20"/>
              </w:rPr>
              <w:t>Reduction</w:t>
            </w:r>
            <w:r>
              <w:rPr>
                <w:b/>
                <w:color w:val="FFFFFF"/>
                <w:spacing w:val="-14"/>
                <w:sz w:val="20"/>
              </w:rPr>
              <w:t> </w:t>
            </w:r>
            <w:r>
              <w:rPr>
                <w:b/>
                <w:color w:val="FFFFFF"/>
                <w:sz w:val="20"/>
              </w:rPr>
              <w:t>(%)</w:t>
            </w:r>
            <w:r>
              <w:rPr>
                <w:b/>
                <w:color w:val="FFFFFF"/>
                <w:spacing w:val="-14"/>
                <w:sz w:val="20"/>
              </w:rPr>
              <w:t> </w:t>
            </w:r>
            <w:r>
              <w:rPr>
                <w:b/>
                <w:color w:val="FFFFFF"/>
                <w:sz w:val="20"/>
              </w:rPr>
              <w:t>or </w:t>
            </w:r>
            <w:r>
              <w:rPr>
                <w:b/>
                <w:color w:val="FFFFFF"/>
                <w:spacing w:val="-2"/>
                <w:sz w:val="20"/>
              </w:rPr>
              <w:t>efficacy</w:t>
            </w:r>
          </w:p>
        </w:tc>
        <w:tc>
          <w:tcPr>
            <w:tcW w:w="2790" w:type="dxa"/>
            <w:tcBorders>
              <w:bottom w:val="single" w:sz="2" w:space="0" w:color="A6A6A6"/>
            </w:tcBorders>
            <w:shd w:val="clear" w:color="auto" w:fill="004B96"/>
          </w:tcPr>
          <w:p>
            <w:pPr>
              <w:pStyle w:val="TableParagraph"/>
              <w:spacing w:before="60"/>
              <w:ind w:left="105"/>
              <w:rPr>
                <w:b/>
                <w:sz w:val="20"/>
              </w:rPr>
            </w:pPr>
            <w:r>
              <w:rPr>
                <w:b/>
                <w:color w:val="FFFFFF"/>
                <w:spacing w:val="-2"/>
                <w:sz w:val="20"/>
              </w:rPr>
              <w:t>Region</w:t>
            </w:r>
          </w:p>
        </w:tc>
        <w:tc>
          <w:tcPr>
            <w:tcW w:w="4297" w:type="dxa"/>
            <w:tcBorders>
              <w:bottom w:val="single" w:sz="2" w:space="0" w:color="A6A6A6"/>
            </w:tcBorders>
            <w:shd w:val="clear" w:color="auto" w:fill="004B96"/>
          </w:tcPr>
          <w:p>
            <w:pPr>
              <w:pStyle w:val="TableParagraph"/>
              <w:spacing w:before="60"/>
              <w:ind w:left="107"/>
              <w:rPr>
                <w:b/>
                <w:sz w:val="20"/>
              </w:rPr>
            </w:pPr>
            <w:r>
              <w:rPr>
                <w:b/>
                <w:color w:val="FFFFFF"/>
                <w:sz w:val="20"/>
              </w:rPr>
              <w:t>Method</w:t>
            </w:r>
            <w:r>
              <w:rPr>
                <w:b/>
                <w:color w:val="FFFFFF"/>
                <w:spacing w:val="-6"/>
                <w:sz w:val="20"/>
              </w:rPr>
              <w:t> </w:t>
            </w:r>
            <w:r>
              <w:rPr>
                <w:b/>
                <w:color w:val="FFFFFF"/>
                <w:sz w:val="20"/>
              </w:rPr>
              <w:t>used</w:t>
            </w:r>
            <w:r>
              <w:rPr>
                <w:b/>
                <w:color w:val="FFFFFF"/>
                <w:spacing w:val="-6"/>
                <w:sz w:val="20"/>
              </w:rPr>
              <w:t> </w:t>
            </w:r>
            <w:r>
              <w:rPr>
                <w:b/>
                <w:color w:val="FFFFFF"/>
                <w:sz w:val="20"/>
              </w:rPr>
              <w:t>to</w:t>
            </w:r>
            <w:r>
              <w:rPr>
                <w:b/>
                <w:color w:val="FFFFFF"/>
                <w:spacing w:val="-5"/>
                <w:sz w:val="20"/>
              </w:rPr>
              <w:t> </w:t>
            </w:r>
            <w:r>
              <w:rPr>
                <w:b/>
                <w:color w:val="FFFFFF"/>
                <w:sz w:val="20"/>
              </w:rPr>
              <w:t>measure</w:t>
            </w:r>
            <w:r>
              <w:rPr>
                <w:b/>
                <w:color w:val="FFFFFF"/>
                <w:spacing w:val="-3"/>
                <w:sz w:val="20"/>
              </w:rPr>
              <w:t> </w:t>
            </w:r>
            <w:r>
              <w:rPr>
                <w:b/>
                <w:color w:val="FFFFFF"/>
                <w:spacing w:val="-2"/>
                <w:sz w:val="20"/>
              </w:rPr>
              <w:t>change</w:t>
            </w:r>
          </w:p>
        </w:tc>
        <w:tc>
          <w:tcPr>
            <w:tcW w:w="3404" w:type="dxa"/>
            <w:tcBorders>
              <w:bottom w:val="single" w:sz="2" w:space="0" w:color="A6A6A6"/>
            </w:tcBorders>
            <w:shd w:val="clear" w:color="auto" w:fill="004B96"/>
          </w:tcPr>
          <w:p>
            <w:pPr>
              <w:pStyle w:val="TableParagraph"/>
              <w:spacing w:before="60"/>
              <w:ind w:left="106"/>
              <w:rPr>
                <w:b/>
                <w:sz w:val="20"/>
              </w:rPr>
            </w:pPr>
            <w:r>
              <w:rPr>
                <w:b/>
                <w:color w:val="FFFFFF"/>
                <w:spacing w:val="-2"/>
                <w:sz w:val="20"/>
              </w:rPr>
              <w:t>Reference</w:t>
            </w:r>
          </w:p>
        </w:tc>
      </w:tr>
      <w:tr>
        <w:trPr>
          <w:trHeight w:val="832" w:hRule="atLeast"/>
        </w:trPr>
        <w:tc>
          <w:tcPr>
            <w:tcW w:w="1702" w:type="dxa"/>
            <w:vMerge w:val="restart"/>
            <w:tcBorders>
              <w:top w:val="single" w:sz="2" w:space="0" w:color="A6A6A6"/>
              <w:bottom w:val="single" w:sz="4" w:space="0" w:color="000000"/>
            </w:tcBorders>
          </w:tcPr>
          <w:p>
            <w:pPr>
              <w:pStyle w:val="TableParagraph"/>
              <w:spacing w:before="83"/>
              <w:ind w:left="107" w:right="277"/>
              <w:rPr>
                <w:sz w:val="20"/>
              </w:rPr>
            </w:pPr>
            <w:r>
              <w:rPr>
                <w:sz w:val="20"/>
              </w:rPr>
              <w:t>Trapping</w:t>
            </w:r>
            <w:r>
              <w:rPr>
                <w:spacing w:val="-14"/>
                <w:sz w:val="20"/>
              </w:rPr>
              <w:t> </w:t>
            </w:r>
            <w:r>
              <w:rPr>
                <w:sz w:val="20"/>
              </w:rPr>
              <w:t>(foot- hold traps)</w:t>
            </w:r>
          </w:p>
        </w:tc>
        <w:tc>
          <w:tcPr>
            <w:tcW w:w="2129" w:type="dxa"/>
            <w:tcBorders>
              <w:top w:val="single" w:sz="2" w:space="0" w:color="A6A6A6"/>
              <w:bottom w:val="single" w:sz="2" w:space="0" w:color="A6A6A6"/>
            </w:tcBorders>
            <w:shd w:val="clear" w:color="auto" w:fill="CCDBEA"/>
          </w:tcPr>
          <w:p>
            <w:pPr>
              <w:pStyle w:val="TableParagraph"/>
              <w:spacing w:before="83"/>
              <w:ind w:left="3" w:right="8"/>
              <w:jc w:val="center"/>
              <w:rPr>
                <w:sz w:val="20"/>
              </w:rPr>
            </w:pPr>
            <w:r>
              <w:rPr>
                <w:spacing w:val="-4"/>
                <w:sz w:val="20"/>
              </w:rPr>
              <w:t>7–57</w:t>
            </w:r>
          </w:p>
          <w:p>
            <w:pPr>
              <w:pStyle w:val="TableParagraph"/>
              <w:spacing w:before="1"/>
              <w:ind w:left="2" w:right="8"/>
              <w:jc w:val="center"/>
              <w:rPr>
                <w:sz w:val="20"/>
              </w:rPr>
            </w:pPr>
            <w:r>
              <w:rPr>
                <w:sz w:val="20"/>
              </w:rPr>
              <w:t>1</w:t>
            </w:r>
            <w:r>
              <w:rPr>
                <w:spacing w:val="-14"/>
                <w:sz w:val="20"/>
              </w:rPr>
              <w:t> </w:t>
            </w:r>
            <w:r>
              <w:rPr>
                <w:sz w:val="20"/>
              </w:rPr>
              <w:t>fox/36</w:t>
            </w:r>
            <w:r>
              <w:rPr>
                <w:spacing w:val="-14"/>
                <w:sz w:val="20"/>
              </w:rPr>
              <w:t> </w:t>
            </w:r>
            <w:r>
              <w:rPr>
                <w:sz w:val="20"/>
              </w:rPr>
              <w:t>trap</w:t>
            </w:r>
            <w:r>
              <w:rPr>
                <w:spacing w:val="-13"/>
                <w:sz w:val="20"/>
              </w:rPr>
              <w:t> </w:t>
            </w:r>
            <w:r>
              <w:rPr>
                <w:sz w:val="20"/>
              </w:rPr>
              <w:t>nights– 1/320 trap nights</w:t>
            </w:r>
          </w:p>
        </w:tc>
        <w:tc>
          <w:tcPr>
            <w:tcW w:w="2790" w:type="dxa"/>
            <w:tcBorders>
              <w:top w:val="single" w:sz="2" w:space="0" w:color="A6A6A6"/>
              <w:bottom w:val="single" w:sz="2" w:space="0" w:color="A6A6A6"/>
            </w:tcBorders>
          </w:tcPr>
          <w:p>
            <w:pPr>
              <w:pStyle w:val="TableParagraph"/>
              <w:spacing w:before="83"/>
              <w:ind w:left="105"/>
              <w:rPr>
                <w:sz w:val="20"/>
              </w:rPr>
            </w:pPr>
            <w:r>
              <w:rPr>
                <w:sz w:val="20"/>
              </w:rPr>
              <w:t>Three</w:t>
            </w:r>
            <w:r>
              <w:rPr>
                <w:spacing w:val="-7"/>
                <w:sz w:val="20"/>
              </w:rPr>
              <w:t> </w:t>
            </w:r>
            <w:r>
              <w:rPr>
                <w:sz w:val="20"/>
              </w:rPr>
              <w:t>sites</w:t>
            </w:r>
            <w:r>
              <w:rPr>
                <w:spacing w:val="-7"/>
                <w:sz w:val="20"/>
              </w:rPr>
              <w:t> </w:t>
            </w:r>
            <w:r>
              <w:rPr>
                <w:sz w:val="20"/>
              </w:rPr>
              <w:t>across</w:t>
            </w:r>
            <w:r>
              <w:rPr>
                <w:spacing w:val="-6"/>
                <w:sz w:val="20"/>
              </w:rPr>
              <w:t> </w:t>
            </w:r>
            <w:r>
              <w:rPr>
                <w:spacing w:val="-5"/>
                <w:sz w:val="20"/>
              </w:rPr>
              <w:t>NSW</w:t>
            </w:r>
          </w:p>
        </w:tc>
        <w:tc>
          <w:tcPr>
            <w:tcW w:w="4297" w:type="dxa"/>
            <w:tcBorders>
              <w:top w:val="single" w:sz="2" w:space="0" w:color="A6A6A6"/>
              <w:bottom w:val="single" w:sz="2" w:space="0" w:color="A6A6A6"/>
            </w:tcBorders>
            <w:shd w:val="clear" w:color="auto" w:fill="CCDBEA"/>
          </w:tcPr>
          <w:p>
            <w:pPr>
              <w:pStyle w:val="TableParagraph"/>
              <w:spacing w:before="83"/>
              <w:ind w:left="107"/>
              <w:rPr>
                <w:sz w:val="20"/>
              </w:rPr>
            </w:pPr>
            <w:r>
              <w:rPr>
                <w:sz w:val="20"/>
              </w:rPr>
              <w:t>Change</w:t>
            </w:r>
            <w:r>
              <w:rPr>
                <w:spacing w:val="-8"/>
                <w:sz w:val="20"/>
              </w:rPr>
              <w:t> </w:t>
            </w:r>
            <w:r>
              <w:rPr>
                <w:sz w:val="20"/>
              </w:rPr>
              <w:t>in</w:t>
            </w:r>
            <w:r>
              <w:rPr>
                <w:spacing w:val="-9"/>
                <w:sz w:val="20"/>
              </w:rPr>
              <w:t> </w:t>
            </w:r>
            <w:r>
              <w:rPr>
                <w:sz w:val="20"/>
              </w:rPr>
              <w:t>spotlight</w:t>
            </w:r>
            <w:r>
              <w:rPr>
                <w:spacing w:val="-9"/>
                <w:sz w:val="20"/>
              </w:rPr>
              <w:t> </w:t>
            </w:r>
            <w:r>
              <w:rPr>
                <w:sz w:val="20"/>
              </w:rPr>
              <w:t>index</w:t>
            </w:r>
            <w:r>
              <w:rPr>
                <w:spacing w:val="-7"/>
                <w:sz w:val="20"/>
              </w:rPr>
              <w:t> </w:t>
            </w:r>
            <w:r>
              <w:rPr>
                <w:spacing w:val="-2"/>
                <w:sz w:val="20"/>
              </w:rPr>
              <w:t>(foxes/km)</w:t>
            </w:r>
          </w:p>
        </w:tc>
        <w:tc>
          <w:tcPr>
            <w:tcW w:w="3404" w:type="dxa"/>
            <w:tcBorders>
              <w:top w:val="single" w:sz="2" w:space="0" w:color="A6A6A6"/>
              <w:bottom w:val="single" w:sz="2" w:space="0" w:color="A6A6A6"/>
            </w:tcBorders>
          </w:tcPr>
          <w:p>
            <w:pPr>
              <w:pStyle w:val="TableParagraph"/>
              <w:spacing w:before="83"/>
              <w:ind w:left="106"/>
              <w:rPr>
                <w:sz w:val="20"/>
              </w:rPr>
            </w:pPr>
            <w:r>
              <w:rPr>
                <w:sz w:val="20"/>
              </w:rPr>
              <w:t>Kay</w:t>
            </w:r>
            <w:r>
              <w:rPr>
                <w:spacing w:val="-4"/>
                <w:sz w:val="20"/>
              </w:rPr>
              <w:t> </w:t>
            </w:r>
            <w:r>
              <w:rPr>
                <w:sz w:val="20"/>
              </w:rPr>
              <w:t>et</w:t>
            </w:r>
            <w:r>
              <w:rPr>
                <w:spacing w:val="-3"/>
                <w:sz w:val="20"/>
              </w:rPr>
              <w:t> </w:t>
            </w:r>
            <w:r>
              <w:rPr>
                <w:sz w:val="20"/>
              </w:rPr>
              <w:t>al.</w:t>
            </w:r>
            <w:r>
              <w:rPr>
                <w:spacing w:val="-3"/>
                <w:sz w:val="20"/>
              </w:rPr>
              <w:t> </w:t>
            </w:r>
            <w:r>
              <w:rPr>
                <w:spacing w:val="-4"/>
                <w:sz w:val="20"/>
              </w:rPr>
              <w:t>2000</w:t>
            </w:r>
          </w:p>
        </w:tc>
      </w:tr>
      <w:tr>
        <w:trPr>
          <w:trHeight w:val="369"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2" w:space="0" w:color="A6A6A6"/>
            </w:tcBorders>
            <w:shd w:val="clear" w:color="auto" w:fill="CCDBEA"/>
          </w:tcPr>
          <w:p>
            <w:pPr>
              <w:pStyle w:val="TableParagraph"/>
              <w:spacing w:before="81"/>
              <w:ind w:right="8"/>
              <w:jc w:val="center"/>
              <w:rPr>
                <w:sz w:val="20"/>
              </w:rPr>
            </w:pPr>
            <w:r>
              <w:rPr>
                <w:sz w:val="20"/>
              </w:rPr>
              <w:t>1</w:t>
            </w:r>
            <w:r>
              <w:rPr>
                <w:spacing w:val="-7"/>
                <w:sz w:val="20"/>
              </w:rPr>
              <w:t> </w:t>
            </w:r>
            <w:r>
              <w:rPr>
                <w:sz w:val="20"/>
              </w:rPr>
              <w:t>fox/42</w:t>
            </w:r>
            <w:r>
              <w:rPr>
                <w:spacing w:val="-5"/>
                <w:sz w:val="20"/>
              </w:rPr>
              <w:t> </w:t>
            </w:r>
            <w:r>
              <w:rPr>
                <w:sz w:val="20"/>
              </w:rPr>
              <w:t>trap</w:t>
            </w:r>
            <w:r>
              <w:rPr>
                <w:spacing w:val="-4"/>
                <w:sz w:val="20"/>
              </w:rPr>
              <w:t> </w:t>
            </w:r>
            <w:r>
              <w:rPr>
                <w:spacing w:val="-2"/>
                <w:sz w:val="20"/>
              </w:rPr>
              <w:t>nights</w:t>
            </w:r>
          </w:p>
        </w:tc>
        <w:tc>
          <w:tcPr>
            <w:tcW w:w="2790" w:type="dxa"/>
            <w:tcBorders>
              <w:top w:val="single" w:sz="2" w:space="0" w:color="A6A6A6"/>
              <w:bottom w:val="single" w:sz="2" w:space="0" w:color="A6A6A6"/>
            </w:tcBorders>
          </w:tcPr>
          <w:p>
            <w:pPr>
              <w:pStyle w:val="TableParagraph"/>
              <w:spacing w:before="81"/>
              <w:ind w:left="105"/>
              <w:rPr>
                <w:sz w:val="20"/>
              </w:rPr>
            </w:pPr>
            <w:r>
              <w:rPr>
                <w:sz w:val="20"/>
              </w:rPr>
              <w:t>Seven</w:t>
            </w:r>
            <w:r>
              <w:rPr>
                <w:spacing w:val="-8"/>
                <w:sz w:val="20"/>
              </w:rPr>
              <w:t> </w:t>
            </w:r>
            <w:r>
              <w:rPr>
                <w:sz w:val="20"/>
              </w:rPr>
              <w:t>sites</w:t>
            </w:r>
            <w:r>
              <w:rPr>
                <w:spacing w:val="-6"/>
                <w:sz w:val="20"/>
              </w:rPr>
              <w:t> </w:t>
            </w:r>
            <w:r>
              <w:rPr>
                <w:sz w:val="20"/>
              </w:rPr>
              <w:t>across</w:t>
            </w:r>
            <w:r>
              <w:rPr>
                <w:spacing w:val="-5"/>
                <w:sz w:val="20"/>
              </w:rPr>
              <w:t> NSW</w:t>
            </w:r>
          </w:p>
        </w:tc>
        <w:tc>
          <w:tcPr>
            <w:tcW w:w="4297" w:type="dxa"/>
            <w:tcBorders>
              <w:top w:val="single" w:sz="2" w:space="0" w:color="A6A6A6"/>
              <w:bottom w:val="single" w:sz="2" w:space="0" w:color="A6A6A6"/>
            </w:tcBorders>
            <w:shd w:val="clear" w:color="auto" w:fill="CCDBEA"/>
          </w:tcPr>
          <w:p>
            <w:pPr>
              <w:pStyle w:val="TableParagraph"/>
              <w:spacing w:before="81"/>
              <w:ind w:left="107"/>
              <w:rPr>
                <w:sz w:val="20"/>
              </w:rPr>
            </w:pPr>
            <w:r>
              <w:rPr>
                <w:sz w:val="20"/>
              </w:rPr>
              <w:t>Catch</w:t>
            </w:r>
            <w:r>
              <w:rPr>
                <w:spacing w:val="-6"/>
                <w:sz w:val="20"/>
              </w:rPr>
              <w:t> </w:t>
            </w:r>
            <w:r>
              <w:rPr>
                <w:sz w:val="20"/>
              </w:rPr>
              <w:t>per</w:t>
            </w:r>
            <w:r>
              <w:rPr>
                <w:spacing w:val="-5"/>
                <w:sz w:val="20"/>
              </w:rPr>
              <w:t> </w:t>
            </w:r>
            <w:r>
              <w:rPr>
                <w:sz w:val="20"/>
              </w:rPr>
              <w:t>unit</w:t>
            </w:r>
            <w:r>
              <w:rPr>
                <w:spacing w:val="-5"/>
                <w:sz w:val="20"/>
              </w:rPr>
              <w:t> </w:t>
            </w:r>
            <w:r>
              <w:rPr>
                <w:spacing w:val="-2"/>
                <w:sz w:val="20"/>
              </w:rPr>
              <w:t>effort</w:t>
            </w:r>
          </w:p>
        </w:tc>
        <w:tc>
          <w:tcPr>
            <w:tcW w:w="3404" w:type="dxa"/>
            <w:tcBorders>
              <w:top w:val="single" w:sz="2" w:space="0" w:color="A6A6A6"/>
              <w:bottom w:val="single" w:sz="2" w:space="0" w:color="A6A6A6"/>
            </w:tcBorders>
          </w:tcPr>
          <w:p>
            <w:pPr>
              <w:pStyle w:val="TableParagraph"/>
              <w:spacing w:before="81"/>
              <w:ind w:left="106"/>
              <w:rPr>
                <w:sz w:val="20"/>
              </w:rPr>
            </w:pPr>
            <w:r>
              <w:rPr>
                <w:sz w:val="20"/>
              </w:rPr>
              <w:t>Flemming</w:t>
            </w:r>
            <w:r>
              <w:rPr>
                <w:spacing w:val="-7"/>
                <w:sz w:val="20"/>
              </w:rPr>
              <w:t> </w:t>
            </w:r>
            <w:r>
              <w:rPr>
                <w:sz w:val="20"/>
              </w:rPr>
              <w:t>et</w:t>
            </w:r>
            <w:r>
              <w:rPr>
                <w:spacing w:val="-5"/>
                <w:sz w:val="20"/>
              </w:rPr>
              <w:t> </w:t>
            </w:r>
            <w:r>
              <w:rPr>
                <w:sz w:val="20"/>
              </w:rPr>
              <w:t>al.</w:t>
            </w:r>
            <w:r>
              <w:rPr>
                <w:spacing w:val="-7"/>
                <w:sz w:val="20"/>
              </w:rPr>
              <w:t> </w:t>
            </w:r>
            <w:r>
              <w:rPr>
                <w:spacing w:val="-4"/>
                <w:sz w:val="20"/>
              </w:rPr>
              <w:t>1998</w:t>
            </w:r>
          </w:p>
        </w:tc>
      </w:tr>
      <w:tr>
        <w:trPr>
          <w:trHeight w:val="371"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2" w:space="0" w:color="A6A6A6"/>
            </w:tcBorders>
            <w:shd w:val="clear" w:color="auto" w:fill="CCDBEA"/>
          </w:tcPr>
          <w:p>
            <w:pPr>
              <w:pStyle w:val="TableParagraph"/>
              <w:spacing w:before="83"/>
              <w:ind w:left="3" w:right="8"/>
              <w:jc w:val="center"/>
              <w:rPr>
                <w:sz w:val="20"/>
              </w:rPr>
            </w:pPr>
            <w:r>
              <w:rPr>
                <w:sz w:val="20"/>
              </w:rPr>
              <w:t>1</w:t>
            </w:r>
            <w:r>
              <w:rPr>
                <w:spacing w:val="-5"/>
                <w:sz w:val="20"/>
              </w:rPr>
              <w:t> </w:t>
            </w:r>
            <w:r>
              <w:rPr>
                <w:sz w:val="20"/>
              </w:rPr>
              <w:t>fox/150</w:t>
            </w:r>
            <w:r>
              <w:rPr>
                <w:spacing w:val="-5"/>
                <w:sz w:val="20"/>
              </w:rPr>
              <w:t> </w:t>
            </w:r>
            <w:r>
              <w:rPr>
                <w:sz w:val="20"/>
              </w:rPr>
              <w:t>trap</w:t>
            </w:r>
            <w:r>
              <w:rPr>
                <w:spacing w:val="-5"/>
                <w:sz w:val="20"/>
              </w:rPr>
              <w:t> </w:t>
            </w:r>
            <w:r>
              <w:rPr>
                <w:spacing w:val="-2"/>
                <w:sz w:val="20"/>
              </w:rPr>
              <w:t>nights</w:t>
            </w:r>
          </w:p>
        </w:tc>
        <w:tc>
          <w:tcPr>
            <w:tcW w:w="2790" w:type="dxa"/>
            <w:tcBorders>
              <w:top w:val="single" w:sz="2" w:space="0" w:color="A6A6A6"/>
              <w:bottom w:val="single" w:sz="2" w:space="0" w:color="A6A6A6"/>
            </w:tcBorders>
          </w:tcPr>
          <w:p>
            <w:pPr>
              <w:pStyle w:val="TableParagraph"/>
              <w:spacing w:before="83"/>
              <w:ind w:left="105"/>
              <w:rPr>
                <w:sz w:val="20"/>
              </w:rPr>
            </w:pPr>
            <w:r>
              <w:rPr>
                <w:spacing w:val="-5"/>
                <w:sz w:val="20"/>
              </w:rPr>
              <w:t>NSW</w:t>
            </w:r>
          </w:p>
        </w:tc>
        <w:tc>
          <w:tcPr>
            <w:tcW w:w="4297" w:type="dxa"/>
            <w:tcBorders>
              <w:top w:val="single" w:sz="2" w:space="0" w:color="A6A6A6"/>
              <w:bottom w:val="single" w:sz="2" w:space="0" w:color="A6A6A6"/>
            </w:tcBorders>
            <w:shd w:val="clear" w:color="auto" w:fill="CCDBEA"/>
          </w:tcPr>
          <w:p>
            <w:pPr>
              <w:pStyle w:val="TableParagraph"/>
              <w:spacing w:before="83"/>
              <w:ind w:left="107"/>
              <w:rPr>
                <w:sz w:val="20"/>
              </w:rPr>
            </w:pPr>
            <w:r>
              <w:rPr>
                <w:sz w:val="20"/>
              </w:rPr>
              <w:t>Catch</w:t>
            </w:r>
            <w:r>
              <w:rPr>
                <w:spacing w:val="-6"/>
                <w:sz w:val="20"/>
              </w:rPr>
              <w:t> </w:t>
            </w:r>
            <w:r>
              <w:rPr>
                <w:sz w:val="20"/>
              </w:rPr>
              <w:t>per</w:t>
            </w:r>
            <w:r>
              <w:rPr>
                <w:spacing w:val="-5"/>
                <w:sz w:val="20"/>
              </w:rPr>
              <w:t> </w:t>
            </w:r>
            <w:r>
              <w:rPr>
                <w:sz w:val="20"/>
              </w:rPr>
              <w:t>unit</w:t>
            </w:r>
            <w:r>
              <w:rPr>
                <w:spacing w:val="-5"/>
                <w:sz w:val="20"/>
              </w:rPr>
              <w:t> </w:t>
            </w:r>
            <w:r>
              <w:rPr>
                <w:spacing w:val="-2"/>
                <w:sz w:val="20"/>
              </w:rPr>
              <w:t>effort</w:t>
            </w:r>
          </w:p>
        </w:tc>
        <w:tc>
          <w:tcPr>
            <w:tcW w:w="3404" w:type="dxa"/>
            <w:tcBorders>
              <w:top w:val="single" w:sz="2" w:space="0" w:color="A6A6A6"/>
              <w:bottom w:val="single" w:sz="2" w:space="0" w:color="A6A6A6"/>
            </w:tcBorders>
          </w:tcPr>
          <w:p>
            <w:pPr>
              <w:pStyle w:val="TableParagraph"/>
              <w:spacing w:before="83"/>
              <w:ind w:left="106"/>
              <w:rPr>
                <w:sz w:val="20"/>
              </w:rPr>
            </w:pPr>
            <w:r>
              <w:rPr>
                <w:sz w:val="20"/>
              </w:rPr>
              <w:t>McIlroy</w:t>
            </w:r>
            <w:r>
              <w:rPr>
                <w:spacing w:val="-6"/>
                <w:sz w:val="20"/>
              </w:rPr>
              <w:t> </w:t>
            </w:r>
            <w:r>
              <w:rPr>
                <w:sz w:val="20"/>
              </w:rPr>
              <w:t>et</w:t>
            </w:r>
            <w:r>
              <w:rPr>
                <w:spacing w:val="-4"/>
                <w:sz w:val="20"/>
              </w:rPr>
              <w:t> </w:t>
            </w:r>
            <w:r>
              <w:rPr>
                <w:sz w:val="20"/>
              </w:rPr>
              <w:t>al.</w:t>
            </w:r>
            <w:r>
              <w:rPr>
                <w:spacing w:val="-5"/>
                <w:sz w:val="20"/>
              </w:rPr>
              <w:t> </w:t>
            </w:r>
            <w:r>
              <w:rPr>
                <w:spacing w:val="-4"/>
                <w:sz w:val="20"/>
              </w:rPr>
              <w:t>1994</w:t>
            </w:r>
          </w:p>
        </w:tc>
      </w:tr>
      <w:tr>
        <w:trPr>
          <w:trHeight w:val="369"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2" w:space="0" w:color="A6A6A6"/>
            </w:tcBorders>
            <w:shd w:val="clear" w:color="auto" w:fill="CCDBEA"/>
          </w:tcPr>
          <w:p>
            <w:pPr>
              <w:pStyle w:val="TableParagraph"/>
              <w:spacing w:before="81"/>
              <w:ind w:left="3" w:right="8"/>
              <w:jc w:val="center"/>
              <w:rPr>
                <w:sz w:val="20"/>
              </w:rPr>
            </w:pPr>
            <w:r>
              <w:rPr>
                <w:sz w:val="20"/>
              </w:rPr>
              <w:t>1</w:t>
            </w:r>
            <w:r>
              <w:rPr>
                <w:spacing w:val="-5"/>
                <w:sz w:val="20"/>
              </w:rPr>
              <w:t> </w:t>
            </w:r>
            <w:r>
              <w:rPr>
                <w:sz w:val="20"/>
              </w:rPr>
              <w:t>fox/129</w:t>
            </w:r>
            <w:r>
              <w:rPr>
                <w:spacing w:val="-5"/>
                <w:sz w:val="20"/>
              </w:rPr>
              <w:t> </w:t>
            </w:r>
            <w:r>
              <w:rPr>
                <w:sz w:val="20"/>
              </w:rPr>
              <w:t>trap</w:t>
            </w:r>
            <w:r>
              <w:rPr>
                <w:spacing w:val="-5"/>
                <w:sz w:val="20"/>
              </w:rPr>
              <w:t> </w:t>
            </w:r>
            <w:r>
              <w:rPr>
                <w:spacing w:val="-2"/>
                <w:sz w:val="20"/>
              </w:rPr>
              <w:t>nights</w:t>
            </w:r>
          </w:p>
        </w:tc>
        <w:tc>
          <w:tcPr>
            <w:tcW w:w="2790" w:type="dxa"/>
            <w:tcBorders>
              <w:top w:val="single" w:sz="2" w:space="0" w:color="A6A6A6"/>
              <w:bottom w:val="single" w:sz="2" w:space="0" w:color="A6A6A6"/>
            </w:tcBorders>
          </w:tcPr>
          <w:p>
            <w:pPr>
              <w:pStyle w:val="TableParagraph"/>
              <w:spacing w:before="81"/>
              <w:ind w:left="105"/>
              <w:rPr>
                <w:sz w:val="20"/>
              </w:rPr>
            </w:pPr>
            <w:r>
              <w:rPr>
                <w:spacing w:val="-5"/>
                <w:sz w:val="20"/>
              </w:rPr>
              <w:t>NSW</w:t>
            </w:r>
          </w:p>
        </w:tc>
        <w:tc>
          <w:tcPr>
            <w:tcW w:w="4297" w:type="dxa"/>
            <w:tcBorders>
              <w:top w:val="single" w:sz="2" w:space="0" w:color="A6A6A6"/>
              <w:bottom w:val="single" w:sz="2" w:space="0" w:color="A6A6A6"/>
            </w:tcBorders>
            <w:shd w:val="clear" w:color="auto" w:fill="CCDBEA"/>
          </w:tcPr>
          <w:p>
            <w:pPr>
              <w:pStyle w:val="TableParagraph"/>
              <w:spacing w:before="81"/>
              <w:ind w:left="107"/>
              <w:rPr>
                <w:sz w:val="20"/>
              </w:rPr>
            </w:pPr>
            <w:r>
              <w:rPr>
                <w:sz w:val="20"/>
              </w:rPr>
              <w:t>Catch</w:t>
            </w:r>
            <w:r>
              <w:rPr>
                <w:spacing w:val="-6"/>
                <w:sz w:val="20"/>
              </w:rPr>
              <w:t> </w:t>
            </w:r>
            <w:r>
              <w:rPr>
                <w:sz w:val="20"/>
              </w:rPr>
              <w:t>per</w:t>
            </w:r>
            <w:r>
              <w:rPr>
                <w:spacing w:val="-5"/>
                <w:sz w:val="20"/>
              </w:rPr>
              <w:t> </w:t>
            </w:r>
            <w:r>
              <w:rPr>
                <w:sz w:val="20"/>
              </w:rPr>
              <w:t>unit</w:t>
            </w:r>
            <w:r>
              <w:rPr>
                <w:spacing w:val="-5"/>
                <w:sz w:val="20"/>
              </w:rPr>
              <w:t> </w:t>
            </w:r>
            <w:r>
              <w:rPr>
                <w:spacing w:val="-2"/>
                <w:sz w:val="20"/>
              </w:rPr>
              <w:t>effort</w:t>
            </w:r>
          </w:p>
        </w:tc>
        <w:tc>
          <w:tcPr>
            <w:tcW w:w="3404" w:type="dxa"/>
            <w:tcBorders>
              <w:top w:val="single" w:sz="2" w:space="0" w:color="A6A6A6"/>
              <w:bottom w:val="single" w:sz="2" w:space="0" w:color="A6A6A6"/>
            </w:tcBorders>
          </w:tcPr>
          <w:p>
            <w:pPr>
              <w:pStyle w:val="TableParagraph"/>
              <w:spacing w:before="81"/>
              <w:ind w:left="106"/>
              <w:rPr>
                <w:sz w:val="20"/>
              </w:rPr>
            </w:pPr>
            <w:r>
              <w:rPr>
                <w:sz w:val="20"/>
              </w:rPr>
              <w:t>Saunders</w:t>
            </w:r>
            <w:r>
              <w:rPr>
                <w:spacing w:val="-5"/>
                <w:sz w:val="20"/>
              </w:rPr>
              <w:t> </w:t>
            </w:r>
            <w:r>
              <w:rPr>
                <w:sz w:val="20"/>
              </w:rPr>
              <w:t>et</w:t>
            </w:r>
            <w:r>
              <w:rPr>
                <w:spacing w:val="-5"/>
                <w:sz w:val="20"/>
              </w:rPr>
              <w:t> </w:t>
            </w:r>
            <w:r>
              <w:rPr>
                <w:sz w:val="20"/>
              </w:rPr>
              <w:t>al.</w:t>
            </w:r>
            <w:r>
              <w:rPr>
                <w:spacing w:val="-6"/>
                <w:sz w:val="20"/>
              </w:rPr>
              <w:t> </w:t>
            </w:r>
            <w:r>
              <w:rPr>
                <w:spacing w:val="-4"/>
                <w:sz w:val="20"/>
              </w:rPr>
              <w:t>2000</w:t>
            </w:r>
          </w:p>
        </w:tc>
      </w:tr>
      <w:tr>
        <w:trPr>
          <w:trHeight w:val="372" w:hRule="atLeast"/>
        </w:trPr>
        <w:tc>
          <w:tcPr>
            <w:tcW w:w="1702" w:type="dxa"/>
            <w:vMerge/>
            <w:tcBorders>
              <w:top w:val="nil"/>
              <w:bottom w:val="single" w:sz="4" w:space="0" w:color="000000"/>
            </w:tcBorders>
          </w:tcPr>
          <w:p>
            <w:pPr>
              <w:rPr>
                <w:sz w:val="2"/>
                <w:szCs w:val="2"/>
              </w:rPr>
            </w:pPr>
          </w:p>
        </w:tc>
        <w:tc>
          <w:tcPr>
            <w:tcW w:w="2129" w:type="dxa"/>
            <w:tcBorders>
              <w:top w:val="single" w:sz="2" w:space="0" w:color="A6A6A6"/>
              <w:bottom w:val="single" w:sz="4" w:space="0" w:color="000000"/>
            </w:tcBorders>
            <w:shd w:val="clear" w:color="auto" w:fill="CCDBEA"/>
          </w:tcPr>
          <w:p>
            <w:pPr>
              <w:pStyle w:val="TableParagraph"/>
              <w:spacing w:before="81"/>
              <w:ind w:right="8"/>
              <w:jc w:val="center"/>
              <w:rPr>
                <w:sz w:val="20"/>
              </w:rPr>
            </w:pPr>
            <w:r>
              <w:rPr>
                <w:sz w:val="20"/>
              </w:rPr>
              <w:t>1</w:t>
            </w:r>
            <w:r>
              <w:rPr>
                <w:spacing w:val="-7"/>
                <w:sz w:val="20"/>
              </w:rPr>
              <w:t> </w:t>
            </w:r>
            <w:r>
              <w:rPr>
                <w:sz w:val="20"/>
              </w:rPr>
              <w:t>fox/12</w:t>
            </w:r>
            <w:r>
              <w:rPr>
                <w:spacing w:val="-5"/>
                <w:sz w:val="20"/>
              </w:rPr>
              <w:t> </w:t>
            </w:r>
            <w:r>
              <w:rPr>
                <w:sz w:val="20"/>
              </w:rPr>
              <w:t>trap</w:t>
            </w:r>
            <w:r>
              <w:rPr>
                <w:spacing w:val="-4"/>
                <w:sz w:val="20"/>
              </w:rPr>
              <w:t> </w:t>
            </w:r>
            <w:r>
              <w:rPr>
                <w:spacing w:val="-2"/>
                <w:sz w:val="20"/>
              </w:rPr>
              <w:t>nights</w:t>
            </w:r>
          </w:p>
        </w:tc>
        <w:tc>
          <w:tcPr>
            <w:tcW w:w="2790" w:type="dxa"/>
            <w:tcBorders>
              <w:top w:val="single" w:sz="2" w:space="0" w:color="A6A6A6"/>
              <w:bottom w:val="single" w:sz="4" w:space="0" w:color="000000"/>
            </w:tcBorders>
          </w:tcPr>
          <w:p>
            <w:pPr>
              <w:pStyle w:val="TableParagraph"/>
              <w:spacing w:before="81"/>
              <w:ind w:left="105"/>
              <w:rPr>
                <w:sz w:val="20"/>
              </w:rPr>
            </w:pPr>
            <w:r>
              <w:rPr>
                <w:sz w:val="20"/>
              </w:rPr>
              <w:t>Central</w:t>
            </w:r>
            <w:r>
              <w:rPr>
                <w:spacing w:val="-9"/>
                <w:sz w:val="20"/>
              </w:rPr>
              <w:t> </w:t>
            </w:r>
            <w:r>
              <w:rPr>
                <w:spacing w:val="-2"/>
                <w:sz w:val="20"/>
              </w:rPr>
              <w:t>Victoria</w:t>
            </w:r>
          </w:p>
        </w:tc>
        <w:tc>
          <w:tcPr>
            <w:tcW w:w="4297" w:type="dxa"/>
            <w:tcBorders>
              <w:top w:val="single" w:sz="2" w:space="0" w:color="A6A6A6"/>
              <w:bottom w:val="single" w:sz="4" w:space="0" w:color="000000"/>
            </w:tcBorders>
            <w:shd w:val="clear" w:color="auto" w:fill="CCDBEA"/>
          </w:tcPr>
          <w:p>
            <w:pPr>
              <w:pStyle w:val="TableParagraph"/>
              <w:spacing w:before="81"/>
              <w:ind w:left="107"/>
              <w:rPr>
                <w:sz w:val="20"/>
              </w:rPr>
            </w:pPr>
            <w:r>
              <w:rPr>
                <w:sz w:val="20"/>
              </w:rPr>
              <w:t>Catch</w:t>
            </w:r>
            <w:r>
              <w:rPr>
                <w:spacing w:val="-6"/>
                <w:sz w:val="20"/>
              </w:rPr>
              <w:t> </w:t>
            </w:r>
            <w:r>
              <w:rPr>
                <w:sz w:val="20"/>
              </w:rPr>
              <w:t>per</w:t>
            </w:r>
            <w:r>
              <w:rPr>
                <w:spacing w:val="-5"/>
                <w:sz w:val="20"/>
              </w:rPr>
              <w:t> </w:t>
            </w:r>
            <w:r>
              <w:rPr>
                <w:sz w:val="20"/>
              </w:rPr>
              <w:t>unit</w:t>
            </w:r>
            <w:r>
              <w:rPr>
                <w:spacing w:val="-5"/>
                <w:sz w:val="20"/>
              </w:rPr>
              <w:t> </w:t>
            </w:r>
            <w:r>
              <w:rPr>
                <w:spacing w:val="-2"/>
                <w:sz w:val="20"/>
              </w:rPr>
              <w:t>effort</w:t>
            </w:r>
          </w:p>
        </w:tc>
        <w:tc>
          <w:tcPr>
            <w:tcW w:w="3404" w:type="dxa"/>
            <w:tcBorders>
              <w:top w:val="single" w:sz="2" w:space="0" w:color="A6A6A6"/>
              <w:bottom w:val="single" w:sz="4" w:space="0" w:color="000000"/>
            </w:tcBorders>
          </w:tcPr>
          <w:p>
            <w:pPr>
              <w:pStyle w:val="TableParagraph"/>
              <w:spacing w:before="81"/>
              <w:ind w:left="106"/>
              <w:rPr>
                <w:sz w:val="20"/>
              </w:rPr>
            </w:pPr>
            <w:r>
              <w:rPr>
                <w:sz w:val="20"/>
              </w:rPr>
              <w:t>Carter</w:t>
            </w:r>
            <w:r>
              <w:rPr>
                <w:spacing w:val="-6"/>
                <w:sz w:val="20"/>
              </w:rPr>
              <w:t> </w:t>
            </w:r>
            <w:r>
              <w:rPr>
                <w:sz w:val="20"/>
              </w:rPr>
              <w:t>et</w:t>
            </w:r>
            <w:r>
              <w:rPr>
                <w:spacing w:val="-3"/>
                <w:sz w:val="20"/>
              </w:rPr>
              <w:t> </w:t>
            </w:r>
            <w:r>
              <w:rPr>
                <w:sz w:val="20"/>
              </w:rPr>
              <w:t>al.</w:t>
            </w:r>
            <w:r>
              <w:rPr>
                <w:spacing w:val="-3"/>
                <w:sz w:val="20"/>
              </w:rPr>
              <w:t> </w:t>
            </w:r>
            <w:r>
              <w:rPr>
                <w:spacing w:val="-4"/>
                <w:sz w:val="20"/>
              </w:rPr>
              <w:t>2012</w:t>
            </w:r>
          </w:p>
        </w:tc>
      </w:tr>
      <w:tr>
        <w:trPr>
          <w:trHeight w:val="601" w:hRule="atLeast"/>
        </w:trPr>
        <w:tc>
          <w:tcPr>
            <w:tcW w:w="1702" w:type="dxa"/>
            <w:tcBorders>
              <w:top w:val="single" w:sz="4" w:space="0" w:color="000000"/>
              <w:bottom w:val="single" w:sz="4" w:space="0" w:color="000000"/>
            </w:tcBorders>
          </w:tcPr>
          <w:p>
            <w:pPr>
              <w:pStyle w:val="TableParagraph"/>
              <w:spacing w:before="81"/>
              <w:ind w:left="107"/>
              <w:rPr>
                <w:sz w:val="20"/>
              </w:rPr>
            </w:pPr>
            <w:r>
              <w:rPr>
                <w:sz w:val="20"/>
              </w:rPr>
              <w:t>Den</w:t>
            </w:r>
            <w:r>
              <w:rPr>
                <w:spacing w:val="-8"/>
                <w:sz w:val="20"/>
              </w:rPr>
              <w:t> </w:t>
            </w:r>
            <w:r>
              <w:rPr>
                <w:spacing w:val="-2"/>
                <w:sz w:val="20"/>
              </w:rPr>
              <w:t>fumigation</w:t>
            </w:r>
          </w:p>
        </w:tc>
        <w:tc>
          <w:tcPr>
            <w:tcW w:w="2129" w:type="dxa"/>
            <w:tcBorders>
              <w:top w:val="single" w:sz="4" w:space="0" w:color="000000"/>
              <w:bottom w:val="single" w:sz="4" w:space="0" w:color="000000"/>
            </w:tcBorders>
            <w:shd w:val="clear" w:color="auto" w:fill="CCDBEA"/>
          </w:tcPr>
          <w:p>
            <w:pPr>
              <w:pStyle w:val="TableParagraph"/>
              <w:spacing w:before="81"/>
              <w:ind w:left="6" w:right="8"/>
              <w:jc w:val="center"/>
              <w:rPr>
                <w:sz w:val="20"/>
              </w:rPr>
            </w:pPr>
            <w:r>
              <w:rPr>
                <w:sz w:val="20"/>
              </w:rPr>
              <w:t>80</w:t>
            </w:r>
            <w:r>
              <w:rPr>
                <w:spacing w:val="-4"/>
                <w:sz w:val="20"/>
              </w:rPr>
              <w:t> </w:t>
            </w:r>
            <w:r>
              <w:rPr>
                <w:sz w:val="20"/>
              </w:rPr>
              <w:t>(of</w:t>
            </w:r>
            <w:r>
              <w:rPr>
                <w:spacing w:val="-3"/>
                <w:sz w:val="20"/>
              </w:rPr>
              <w:t> </w:t>
            </w:r>
            <w:r>
              <w:rPr>
                <w:spacing w:val="-2"/>
                <w:sz w:val="20"/>
              </w:rPr>
              <w:t>cubs)</w:t>
            </w:r>
          </w:p>
        </w:tc>
        <w:tc>
          <w:tcPr>
            <w:tcW w:w="2790" w:type="dxa"/>
            <w:tcBorders>
              <w:top w:val="single" w:sz="4" w:space="0" w:color="000000"/>
              <w:bottom w:val="single" w:sz="4" w:space="0" w:color="000000"/>
            </w:tcBorders>
          </w:tcPr>
          <w:p>
            <w:pPr>
              <w:pStyle w:val="TableParagraph"/>
              <w:spacing w:before="81"/>
              <w:ind w:left="105"/>
              <w:rPr>
                <w:sz w:val="20"/>
              </w:rPr>
            </w:pPr>
            <w:r>
              <w:rPr>
                <w:sz w:val="20"/>
              </w:rPr>
              <w:t>Not</w:t>
            </w:r>
            <w:r>
              <w:rPr>
                <w:spacing w:val="-5"/>
                <w:sz w:val="20"/>
              </w:rPr>
              <w:t> </w:t>
            </w:r>
            <w:r>
              <w:rPr>
                <w:spacing w:val="-2"/>
                <w:sz w:val="20"/>
              </w:rPr>
              <w:t>reported</w:t>
            </w:r>
          </w:p>
        </w:tc>
        <w:tc>
          <w:tcPr>
            <w:tcW w:w="4297" w:type="dxa"/>
            <w:tcBorders>
              <w:top w:val="single" w:sz="4" w:space="0" w:color="000000"/>
              <w:bottom w:val="single" w:sz="4" w:space="0" w:color="000000"/>
            </w:tcBorders>
            <w:shd w:val="clear" w:color="auto" w:fill="CCDBEA"/>
          </w:tcPr>
          <w:p>
            <w:pPr>
              <w:pStyle w:val="TableParagraph"/>
              <w:spacing w:before="81"/>
              <w:ind w:left="107" w:right="120"/>
              <w:rPr>
                <w:sz w:val="20"/>
              </w:rPr>
            </w:pPr>
            <w:r>
              <w:rPr>
                <w:sz w:val="20"/>
              </w:rPr>
              <w:t>Cub</w:t>
            </w:r>
            <w:r>
              <w:rPr>
                <w:spacing w:val="-9"/>
                <w:sz w:val="20"/>
              </w:rPr>
              <w:t> </w:t>
            </w:r>
            <w:r>
              <w:rPr>
                <w:sz w:val="20"/>
              </w:rPr>
              <w:t>activity</w:t>
            </w:r>
            <w:r>
              <w:rPr>
                <w:spacing w:val="-7"/>
                <w:sz w:val="20"/>
              </w:rPr>
              <w:t> </w:t>
            </w:r>
            <w:r>
              <w:rPr>
                <w:sz w:val="20"/>
              </w:rPr>
              <w:t>at</w:t>
            </w:r>
            <w:r>
              <w:rPr>
                <w:spacing w:val="-6"/>
                <w:sz w:val="20"/>
              </w:rPr>
              <w:t> </w:t>
            </w:r>
            <w:r>
              <w:rPr>
                <w:sz w:val="20"/>
              </w:rPr>
              <w:t>dens</w:t>
            </w:r>
            <w:r>
              <w:rPr>
                <w:spacing w:val="-7"/>
                <w:sz w:val="20"/>
              </w:rPr>
              <w:t> </w:t>
            </w:r>
            <w:r>
              <w:rPr>
                <w:sz w:val="20"/>
              </w:rPr>
              <w:t>compared</w:t>
            </w:r>
            <w:r>
              <w:rPr>
                <w:spacing w:val="-9"/>
                <w:sz w:val="20"/>
              </w:rPr>
              <w:t> </w:t>
            </w:r>
            <w:r>
              <w:rPr>
                <w:sz w:val="20"/>
              </w:rPr>
              <w:t>to</w:t>
            </w:r>
            <w:r>
              <w:rPr>
                <w:spacing w:val="-7"/>
                <w:sz w:val="20"/>
              </w:rPr>
              <w:t> </w:t>
            </w:r>
            <w:r>
              <w:rPr>
                <w:sz w:val="20"/>
              </w:rPr>
              <w:t>untreated </w:t>
            </w:r>
            <w:r>
              <w:rPr>
                <w:spacing w:val="-4"/>
                <w:sz w:val="20"/>
              </w:rPr>
              <w:t>dens</w:t>
            </w:r>
          </w:p>
        </w:tc>
        <w:tc>
          <w:tcPr>
            <w:tcW w:w="3404" w:type="dxa"/>
            <w:tcBorders>
              <w:top w:val="single" w:sz="4" w:space="0" w:color="000000"/>
              <w:bottom w:val="single" w:sz="4" w:space="0" w:color="000000"/>
            </w:tcBorders>
          </w:tcPr>
          <w:p>
            <w:pPr>
              <w:pStyle w:val="TableParagraph"/>
              <w:spacing w:before="81"/>
              <w:ind w:left="106"/>
              <w:rPr>
                <w:sz w:val="20"/>
              </w:rPr>
            </w:pPr>
            <w:r>
              <w:rPr>
                <w:sz w:val="20"/>
              </w:rPr>
              <w:t>Hart</w:t>
            </w:r>
            <w:r>
              <w:rPr>
                <w:spacing w:val="-5"/>
                <w:sz w:val="20"/>
              </w:rPr>
              <w:t> </w:t>
            </w:r>
            <w:r>
              <w:rPr>
                <w:sz w:val="20"/>
              </w:rPr>
              <w:t>et</w:t>
            </w:r>
            <w:r>
              <w:rPr>
                <w:spacing w:val="-3"/>
                <w:sz w:val="20"/>
              </w:rPr>
              <w:t> </w:t>
            </w:r>
            <w:r>
              <w:rPr>
                <w:sz w:val="20"/>
              </w:rPr>
              <w:t>al.</w:t>
            </w:r>
            <w:r>
              <w:rPr>
                <w:spacing w:val="-3"/>
                <w:sz w:val="20"/>
              </w:rPr>
              <w:t> </w:t>
            </w:r>
            <w:r>
              <w:rPr>
                <w:spacing w:val="-4"/>
                <w:sz w:val="20"/>
              </w:rPr>
              <w:t>1996</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8"/>
        <w:rPr>
          <w:sz w:val="18"/>
        </w:rPr>
      </w:pPr>
    </w:p>
    <w:p>
      <w:pPr>
        <w:tabs>
          <w:tab w:pos="14689" w:val="right" w:leader="none"/>
        </w:tabs>
        <w:spacing w:before="1"/>
        <w:ind w:left="10167"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r>
        <w:rPr>
          <w:sz w:val="18"/>
        </w:rPr>
        <w:tab/>
      </w:r>
      <w:r>
        <w:rPr>
          <w:spacing w:val="-5"/>
          <w:sz w:val="18"/>
        </w:rPr>
        <w:t>49</w:t>
      </w:r>
    </w:p>
    <w:p>
      <w:pPr>
        <w:pStyle w:val="Heading4"/>
        <w:spacing w:line="240" w:lineRule="auto" w:before="174"/>
        <w:ind w:left="0"/>
        <w:jc w:val="center"/>
      </w:pPr>
      <w:r>
        <w:rPr>
          <w:spacing w:val="-2"/>
        </w:rPr>
        <w:t>OFFICIAL</w:t>
      </w:r>
    </w:p>
    <w:p>
      <w:pPr>
        <w:spacing w:after="0" w:line="240" w:lineRule="auto"/>
        <w:jc w:val="center"/>
        <w:sectPr>
          <w:footerReference w:type="default" r:id="rId48"/>
          <w:pgSz w:w="16850" w:h="11910" w:orient="landscape"/>
          <w:pgMar w:header="0" w:footer="0" w:top="1100" w:bottom="0" w:left="1020" w:right="1020"/>
        </w:sectPr>
      </w:pPr>
    </w:p>
    <w:p>
      <w:pPr>
        <w:pStyle w:val="Heading5"/>
        <w:numPr>
          <w:ilvl w:val="2"/>
          <w:numId w:val="16"/>
        </w:numPr>
        <w:tabs>
          <w:tab w:pos="831" w:val="left" w:leader="none"/>
        </w:tabs>
        <w:spacing w:line="240" w:lineRule="auto" w:before="76" w:after="0"/>
        <w:ind w:left="831" w:right="0" w:hanging="719"/>
        <w:jc w:val="left"/>
      </w:pPr>
      <w:bookmarkStart w:name="_TOC_250042" w:id="64"/>
      <w:r>
        <w:rPr/>
        <w:t>Canid</w:t>
      </w:r>
      <w:r>
        <w:rPr>
          <w:spacing w:val="-5"/>
        </w:rPr>
        <w:t> </w:t>
      </w:r>
      <w:r>
        <w:rPr/>
        <w:t>pest</w:t>
      </w:r>
      <w:r>
        <w:rPr>
          <w:spacing w:val="-5"/>
        </w:rPr>
        <w:t> </w:t>
      </w:r>
      <w:r>
        <w:rPr/>
        <w:t>ejectors</w:t>
      </w:r>
      <w:r>
        <w:rPr>
          <w:spacing w:val="-7"/>
        </w:rPr>
        <w:t> </w:t>
      </w:r>
      <w:r>
        <w:rPr/>
        <w:t>for</w:t>
      </w:r>
      <w:r>
        <w:rPr>
          <w:spacing w:val="-5"/>
        </w:rPr>
        <w:t> </w:t>
      </w:r>
      <w:r>
        <w:rPr/>
        <w:t>controlling</w:t>
      </w:r>
      <w:r>
        <w:rPr>
          <w:spacing w:val="-7"/>
        </w:rPr>
        <w:t> </w:t>
      </w:r>
      <w:bookmarkEnd w:id="64"/>
      <w:r>
        <w:rPr>
          <w:spacing w:val="-2"/>
        </w:rPr>
        <w:t>foxes</w:t>
      </w:r>
    </w:p>
    <w:p>
      <w:pPr>
        <w:pStyle w:val="BodyText"/>
        <w:spacing w:before="56"/>
        <w:ind w:left="112" w:right="126"/>
      </w:pPr>
      <w:r>
        <w:rPr/>
        <w:t>CPEs are a mechanical device loaded with a small capsule (~ 400 mg capacity) containing either 1080 powder or PAPP. The CPEs are ejected or expelled into the mouth of the target species that bites, tugs or pulls</w:t>
      </w:r>
      <w:r>
        <w:rPr>
          <w:spacing w:val="-2"/>
        </w:rPr>
        <w:t> </w:t>
      </w:r>
      <w:r>
        <w:rPr/>
        <w:t>on</w:t>
      </w:r>
      <w:r>
        <w:rPr>
          <w:spacing w:val="-2"/>
        </w:rPr>
        <w:t> </w:t>
      </w:r>
      <w:r>
        <w:rPr/>
        <w:t>them,</w:t>
      </w:r>
      <w:r>
        <w:rPr>
          <w:spacing w:val="-3"/>
        </w:rPr>
        <w:t> </w:t>
      </w:r>
      <w:r>
        <w:rPr/>
        <w:t>requiring</w:t>
      </w:r>
      <w:r>
        <w:rPr>
          <w:spacing w:val="-2"/>
        </w:rPr>
        <w:t> </w:t>
      </w:r>
      <w:r>
        <w:rPr/>
        <w:t>a</w:t>
      </w:r>
      <w:r>
        <w:rPr>
          <w:spacing w:val="-2"/>
        </w:rPr>
        <w:t> </w:t>
      </w:r>
      <w:r>
        <w:rPr/>
        <w:t>pull</w:t>
      </w:r>
      <w:r>
        <w:rPr>
          <w:spacing w:val="-2"/>
        </w:rPr>
        <w:t> </w:t>
      </w:r>
      <w:r>
        <w:rPr/>
        <w:t>force</w:t>
      </w:r>
      <w:r>
        <w:rPr>
          <w:spacing w:val="-3"/>
        </w:rPr>
        <w:t> </w:t>
      </w:r>
      <w:r>
        <w:rPr/>
        <w:t>of</w:t>
      </w:r>
      <w:r>
        <w:rPr>
          <w:spacing w:val="-1"/>
        </w:rPr>
        <w:t> </w:t>
      </w:r>
      <w:r>
        <w:rPr/>
        <w:t>1.6–2.7</w:t>
      </w:r>
      <w:r>
        <w:rPr>
          <w:spacing w:val="-3"/>
        </w:rPr>
        <w:t> </w:t>
      </w:r>
      <w:r>
        <w:rPr/>
        <w:t>kg</w:t>
      </w:r>
      <w:r>
        <w:rPr>
          <w:spacing w:val="-3"/>
        </w:rPr>
        <w:t> </w:t>
      </w:r>
      <w:r>
        <w:rPr/>
        <w:t>to</w:t>
      </w:r>
      <w:r>
        <w:rPr>
          <w:spacing w:val="-2"/>
        </w:rPr>
        <w:t> </w:t>
      </w:r>
      <w:r>
        <w:rPr/>
        <w:t>be</w:t>
      </w:r>
      <w:r>
        <w:rPr>
          <w:spacing w:val="-1"/>
        </w:rPr>
        <w:t> </w:t>
      </w:r>
      <w:r>
        <w:rPr/>
        <w:t>triggered</w:t>
      </w:r>
      <w:r>
        <w:rPr>
          <w:spacing w:val="-3"/>
        </w:rPr>
        <w:t> </w:t>
      </w:r>
      <w:r>
        <w:rPr/>
        <w:t>(</w:t>
      </w:r>
      <w:hyperlink w:history="true" w:anchor="_bookmark11">
        <w:r>
          <w:rPr/>
          <w:t>Figure 4</w:t>
        </w:r>
      </w:hyperlink>
      <w:r>
        <w:rPr/>
        <w:t>).</w:t>
      </w:r>
      <w:r>
        <w:rPr>
          <w:spacing w:val="-3"/>
        </w:rPr>
        <w:t> </w:t>
      </w:r>
      <w:r>
        <w:rPr/>
        <w:t>To</w:t>
      </w:r>
      <w:r>
        <w:rPr>
          <w:spacing w:val="-1"/>
        </w:rPr>
        <w:t> </w:t>
      </w:r>
      <w:r>
        <w:rPr/>
        <w:t>achieve</w:t>
      </w:r>
      <w:r>
        <w:rPr>
          <w:spacing w:val="-1"/>
        </w:rPr>
        <w:t> </w:t>
      </w:r>
      <w:r>
        <w:rPr/>
        <w:t>this level</w:t>
      </w:r>
      <w:r>
        <w:rPr>
          <w:spacing w:val="-4"/>
        </w:rPr>
        <w:t> </w:t>
      </w:r>
      <w:r>
        <w:rPr/>
        <w:t>of</w:t>
      </w:r>
      <w:r>
        <w:rPr>
          <w:spacing w:val="-1"/>
        </w:rPr>
        <w:t> </w:t>
      </w:r>
      <w:r>
        <w:rPr/>
        <w:t>force,</w:t>
      </w:r>
      <w:r>
        <w:rPr>
          <w:spacing w:val="-3"/>
        </w:rPr>
        <w:t> </w:t>
      </w:r>
      <w:r>
        <w:rPr/>
        <w:t>the animals must have a body mass of at least 1.55–2.7 kg (Connolly and Simmons 1984; Marks and Wilson </w:t>
      </w:r>
      <w:r>
        <w:rPr>
          <w:spacing w:val="-2"/>
        </w:rPr>
        <w:t>2005).</w:t>
      </w:r>
    </w:p>
    <w:p>
      <w:pPr>
        <w:pStyle w:val="BodyText"/>
        <w:spacing w:before="71"/>
      </w:pPr>
      <w:r>
        <w:rPr/>
        <mc:AlternateContent>
          <mc:Choice Requires="wps">
            <w:drawing>
              <wp:anchor distT="0" distB="0" distL="0" distR="0" allowOverlap="1" layoutInCell="1" locked="0" behindDoc="1" simplePos="0" relativeHeight="487604224">
                <wp:simplePos x="0" y="0"/>
                <wp:positionH relativeFrom="page">
                  <wp:posOffset>849646</wp:posOffset>
                </wp:positionH>
                <wp:positionV relativeFrom="paragraph">
                  <wp:posOffset>206592</wp:posOffset>
                </wp:positionV>
                <wp:extent cx="4951095" cy="4575175"/>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4951095" cy="4575175"/>
                          <a:chExt cx="4951095" cy="4575175"/>
                        </a:xfrm>
                      </wpg:grpSpPr>
                      <pic:pic>
                        <pic:nvPicPr>
                          <pic:cNvPr id="76" name="Image 76" descr="Diagram of a blood test tube  Description automatically generated with medium confidence"/>
                          <pic:cNvPicPr/>
                        </pic:nvPicPr>
                        <pic:blipFill>
                          <a:blip r:embed="rId50" cstate="print"/>
                          <a:stretch>
                            <a:fillRect/>
                          </a:stretch>
                        </pic:blipFill>
                        <pic:spPr>
                          <a:xfrm>
                            <a:off x="0" y="0"/>
                            <a:ext cx="2332018" cy="4574906"/>
                          </a:xfrm>
                          <a:prstGeom prst="rect">
                            <a:avLst/>
                          </a:prstGeom>
                        </pic:spPr>
                      </pic:pic>
                      <pic:pic>
                        <pic:nvPicPr>
                          <pic:cNvPr id="77" name="Image 77" descr="A rusty metal object on grass  AI-generated content may be incorrect."/>
                          <pic:cNvPicPr/>
                        </pic:nvPicPr>
                        <pic:blipFill>
                          <a:blip r:embed="rId51" cstate="print"/>
                          <a:stretch>
                            <a:fillRect/>
                          </a:stretch>
                        </pic:blipFill>
                        <pic:spPr>
                          <a:xfrm>
                            <a:off x="2347959" y="1812402"/>
                            <a:ext cx="2602864" cy="2718054"/>
                          </a:xfrm>
                          <a:prstGeom prst="rect">
                            <a:avLst/>
                          </a:prstGeom>
                        </pic:spPr>
                      </pic:pic>
                    </wpg:wgp>
                  </a:graphicData>
                </a:graphic>
              </wp:anchor>
            </w:drawing>
          </mc:Choice>
          <mc:Fallback>
            <w:pict>
              <v:group style="position:absolute;margin-left:66.901306pt;margin-top:16.267128pt;width:389.85pt;height:360.25pt;mso-position-horizontal-relative:page;mso-position-vertical-relative:paragraph;z-index:-15712256;mso-wrap-distance-left:0;mso-wrap-distance-right:0" id="docshapegroup51" coordorigin="1338,325" coordsize="7797,7205">
                <v:shape style="position:absolute;left:1338;top:325;width:3673;height:7205" type="#_x0000_t75" id="docshape52" alt="Diagram of a blood test tube  Description automatically generated with medium confidence" stroked="false">
                  <v:imagedata r:id="rId50" o:title=""/>
                </v:shape>
                <v:shape style="position:absolute;left:5035;top:3179;width:4099;height:4281" type="#_x0000_t75" id="docshape53" alt="A rusty metal object on grass  AI-generated content may be incorrect." stroked="false">
                  <v:imagedata r:id="rId51" o:title=""/>
                </v:shape>
                <w10:wrap type="topAndBottom"/>
              </v:group>
            </w:pict>
          </mc:Fallback>
        </mc:AlternateContent>
      </w:r>
    </w:p>
    <w:p>
      <w:pPr>
        <w:spacing w:before="122"/>
        <w:ind w:left="112" w:right="176" w:firstLine="0"/>
        <w:jc w:val="left"/>
        <w:rPr>
          <w:b/>
          <w:sz w:val="20"/>
        </w:rPr>
      </w:pPr>
      <w:bookmarkStart w:name="_bookmark11" w:id="65"/>
      <w:bookmarkEnd w:id="65"/>
      <w:r>
        <w:rPr/>
      </w:r>
      <w:r>
        <w:rPr>
          <w:b/>
          <w:color w:val="1F1546"/>
          <w:sz w:val="20"/>
        </w:rPr>
        <w:t>Figure 4. Canid Pest Ejector, a) from an ACTA brochure without a collar to restrict access by non- </w:t>
      </w:r>
      <w:r>
        <w:rPr>
          <w:b/>
          <w:color w:val="1F1546"/>
          <w:spacing w:val="-2"/>
          <w:sz w:val="20"/>
        </w:rPr>
        <w:t>target species;</w:t>
      </w:r>
      <w:hyperlink r:id="rId52">
        <w:r>
          <w:rPr>
            <w:b/>
            <w:color w:val="0000FF"/>
            <w:spacing w:val="-2"/>
            <w:sz w:val="20"/>
            <w:u w:val="single" w:color="0000FF"/>
          </w:rPr>
          <w:t>https://static1.squarespace.com/static/5a5ebfbed74cff30017f4e32/t/5b04e0998a922da81bbffc</w:t>
        </w:r>
      </w:hyperlink>
      <w:r>
        <w:rPr>
          <w:b/>
          <w:color w:val="0000FF"/>
          <w:spacing w:val="-2"/>
          <w:sz w:val="20"/>
          <w:u w:val="none"/>
        </w:rPr>
        <w:t> </w:t>
      </w:r>
      <w:hyperlink r:id="rId52">
        <w:r>
          <w:rPr>
            <w:b/>
            <w:color w:val="0000FF"/>
            <w:sz w:val="20"/>
            <w:u w:val="single" w:color="0000FF"/>
          </w:rPr>
          <w:t>6b/1527046315060/CPE+DL+Booklet-Email.compressed.pdf</w:t>
        </w:r>
        <w:r>
          <w:rPr>
            <w:b/>
            <w:color w:val="1F1546"/>
            <w:sz w:val="20"/>
            <w:u w:val="none"/>
          </w:rPr>
          <w:t>,</w:t>
        </w:r>
      </w:hyperlink>
      <w:r>
        <w:rPr>
          <w:b/>
          <w:color w:val="1F1546"/>
          <w:sz w:val="20"/>
          <w:u w:val="none"/>
        </w:rPr>
        <w:t> and b) with a collar modification (image supplied by G. Malgaard (DEECA), design following (Young et al. 2024).</w:t>
      </w:r>
    </w:p>
    <w:p>
      <w:pPr>
        <w:pStyle w:val="BodyText"/>
        <w:spacing w:before="159"/>
        <w:rPr>
          <w:b/>
        </w:rPr>
      </w:pPr>
    </w:p>
    <w:p>
      <w:pPr>
        <w:pStyle w:val="BodyText"/>
        <w:ind w:left="112"/>
      </w:pPr>
      <w:r>
        <w:rPr/>
        <w:t>CPEs are a derivative of the M-44 device used in the United States for the control of foxes, Grey Foxes (</w:t>
      </w:r>
      <w:r>
        <w:rPr>
          <w:i/>
        </w:rPr>
        <w:t>Urocyon cinereoagenteus</w:t>
      </w:r>
      <w:r>
        <w:rPr/>
        <w:t>), Coyotes (</w:t>
      </w:r>
      <w:r>
        <w:rPr>
          <w:i/>
        </w:rPr>
        <w:t>Canis latrans</w:t>
      </w:r>
      <w:r>
        <w:rPr/>
        <w:t>) (Connolly and Simmons 1984) and Feral Dogs (</w:t>
      </w:r>
      <w:r>
        <w:rPr>
          <w:i/>
        </w:rPr>
        <w:t>Canis</w:t>
      </w:r>
      <w:r>
        <w:rPr>
          <w:i/>
        </w:rPr>
        <w:t> familiaris</w:t>
      </w:r>
      <w:r>
        <w:rPr/>
        <w:t>) (Connolly 1988). The devices have been researched in Australia for the control of foxes, using cyanide (Busana et al. 1998), 1080 (Marks et al. 1999; Marks et al. 2002, 2003) and PAPP (Allen 2019; Harriott et</w:t>
      </w:r>
      <w:r>
        <w:rPr>
          <w:spacing w:val="-3"/>
        </w:rPr>
        <w:t> </w:t>
      </w:r>
      <w:r>
        <w:rPr/>
        <w:t>al. 2021;</w:t>
      </w:r>
      <w:r>
        <w:rPr>
          <w:spacing w:val="-3"/>
        </w:rPr>
        <w:t> </w:t>
      </w:r>
      <w:r>
        <w:rPr/>
        <w:t>Kreplins</w:t>
      </w:r>
      <w:r>
        <w:rPr>
          <w:spacing w:val="-1"/>
        </w:rPr>
        <w:t> </w:t>
      </w:r>
      <w:r>
        <w:rPr/>
        <w:t>et</w:t>
      </w:r>
      <w:r>
        <w:rPr>
          <w:spacing w:val="-3"/>
        </w:rPr>
        <w:t> </w:t>
      </w:r>
      <w:r>
        <w:rPr/>
        <w:t>al.</w:t>
      </w:r>
      <w:r>
        <w:rPr>
          <w:spacing w:val="-2"/>
        </w:rPr>
        <w:t> </w:t>
      </w:r>
      <w:r>
        <w:rPr/>
        <w:t>2021;</w:t>
      </w:r>
      <w:r>
        <w:rPr>
          <w:spacing w:val="-1"/>
        </w:rPr>
        <w:t> </w:t>
      </w:r>
      <w:r>
        <w:rPr/>
        <w:t>Marks</w:t>
      </w:r>
      <w:r>
        <w:rPr>
          <w:spacing w:val="-2"/>
        </w:rPr>
        <w:t> </w:t>
      </w:r>
      <w:r>
        <w:rPr/>
        <w:t>et</w:t>
      </w:r>
      <w:r>
        <w:rPr>
          <w:spacing w:val="-3"/>
        </w:rPr>
        <w:t> </w:t>
      </w:r>
      <w:r>
        <w:rPr/>
        <w:t>al.</w:t>
      </w:r>
      <w:r>
        <w:rPr>
          <w:spacing w:val="-1"/>
        </w:rPr>
        <w:t> </w:t>
      </w:r>
      <w:r>
        <w:rPr/>
        <w:t>2004).</w:t>
      </w:r>
      <w:r>
        <w:rPr>
          <w:spacing w:val="-1"/>
        </w:rPr>
        <w:t> </w:t>
      </w:r>
      <w:r>
        <w:rPr/>
        <w:t>While</w:t>
      </w:r>
      <w:r>
        <w:rPr>
          <w:spacing w:val="-3"/>
        </w:rPr>
        <w:t> </w:t>
      </w:r>
      <w:r>
        <w:rPr/>
        <w:t>CPEs</w:t>
      </w:r>
      <w:r>
        <w:rPr>
          <w:spacing w:val="-2"/>
        </w:rPr>
        <w:t> </w:t>
      </w:r>
      <w:r>
        <w:rPr/>
        <w:t>have</w:t>
      </w:r>
      <w:r>
        <w:rPr>
          <w:spacing w:val="-3"/>
        </w:rPr>
        <w:t> </w:t>
      </w:r>
      <w:r>
        <w:rPr/>
        <w:t>been</w:t>
      </w:r>
      <w:r>
        <w:rPr>
          <w:spacing w:val="-4"/>
        </w:rPr>
        <w:t> </w:t>
      </w:r>
      <w:r>
        <w:rPr/>
        <w:t>used</w:t>
      </w:r>
      <w:r>
        <w:rPr>
          <w:spacing w:val="-3"/>
        </w:rPr>
        <w:t> </w:t>
      </w:r>
      <w:r>
        <w:rPr/>
        <w:t>to</w:t>
      </w:r>
      <w:r>
        <w:rPr>
          <w:spacing w:val="-1"/>
        </w:rPr>
        <w:t> </w:t>
      </w:r>
      <w:r>
        <w:rPr/>
        <w:t>manage</w:t>
      </w:r>
      <w:r>
        <w:rPr>
          <w:spacing w:val="-3"/>
        </w:rPr>
        <w:t> </w:t>
      </w:r>
      <w:r>
        <w:rPr/>
        <w:t>Dingoes and Wild Dogs in other states, they have not yet been used in Victoria for that purpose.</w:t>
      </w:r>
    </w:p>
    <w:p>
      <w:pPr>
        <w:pStyle w:val="BodyText"/>
        <w:spacing w:before="121"/>
        <w:ind w:left="112" w:right="142"/>
      </w:pPr>
      <w:r>
        <w:rPr/>
        <w:t>There</w:t>
      </w:r>
      <w:r>
        <w:rPr>
          <w:spacing w:val="-4"/>
        </w:rPr>
        <w:t> </w:t>
      </w:r>
      <w:r>
        <w:rPr/>
        <w:t>have</w:t>
      </w:r>
      <w:r>
        <w:rPr>
          <w:spacing w:val="-4"/>
        </w:rPr>
        <w:t> </w:t>
      </w:r>
      <w:r>
        <w:rPr/>
        <w:t>been</w:t>
      </w:r>
      <w:r>
        <w:rPr>
          <w:spacing w:val="-5"/>
        </w:rPr>
        <w:t> </w:t>
      </w:r>
      <w:r>
        <w:rPr/>
        <w:t>several</w:t>
      </w:r>
      <w:r>
        <w:rPr>
          <w:spacing w:val="-5"/>
        </w:rPr>
        <w:t> </w:t>
      </w:r>
      <w:r>
        <w:rPr/>
        <w:t>trials</w:t>
      </w:r>
      <w:r>
        <w:rPr>
          <w:spacing w:val="-3"/>
        </w:rPr>
        <w:t> </w:t>
      </w:r>
      <w:r>
        <w:rPr/>
        <w:t>assessing</w:t>
      </w:r>
      <w:r>
        <w:rPr>
          <w:spacing w:val="-3"/>
        </w:rPr>
        <w:t> </w:t>
      </w:r>
      <w:r>
        <w:rPr/>
        <w:t>the</w:t>
      </w:r>
      <w:r>
        <w:rPr>
          <w:spacing w:val="-3"/>
        </w:rPr>
        <w:t> </w:t>
      </w:r>
      <w:r>
        <w:rPr/>
        <w:t>effectiveness</w:t>
      </w:r>
      <w:r>
        <w:rPr>
          <w:spacing w:val="-3"/>
        </w:rPr>
        <w:t> </w:t>
      </w:r>
      <w:r>
        <w:rPr/>
        <w:t>of</w:t>
      </w:r>
      <w:r>
        <w:rPr>
          <w:spacing w:val="-4"/>
        </w:rPr>
        <w:t> </w:t>
      </w:r>
      <w:r>
        <w:rPr/>
        <w:t>CPEs</w:t>
      </w:r>
      <w:r>
        <w:rPr>
          <w:spacing w:val="-3"/>
        </w:rPr>
        <w:t> </w:t>
      </w:r>
      <w:r>
        <w:rPr/>
        <w:t>to</w:t>
      </w:r>
      <w:r>
        <w:rPr>
          <w:spacing w:val="-5"/>
        </w:rPr>
        <w:t> </w:t>
      </w:r>
      <w:r>
        <w:rPr/>
        <w:t>control</w:t>
      </w:r>
      <w:r>
        <w:rPr>
          <w:spacing w:val="-3"/>
        </w:rPr>
        <w:t> </w:t>
      </w:r>
      <w:r>
        <w:rPr/>
        <w:t>foxes</w:t>
      </w:r>
      <w:r>
        <w:rPr>
          <w:spacing w:val="-3"/>
        </w:rPr>
        <w:t> </w:t>
      </w:r>
      <w:r>
        <w:rPr/>
        <w:t>using</w:t>
      </w:r>
      <w:r>
        <w:rPr>
          <w:spacing w:val="-3"/>
        </w:rPr>
        <w:t> </w:t>
      </w:r>
      <w:r>
        <w:rPr/>
        <w:t>either</w:t>
      </w:r>
      <w:r>
        <w:rPr>
          <w:spacing w:val="-3"/>
        </w:rPr>
        <w:t> </w:t>
      </w:r>
      <w:r>
        <w:rPr/>
        <w:t>strychnine, 1080 or more recently PAPP. Field trials using either 1080 or strychnine have shown that CPEs can be an effective tool. Over a six-week period in the</w:t>
      </w:r>
      <w:r>
        <w:rPr>
          <w:spacing w:val="-1"/>
        </w:rPr>
        <w:t> </w:t>
      </w:r>
      <w:r>
        <w:rPr/>
        <w:t>central</w:t>
      </w:r>
      <w:r>
        <w:rPr>
          <w:spacing w:val="-1"/>
        </w:rPr>
        <w:t> </w:t>
      </w:r>
      <w:r>
        <w:rPr/>
        <w:t>highlands of Victoria, 160 foxes were removed, with the age of foxes recovered declining from summer to winter in each year and the ratio of yearlings to adults systematically increasing over time (Marks et al. 2003). On Phillip Island in Victoria,</w:t>
      </w:r>
      <w:r>
        <w:rPr>
          <w:spacing w:val="40"/>
        </w:rPr>
        <w:t> </w:t>
      </w:r>
      <w:r>
        <w:rPr/>
        <w:t>van Polanen Petel</w:t>
      </w:r>
    </w:p>
    <w:p>
      <w:pPr>
        <w:pStyle w:val="BodyText"/>
        <w:ind w:left="112" w:right="142"/>
      </w:pPr>
      <w:r>
        <w:rPr/>
        <w:t>et al. (2004) compared catch per unit effort (number of foxes killed per 1000 person-hours) of M-44s with other control techniques (spotlight shooting [30 foxes 1000 person-hours], treadle snaring [15 foxes 1000 person</w:t>
      </w:r>
      <w:r>
        <w:rPr>
          <w:spacing w:val="-5"/>
        </w:rPr>
        <w:t> </w:t>
      </w:r>
      <w:r>
        <w:rPr/>
        <w:t>hours]</w:t>
      </w:r>
      <w:r>
        <w:rPr>
          <w:spacing w:val="-2"/>
        </w:rPr>
        <w:t> </w:t>
      </w:r>
      <w:r>
        <w:rPr/>
        <w:t>and</w:t>
      </w:r>
      <w:r>
        <w:rPr>
          <w:spacing w:val="-4"/>
        </w:rPr>
        <w:t> </w:t>
      </w:r>
      <w:r>
        <w:rPr/>
        <w:t>hunting with</w:t>
      </w:r>
      <w:r>
        <w:rPr>
          <w:spacing w:val="-2"/>
        </w:rPr>
        <w:t> </w:t>
      </w:r>
      <w:r>
        <w:rPr/>
        <w:t>fox</w:t>
      </w:r>
      <w:r>
        <w:rPr>
          <w:spacing w:val="-3"/>
        </w:rPr>
        <w:t> </w:t>
      </w:r>
      <w:r>
        <w:rPr/>
        <w:t>hounds [12</w:t>
      </w:r>
      <w:r>
        <w:rPr>
          <w:spacing w:val="-4"/>
        </w:rPr>
        <w:t> </w:t>
      </w:r>
      <w:r>
        <w:rPr/>
        <w:t>foxes</w:t>
      </w:r>
      <w:r>
        <w:rPr>
          <w:spacing w:val="-3"/>
        </w:rPr>
        <w:t> </w:t>
      </w:r>
      <w:r>
        <w:rPr/>
        <w:t>1000</w:t>
      </w:r>
      <w:r>
        <w:rPr>
          <w:spacing w:val="-2"/>
        </w:rPr>
        <w:t> </w:t>
      </w:r>
      <w:r>
        <w:rPr/>
        <w:t>person-hours])</w:t>
      </w:r>
      <w:r>
        <w:rPr>
          <w:spacing w:val="-3"/>
        </w:rPr>
        <w:t> </w:t>
      </w:r>
      <w:r>
        <w:rPr/>
        <w:t>and</w:t>
      </w:r>
      <w:r>
        <w:rPr>
          <w:spacing w:val="-2"/>
        </w:rPr>
        <w:t> </w:t>
      </w:r>
      <w:r>
        <w:rPr/>
        <w:t>found</w:t>
      </w:r>
      <w:r>
        <w:rPr>
          <w:spacing w:val="-5"/>
        </w:rPr>
        <w:t> </w:t>
      </w:r>
      <w:r>
        <w:rPr/>
        <w:t>that</w:t>
      </w:r>
      <w:r>
        <w:rPr>
          <w:spacing w:val="-4"/>
        </w:rPr>
        <w:t> </w:t>
      </w:r>
      <w:r>
        <w:rPr/>
        <w:t>ejectors</w:t>
      </w:r>
      <w:r>
        <w:rPr>
          <w:spacing w:val="-2"/>
        </w:rPr>
        <w:t> </w:t>
      </w:r>
      <w:r>
        <w:rPr/>
        <w:t>(42</w:t>
      </w:r>
      <w:r>
        <w:rPr>
          <w:spacing w:val="-2"/>
        </w:rPr>
        <w:t> </w:t>
      </w:r>
      <w:r>
        <w:rPr/>
        <w:t>foxes 1000 person hours) could be a more time-effective control option.</w:t>
      </w:r>
    </w:p>
    <w:p>
      <w:pPr>
        <w:tabs>
          <w:tab w:pos="9529" w:val="left" w:leader="none"/>
        </w:tabs>
        <w:spacing w:before="138"/>
        <w:ind w:left="5319"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50</w:t>
      </w:r>
    </w:p>
    <w:p>
      <w:pPr>
        <w:spacing w:after="0"/>
        <w:jc w:val="left"/>
        <w:rPr>
          <w:sz w:val="20"/>
        </w:rPr>
        <w:sectPr>
          <w:footerReference w:type="even" r:id="rId49"/>
          <w:pgSz w:w="11910" w:h="16850"/>
          <w:pgMar w:header="0" w:footer="0" w:top="1140" w:bottom="280" w:left="1020" w:right="1020"/>
        </w:sectPr>
      </w:pPr>
    </w:p>
    <w:p>
      <w:pPr>
        <w:pStyle w:val="BodyText"/>
        <w:spacing w:before="71"/>
        <w:ind w:left="112" w:right="173"/>
      </w:pPr>
      <w:r>
        <w:rPr/>
        <w:t>Results from field research undertaken by Department of Environment, Climate Change and Water, NSW (DECCW)</w:t>
      </w:r>
      <w:r>
        <w:rPr>
          <w:spacing w:val="-3"/>
        </w:rPr>
        <w:t> </w:t>
      </w:r>
      <w:r>
        <w:rPr/>
        <w:t>Pest</w:t>
      </w:r>
      <w:r>
        <w:rPr>
          <w:spacing w:val="-2"/>
        </w:rPr>
        <w:t> </w:t>
      </w:r>
      <w:r>
        <w:rPr/>
        <w:t>Management</w:t>
      </w:r>
      <w:r>
        <w:rPr>
          <w:spacing w:val="-4"/>
        </w:rPr>
        <w:t> </w:t>
      </w:r>
      <w:r>
        <w:rPr/>
        <w:t>Unit</w:t>
      </w:r>
      <w:r>
        <w:rPr>
          <w:spacing w:val="-2"/>
        </w:rPr>
        <w:t> </w:t>
      </w:r>
      <w:r>
        <w:rPr/>
        <w:t>using</w:t>
      </w:r>
      <w:r>
        <w:rPr>
          <w:spacing w:val="-3"/>
        </w:rPr>
        <w:t> </w:t>
      </w:r>
      <w:r>
        <w:rPr/>
        <w:t>unmodified</w:t>
      </w:r>
      <w:r>
        <w:rPr>
          <w:spacing w:val="-3"/>
        </w:rPr>
        <w:t> </w:t>
      </w:r>
      <w:r>
        <w:rPr/>
        <w:t>devices</w:t>
      </w:r>
      <w:r>
        <w:rPr>
          <w:spacing w:val="-1"/>
        </w:rPr>
        <w:t> </w:t>
      </w:r>
      <w:r>
        <w:rPr/>
        <w:t>confirmed</w:t>
      </w:r>
      <w:r>
        <w:rPr>
          <w:spacing w:val="-5"/>
        </w:rPr>
        <w:t> </w:t>
      </w:r>
      <w:r>
        <w:rPr/>
        <w:t>the</w:t>
      </w:r>
      <w:r>
        <w:rPr>
          <w:spacing w:val="-5"/>
        </w:rPr>
        <w:t> </w:t>
      </w:r>
      <w:r>
        <w:rPr/>
        <w:t>effectiveness</w:t>
      </w:r>
      <w:r>
        <w:rPr>
          <w:spacing w:val="-3"/>
        </w:rPr>
        <w:t> </w:t>
      </w:r>
      <w:r>
        <w:rPr/>
        <w:t>of</w:t>
      </w:r>
      <w:r>
        <w:rPr>
          <w:spacing w:val="-4"/>
        </w:rPr>
        <w:t> </w:t>
      </w:r>
      <w:r>
        <w:rPr/>
        <w:t>the</w:t>
      </w:r>
      <w:r>
        <w:rPr>
          <w:spacing w:val="-1"/>
        </w:rPr>
        <w:t> </w:t>
      </w:r>
      <w:r>
        <w:rPr/>
        <w:t>(CPEs</w:t>
      </w:r>
      <w:r>
        <w:rPr>
          <w:spacing w:val="-3"/>
        </w:rPr>
        <w:t> </w:t>
      </w:r>
      <w:r>
        <w:rPr/>
        <w:t>(M-44 ejector</w:t>
      </w:r>
      <w:r>
        <w:rPr>
          <w:spacing w:val="-2"/>
        </w:rPr>
        <w:t> </w:t>
      </w:r>
      <w:r>
        <w:rPr/>
        <w:t>device)</w:t>
      </w:r>
      <w:r>
        <w:rPr>
          <w:spacing w:val="-1"/>
        </w:rPr>
        <w:t> </w:t>
      </w:r>
      <w:r>
        <w:rPr/>
        <w:t>for</w:t>
      </w:r>
      <w:r>
        <w:rPr>
          <w:spacing w:val="-2"/>
        </w:rPr>
        <w:t> </w:t>
      </w:r>
      <w:r>
        <w:rPr/>
        <w:t>the reduction</w:t>
      </w:r>
      <w:r>
        <w:rPr>
          <w:spacing w:val="-1"/>
        </w:rPr>
        <w:t> </w:t>
      </w:r>
      <w:r>
        <w:rPr/>
        <w:t>of</w:t>
      </w:r>
      <w:r>
        <w:rPr>
          <w:spacing w:val="-2"/>
        </w:rPr>
        <w:t> </w:t>
      </w:r>
      <w:r>
        <w:rPr/>
        <w:t>foxes across seven</w:t>
      </w:r>
      <w:r>
        <w:rPr>
          <w:spacing w:val="-2"/>
        </w:rPr>
        <w:t> </w:t>
      </w:r>
      <w:r>
        <w:rPr/>
        <w:t>study</w:t>
      </w:r>
      <w:r>
        <w:rPr>
          <w:spacing w:val="-1"/>
        </w:rPr>
        <w:t> </w:t>
      </w:r>
      <w:r>
        <w:rPr/>
        <w:t>sites. Monitoring</w:t>
      </w:r>
      <w:r>
        <w:rPr>
          <w:spacing w:val="-1"/>
        </w:rPr>
        <w:t> </w:t>
      </w:r>
      <w:r>
        <w:rPr/>
        <w:t>of</w:t>
      </w:r>
      <w:r>
        <w:rPr>
          <w:spacing w:val="-2"/>
        </w:rPr>
        <w:t> </w:t>
      </w:r>
      <w:r>
        <w:rPr/>
        <w:t>98,299</w:t>
      </w:r>
      <w:r>
        <w:rPr>
          <w:spacing w:val="-2"/>
        </w:rPr>
        <w:t> </w:t>
      </w:r>
      <w:r>
        <w:rPr/>
        <w:t>lethal</w:t>
      </w:r>
      <w:r>
        <w:rPr>
          <w:spacing w:val="-3"/>
        </w:rPr>
        <w:t> </w:t>
      </w:r>
      <w:r>
        <w:rPr/>
        <w:t>ejector nights across seven</w:t>
      </w:r>
      <w:r>
        <w:rPr>
          <w:spacing w:val="-1"/>
        </w:rPr>
        <w:t> </w:t>
      </w:r>
      <w:r>
        <w:rPr/>
        <w:t>sampling</w:t>
      </w:r>
      <w:r>
        <w:rPr>
          <w:spacing w:val="-1"/>
        </w:rPr>
        <w:t> </w:t>
      </w:r>
      <w:r>
        <w:rPr/>
        <w:t>periods between</w:t>
      </w:r>
      <w:r>
        <w:rPr>
          <w:spacing w:val="-1"/>
        </w:rPr>
        <w:t> </w:t>
      </w:r>
      <w:r>
        <w:rPr/>
        <w:t>2005 and 2010</w:t>
      </w:r>
      <w:r>
        <w:rPr>
          <w:spacing w:val="-1"/>
        </w:rPr>
        <w:t> </w:t>
      </w:r>
      <w:r>
        <w:rPr/>
        <w:t>identified</w:t>
      </w:r>
      <w:r>
        <w:rPr>
          <w:spacing w:val="-2"/>
        </w:rPr>
        <w:t> </w:t>
      </w:r>
      <w:r>
        <w:rPr/>
        <w:t>consistent reductions in</w:t>
      </w:r>
      <w:r>
        <w:rPr>
          <w:spacing w:val="-1"/>
        </w:rPr>
        <w:t> </w:t>
      </w:r>
      <w:r>
        <w:rPr/>
        <w:t>sand-plot</w:t>
      </w:r>
      <w:r>
        <w:rPr>
          <w:spacing w:val="-1"/>
        </w:rPr>
        <w:t> </w:t>
      </w:r>
      <w:r>
        <w:rPr/>
        <w:t>activity for foxes of up to 93%, with an average reduction of 78% across all sites (Hunt 2010).</w:t>
      </w:r>
    </w:p>
    <w:p>
      <w:pPr>
        <w:pStyle w:val="BodyText"/>
        <w:spacing w:before="120"/>
        <w:ind w:left="112" w:right="142"/>
      </w:pPr>
      <w:r>
        <w:rPr/>
        <w:t>CPEs have</w:t>
      </w:r>
      <w:r>
        <w:rPr>
          <w:spacing w:val="-1"/>
        </w:rPr>
        <w:t> </w:t>
      </w:r>
      <w:r>
        <w:rPr/>
        <w:t>several</w:t>
      </w:r>
      <w:r>
        <w:rPr>
          <w:spacing w:val="-2"/>
        </w:rPr>
        <w:t> </w:t>
      </w:r>
      <w:r>
        <w:rPr/>
        <w:t>advantages over</w:t>
      </w:r>
      <w:r>
        <w:rPr>
          <w:spacing w:val="-1"/>
        </w:rPr>
        <w:t> </w:t>
      </w:r>
      <w:r>
        <w:rPr/>
        <w:t>baiting, including target</w:t>
      </w:r>
      <w:r>
        <w:rPr>
          <w:spacing w:val="-1"/>
        </w:rPr>
        <w:t> </w:t>
      </w:r>
      <w:r>
        <w:rPr/>
        <w:t>specificity.</w:t>
      </w:r>
      <w:r>
        <w:rPr>
          <w:spacing w:val="-1"/>
        </w:rPr>
        <w:t> </w:t>
      </w:r>
      <w:r>
        <w:rPr/>
        <w:t>Capsules containing 1080 or PAPP are</w:t>
      </w:r>
      <w:r>
        <w:rPr>
          <w:spacing w:val="-4"/>
        </w:rPr>
        <w:t> </w:t>
      </w:r>
      <w:r>
        <w:rPr/>
        <w:t>sealed</w:t>
      </w:r>
      <w:r>
        <w:rPr>
          <w:spacing w:val="-3"/>
        </w:rPr>
        <w:t> </w:t>
      </w:r>
      <w:r>
        <w:rPr/>
        <w:t>and</w:t>
      </w:r>
      <w:r>
        <w:rPr>
          <w:spacing w:val="-2"/>
        </w:rPr>
        <w:t> </w:t>
      </w:r>
      <w:r>
        <w:rPr/>
        <w:t>protected</w:t>
      </w:r>
      <w:r>
        <w:rPr>
          <w:spacing w:val="-5"/>
        </w:rPr>
        <w:t> </w:t>
      </w:r>
      <w:r>
        <w:rPr/>
        <w:t>from</w:t>
      </w:r>
      <w:r>
        <w:rPr>
          <w:spacing w:val="-4"/>
        </w:rPr>
        <w:t> </w:t>
      </w:r>
      <w:r>
        <w:rPr/>
        <w:t>the</w:t>
      </w:r>
      <w:r>
        <w:rPr>
          <w:spacing w:val="-4"/>
        </w:rPr>
        <w:t> </w:t>
      </w:r>
      <w:r>
        <w:rPr/>
        <w:t>elements.</w:t>
      </w:r>
      <w:r>
        <w:rPr>
          <w:spacing w:val="-4"/>
        </w:rPr>
        <w:t> </w:t>
      </w:r>
      <w:r>
        <w:rPr/>
        <w:t>This</w:t>
      </w:r>
      <w:r>
        <w:rPr>
          <w:spacing w:val="-3"/>
        </w:rPr>
        <w:t> </w:t>
      </w:r>
      <w:r>
        <w:rPr/>
        <w:t>allows</w:t>
      </w:r>
      <w:r>
        <w:rPr>
          <w:spacing w:val="-2"/>
        </w:rPr>
        <w:t> </w:t>
      </w:r>
      <w:r>
        <w:rPr/>
        <w:t>1080</w:t>
      </w:r>
      <w:r>
        <w:rPr>
          <w:spacing w:val="-2"/>
        </w:rPr>
        <w:t> </w:t>
      </w:r>
      <w:r>
        <w:rPr/>
        <w:t>solution</w:t>
      </w:r>
      <w:r>
        <w:rPr>
          <w:spacing w:val="-4"/>
        </w:rPr>
        <w:t> </w:t>
      </w:r>
      <w:r>
        <w:rPr/>
        <w:t>to</w:t>
      </w:r>
      <w:r>
        <w:rPr>
          <w:spacing w:val="-2"/>
        </w:rPr>
        <w:t> </w:t>
      </w:r>
      <w:r>
        <w:rPr/>
        <w:t>remain viable</w:t>
      </w:r>
      <w:r>
        <w:rPr>
          <w:spacing w:val="-4"/>
        </w:rPr>
        <w:t> </w:t>
      </w:r>
      <w:r>
        <w:rPr/>
        <w:t>for</w:t>
      </w:r>
      <w:r>
        <w:rPr>
          <w:spacing w:val="-1"/>
        </w:rPr>
        <w:t> </w:t>
      </w:r>
      <w:r>
        <w:rPr/>
        <w:t>extended</w:t>
      </w:r>
      <w:r>
        <w:rPr>
          <w:spacing w:val="-2"/>
        </w:rPr>
        <w:t> </w:t>
      </w:r>
      <w:r>
        <w:rPr/>
        <w:t>periods in the field. CPEs can be set and left in the field for extended periods and remain lethal until activated. The limiting factor for long-term field sets is the longevity of the attractiveness of the lure head. Once the ejector head is no longer attractive the ejector is far less likely to be triggered so considered. CPEs are difficult to move,</w:t>
      </w:r>
      <w:r>
        <w:rPr>
          <w:spacing w:val="-1"/>
        </w:rPr>
        <w:t> </w:t>
      </w:r>
      <w:r>
        <w:rPr/>
        <w:t>unlike</w:t>
      </w:r>
      <w:r>
        <w:rPr>
          <w:spacing w:val="-1"/>
        </w:rPr>
        <w:t> </w:t>
      </w:r>
      <w:r>
        <w:rPr/>
        <w:t>buried</w:t>
      </w:r>
      <w:r>
        <w:rPr>
          <w:spacing w:val="-1"/>
        </w:rPr>
        <w:t> </w:t>
      </w:r>
      <w:r>
        <w:rPr/>
        <w:t>baits that</w:t>
      </w:r>
      <w:r>
        <w:rPr>
          <w:spacing w:val="-1"/>
        </w:rPr>
        <w:t> </w:t>
      </w:r>
      <w:r>
        <w:rPr/>
        <w:t>can be</w:t>
      </w:r>
      <w:r>
        <w:rPr>
          <w:spacing w:val="-2"/>
        </w:rPr>
        <w:t> </w:t>
      </w:r>
      <w:r>
        <w:rPr/>
        <w:t>moved and cached (Thomson and Kok 2002;</w:t>
      </w:r>
      <w:r>
        <w:rPr>
          <w:spacing w:val="-1"/>
        </w:rPr>
        <w:t> </w:t>
      </w:r>
      <w:r>
        <w:rPr/>
        <w:t>Van Polanen Petel et</w:t>
      </w:r>
      <w:r>
        <w:rPr>
          <w:spacing w:val="-1"/>
        </w:rPr>
        <w:t> </w:t>
      </w:r>
      <w:r>
        <w:rPr/>
        <w:t>al. 2001). In some instances, foxes have been known to dig out and remove untriggered ejectors. However, as 1080 has an extended period before the onset of symptoms, foxes may stay and dig at a site even after activating an ejector. Non-target issues have been described in Section </w:t>
      </w:r>
      <w:hyperlink w:history="true" w:anchor="_bookmark21">
        <w:r>
          <w:rPr/>
          <w:t>13.5.</w:t>
        </w:r>
      </w:hyperlink>
    </w:p>
    <w:p>
      <w:pPr>
        <w:pStyle w:val="BodyText"/>
        <w:spacing w:before="156"/>
      </w:pPr>
    </w:p>
    <w:p>
      <w:pPr>
        <w:pStyle w:val="Heading3"/>
        <w:numPr>
          <w:ilvl w:val="1"/>
          <w:numId w:val="17"/>
        </w:numPr>
        <w:tabs>
          <w:tab w:pos="686" w:val="left" w:leader="none"/>
        </w:tabs>
        <w:spacing w:line="240" w:lineRule="auto" w:before="1" w:after="0"/>
        <w:ind w:left="686" w:right="0" w:hanging="574"/>
        <w:jc w:val="left"/>
      </w:pPr>
      <w:bookmarkStart w:name="_TOC_250041" w:id="66"/>
      <w:r>
        <w:rPr>
          <w:color w:val="2D1E66"/>
        </w:rPr>
        <w:t>PAPP </w:t>
      </w:r>
      <w:bookmarkEnd w:id="66"/>
      <w:r>
        <w:rPr>
          <w:color w:val="2D1E66"/>
          <w:spacing w:val="-2"/>
        </w:rPr>
        <w:t>baits</w:t>
      </w:r>
    </w:p>
    <w:p>
      <w:pPr>
        <w:pStyle w:val="BodyText"/>
        <w:spacing w:before="112"/>
        <w:ind w:left="112" w:right="173"/>
      </w:pPr>
      <w:r>
        <w:rPr/>
        <w:t>PAPP was registered for fox control in Australia in 2016 and is currently available in the commercially produced bait, FOXECUTE. As PAPP has been incorporated into an existing bait product, limited literature addresses</w:t>
      </w:r>
      <w:r>
        <w:rPr>
          <w:spacing w:val="-2"/>
        </w:rPr>
        <w:t> </w:t>
      </w:r>
      <w:r>
        <w:rPr/>
        <w:t>the</w:t>
      </w:r>
      <w:r>
        <w:rPr>
          <w:spacing w:val="-3"/>
        </w:rPr>
        <w:t> </w:t>
      </w:r>
      <w:r>
        <w:rPr/>
        <w:t>efficacy</w:t>
      </w:r>
      <w:r>
        <w:rPr>
          <w:spacing w:val="-2"/>
        </w:rPr>
        <w:t> </w:t>
      </w:r>
      <w:r>
        <w:rPr/>
        <w:t>of</w:t>
      </w:r>
      <w:r>
        <w:rPr>
          <w:spacing w:val="-3"/>
        </w:rPr>
        <w:t> </w:t>
      </w:r>
      <w:r>
        <w:rPr/>
        <w:t>baiting</w:t>
      </w:r>
      <w:r>
        <w:rPr>
          <w:spacing w:val="-2"/>
        </w:rPr>
        <w:t> </w:t>
      </w:r>
      <w:r>
        <w:rPr/>
        <w:t>foxes.</w:t>
      </w:r>
      <w:r>
        <w:rPr>
          <w:spacing w:val="-3"/>
        </w:rPr>
        <w:t> </w:t>
      </w:r>
      <w:r>
        <w:rPr/>
        <w:t>Much</w:t>
      </w:r>
      <w:r>
        <w:rPr>
          <w:spacing w:val="-3"/>
        </w:rPr>
        <w:t> </w:t>
      </w:r>
      <w:r>
        <w:rPr/>
        <w:t>of</w:t>
      </w:r>
      <w:r>
        <w:rPr>
          <w:spacing w:val="-1"/>
        </w:rPr>
        <w:t> </w:t>
      </w:r>
      <w:r>
        <w:rPr/>
        <w:t>the</w:t>
      </w:r>
      <w:r>
        <w:rPr>
          <w:spacing w:val="-1"/>
        </w:rPr>
        <w:t> </w:t>
      </w:r>
      <w:r>
        <w:rPr/>
        <w:t>research</w:t>
      </w:r>
      <w:r>
        <w:rPr>
          <w:spacing w:val="-3"/>
        </w:rPr>
        <w:t> </w:t>
      </w:r>
      <w:r>
        <w:rPr/>
        <w:t>instead</w:t>
      </w:r>
      <w:r>
        <w:rPr>
          <w:spacing w:val="-4"/>
        </w:rPr>
        <w:t> </w:t>
      </w:r>
      <w:r>
        <w:rPr/>
        <w:t>focuses</w:t>
      </w:r>
      <w:r>
        <w:rPr>
          <w:spacing w:val="-2"/>
        </w:rPr>
        <w:t> </w:t>
      </w:r>
      <w:r>
        <w:rPr/>
        <w:t>on</w:t>
      </w:r>
      <w:r>
        <w:rPr>
          <w:spacing w:val="-2"/>
        </w:rPr>
        <w:t> </w:t>
      </w:r>
      <w:r>
        <w:rPr/>
        <w:t>the</w:t>
      </w:r>
      <w:r>
        <w:rPr>
          <w:spacing w:val="-4"/>
        </w:rPr>
        <w:t> </w:t>
      </w:r>
      <w:r>
        <w:rPr/>
        <w:t>mode</w:t>
      </w:r>
      <w:r>
        <w:rPr>
          <w:spacing w:val="-1"/>
        </w:rPr>
        <w:t> </w:t>
      </w:r>
      <w:r>
        <w:rPr/>
        <w:t>of</w:t>
      </w:r>
      <w:r>
        <w:rPr>
          <w:spacing w:val="-3"/>
        </w:rPr>
        <w:t> </w:t>
      </w:r>
      <w:r>
        <w:rPr/>
        <w:t>action,</w:t>
      </w:r>
      <w:r>
        <w:rPr>
          <w:spacing w:val="-3"/>
        </w:rPr>
        <w:t> </w:t>
      </w:r>
      <w:r>
        <w:rPr/>
        <w:t>toxicity levels in both target and non-target species, humaneness, and environmental impact (Eason et al. 2014; Marks et al. 2004:20; Marks and Trought 2023; Shapiro et al. 2010).</w:t>
      </w:r>
    </w:p>
    <w:p>
      <w:pPr>
        <w:pStyle w:val="BodyText"/>
        <w:spacing w:before="120"/>
        <w:ind w:left="112" w:right="232"/>
      </w:pPr>
      <w:r>
        <w:rPr/>
        <w:t>The</w:t>
      </w:r>
      <w:r>
        <w:rPr>
          <w:spacing w:val="-5"/>
        </w:rPr>
        <w:t> </w:t>
      </w:r>
      <w:r>
        <w:rPr/>
        <w:t>trial</w:t>
      </w:r>
      <w:r>
        <w:rPr>
          <w:spacing w:val="-3"/>
        </w:rPr>
        <w:t> </w:t>
      </w:r>
      <w:r>
        <w:rPr/>
        <w:t>data</w:t>
      </w:r>
      <w:r>
        <w:rPr>
          <w:spacing w:val="-2"/>
        </w:rPr>
        <w:t> </w:t>
      </w:r>
      <w:r>
        <w:rPr/>
        <w:t>submitted</w:t>
      </w:r>
      <w:r>
        <w:rPr>
          <w:spacing w:val="-5"/>
        </w:rPr>
        <w:t> </w:t>
      </w:r>
      <w:r>
        <w:rPr/>
        <w:t>to</w:t>
      </w:r>
      <w:r>
        <w:rPr>
          <w:spacing w:val="-4"/>
        </w:rPr>
        <w:t> </w:t>
      </w:r>
      <w:r>
        <w:rPr/>
        <w:t>the</w:t>
      </w:r>
      <w:r>
        <w:rPr>
          <w:spacing w:val="-5"/>
        </w:rPr>
        <w:t> </w:t>
      </w:r>
      <w:r>
        <w:rPr/>
        <w:t>Australian</w:t>
      </w:r>
      <w:r>
        <w:rPr>
          <w:spacing w:val="-2"/>
        </w:rPr>
        <w:t> </w:t>
      </w:r>
      <w:r>
        <w:rPr/>
        <w:t>Pesticides</w:t>
      </w:r>
      <w:r>
        <w:rPr>
          <w:spacing w:val="-3"/>
        </w:rPr>
        <w:t> </w:t>
      </w:r>
      <w:r>
        <w:rPr/>
        <w:t>and</w:t>
      </w:r>
      <w:r>
        <w:rPr>
          <w:spacing w:val="-4"/>
        </w:rPr>
        <w:t> </w:t>
      </w:r>
      <w:r>
        <w:rPr/>
        <w:t>Veterinary</w:t>
      </w:r>
      <w:r>
        <w:rPr>
          <w:spacing w:val="-3"/>
        </w:rPr>
        <w:t> </w:t>
      </w:r>
      <w:r>
        <w:rPr/>
        <w:t>Medicines</w:t>
      </w:r>
      <w:r>
        <w:rPr>
          <w:spacing w:val="-3"/>
        </w:rPr>
        <w:t> </w:t>
      </w:r>
      <w:r>
        <w:rPr/>
        <w:t>Authority</w:t>
      </w:r>
      <w:r>
        <w:rPr>
          <w:spacing w:val="-3"/>
        </w:rPr>
        <w:t> </w:t>
      </w:r>
      <w:r>
        <w:rPr/>
        <w:t>(APVMA)</w:t>
      </w:r>
      <w:r>
        <w:rPr>
          <w:spacing w:val="-1"/>
        </w:rPr>
        <w:t> </w:t>
      </w:r>
      <w:r>
        <w:rPr/>
        <w:t>in</w:t>
      </w:r>
      <w:r>
        <w:rPr>
          <w:spacing w:val="-2"/>
        </w:rPr>
        <w:t> </w:t>
      </w:r>
      <w:r>
        <w:rPr/>
        <w:t>2015</w:t>
      </w:r>
      <w:r>
        <w:rPr>
          <w:spacing w:val="-4"/>
        </w:rPr>
        <w:t> </w:t>
      </w:r>
      <w:r>
        <w:rPr/>
        <w:t>to support the registration of FOXECUTE included seven pen trials and three field trials (APVMA 2015). The pen trials were conducted to develop the baits, including determining the appropriate dose of PAPP to effectively kill foxes and the optimal way to disperse PAPP within the bait. An optimal dose of 400 mg per</w:t>
      </w:r>
      <w:r>
        <w:rPr>
          <w:spacing w:val="40"/>
        </w:rPr>
        <w:t> </w:t>
      </w:r>
      <w:r>
        <w:rPr/>
        <w:t>35 g of FOXECUTE was selected, and proof of concept was established, with all test foxes succumbing to the 400 mg dose. Three field trials demonstrated the efficacy of FOXECUTE using indices correlated with population size. One trial conducted near Phillip Island in Victoria showed a reduction of more than 80% in fox activity following baiting. A second trial at Werribee showed a 65% decline in a large fox population. A third trial near Dubbo, NSW across a large study area, recorded a reduction of over 70% (APVMA 2015).</w:t>
      </w:r>
    </w:p>
    <w:p>
      <w:pPr>
        <w:pStyle w:val="BodyText"/>
        <w:spacing w:before="122"/>
        <w:ind w:left="112" w:right="142"/>
      </w:pPr>
      <w:r>
        <w:rPr/>
        <w:t>We</w:t>
      </w:r>
      <w:r>
        <w:rPr>
          <w:spacing w:val="-4"/>
        </w:rPr>
        <w:t> </w:t>
      </w:r>
      <w:r>
        <w:rPr/>
        <w:t>found</w:t>
      </w:r>
      <w:r>
        <w:rPr>
          <w:spacing w:val="-4"/>
        </w:rPr>
        <w:t> </w:t>
      </w:r>
      <w:r>
        <w:rPr/>
        <w:t>no</w:t>
      </w:r>
      <w:r>
        <w:rPr>
          <w:spacing w:val="-3"/>
        </w:rPr>
        <w:t> </w:t>
      </w:r>
      <w:r>
        <w:rPr/>
        <w:t>other</w:t>
      </w:r>
      <w:r>
        <w:rPr>
          <w:spacing w:val="-3"/>
        </w:rPr>
        <w:t> </w:t>
      </w:r>
      <w:r>
        <w:rPr/>
        <w:t>literature</w:t>
      </w:r>
      <w:r>
        <w:rPr>
          <w:spacing w:val="-4"/>
        </w:rPr>
        <w:t> </w:t>
      </w:r>
      <w:r>
        <w:rPr/>
        <w:t>assessing</w:t>
      </w:r>
      <w:r>
        <w:rPr>
          <w:spacing w:val="-5"/>
        </w:rPr>
        <w:t> </w:t>
      </w:r>
      <w:r>
        <w:rPr/>
        <w:t>the</w:t>
      </w:r>
      <w:r>
        <w:rPr>
          <w:spacing w:val="-3"/>
        </w:rPr>
        <w:t> </w:t>
      </w:r>
      <w:r>
        <w:rPr/>
        <w:t>efficacy</w:t>
      </w:r>
      <w:r>
        <w:rPr>
          <w:spacing w:val="-3"/>
        </w:rPr>
        <w:t> </w:t>
      </w:r>
      <w:r>
        <w:rPr/>
        <w:t>of</w:t>
      </w:r>
      <w:r>
        <w:rPr>
          <w:spacing w:val="-1"/>
        </w:rPr>
        <w:t> </w:t>
      </w:r>
      <w:r>
        <w:rPr/>
        <w:t>FOXECUTE</w:t>
      </w:r>
      <w:r>
        <w:rPr>
          <w:spacing w:val="-4"/>
        </w:rPr>
        <w:t> </w:t>
      </w:r>
      <w:r>
        <w:rPr/>
        <w:t>under</w:t>
      </w:r>
      <w:r>
        <w:rPr>
          <w:spacing w:val="-2"/>
        </w:rPr>
        <w:t> </w:t>
      </w:r>
      <w:r>
        <w:rPr/>
        <w:t>operational</w:t>
      </w:r>
      <w:r>
        <w:rPr>
          <w:spacing w:val="-3"/>
        </w:rPr>
        <w:t> </w:t>
      </w:r>
      <w:r>
        <w:rPr/>
        <w:t>field</w:t>
      </w:r>
      <w:r>
        <w:rPr>
          <w:spacing w:val="-4"/>
        </w:rPr>
        <w:t> </w:t>
      </w:r>
      <w:r>
        <w:rPr/>
        <w:t>conditions, including pre- and post-control population densities or counterfactual scenarios.</w:t>
      </w:r>
    </w:p>
    <w:p>
      <w:pPr>
        <w:pStyle w:val="BodyText"/>
        <w:spacing w:before="118"/>
        <w:ind w:left="112" w:right="142"/>
      </w:pPr>
      <w:r>
        <w:rPr/>
        <w:t>Results from a 2024 survey of ACUP users indicated that public land managers are more likely to replace 1080</w:t>
      </w:r>
      <w:r>
        <w:rPr>
          <w:spacing w:val="-2"/>
        </w:rPr>
        <w:t> </w:t>
      </w:r>
      <w:r>
        <w:rPr/>
        <w:t>with</w:t>
      </w:r>
      <w:r>
        <w:rPr>
          <w:spacing w:val="-4"/>
        </w:rPr>
        <w:t> </w:t>
      </w:r>
      <w:r>
        <w:rPr/>
        <w:t>PAPP</w:t>
      </w:r>
      <w:r>
        <w:rPr>
          <w:spacing w:val="-4"/>
        </w:rPr>
        <w:t> </w:t>
      </w:r>
      <w:r>
        <w:rPr/>
        <w:t>(54%),</w:t>
      </w:r>
      <w:r>
        <w:rPr>
          <w:spacing w:val="-4"/>
        </w:rPr>
        <w:t> </w:t>
      </w:r>
      <w:r>
        <w:rPr/>
        <w:t>while</w:t>
      </w:r>
      <w:r>
        <w:rPr>
          <w:spacing w:val="-4"/>
        </w:rPr>
        <w:t> </w:t>
      </w:r>
      <w:r>
        <w:rPr/>
        <w:t>pest</w:t>
      </w:r>
      <w:r>
        <w:rPr>
          <w:spacing w:val="-4"/>
        </w:rPr>
        <w:t> </w:t>
      </w:r>
      <w:r>
        <w:rPr/>
        <w:t>controllers</w:t>
      </w:r>
      <w:r>
        <w:rPr>
          <w:spacing w:val="-2"/>
        </w:rPr>
        <w:t> </w:t>
      </w:r>
      <w:r>
        <w:rPr/>
        <w:t>and</w:t>
      </w:r>
      <w:r>
        <w:rPr>
          <w:spacing w:val="-4"/>
        </w:rPr>
        <w:t> </w:t>
      </w:r>
      <w:r>
        <w:rPr/>
        <w:t>contractors</w:t>
      </w:r>
      <w:r>
        <w:rPr>
          <w:spacing w:val="-2"/>
        </w:rPr>
        <w:t> </w:t>
      </w:r>
      <w:r>
        <w:rPr/>
        <w:t>are</w:t>
      </w:r>
      <w:r>
        <w:rPr>
          <w:spacing w:val="-4"/>
        </w:rPr>
        <w:t> </w:t>
      </w:r>
      <w:r>
        <w:rPr/>
        <w:t>more</w:t>
      </w:r>
      <w:r>
        <w:rPr>
          <w:spacing w:val="-2"/>
        </w:rPr>
        <w:t> </w:t>
      </w:r>
      <w:r>
        <w:rPr/>
        <w:t>inclined</w:t>
      </w:r>
      <w:r>
        <w:rPr>
          <w:spacing w:val="-5"/>
        </w:rPr>
        <w:t> </w:t>
      </w:r>
      <w:r>
        <w:rPr/>
        <w:t>to</w:t>
      </w:r>
      <w:r>
        <w:rPr>
          <w:spacing w:val="-2"/>
        </w:rPr>
        <w:t> </w:t>
      </w:r>
      <w:r>
        <w:rPr/>
        <w:t>choose</w:t>
      </w:r>
      <w:r>
        <w:rPr>
          <w:spacing w:val="-2"/>
        </w:rPr>
        <w:t> </w:t>
      </w:r>
      <w:r>
        <w:rPr/>
        <w:t>PAPP</w:t>
      </w:r>
      <w:r>
        <w:rPr>
          <w:spacing w:val="-2"/>
        </w:rPr>
        <w:t> </w:t>
      </w:r>
      <w:r>
        <w:rPr/>
        <w:t>(66%).</w:t>
      </w:r>
      <w:r>
        <w:rPr>
          <w:spacing w:val="-4"/>
        </w:rPr>
        <w:t> </w:t>
      </w:r>
      <w:r>
        <w:rPr/>
        <w:t>In contrast,</w:t>
      </w:r>
      <w:r>
        <w:rPr>
          <w:spacing w:val="-4"/>
        </w:rPr>
        <w:t> </w:t>
      </w:r>
      <w:r>
        <w:rPr/>
        <w:t>commercial</w:t>
      </w:r>
      <w:r>
        <w:rPr>
          <w:spacing w:val="-5"/>
        </w:rPr>
        <w:t> </w:t>
      </w:r>
      <w:r>
        <w:rPr/>
        <w:t>farm</w:t>
      </w:r>
      <w:r>
        <w:rPr>
          <w:spacing w:val="-2"/>
        </w:rPr>
        <w:t> </w:t>
      </w:r>
      <w:r>
        <w:rPr/>
        <w:t>owners,</w:t>
      </w:r>
      <w:r>
        <w:rPr>
          <w:spacing w:val="-4"/>
        </w:rPr>
        <w:t> </w:t>
      </w:r>
      <w:r>
        <w:rPr/>
        <w:t>employees,</w:t>
      </w:r>
      <w:r>
        <w:rPr>
          <w:spacing w:val="-2"/>
        </w:rPr>
        <w:t> </w:t>
      </w:r>
      <w:r>
        <w:rPr/>
        <w:t>and hobby</w:t>
      </w:r>
      <w:r>
        <w:rPr>
          <w:spacing w:val="-3"/>
        </w:rPr>
        <w:t> </w:t>
      </w:r>
      <w:r>
        <w:rPr/>
        <w:t>farmers</w:t>
      </w:r>
      <w:r>
        <w:rPr>
          <w:spacing w:val="-2"/>
        </w:rPr>
        <w:t> </w:t>
      </w:r>
      <w:r>
        <w:rPr/>
        <w:t>tended</w:t>
      </w:r>
      <w:r>
        <w:rPr>
          <w:spacing w:val="-5"/>
        </w:rPr>
        <w:t> </w:t>
      </w:r>
      <w:r>
        <w:rPr/>
        <w:t>to</w:t>
      </w:r>
      <w:r>
        <w:rPr>
          <w:spacing w:val="-4"/>
        </w:rPr>
        <w:t> </w:t>
      </w:r>
      <w:r>
        <w:rPr/>
        <w:t>select</w:t>
      </w:r>
      <w:r>
        <w:rPr>
          <w:spacing w:val="-4"/>
        </w:rPr>
        <w:t> </w:t>
      </w:r>
      <w:r>
        <w:rPr/>
        <w:t>other</w:t>
      </w:r>
      <w:r>
        <w:rPr>
          <w:spacing w:val="-3"/>
        </w:rPr>
        <w:t> </w:t>
      </w:r>
      <w:r>
        <w:rPr/>
        <w:t>tools</w:t>
      </w:r>
      <w:r>
        <w:rPr>
          <w:spacing w:val="-1"/>
        </w:rPr>
        <w:t> </w:t>
      </w:r>
      <w:r>
        <w:rPr/>
        <w:t>as</w:t>
      </w:r>
      <w:r>
        <w:rPr>
          <w:spacing w:val="-3"/>
        </w:rPr>
        <w:t> </w:t>
      </w:r>
      <w:r>
        <w:rPr/>
        <w:t>the</w:t>
      </w:r>
      <w:r>
        <w:rPr>
          <w:spacing w:val="-2"/>
        </w:rPr>
        <w:t> </w:t>
      </w:r>
      <w:r>
        <w:rPr/>
        <w:t>main alternative to 1080 (Quantum Market Research 2024).</w:t>
      </w:r>
    </w:p>
    <w:p>
      <w:pPr>
        <w:pStyle w:val="BodyText"/>
        <w:spacing w:before="157"/>
      </w:pPr>
    </w:p>
    <w:p>
      <w:pPr>
        <w:pStyle w:val="Heading3"/>
        <w:numPr>
          <w:ilvl w:val="1"/>
          <w:numId w:val="17"/>
        </w:numPr>
        <w:tabs>
          <w:tab w:pos="686" w:val="left" w:leader="none"/>
        </w:tabs>
        <w:spacing w:line="240" w:lineRule="auto" w:before="0" w:after="0"/>
        <w:ind w:left="686" w:right="0" w:hanging="574"/>
        <w:jc w:val="left"/>
      </w:pPr>
      <w:bookmarkStart w:name="_TOC_250040" w:id="67"/>
      <w:bookmarkEnd w:id="67"/>
      <w:r>
        <w:rPr>
          <w:color w:val="2D1E66"/>
          <w:spacing w:val="-2"/>
        </w:rPr>
        <w:t>Shooting</w:t>
      </w:r>
    </w:p>
    <w:p>
      <w:pPr>
        <w:pStyle w:val="BodyText"/>
        <w:spacing w:before="112"/>
        <w:ind w:left="112"/>
      </w:pPr>
      <w:r>
        <w:rPr/>
        <w:t>Shooting has been used as a method of hunting and controlling fox populations in Australia since foxes became a recognised pest. By 1893, the shires of Euroa, Benalla, and Shepparton had introduced a bounty scheme</w:t>
      </w:r>
      <w:r>
        <w:rPr>
          <w:spacing w:val="-4"/>
        </w:rPr>
        <w:t> </w:t>
      </w:r>
      <w:r>
        <w:rPr/>
        <w:t>for</w:t>
      </w:r>
      <w:r>
        <w:rPr>
          <w:spacing w:val="-1"/>
        </w:rPr>
        <w:t> </w:t>
      </w:r>
      <w:r>
        <w:rPr/>
        <w:t>fox</w:t>
      </w:r>
      <w:r>
        <w:rPr>
          <w:spacing w:val="-3"/>
        </w:rPr>
        <w:t> </w:t>
      </w:r>
      <w:r>
        <w:rPr/>
        <w:t>heads</w:t>
      </w:r>
      <w:r>
        <w:rPr>
          <w:spacing w:val="-1"/>
        </w:rPr>
        <w:t> </w:t>
      </w:r>
      <w:r>
        <w:rPr/>
        <w:t>(Saunders</w:t>
      </w:r>
      <w:r>
        <w:rPr>
          <w:spacing w:val="-2"/>
        </w:rPr>
        <w:t> </w:t>
      </w:r>
      <w:r>
        <w:rPr/>
        <w:t>et</w:t>
      </w:r>
      <w:r>
        <w:rPr>
          <w:spacing w:val="-2"/>
        </w:rPr>
        <w:t> </w:t>
      </w:r>
      <w:r>
        <w:rPr/>
        <w:t>al.</w:t>
      </w:r>
      <w:r>
        <w:rPr>
          <w:spacing w:val="-2"/>
        </w:rPr>
        <w:t> </w:t>
      </w:r>
      <w:r>
        <w:rPr/>
        <w:t>1995).</w:t>
      </w:r>
      <w:r>
        <w:rPr>
          <w:spacing w:val="-4"/>
        </w:rPr>
        <w:t> </w:t>
      </w:r>
      <w:r>
        <w:rPr/>
        <w:t>In</w:t>
      </w:r>
      <w:r>
        <w:rPr>
          <w:spacing w:val="-2"/>
        </w:rPr>
        <w:t> </w:t>
      </w:r>
      <w:r>
        <w:rPr/>
        <w:t>Victoria,</w:t>
      </w:r>
      <w:r>
        <w:rPr>
          <w:spacing w:val="-4"/>
        </w:rPr>
        <w:t> </w:t>
      </w:r>
      <w:r>
        <w:rPr/>
        <w:t>a</w:t>
      </w:r>
      <w:r>
        <w:rPr>
          <w:spacing w:val="-4"/>
        </w:rPr>
        <w:t> </w:t>
      </w:r>
      <w:r>
        <w:rPr/>
        <w:t>survey</w:t>
      </w:r>
      <w:r>
        <w:rPr>
          <w:spacing w:val="-3"/>
        </w:rPr>
        <w:t> </w:t>
      </w:r>
      <w:r>
        <w:rPr/>
        <w:t>of</w:t>
      </w:r>
      <w:r>
        <w:rPr>
          <w:spacing w:val="-2"/>
        </w:rPr>
        <w:t> </w:t>
      </w:r>
      <w:r>
        <w:rPr/>
        <w:t>ACUP</w:t>
      </w:r>
      <w:r>
        <w:rPr>
          <w:spacing w:val="-4"/>
        </w:rPr>
        <w:t> </w:t>
      </w:r>
      <w:r>
        <w:rPr/>
        <w:t>users</w:t>
      </w:r>
      <w:r>
        <w:rPr>
          <w:spacing w:val="-2"/>
        </w:rPr>
        <w:t> </w:t>
      </w:r>
      <w:r>
        <w:rPr/>
        <w:t>revealed</w:t>
      </w:r>
      <w:r>
        <w:rPr>
          <w:spacing w:val="-4"/>
        </w:rPr>
        <w:t> </w:t>
      </w:r>
      <w:r>
        <w:rPr/>
        <w:t>that</w:t>
      </w:r>
      <w:r>
        <w:rPr>
          <w:spacing w:val="-4"/>
        </w:rPr>
        <w:t> </w:t>
      </w:r>
      <w:r>
        <w:rPr/>
        <w:t>while</w:t>
      </w:r>
      <w:r>
        <w:rPr>
          <w:spacing w:val="-4"/>
        </w:rPr>
        <w:t> </w:t>
      </w:r>
      <w:r>
        <w:rPr/>
        <w:t>1080</w:t>
      </w:r>
      <w:r>
        <w:rPr>
          <w:spacing w:val="-2"/>
        </w:rPr>
        <w:t> </w:t>
      </w:r>
      <w:r>
        <w:rPr/>
        <w:t>is the primary control method for most land managers, shooting is still regarded as the main tool by 47% of respondents, with 87% having used it in the past five years (Quantum Market Research 2024).</w:t>
      </w:r>
    </w:p>
    <w:p>
      <w:pPr>
        <w:pStyle w:val="BodyText"/>
        <w:spacing w:before="120"/>
        <w:ind w:left="112"/>
      </w:pPr>
      <w:r>
        <w:rPr/>
        <w:t>Although shooting is considered a selective and humane control method (Sharp and Saunders 2011), many Australian studies have shown it to be ineffective for long-term fox population management. Shooting operations</w:t>
      </w:r>
      <w:r>
        <w:rPr>
          <w:spacing w:val="-3"/>
        </w:rPr>
        <w:t> </w:t>
      </w:r>
      <w:r>
        <w:rPr/>
        <w:t>are</w:t>
      </w:r>
      <w:r>
        <w:rPr>
          <w:spacing w:val="-4"/>
        </w:rPr>
        <w:t> </w:t>
      </w:r>
      <w:r>
        <w:rPr/>
        <w:t>often</w:t>
      </w:r>
      <w:r>
        <w:rPr>
          <w:spacing w:val="-3"/>
        </w:rPr>
        <w:t> </w:t>
      </w:r>
      <w:r>
        <w:rPr/>
        <w:t>uncoordinated,</w:t>
      </w:r>
      <w:r>
        <w:rPr>
          <w:spacing w:val="-1"/>
        </w:rPr>
        <w:t> </w:t>
      </w:r>
      <w:r>
        <w:rPr/>
        <w:t>and</w:t>
      </w:r>
      <w:r>
        <w:rPr>
          <w:spacing w:val="-4"/>
        </w:rPr>
        <w:t> </w:t>
      </w:r>
      <w:r>
        <w:rPr/>
        <w:t>conducted</w:t>
      </w:r>
      <w:r>
        <w:rPr>
          <w:spacing w:val="-4"/>
        </w:rPr>
        <w:t> </w:t>
      </w:r>
      <w:r>
        <w:rPr/>
        <w:t>at</w:t>
      </w:r>
      <w:r>
        <w:rPr>
          <w:spacing w:val="-2"/>
        </w:rPr>
        <w:t> </w:t>
      </w:r>
      <w:r>
        <w:rPr/>
        <w:t>small</w:t>
      </w:r>
      <w:r>
        <w:rPr>
          <w:spacing w:val="-3"/>
        </w:rPr>
        <w:t> </w:t>
      </w:r>
      <w:r>
        <w:rPr/>
        <w:t>spatial</w:t>
      </w:r>
      <w:r>
        <w:rPr>
          <w:spacing w:val="-5"/>
        </w:rPr>
        <w:t> </w:t>
      </w:r>
      <w:r>
        <w:rPr/>
        <w:t>and</w:t>
      </w:r>
      <w:r>
        <w:rPr>
          <w:spacing w:val="-4"/>
        </w:rPr>
        <w:t> </w:t>
      </w:r>
      <w:r>
        <w:rPr/>
        <w:t>temporal</w:t>
      </w:r>
      <w:r>
        <w:rPr>
          <w:spacing w:val="-3"/>
        </w:rPr>
        <w:t> </w:t>
      </w:r>
      <w:r>
        <w:rPr/>
        <w:t>scales,</w:t>
      </w:r>
      <w:r>
        <w:rPr>
          <w:spacing w:val="-4"/>
        </w:rPr>
        <w:t> </w:t>
      </w:r>
      <w:r>
        <w:rPr/>
        <w:t>which</w:t>
      </w:r>
      <w:r>
        <w:rPr>
          <w:spacing w:val="-4"/>
        </w:rPr>
        <w:t> </w:t>
      </w:r>
      <w:r>
        <w:rPr/>
        <w:t>leads</w:t>
      </w:r>
      <w:r>
        <w:rPr>
          <w:spacing w:val="-3"/>
        </w:rPr>
        <w:t> </w:t>
      </w:r>
      <w:r>
        <w:rPr/>
        <w:t>to</w:t>
      </w:r>
      <w:r>
        <w:rPr>
          <w:spacing w:val="-4"/>
        </w:rPr>
        <w:t> </w:t>
      </w:r>
      <w:r>
        <w:rPr/>
        <w:t>rapid recolonisation and minimal long-term impacts on population densities (Harding et al. 2001; Newsome et al.</w:t>
      </w:r>
    </w:p>
    <w:p>
      <w:pPr>
        <w:pStyle w:val="BodyText"/>
        <w:ind w:left="112" w:right="271"/>
      </w:pPr>
      <w:r>
        <w:rPr/>
        <w:t>2014). Furthermore, such operations tend to target younger individuals and may inadvertently cause an increase</w:t>
      </w:r>
      <w:r>
        <w:rPr>
          <w:spacing w:val="-3"/>
        </w:rPr>
        <w:t> </w:t>
      </w:r>
      <w:r>
        <w:rPr/>
        <w:t>in</w:t>
      </w:r>
      <w:r>
        <w:rPr>
          <w:spacing w:val="-3"/>
        </w:rPr>
        <w:t> </w:t>
      </w:r>
      <w:r>
        <w:rPr/>
        <w:t>breeding</w:t>
      </w:r>
      <w:r>
        <w:rPr>
          <w:spacing w:val="-5"/>
        </w:rPr>
        <w:t> </w:t>
      </w:r>
      <w:r>
        <w:rPr/>
        <w:t>by</w:t>
      </w:r>
      <w:r>
        <w:rPr>
          <w:spacing w:val="-4"/>
        </w:rPr>
        <w:t> </w:t>
      </w:r>
      <w:r>
        <w:rPr/>
        <w:t>survivors,</w:t>
      </w:r>
      <w:r>
        <w:rPr>
          <w:spacing w:val="-5"/>
        </w:rPr>
        <w:t> </w:t>
      </w:r>
      <w:r>
        <w:rPr/>
        <w:t>higher</w:t>
      </w:r>
      <w:r>
        <w:rPr>
          <w:spacing w:val="-4"/>
        </w:rPr>
        <w:t> </w:t>
      </w:r>
      <w:r>
        <w:rPr/>
        <w:t>immigration</w:t>
      </w:r>
      <w:r>
        <w:rPr>
          <w:spacing w:val="-3"/>
        </w:rPr>
        <w:t> </w:t>
      </w:r>
      <w:r>
        <w:rPr/>
        <w:t>rates,</w:t>
      </w:r>
      <w:r>
        <w:rPr>
          <w:spacing w:val="-5"/>
        </w:rPr>
        <w:t> </w:t>
      </w:r>
      <w:r>
        <w:rPr/>
        <w:t>and</w:t>
      </w:r>
      <w:r>
        <w:rPr>
          <w:spacing w:val="-6"/>
        </w:rPr>
        <w:t> </w:t>
      </w:r>
      <w:r>
        <w:rPr/>
        <w:t>reduced</w:t>
      </w:r>
      <w:r>
        <w:rPr>
          <w:spacing w:val="-4"/>
        </w:rPr>
        <w:t> </w:t>
      </w:r>
      <w:r>
        <w:rPr/>
        <w:t>dispersal (Caughley</w:t>
      </w:r>
      <w:r>
        <w:rPr>
          <w:spacing w:val="-4"/>
        </w:rPr>
        <w:t> </w:t>
      </w:r>
      <w:r>
        <w:rPr/>
        <w:t>1977;</w:t>
      </w:r>
      <w:r>
        <w:rPr>
          <w:spacing w:val="-3"/>
        </w:rPr>
        <w:t> </w:t>
      </w:r>
      <w:r>
        <w:rPr/>
        <w:t>Coman 1988;</w:t>
      </w:r>
      <w:r>
        <w:rPr>
          <w:spacing w:val="-2"/>
        </w:rPr>
        <w:t> </w:t>
      </w:r>
      <w:r>
        <w:rPr/>
        <w:t>Fairbridge</w:t>
      </w:r>
      <w:r>
        <w:rPr>
          <w:spacing w:val="-3"/>
        </w:rPr>
        <w:t> </w:t>
      </w:r>
      <w:r>
        <w:rPr/>
        <w:t>and</w:t>
      </w:r>
      <w:r>
        <w:rPr>
          <w:spacing w:val="-1"/>
        </w:rPr>
        <w:t> </w:t>
      </w:r>
      <w:r>
        <w:rPr/>
        <w:t>Marks</w:t>
      </w:r>
      <w:r>
        <w:rPr>
          <w:spacing w:val="-1"/>
        </w:rPr>
        <w:t> </w:t>
      </w:r>
      <w:r>
        <w:rPr/>
        <w:t>2005;</w:t>
      </w:r>
      <w:r>
        <w:rPr>
          <w:spacing w:val="-2"/>
        </w:rPr>
        <w:t> </w:t>
      </w:r>
      <w:r>
        <w:rPr/>
        <w:t>Fleming</w:t>
      </w:r>
      <w:r>
        <w:rPr>
          <w:spacing w:val="-1"/>
        </w:rPr>
        <w:t> </w:t>
      </w:r>
      <w:r>
        <w:rPr/>
        <w:t>1997;</w:t>
      </w:r>
      <w:r>
        <w:rPr>
          <w:spacing w:val="-2"/>
        </w:rPr>
        <w:t> </w:t>
      </w:r>
      <w:r>
        <w:rPr/>
        <w:t>Harding</w:t>
      </w:r>
      <w:r>
        <w:rPr>
          <w:spacing w:val="-3"/>
        </w:rPr>
        <w:t> </w:t>
      </w:r>
      <w:r>
        <w:rPr/>
        <w:t>et al.</w:t>
      </w:r>
      <w:r>
        <w:rPr>
          <w:spacing w:val="-2"/>
        </w:rPr>
        <w:t> </w:t>
      </w:r>
      <w:r>
        <w:rPr/>
        <w:t>2001; Hone</w:t>
      </w:r>
      <w:r>
        <w:rPr>
          <w:spacing w:val="-2"/>
        </w:rPr>
        <w:t> </w:t>
      </w:r>
      <w:r>
        <w:rPr/>
        <w:t>1999; McLeod et al. 2007).</w:t>
      </w:r>
      <w:r>
        <w:rPr>
          <w:spacing w:val="-2"/>
        </w:rPr>
        <w:t> </w:t>
      </w:r>
      <w:r>
        <w:rPr/>
        <w:t>For example, during the 2002 Victorian Fox Bounty Trial, which culled 150,822 foxes statewide, the lack of landscape- or region-wide coordination meant that the scheme resulted in only a temporary and marginal reduction in local fox populations (Fairbridge and Marks 2005).</w:t>
      </w:r>
    </w:p>
    <w:p>
      <w:pPr>
        <w:pStyle w:val="BodyText"/>
        <w:spacing w:before="119"/>
        <w:ind w:left="112" w:right="284"/>
        <w:jc w:val="both"/>
      </w:pPr>
      <w:r>
        <w:rPr/>
        <w:t>In</w:t>
      </w:r>
      <w:r>
        <w:rPr>
          <w:spacing w:val="-5"/>
        </w:rPr>
        <w:t> </w:t>
      </w:r>
      <w:r>
        <w:rPr/>
        <w:t>contrast, McLeod</w:t>
      </w:r>
      <w:r>
        <w:rPr>
          <w:spacing w:val="-4"/>
        </w:rPr>
        <w:t> </w:t>
      </w:r>
      <w:r>
        <w:rPr/>
        <w:t>et</w:t>
      </w:r>
      <w:r>
        <w:rPr>
          <w:spacing w:val="-4"/>
        </w:rPr>
        <w:t> </w:t>
      </w:r>
      <w:r>
        <w:rPr/>
        <w:t>al.</w:t>
      </w:r>
      <w:r>
        <w:rPr>
          <w:spacing w:val="-4"/>
        </w:rPr>
        <w:t> </w:t>
      </w:r>
      <w:r>
        <w:rPr/>
        <w:t>(2011) evaluated</w:t>
      </w:r>
      <w:r>
        <w:rPr>
          <w:spacing w:val="-4"/>
        </w:rPr>
        <w:t> </w:t>
      </w:r>
      <w:r>
        <w:rPr/>
        <w:t>a</w:t>
      </w:r>
      <w:r>
        <w:rPr>
          <w:spacing w:val="-5"/>
        </w:rPr>
        <w:t> </w:t>
      </w:r>
      <w:r>
        <w:rPr/>
        <w:t>coordinated</w:t>
      </w:r>
      <w:r>
        <w:rPr>
          <w:spacing w:val="-5"/>
        </w:rPr>
        <w:t> </w:t>
      </w:r>
      <w:r>
        <w:rPr/>
        <w:t>fox</w:t>
      </w:r>
      <w:r>
        <w:rPr>
          <w:spacing w:val="-3"/>
        </w:rPr>
        <w:t> </w:t>
      </w:r>
      <w:r>
        <w:rPr/>
        <w:t>shooting</w:t>
      </w:r>
      <w:r>
        <w:rPr>
          <w:spacing w:val="-2"/>
        </w:rPr>
        <w:t> </w:t>
      </w:r>
      <w:r>
        <w:rPr/>
        <w:t>operation</w:t>
      </w:r>
      <w:r>
        <w:rPr>
          <w:spacing w:val="-3"/>
        </w:rPr>
        <w:t> </w:t>
      </w:r>
      <w:r>
        <w:rPr/>
        <w:t>conducted</w:t>
      </w:r>
      <w:r>
        <w:rPr>
          <w:spacing w:val="-4"/>
        </w:rPr>
        <w:t> </w:t>
      </w:r>
      <w:r>
        <w:rPr/>
        <w:t>by</w:t>
      </w:r>
      <w:r>
        <w:rPr>
          <w:spacing w:val="-3"/>
        </w:rPr>
        <w:t> </w:t>
      </w:r>
      <w:r>
        <w:rPr/>
        <w:t>professional shooters</w:t>
      </w:r>
      <w:r>
        <w:rPr>
          <w:spacing w:val="-3"/>
        </w:rPr>
        <w:t> </w:t>
      </w:r>
      <w:r>
        <w:rPr/>
        <w:t>over</w:t>
      </w:r>
      <w:r>
        <w:rPr>
          <w:spacing w:val="-4"/>
        </w:rPr>
        <w:t> </w:t>
      </w:r>
      <w:r>
        <w:rPr/>
        <w:t>five</w:t>
      </w:r>
      <w:r>
        <w:rPr>
          <w:spacing w:val="-4"/>
        </w:rPr>
        <w:t> </w:t>
      </w:r>
      <w:r>
        <w:rPr/>
        <w:t>years</w:t>
      </w:r>
      <w:r>
        <w:rPr>
          <w:spacing w:val="-3"/>
        </w:rPr>
        <w:t> </w:t>
      </w:r>
      <w:r>
        <w:rPr/>
        <w:t>on</w:t>
      </w:r>
      <w:r>
        <w:rPr>
          <w:spacing w:val="-2"/>
        </w:rPr>
        <w:t> </w:t>
      </w:r>
      <w:r>
        <w:rPr/>
        <w:t>private</w:t>
      </w:r>
      <w:r>
        <w:rPr>
          <w:spacing w:val="-3"/>
        </w:rPr>
        <w:t> </w:t>
      </w:r>
      <w:r>
        <w:rPr/>
        <w:t>land.</w:t>
      </w:r>
      <w:r>
        <w:rPr>
          <w:spacing w:val="-4"/>
        </w:rPr>
        <w:t> </w:t>
      </w:r>
      <w:r>
        <w:rPr/>
        <w:t>The</w:t>
      </w:r>
      <w:r>
        <w:rPr>
          <w:spacing w:val="-5"/>
        </w:rPr>
        <w:t> </w:t>
      </w:r>
      <w:r>
        <w:rPr/>
        <w:t>study</w:t>
      </w:r>
      <w:r>
        <w:rPr>
          <w:spacing w:val="-3"/>
        </w:rPr>
        <w:t> </w:t>
      </w:r>
      <w:r>
        <w:rPr/>
        <w:t>showed</w:t>
      </w:r>
      <w:r>
        <w:rPr>
          <w:spacing w:val="-2"/>
        </w:rPr>
        <w:t> </w:t>
      </w:r>
      <w:r>
        <w:rPr/>
        <w:t>a</w:t>
      </w:r>
      <w:r>
        <w:rPr>
          <w:spacing w:val="-4"/>
        </w:rPr>
        <w:t> </w:t>
      </w:r>
      <w:r>
        <w:rPr/>
        <w:t>significant</w:t>
      </w:r>
      <w:r>
        <w:rPr>
          <w:spacing w:val="-2"/>
        </w:rPr>
        <w:t> </w:t>
      </w:r>
      <w:r>
        <w:rPr/>
        <w:t>reduction</w:t>
      </w:r>
      <w:r>
        <w:rPr>
          <w:spacing w:val="-4"/>
        </w:rPr>
        <w:t> </w:t>
      </w:r>
      <w:r>
        <w:rPr/>
        <w:t>in</w:t>
      </w:r>
      <w:r>
        <w:rPr>
          <w:spacing w:val="-2"/>
        </w:rPr>
        <w:t> </w:t>
      </w:r>
      <w:r>
        <w:rPr/>
        <w:t>fox</w:t>
      </w:r>
      <w:r>
        <w:rPr>
          <w:spacing w:val="-3"/>
        </w:rPr>
        <w:t> </w:t>
      </w:r>
      <w:r>
        <w:rPr/>
        <w:t>populations</w:t>
      </w:r>
      <w:r>
        <w:rPr>
          <w:spacing w:val="-1"/>
        </w:rPr>
        <w:t> </w:t>
      </w:r>
      <w:r>
        <w:rPr/>
        <w:t>across two areas, with marked reductions in pre- and post-control counts each year. These results indicate that</w:t>
      </w:r>
    </w:p>
    <w:p>
      <w:pPr>
        <w:spacing w:after="0"/>
        <w:jc w:val="both"/>
        <w:sectPr>
          <w:footerReference w:type="default" r:id="rId53"/>
          <w:footerReference w:type="even" r:id="rId54"/>
          <w:pgSz w:w="11910" w:h="16850"/>
          <w:pgMar w:header="0" w:footer="688" w:top="1060" w:bottom="880" w:left="1020" w:right="1020"/>
          <w:pgNumType w:start="51"/>
        </w:sectPr>
      </w:pPr>
    </w:p>
    <w:p>
      <w:pPr>
        <w:pStyle w:val="BodyText"/>
        <w:spacing w:before="71"/>
        <w:ind w:left="112"/>
      </w:pPr>
      <w:r>
        <w:rPr/>
        <w:t>coordinated</w:t>
      </w:r>
      <w:r>
        <w:rPr>
          <w:spacing w:val="-4"/>
        </w:rPr>
        <w:t> </w:t>
      </w:r>
      <w:r>
        <w:rPr/>
        <w:t>shooting</w:t>
      </w:r>
      <w:r>
        <w:rPr>
          <w:spacing w:val="-4"/>
        </w:rPr>
        <w:t> </w:t>
      </w:r>
      <w:r>
        <w:rPr/>
        <w:t>can</w:t>
      </w:r>
      <w:r>
        <w:rPr>
          <w:spacing w:val="-3"/>
        </w:rPr>
        <w:t> </w:t>
      </w:r>
      <w:r>
        <w:rPr/>
        <w:t>achieve</w:t>
      </w:r>
      <w:r>
        <w:rPr>
          <w:spacing w:val="-2"/>
        </w:rPr>
        <w:t> </w:t>
      </w:r>
      <w:r>
        <w:rPr/>
        <w:t>lasting</w:t>
      </w:r>
      <w:r>
        <w:rPr>
          <w:spacing w:val="-3"/>
        </w:rPr>
        <w:t> </w:t>
      </w:r>
      <w:r>
        <w:rPr/>
        <w:t>impacts</w:t>
      </w:r>
      <w:r>
        <w:rPr>
          <w:spacing w:val="-3"/>
        </w:rPr>
        <w:t> </w:t>
      </w:r>
      <w:r>
        <w:rPr/>
        <w:t>on</w:t>
      </w:r>
      <w:r>
        <w:rPr>
          <w:spacing w:val="-5"/>
        </w:rPr>
        <w:t> </w:t>
      </w:r>
      <w:r>
        <w:rPr/>
        <w:t>fox</w:t>
      </w:r>
      <w:r>
        <w:rPr>
          <w:spacing w:val="-3"/>
        </w:rPr>
        <w:t> </w:t>
      </w:r>
      <w:r>
        <w:rPr/>
        <w:t>populations.</w:t>
      </w:r>
      <w:r>
        <w:rPr>
          <w:spacing w:val="-4"/>
        </w:rPr>
        <w:t> </w:t>
      </w:r>
      <w:r>
        <w:rPr/>
        <w:t>However,</w:t>
      </w:r>
      <w:r>
        <w:rPr>
          <w:spacing w:val="-4"/>
        </w:rPr>
        <w:t> </w:t>
      </w:r>
      <w:r>
        <w:rPr/>
        <w:t>the</w:t>
      </w:r>
      <w:r>
        <w:rPr>
          <w:spacing w:val="-5"/>
        </w:rPr>
        <w:t> </w:t>
      </w:r>
      <w:r>
        <w:rPr/>
        <w:t>trial</w:t>
      </w:r>
      <w:r>
        <w:rPr>
          <w:spacing w:val="-3"/>
        </w:rPr>
        <w:t> </w:t>
      </w:r>
      <w:r>
        <w:rPr/>
        <w:t>did</w:t>
      </w:r>
      <w:r>
        <w:rPr>
          <w:spacing w:val="-4"/>
        </w:rPr>
        <w:t> </w:t>
      </w:r>
      <w:r>
        <w:rPr/>
        <w:t>not</w:t>
      </w:r>
      <w:r>
        <w:rPr>
          <w:spacing w:val="-4"/>
        </w:rPr>
        <w:t> </w:t>
      </w:r>
      <w:r>
        <w:rPr/>
        <w:t>assess</w:t>
      </w:r>
      <w:r>
        <w:rPr>
          <w:spacing w:val="-3"/>
        </w:rPr>
        <w:t> </w:t>
      </w:r>
      <w:r>
        <w:rPr/>
        <w:t>the relationship between the population reduction and the damage caused by fox predation.</w:t>
      </w:r>
    </w:p>
    <w:p>
      <w:pPr>
        <w:pStyle w:val="BodyText"/>
        <w:spacing w:before="122"/>
        <w:ind w:left="112" w:right="193"/>
      </w:pPr>
      <w:r>
        <w:rPr/>
        <w:t>Intensive</w:t>
      </w:r>
      <w:r>
        <w:rPr>
          <w:spacing w:val="-4"/>
        </w:rPr>
        <w:t> </w:t>
      </w:r>
      <w:r>
        <w:rPr/>
        <w:t>shooting</w:t>
      </w:r>
      <w:r>
        <w:rPr>
          <w:spacing w:val="-4"/>
        </w:rPr>
        <w:t> </w:t>
      </w:r>
      <w:r>
        <w:rPr/>
        <w:t>during</w:t>
      </w:r>
      <w:r>
        <w:rPr>
          <w:spacing w:val="-4"/>
        </w:rPr>
        <w:t> </w:t>
      </w:r>
      <w:r>
        <w:rPr/>
        <w:t>the</w:t>
      </w:r>
      <w:r>
        <w:rPr>
          <w:spacing w:val="-4"/>
        </w:rPr>
        <w:t> </w:t>
      </w:r>
      <w:r>
        <w:rPr/>
        <w:t>lambing</w:t>
      </w:r>
      <w:r>
        <w:rPr>
          <w:spacing w:val="-2"/>
        </w:rPr>
        <w:t> </w:t>
      </w:r>
      <w:r>
        <w:rPr/>
        <w:t>season</w:t>
      </w:r>
      <w:r>
        <w:rPr>
          <w:spacing w:val="-3"/>
        </w:rPr>
        <w:t> </w:t>
      </w:r>
      <w:r>
        <w:rPr/>
        <w:t>may</w:t>
      </w:r>
      <w:r>
        <w:rPr>
          <w:spacing w:val="-3"/>
        </w:rPr>
        <w:t> </w:t>
      </w:r>
      <w:r>
        <w:rPr/>
        <w:t>provide</w:t>
      </w:r>
      <w:r>
        <w:rPr>
          <w:spacing w:val="-5"/>
        </w:rPr>
        <w:t> </w:t>
      </w:r>
      <w:r>
        <w:rPr/>
        <w:t>short-term</w:t>
      </w:r>
      <w:r>
        <w:rPr>
          <w:spacing w:val="-2"/>
        </w:rPr>
        <w:t> </w:t>
      </w:r>
      <w:r>
        <w:rPr/>
        <w:t>protection</w:t>
      </w:r>
      <w:r>
        <w:rPr>
          <w:spacing w:val="-3"/>
        </w:rPr>
        <w:t> </w:t>
      </w:r>
      <w:r>
        <w:rPr/>
        <w:t>against</w:t>
      </w:r>
      <w:r>
        <w:rPr>
          <w:spacing w:val="-2"/>
        </w:rPr>
        <w:t> </w:t>
      </w:r>
      <w:r>
        <w:rPr/>
        <w:t>predation,</w:t>
      </w:r>
      <w:r>
        <w:rPr>
          <w:spacing w:val="-4"/>
        </w:rPr>
        <w:t> </w:t>
      </w:r>
      <w:r>
        <w:rPr/>
        <w:t>similar</w:t>
      </w:r>
      <w:r>
        <w:rPr>
          <w:spacing w:val="-4"/>
        </w:rPr>
        <w:t> </w:t>
      </w:r>
      <w:r>
        <w:rPr/>
        <w:t>to the protection offered by baiting. However, unless shooting costs are subsidised, for instance, by involving recreational hunters rather than paying professional shooters, baiting is likely to remain the more cost- effective option (Saunders and McLeod 2007). Detailed economic analyses would be required to confirm </w:t>
      </w:r>
      <w:r>
        <w:rPr>
          <w:spacing w:val="-2"/>
        </w:rPr>
        <w:t>this.</w:t>
      </w:r>
    </w:p>
    <w:p>
      <w:pPr>
        <w:pStyle w:val="BodyText"/>
        <w:spacing w:before="119"/>
        <w:ind w:left="112"/>
      </w:pPr>
      <w:r>
        <w:rPr/>
        <w:t>Fox hunting for conservation purposes has also been promoted in Australia. However, studies to date have only</w:t>
      </w:r>
      <w:r>
        <w:rPr>
          <w:spacing w:val="-3"/>
        </w:rPr>
        <w:t> </w:t>
      </w:r>
      <w:r>
        <w:rPr/>
        <w:t>reported</w:t>
      </w:r>
      <w:r>
        <w:rPr>
          <w:spacing w:val="-2"/>
        </w:rPr>
        <w:t> </w:t>
      </w:r>
      <w:r>
        <w:rPr/>
        <w:t>the</w:t>
      </w:r>
      <w:r>
        <w:rPr>
          <w:spacing w:val="-2"/>
        </w:rPr>
        <w:t> </w:t>
      </w:r>
      <w:r>
        <w:rPr/>
        <w:t>number</w:t>
      </w:r>
      <w:r>
        <w:rPr>
          <w:spacing w:val="-1"/>
        </w:rPr>
        <w:t> </w:t>
      </w:r>
      <w:r>
        <w:rPr/>
        <w:t>of</w:t>
      </w:r>
      <w:r>
        <w:rPr>
          <w:spacing w:val="-4"/>
        </w:rPr>
        <w:t> </w:t>
      </w:r>
      <w:r>
        <w:rPr/>
        <w:t>foxes</w:t>
      </w:r>
      <w:r>
        <w:rPr>
          <w:spacing w:val="-3"/>
        </w:rPr>
        <w:t> </w:t>
      </w:r>
      <w:r>
        <w:rPr/>
        <w:t>shot</w:t>
      </w:r>
      <w:r>
        <w:rPr>
          <w:spacing w:val="-2"/>
        </w:rPr>
        <w:t> </w:t>
      </w:r>
      <w:r>
        <w:rPr/>
        <w:t>as</w:t>
      </w:r>
      <w:r>
        <w:rPr>
          <w:spacing w:val="-3"/>
        </w:rPr>
        <w:t> </w:t>
      </w:r>
      <w:r>
        <w:rPr/>
        <w:t>evidence</w:t>
      </w:r>
      <w:r>
        <w:rPr>
          <w:spacing w:val="-2"/>
        </w:rPr>
        <w:t> </w:t>
      </w:r>
      <w:r>
        <w:rPr/>
        <w:t>of</w:t>
      </w:r>
      <w:r>
        <w:rPr>
          <w:spacing w:val="-2"/>
        </w:rPr>
        <w:t> </w:t>
      </w:r>
      <w:r>
        <w:rPr/>
        <w:t>effectiveness,</w:t>
      </w:r>
      <w:r>
        <w:rPr>
          <w:spacing w:val="-4"/>
        </w:rPr>
        <w:t> </w:t>
      </w:r>
      <w:r>
        <w:rPr/>
        <w:t>with</w:t>
      </w:r>
      <w:r>
        <w:rPr>
          <w:spacing w:val="-5"/>
        </w:rPr>
        <w:t> </w:t>
      </w:r>
      <w:r>
        <w:rPr/>
        <w:t>no</w:t>
      </w:r>
      <w:r>
        <w:rPr>
          <w:spacing w:val="-4"/>
        </w:rPr>
        <w:t> </w:t>
      </w:r>
      <w:r>
        <w:rPr/>
        <w:t>research</w:t>
      </w:r>
      <w:r>
        <w:rPr>
          <w:spacing w:val="-4"/>
        </w:rPr>
        <w:t> </w:t>
      </w:r>
      <w:r>
        <w:rPr/>
        <w:t>linking</w:t>
      </w:r>
      <w:r>
        <w:rPr>
          <w:spacing w:val="-4"/>
        </w:rPr>
        <w:t> </w:t>
      </w:r>
      <w:r>
        <w:rPr/>
        <w:t>fox</w:t>
      </w:r>
      <w:r>
        <w:rPr>
          <w:spacing w:val="-3"/>
        </w:rPr>
        <w:t> </w:t>
      </w:r>
      <w:r>
        <w:rPr/>
        <w:t>shooting</w:t>
      </w:r>
      <w:r>
        <w:rPr>
          <w:spacing w:val="-5"/>
        </w:rPr>
        <w:t> </w:t>
      </w:r>
      <w:r>
        <w:rPr/>
        <w:t>to measurable environmental recovery (Mcleod et al.2008).</w:t>
      </w:r>
    </w:p>
    <w:p>
      <w:pPr>
        <w:pStyle w:val="BodyText"/>
        <w:spacing w:before="156"/>
      </w:pPr>
    </w:p>
    <w:p>
      <w:pPr>
        <w:pStyle w:val="Heading3"/>
        <w:numPr>
          <w:ilvl w:val="1"/>
          <w:numId w:val="17"/>
        </w:numPr>
        <w:tabs>
          <w:tab w:pos="686" w:val="left" w:leader="none"/>
        </w:tabs>
        <w:spacing w:line="240" w:lineRule="auto" w:before="0" w:after="0"/>
        <w:ind w:left="686" w:right="0" w:hanging="574"/>
        <w:jc w:val="left"/>
      </w:pPr>
      <w:bookmarkStart w:name="_TOC_250039" w:id="68"/>
      <w:bookmarkEnd w:id="68"/>
      <w:r>
        <w:rPr>
          <w:color w:val="2D1E66"/>
          <w:spacing w:val="-2"/>
        </w:rPr>
        <w:t>Trapping</w:t>
      </w:r>
    </w:p>
    <w:p>
      <w:pPr>
        <w:pStyle w:val="BodyText"/>
        <w:spacing w:before="112"/>
        <w:ind w:left="112" w:right="219"/>
      </w:pPr>
      <w:r>
        <w:rPr/>
        <w:t>In</w:t>
      </w:r>
      <w:r>
        <w:rPr>
          <w:spacing w:val="-4"/>
        </w:rPr>
        <w:t> </w:t>
      </w:r>
      <w:r>
        <w:rPr/>
        <w:t>Victoria,</w:t>
      </w:r>
      <w:r>
        <w:rPr>
          <w:spacing w:val="-2"/>
        </w:rPr>
        <w:t> </w:t>
      </w:r>
      <w:r>
        <w:rPr/>
        <w:t>the</w:t>
      </w:r>
      <w:r>
        <w:rPr>
          <w:spacing w:val="-3"/>
        </w:rPr>
        <w:t> </w:t>
      </w:r>
      <w:r>
        <w:rPr/>
        <w:t>two</w:t>
      </w:r>
      <w:r>
        <w:rPr>
          <w:spacing w:val="-3"/>
        </w:rPr>
        <w:t> </w:t>
      </w:r>
      <w:r>
        <w:rPr/>
        <w:t>trap</w:t>
      </w:r>
      <w:r>
        <w:rPr>
          <w:spacing w:val="-2"/>
        </w:rPr>
        <w:t> </w:t>
      </w:r>
      <w:r>
        <w:rPr/>
        <w:t>types</w:t>
      </w:r>
      <w:r>
        <w:rPr>
          <w:spacing w:val="-2"/>
        </w:rPr>
        <w:t> </w:t>
      </w:r>
      <w:r>
        <w:rPr/>
        <w:t>authorised</w:t>
      </w:r>
      <w:r>
        <w:rPr>
          <w:spacing w:val="-2"/>
        </w:rPr>
        <w:t> </w:t>
      </w:r>
      <w:r>
        <w:rPr/>
        <w:t>for</w:t>
      </w:r>
      <w:r>
        <w:rPr>
          <w:spacing w:val="-2"/>
        </w:rPr>
        <w:t> </w:t>
      </w:r>
      <w:r>
        <w:rPr/>
        <w:t>use are</w:t>
      </w:r>
      <w:r>
        <w:rPr>
          <w:spacing w:val="-3"/>
        </w:rPr>
        <w:t> </w:t>
      </w:r>
      <w:r>
        <w:rPr/>
        <w:t>padded</w:t>
      </w:r>
      <w:r>
        <w:rPr>
          <w:spacing w:val="-3"/>
        </w:rPr>
        <w:t> </w:t>
      </w:r>
      <w:r>
        <w:rPr/>
        <w:t>leghold</w:t>
      </w:r>
      <w:r>
        <w:rPr>
          <w:spacing w:val="-2"/>
        </w:rPr>
        <w:t> </w:t>
      </w:r>
      <w:r>
        <w:rPr/>
        <w:t>and</w:t>
      </w:r>
      <w:r>
        <w:rPr>
          <w:spacing w:val="-4"/>
        </w:rPr>
        <w:t> </w:t>
      </w:r>
      <w:r>
        <w:rPr/>
        <w:t>cage-style</w:t>
      </w:r>
      <w:r>
        <w:rPr>
          <w:spacing w:val="-3"/>
        </w:rPr>
        <w:t> </w:t>
      </w:r>
      <w:r>
        <w:rPr/>
        <w:t>traps.</w:t>
      </w:r>
      <w:r>
        <w:rPr>
          <w:spacing w:val="-1"/>
        </w:rPr>
        <w:t> </w:t>
      </w:r>
      <w:r>
        <w:rPr/>
        <w:t>Padded</w:t>
      </w:r>
      <w:r>
        <w:rPr>
          <w:spacing w:val="-2"/>
        </w:rPr>
        <w:t> </w:t>
      </w:r>
      <w:r>
        <w:rPr/>
        <w:t>leghold traps feature offset jaws with rubber-like inserts designed to cushion the impact on the animal’s limb (Fleming et</w:t>
      </w:r>
      <w:r>
        <w:rPr>
          <w:spacing w:val="-1"/>
        </w:rPr>
        <w:t> </w:t>
      </w:r>
      <w:r>
        <w:rPr/>
        <w:t>al.</w:t>
      </w:r>
      <w:r>
        <w:rPr>
          <w:spacing w:val="-1"/>
        </w:rPr>
        <w:t> </w:t>
      </w:r>
      <w:r>
        <w:rPr/>
        <w:t>1998).</w:t>
      </w:r>
      <w:r>
        <w:rPr>
          <w:spacing w:val="-1"/>
        </w:rPr>
        <w:t> </w:t>
      </w:r>
      <w:r>
        <w:rPr/>
        <w:t>Cage traps are</w:t>
      </w:r>
      <w:r>
        <w:rPr>
          <w:spacing w:val="-1"/>
        </w:rPr>
        <w:t> </w:t>
      </w:r>
      <w:r>
        <w:rPr/>
        <w:t>typically box-style</w:t>
      </w:r>
      <w:r>
        <w:rPr>
          <w:spacing w:val="-1"/>
        </w:rPr>
        <w:t> </w:t>
      </w:r>
      <w:r>
        <w:rPr/>
        <w:t>traps made from wire mesh,</w:t>
      </w:r>
      <w:r>
        <w:rPr>
          <w:spacing w:val="-1"/>
        </w:rPr>
        <w:t> </w:t>
      </w:r>
      <w:r>
        <w:rPr/>
        <w:t>which close</w:t>
      </w:r>
      <w:r>
        <w:rPr>
          <w:spacing w:val="-1"/>
        </w:rPr>
        <w:t> </w:t>
      </w:r>
      <w:r>
        <w:rPr/>
        <w:t>when an animal enters (</w:t>
      </w:r>
      <w:hyperlink w:history="true" w:anchor="_bookmark12">
        <w:r>
          <w:rPr/>
          <w:t>Figure 5</w:t>
        </w:r>
      </w:hyperlink>
      <w:r>
        <w:rPr/>
        <w:t>).</w:t>
      </w:r>
    </w:p>
    <w:p>
      <w:pPr>
        <w:pStyle w:val="BodyText"/>
        <w:spacing w:before="106"/>
      </w:pPr>
      <w:r>
        <w:rPr/>
        <w:drawing>
          <wp:anchor distT="0" distB="0" distL="0" distR="0" allowOverlap="1" layoutInCell="1" locked="0" behindDoc="1" simplePos="0" relativeHeight="487604736">
            <wp:simplePos x="0" y="0"/>
            <wp:positionH relativeFrom="page">
              <wp:posOffset>796361</wp:posOffset>
            </wp:positionH>
            <wp:positionV relativeFrom="paragraph">
              <wp:posOffset>229032</wp:posOffset>
            </wp:positionV>
            <wp:extent cx="2513131" cy="2514600"/>
            <wp:effectExtent l="0" t="0" r="0" b="0"/>
            <wp:wrapTopAndBottom/>
            <wp:docPr id="84" name="Image 84" descr="Victor #1 1/2 Soft Catch Foot trap"/>
            <wp:cNvGraphicFramePr>
              <a:graphicFrameLocks/>
            </wp:cNvGraphicFramePr>
            <a:graphic>
              <a:graphicData uri="http://schemas.openxmlformats.org/drawingml/2006/picture">
                <pic:pic>
                  <pic:nvPicPr>
                    <pic:cNvPr id="84" name="Image 84" descr="Victor #1 1/2 Soft Catch Foot trap"/>
                    <pic:cNvPicPr/>
                  </pic:nvPicPr>
                  <pic:blipFill>
                    <a:blip r:embed="rId55" cstate="print"/>
                    <a:stretch>
                      <a:fillRect/>
                    </a:stretch>
                  </pic:blipFill>
                  <pic:spPr>
                    <a:xfrm>
                      <a:off x="0" y="0"/>
                      <a:ext cx="2513131" cy="2514600"/>
                    </a:xfrm>
                    <a:prstGeom prst="rect">
                      <a:avLst/>
                    </a:prstGeom>
                  </pic:spPr>
                </pic:pic>
              </a:graphicData>
            </a:graphic>
          </wp:anchor>
        </w:drawing>
      </w:r>
      <w:r>
        <w:rPr/>
        <w:drawing>
          <wp:anchor distT="0" distB="0" distL="0" distR="0" allowOverlap="1" layoutInCell="1" locked="0" behindDoc="1" simplePos="0" relativeHeight="487605248">
            <wp:simplePos x="0" y="0"/>
            <wp:positionH relativeFrom="page">
              <wp:posOffset>3482085</wp:posOffset>
            </wp:positionH>
            <wp:positionV relativeFrom="paragraph">
              <wp:posOffset>461210</wp:posOffset>
            </wp:positionV>
            <wp:extent cx="3174018" cy="2377440"/>
            <wp:effectExtent l="0" t="0" r="0" b="0"/>
            <wp:wrapTopAndBottom/>
            <wp:docPr id="85" name="Image 85" descr="Fox Trap | Wiretainers"/>
            <wp:cNvGraphicFramePr>
              <a:graphicFrameLocks/>
            </wp:cNvGraphicFramePr>
            <a:graphic>
              <a:graphicData uri="http://schemas.openxmlformats.org/drawingml/2006/picture">
                <pic:pic>
                  <pic:nvPicPr>
                    <pic:cNvPr id="85" name="Image 85" descr="Fox Trap | Wiretainers"/>
                    <pic:cNvPicPr/>
                  </pic:nvPicPr>
                  <pic:blipFill>
                    <a:blip r:embed="rId56" cstate="print"/>
                    <a:stretch>
                      <a:fillRect/>
                    </a:stretch>
                  </pic:blipFill>
                  <pic:spPr>
                    <a:xfrm>
                      <a:off x="0" y="0"/>
                      <a:ext cx="3174018" cy="2377440"/>
                    </a:xfrm>
                    <a:prstGeom prst="rect">
                      <a:avLst/>
                    </a:prstGeom>
                  </pic:spPr>
                </pic:pic>
              </a:graphicData>
            </a:graphic>
          </wp:anchor>
        </w:drawing>
      </w:r>
    </w:p>
    <w:p>
      <w:pPr>
        <w:pStyle w:val="Heading7"/>
        <w:spacing w:before="129"/>
      </w:pPr>
      <w:bookmarkStart w:name="_bookmark12" w:id="69"/>
      <w:bookmarkEnd w:id="69"/>
      <w:r>
        <w:rPr>
          <w:b w:val="0"/>
        </w:rPr>
      </w:r>
      <w:r>
        <w:rPr>
          <w:color w:val="1F1546"/>
        </w:rPr>
        <w:t>Figure</w:t>
      </w:r>
      <w:r>
        <w:rPr>
          <w:color w:val="1F1546"/>
          <w:spacing w:val="-6"/>
        </w:rPr>
        <w:t> </w:t>
      </w:r>
      <w:r>
        <w:rPr>
          <w:color w:val="1F1546"/>
        </w:rPr>
        <w:t>5.</w:t>
      </w:r>
      <w:r>
        <w:rPr>
          <w:color w:val="1F1546"/>
          <w:spacing w:val="-4"/>
        </w:rPr>
        <w:t> </w:t>
      </w:r>
      <w:r>
        <w:rPr>
          <w:color w:val="1F1546"/>
        </w:rPr>
        <w:t>Padded</w:t>
      </w:r>
      <w:r>
        <w:rPr>
          <w:color w:val="1F1546"/>
          <w:spacing w:val="-6"/>
        </w:rPr>
        <w:t> </w:t>
      </w:r>
      <w:r>
        <w:rPr>
          <w:color w:val="1F1546"/>
        </w:rPr>
        <w:t>leghold</w:t>
      </w:r>
      <w:r>
        <w:rPr>
          <w:color w:val="1F1546"/>
          <w:spacing w:val="-2"/>
        </w:rPr>
        <w:t> </w:t>
      </w:r>
      <w:r>
        <w:rPr>
          <w:color w:val="1F1546"/>
        </w:rPr>
        <w:t>(Victor</w:t>
      </w:r>
      <w:r>
        <w:rPr>
          <w:color w:val="1F1546"/>
          <w:spacing w:val="-5"/>
        </w:rPr>
        <w:t> </w:t>
      </w:r>
      <w:r>
        <w:rPr>
          <w:color w:val="1F1546"/>
        </w:rPr>
        <w:t>Soft</w:t>
      </w:r>
      <w:r>
        <w:rPr>
          <w:color w:val="1F1546"/>
          <w:spacing w:val="-5"/>
        </w:rPr>
        <w:t> </w:t>
      </w:r>
      <w:r>
        <w:rPr>
          <w:color w:val="1F1546"/>
        </w:rPr>
        <w:t>Catch</w:t>
      </w:r>
      <w:r>
        <w:rPr>
          <w:color w:val="1F1546"/>
          <w:spacing w:val="-5"/>
        </w:rPr>
        <w:t> </w:t>
      </w:r>
      <w:r>
        <w:rPr>
          <w:color w:val="1F1546"/>
        </w:rPr>
        <w:t>Trap®</w:t>
      </w:r>
      <w:r>
        <w:rPr>
          <w:color w:val="1F1546"/>
          <w:spacing w:val="-5"/>
        </w:rPr>
        <w:t> </w:t>
      </w:r>
      <w:r>
        <w:rPr>
          <w:color w:val="1F1546"/>
        </w:rPr>
        <w:t>1.5)</w:t>
      </w:r>
      <w:r>
        <w:rPr>
          <w:color w:val="1F1546"/>
          <w:spacing w:val="-5"/>
        </w:rPr>
        <w:t> </w:t>
      </w:r>
      <w:r>
        <w:rPr>
          <w:color w:val="1F1546"/>
        </w:rPr>
        <w:t>and</w:t>
      </w:r>
      <w:r>
        <w:rPr>
          <w:color w:val="1F1546"/>
          <w:spacing w:val="-5"/>
        </w:rPr>
        <w:t> </w:t>
      </w:r>
      <w:r>
        <w:rPr>
          <w:color w:val="1F1546"/>
        </w:rPr>
        <w:t>cage-style</w:t>
      </w:r>
      <w:r>
        <w:rPr>
          <w:color w:val="1F1546"/>
          <w:spacing w:val="-6"/>
        </w:rPr>
        <w:t> </w:t>
      </w:r>
      <w:r>
        <w:rPr>
          <w:color w:val="1F1546"/>
        </w:rPr>
        <w:t>traps</w:t>
      </w:r>
      <w:r>
        <w:rPr>
          <w:color w:val="1F1546"/>
          <w:spacing w:val="-5"/>
        </w:rPr>
        <w:t> </w:t>
      </w:r>
      <w:r>
        <w:rPr>
          <w:color w:val="1F1546"/>
        </w:rPr>
        <w:t>used</w:t>
      </w:r>
      <w:r>
        <w:rPr>
          <w:color w:val="1F1546"/>
          <w:spacing w:val="-5"/>
        </w:rPr>
        <w:t> </w:t>
      </w:r>
      <w:r>
        <w:rPr>
          <w:color w:val="1F1546"/>
        </w:rPr>
        <w:t>to</w:t>
      </w:r>
      <w:r>
        <w:rPr>
          <w:color w:val="1F1546"/>
          <w:spacing w:val="-5"/>
        </w:rPr>
        <w:t> </w:t>
      </w:r>
      <w:r>
        <w:rPr>
          <w:color w:val="1F1546"/>
        </w:rPr>
        <w:t>capture</w:t>
      </w:r>
      <w:r>
        <w:rPr>
          <w:color w:val="1F1546"/>
          <w:spacing w:val="-7"/>
        </w:rPr>
        <w:t> </w:t>
      </w:r>
      <w:r>
        <w:rPr>
          <w:color w:val="1F1546"/>
          <w:spacing w:val="-2"/>
        </w:rPr>
        <w:t>foxes.</w:t>
      </w:r>
    </w:p>
    <w:p>
      <w:pPr>
        <w:pStyle w:val="BodyText"/>
        <w:spacing w:before="159"/>
        <w:rPr>
          <w:b/>
        </w:rPr>
      </w:pPr>
    </w:p>
    <w:p>
      <w:pPr>
        <w:pStyle w:val="BodyText"/>
        <w:ind w:left="112" w:right="173"/>
      </w:pPr>
      <w:r>
        <w:rPr/>
        <w:t>Despite the widespread use of padded leghold and cage-style traps (Saunders et al. 1995), there is limited published</w:t>
      </w:r>
      <w:r>
        <w:rPr>
          <w:spacing w:val="-3"/>
        </w:rPr>
        <w:t> </w:t>
      </w:r>
      <w:r>
        <w:rPr/>
        <w:t>research</w:t>
      </w:r>
      <w:r>
        <w:rPr>
          <w:spacing w:val="-1"/>
        </w:rPr>
        <w:t> </w:t>
      </w:r>
      <w:r>
        <w:rPr/>
        <w:t>on</w:t>
      </w:r>
      <w:r>
        <w:rPr>
          <w:spacing w:val="-4"/>
        </w:rPr>
        <w:t> </w:t>
      </w:r>
      <w:r>
        <w:rPr/>
        <w:t>their</w:t>
      </w:r>
      <w:r>
        <w:rPr>
          <w:spacing w:val="-2"/>
        </w:rPr>
        <w:t> </w:t>
      </w:r>
      <w:r>
        <w:rPr/>
        <w:t>effectiveness.</w:t>
      </w:r>
      <w:r>
        <w:rPr>
          <w:spacing w:val="-3"/>
        </w:rPr>
        <w:t> </w:t>
      </w:r>
      <w:r>
        <w:rPr/>
        <w:t>Trapping</w:t>
      </w:r>
      <w:r>
        <w:rPr>
          <w:spacing w:val="-3"/>
        </w:rPr>
        <w:t> </w:t>
      </w:r>
      <w:r>
        <w:rPr/>
        <w:t>is a</w:t>
      </w:r>
      <w:r>
        <w:rPr>
          <w:spacing w:val="-3"/>
        </w:rPr>
        <w:t> </w:t>
      </w:r>
      <w:r>
        <w:rPr/>
        <w:t>labour-intensive</w:t>
      </w:r>
      <w:r>
        <w:rPr>
          <w:spacing w:val="-3"/>
        </w:rPr>
        <w:t> </w:t>
      </w:r>
      <w:r>
        <w:rPr/>
        <w:t>and</w:t>
      </w:r>
      <w:r>
        <w:rPr>
          <w:spacing w:val="-4"/>
        </w:rPr>
        <w:t> </w:t>
      </w:r>
      <w:r>
        <w:rPr/>
        <w:t>skilled</w:t>
      </w:r>
      <w:r>
        <w:rPr>
          <w:spacing w:val="-4"/>
        </w:rPr>
        <w:t> </w:t>
      </w:r>
      <w:r>
        <w:rPr/>
        <w:t>activity,</w:t>
      </w:r>
      <w:r>
        <w:rPr>
          <w:spacing w:val="-3"/>
        </w:rPr>
        <w:t> </w:t>
      </w:r>
      <w:r>
        <w:rPr/>
        <w:t>and</w:t>
      </w:r>
      <w:r>
        <w:rPr>
          <w:spacing w:val="-4"/>
        </w:rPr>
        <w:t> </w:t>
      </w:r>
      <w:r>
        <w:rPr/>
        <w:t>the</w:t>
      </w:r>
      <w:r>
        <w:rPr>
          <w:spacing w:val="-4"/>
        </w:rPr>
        <w:t> </w:t>
      </w:r>
      <w:r>
        <w:rPr/>
        <w:t>need</w:t>
      </w:r>
      <w:r>
        <w:rPr>
          <w:spacing w:val="-1"/>
        </w:rPr>
        <w:t> </w:t>
      </w:r>
      <w:r>
        <w:rPr/>
        <w:t>to check traps daily for animal welfare reasons makes it an inefficient method for large-scale control (Gentle 2006; Saunders and McLeod 2007). Consequently, trapping is generally reserved for research purposes or situations</w:t>
      </w:r>
      <w:r>
        <w:rPr>
          <w:spacing w:val="-1"/>
        </w:rPr>
        <w:t> </w:t>
      </w:r>
      <w:r>
        <w:rPr/>
        <w:t>where other</w:t>
      </w:r>
      <w:r>
        <w:rPr>
          <w:spacing w:val="-2"/>
        </w:rPr>
        <w:t> </w:t>
      </w:r>
      <w:r>
        <w:rPr/>
        <w:t>methods</w:t>
      </w:r>
      <w:r>
        <w:rPr>
          <w:spacing w:val="-1"/>
        </w:rPr>
        <w:t> </w:t>
      </w:r>
      <w:r>
        <w:rPr/>
        <w:t>are unsuitable or</w:t>
      </w:r>
      <w:r>
        <w:rPr>
          <w:spacing w:val="-2"/>
        </w:rPr>
        <w:t> </w:t>
      </w:r>
      <w:r>
        <w:rPr/>
        <w:t>ineffective (Fleming</w:t>
      </w:r>
      <w:r>
        <w:rPr>
          <w:spacing w:val="-1"/>
        </w:rPr>
        <w:t> </w:t>
      </w:r>
      <w:r>
        <w:rPr/>
        <w:t>et</w:t>
      </w:r>
      <w:r>
        <w:rPr>
          <w:spacing w:val="-2"/>
        </w:rPr>
        <w:t> </w:t>
      </w:r>
      <w:r>
        <w:rPr/>
        <w:t>al.</w:t>
      </w:r>
      <w:r>
        <w:rPr>
          <w:spacing w:val="-2"/>
        </w:rPr>
        <w:t> </w:t>
      </w:r>
      <w:r>
        <w:rPr/>
        <w:t>1998).</w:t>
      </w:r>
      <w:r>
        <w:rPr>
          <w:spacing w:val="-2"/>
        </w:rPr>
        <w:t> </w:t>
      </w:r>
      <w:r>
        <w:rPr/>
        <w:t>A</w:t>
      </w:r>
      <w:r>
        <w:rPr>
          <w:spacing w:val="-3"/>
        </w:rPr>
        <w:t> </w:t>
      </w:r>
      <w:r>
        <w:rPr/>
        <w:t>recent</w:t>
      </w:r>
      <w:r>
        <w:rPr>
          <w:spacing w:val="-2"/>
        </w:rPr>
        <w:t> </w:t>
      </w:r>
      <w:r>
        <w:rPr/>
        <w:t>survey</w:t>
      </w:r>
      <w:r>
        <w:rPr>
          <w:spacing w:val="-1"/>
        </w:rPr>
        <w:t> </w:t>
      </w:r>
      <w:r>
        <w:rPr/>
        <w:t>of ACUP users in Victoria revealed that only 1% of respondents would consider trapping as their primary method if 1080 were no longer available, and 13% of land managers had used trapping in the past five years (Quantum Market Research 2024).</w:t>
      </w:r>
    </w:p>
    <w:p>
      <w:pPr>
        <w:pStyle w:val="BodyText"/>
        <w:spacing w:before="119"/>
        <w:ind w:left="112" w:right="126"/>
      </w:pPr>
      <w:r>
        <w:rPr/>
        <w:t>Studies</w:t>
      </w:r>
      <w:r>
        <w:rPr>
          <w:spacing w:val="-3"/>
        </w:rPr>
        <w:t> </w:t>
      </w:r>
      <w:r>
        <w:rPr/>
        <w:t>that</w:t>
      </w:r>
      <w:r>
        <w:rPr>
          <w:spacing w:val="-1"/>
        </w:rPr>
        <w:t> </w:t>
      </w:r>
      <w:r>
        <w:rPr/>
        <w:t>have</w:t>
      </w:r>
      <w:r>
        <w:rPr>
          <w:spacing w:val="-2"/>
        </w:rPr>
        <w:t> </w:t>
      </w:r>
      <w:r>
        <w:rPr/>
        <w:t>assessed</w:t>
      </w:r>
      <w:r>
        <w:rPr>
          <w:spacing w:val="-4"/>
        </w:rPr>
        <w:t> </w:t>
      </w:r>
      <w:r>
        <w:rPr/>
        <w:t>the</w:t>
      </w:r>
      <w:r>
        <w:rPr>
          <w:spacing w:val="-2"/>
        </w:rPr>
        <w:t> </w:t>
      </w:r>
      <w:r>
        <w:rPr/>
        <w:t>efficiency</w:t>
      </w:r>
      <w:r>
        <w:rPr>
          <w:spacing w:val="-3"/>
        </w:rPr>
        <w:t> </w:t>
      </w:r>
      <w:r>
        <w:rPr/>
        <w:t>of</w:t>
      </w:r>
      <w:r>
        <w:rPr>
          <w:spacing w:val="-2"/>
        </w:rPr>
        <w:t> </w:t>
      </w:r>
      <w:r>
        <w:rPr/>
        <w:t>fox</w:t>
      </w:r>
      <w:r>
        <w:rPr>
          <w:spacing w:val="-3"/>
        </w:rPr>
        <w:t> </w:t>
      </w:r>
      <w:r>
        <w:rPr/>
        <w:t>trapping (Bubela</w:t>
      </w:r>
      <w:r>
        <w:rPr>
          <w:spacing w:val="-3"/>
        </w:rPr>
        <w:t> </w:t>
      </w:r>
      <w:r>
        <w:rPr/>
        <w:t>et</w:t>
      </w:r>
      <w:r>
        <w:rPr>
          <w:spacing w:val="-2"/>
        </w:rPr>
        <w:t> </w:t>
      </w:r>
      <w:r>
        <w:rPr/>
        <w:t>al.</w:t>
      </w:r>
      <w:r>
        <w:rPr>
          <w:spacing w:val="-4"/>
        </w:rPr>
        <w:t> </w:t>
      </w:r>
      <w:r>
        <w:rPr/>
        <w:t>1998;</w:t>
      </w:r>
      <w:r>
        <w:rPr>
          <w:spacing w:val="-4"/>
        </w:rPr>
        <w:t> </w:t>
      </w:r>
      <w:r>
        <w:rPr/>
        <w:t>Fleming</w:t>
      </w:r>
      <w:r>
        <w:rPr>
          <w:spacing w:val="-4"/>
        </w:rPr>
        <w:t> </w:t>
      </w:r>
      <w:r>
        <w:rPr/>
        <w:t>et</w:t>
      </w:r>
      <w:r>
        <w:rPr>
          <w:spacing w:val="-2"/>
        </w:rPr>
        <w:t> </w:t>
      </w:r>
      <w:r>
        <w:rPr/>
        <w:t>al.</w:t>
      </w:r>
      <w:r>
        <w:rPr>
          <w:spacing w:val="-4"/>
        </w:rPr>
        <w:t> </w:t>
      </w:r>
      <w:r>
        <w:rPr/>
        <w:t>1998;</w:t>
      </w:r>
      <w:r>
        <w:rPr>
          <w:spacing w:val="-2"/>
        </w:rPr>
        <w:t> </w:t>
      </w:r>
      <w:r>
        <w:rPr/>
        <w:t>Meek</w:t>
      </w:r>
      <w:r>
        <w:rPr>
          <w:spacing w:val="-3"/>
        </w:rPr>
        <w:t> </w:t>
      </w:r>
      <w:r>
        <w:rPr/>
        <w:t>et</w:t>
      </w:r>
      <w:r>
        <w:rPr>
          <w:spacing w:val="-4"/>
        </w:rPr>
        <w:t> </w:t>
      </w:r>
      <w:r>
        <w:rPr/>
        <w:t>al. 1995), did not directly correlate trapping success with fox abundance. Fleming et al. (1998) reported an overall trapping efficiency of one target animal per 41 trap-nights using Victor Soft Catch® traps. This figure was derived from data collected across seven different sites, including captures of Red Foxes, Wild Dogs, Dingoes, and feral cats. In one study, over a continuous seven-month period, approximately 14,000 trap- nights</w:t>
      </w:r>
      <w:r>
        <w:rPr>
          <w:spacing w:val="-1"/>
        </w:rPr>
        <w:t> </w:t>
      </w:r>
      <w:r>
        <w:rPr/>
        <w:t>resulted</w:t>
      </w:r>
      <w:r>
        <w:rPr>
          <w:spacing w:val="-1"/>
        </w:rPr>
        <w:t> </w:t>
      </w:r>
      <w:r>
        <w:rPr/>
        <w:t>in a</w:t>
      </w:r>
      <w:r>
        <w:rPr>
          <w:spacing w:val="-2"/>
        </w:rPr>
        <w:t> </w:t>
      </w:r>
      <w:r>
        <w:rPr/>
        <w:t>capture rate</w:t>
      </w:r>
      <w:r>
        <w:rPr>
          <w:spacing w:val="-3"/>
        </w:rPr>
        <w:t> </w:t>
      </w:r>
      <w:r>
        <w:rPr/>
        <w:t>of one</w:t>
      </w:r>
      <w:r>
        <w:rPr>
          <w:spacing w:val="-2"/>
        </w:rPr>
        <w:t> </w:t>
      </w:r>
      <w:r>
        <w:rPr/>
        <w:t>fox</w:t>
      </w:r>
      <w:r>
        <w:rPr>
          <w:spacing w:val="-1"/>
        </w:rPr>
        <w:t> </w:t>
      </w:r>
      <w:r>
        <w:rPr/>
        <w:t>per</w:t>
      </w:r>
      <w:r>
        <w:rPr>
          <w:spacing w:val="-2"/>
        </w:rPr>
        <w:t> </w:t>
      </w:r>
      <w:r>
        <w:rPr/>
        <w:t>150</w:t>
      </w:r>
      <w:r>
        <w:rPr>
          <w:spacing w:val="-2"/>
        </w:rPr>
        <w:t> </w:t>
      </w:r>
      <w:r>
        <w:rPr/>
        <w:t>trap-nights</w:t>
      </w:r>
      <w:r>
        <w:rPr>
          <w:spacing w:val="-1"/>
        </w:rPr>
        <w:t> </w:t>
      </w:r>
      <w:r>
        <w:rPr/>
        <w:t>(McIlroy</w:t>
      </w:r>
      <w:r>
        <w:rPr>
          <w:spacing w:val="-1"/>
        </w:rPr>
        <w:t> </w:t>
      </w:r>
      <w:r>
        <w:rPr/>
        <w:t>1994).</w:t>
      </w:r>
      <w:r>
        <w:rPr>
          <w:spacing w:val="40"/>
        </w:rPr>
        <w:t> </w:t>
      </w:r>
      <w:r>
        <w:rPr/>
        <w:t>Meek et al.</w:t>
      </w:r>
      <w:r>
        <w:rPr>
          <w:spacing w:val="-2"/>
        </w:rPr>
        <w:t> </w:t>
      </w:r>
      <w:r>
        <w:rPr/>
        <w:t>(1995) achieved</w:t>
      </w:r>
      <w:r>
        <w:rPr>
          <w:spacing w:val="-1"/>
        </w:rPr>
        <w:t> </w:t>
      </w:r>
      <w:r>
        <w:rPr/>
        <w:t>a capture efficiency of one fox per 36 trap-nights at Jervis Bay in New South Wales, where fox densities typically range from 2–3 km</w:t>
      </w:r>
      <w:r>
        <w:rPr>
          <w:position w:val="6"/>
          <w:sz w:val="13"/>
        </w:rPr>
        <w:t>2</w:t>
      </w:r>
      <w:r>
        <w:rPr/>
        <w:t>. Kay et al. (2000) reported trapping efficiencies ranging from one fox per 63 trap-nights to one per 320 trap-nights. In a study investigating fertility control, trapping foxes with Victor Soft Catch traps over three years resulted in a capture rate of one fox per 129 trap-nights (Saunders et al. 2002). Additionally, a study examining fox home ranges in northern Victoria captured 20 foxes (eight adult males, three adult females, three subadult males, two subadult females, and two cubs of each sex) over 2,516 trap- nights, yielding a rate of one fox per 11.7 trap-nights (Carter et al. 2012). Two foxes were euthanised due to</w:t>
      </w:r>
    </w:p>
    <w:p>
      <w:pPr>
        <w:spacing w:after="0"/>
        <w:sectPr>
          <w:pgSz w:w="11910" w:h="16850"/>
          <w:pgMar w:header="0" w:footer="688" w:top="1060" w:bottom="880" w:left="1020" w:right="1020"/>
        </w:sectPr>
      </w:pPr>
    </w:p>
    <w:p>
      <w:pPr>
        <w:pStyle w:val="BodyText"/>
        <w:spacing w:before="71"/>
        <w:ind w:left="112"/>
      </w:pPr>
      <w:r>
        <w:rPr/>
        <w:t>trap-related</w:t>
      </w:r>
      <w:r>
        <w:rPr>
          <w:spacing w:val="-4"/>
        </w:rPr>
        <w:t> </w:t>
      </w:r>
      <w:r>
        <w:rPr/>
        <w:t>injuries</w:t>
      </w:r>
      <w:r>
        <w:rPr>
          <w:spacing w:val="-4"/>
        </w:rPr>
        <w:t> </w:t>
      </w:r>
      <w:r>
        <w:rPr/>
        <w:t>(fractured</w:t>
      </w:r>
      <w:r>
        <w:rPr>
          <w:spacing w:val="-4"/>
        </w:rPr>
        <w:t> </w:t>
      </w:r>
      <w:r>
        <w:rPr/>
        <w:t>metacarpus).</w:t>
      </w:r>
      <w:r>
        <w:rPr>
          <w:spacing w:val="-1"/>
        </w:rPr>
        <w:t> </w:t>
      </w:r>
      <w:r>
        <w:rPr/>
        <w:t>No</w:t>
      </w:r>
      <w:r>
        <w:rPr>
          <w:spacing w:val="-4"/>
        </w:rPr>
        <w:t> </w:t>
      </w:r>
      <w:r>
        <w:rPr/>
        <w:t>studies</w:t>
      </w:r>
      <w:r>
        <w:rPr>
          <w:spacing w:val="-2"/>
        </w:rPr>
        <w:t> </w:t>
      </w:r>
      <w:r>
        <w:rPr/>
        <w:t>were</w:t>
      </w:r>
      <w:r>
        <w:rPr>
          <w:spacing w:val="-4"/>
        </w:rPr>
        <w:t> </w:t>
      </w:r>
      <w:r>
        <w:rPr/>
        <w:t>found</w:t>
      </w:r>
      <w:r>
        <w:rPr>
          <w:spacing w:val="-3"/>
        </w:rPr>
        <w:t> </w:t>
      </w:r>
      <w:r>
        <w:rPr/>
        <w:t>that</w:t>
      </w:r>
      <w:r>
        <w:rPr>
          <w:spacing w:val="-4"/>
        </w:rPr>
        <w:t> </w:t>
      </w:r>
      <w:r>
        <w:rPr/>
        <w:t>reported</w:t>
      </w:r>
      <w:r>
        <w:rPr>
          <w:spacing w:val="-3"/>
        </w:rPr>
        <w:t> </w:t>
      </w:r>
      <w:r>
        <w:rPr/>
        <w:t>on</w:t>
      </w:r>
      <w:r>
        <w:rPr>
          <w:spacing w:val="-4"/>
        </w:rPr>
        <w:t> </w:t>
      </w:r>
      <w:r>
        <w:rPr/>
        <w:t>the</w:t>
      </w:r>
      <w:r>
        <w:rPr>
          <w:spacing w:val="-3"/>
        </w:rPr>
        <w:t> </w:t>
      </w:r>
      <w:r>
        <w:rPr/>
        <w:t>effectiveness</w:t>
      </w:r>
      <w:r>
        <w:rPr>
          <w:spacing w:val="-4"/>
        </w:rPr>
        <w:t> </w:t>
      </w:r>
      <w:r>
        <w:rPr/>
        <w:t>of</w:t>
      </w:r>
      <w:r>
        <w:rPr>
          <w:spacing w:val="-4"/>
        </w:rPr>
        <w:t> </w:t>
      </w:r>
      <w:r>
        <w:rPr/>
        <w:t>cage trapping for foxes in Australia.</w:t>
      </w:r>
    </w:p>
    <w:p>
      <w:pPr>
        <w:pStyle w:val="BodyText"/>
        <w:spacing w:before="122"/>
        <w:ind w:left="112" w:right="155"/>
      </w:pPr>
      <w:r>
        <w:rPr/>
        <w:t>Several</w:t>
      </w:r>
      <w:r>
        <w:rPr>
          <w:spacing w:val="-4"/>
        </w:rPr>
        <w:t> </w:t>
      </w:r>
      <w:r>
        <w:rPr/>
        <w:t>factors</w:t>
      </w:r>
      <w:r>
        <w:rPr>
          <w:spacing w:val="-1"/>
        </w:rPr>
        <w:t> </w:t>
      </w:r>
      <w:r>
        <w:rPr/>
        <w:t>can</w:t>
      </w:r>
      <w:r>
        <w:rPr>
          <w:spacing w:val="-1"/>
        </w:rPr>
        <w:t> </w:t>
      </w:r>
      <w:r>
        <w:rPr/>
        <w:t>influence</w:t>
      </w:r>
      <w:r>
        <w:rPr>
          <w:spacing w:val="-3"/>
        </w:rPr>
        <w:t> </w:t>
      </w:r>
      <w:r>
        <w:rPr/>
        <w:t>trapping</w:t>
      </w:r>
      <w:r>
        <w:rPr>
          <w:spacing w:val="-2"/>
        </w:rPr>
        <w:t> </w:t>
      </w:r>
      <w:r>
        <w:rPr/>
        <w:t>efficiency,</w:t>
      </w:r>
      <w:r>
        <w:rPr>
          <w:spacing w:val="-3"/>
        </w:rPr>
        <w:t> </w:t>
      </w:r>
      <w:r>
        <w:rPr/>
        <w:t>including</w:t>
      </w:r>
      <w:r>
        <w:rPr>
          <w:spacing w:val="-3"/>
        </w:rPr>
        <w:t> </w:t>
      </w:r>
      <w:r>
        <w:rPr/>
        <w:t>the</w:t>
      </w:r>
      <w:r>
        <w:rPr>
          <w:spacing w:val="-3"/>
        </w:rPr>
        <w:t> </w:t>
      </w:r>
      <w:r>
        <w:rPr/>
        <w:t>trapper’s</w:t>
      </w:r>
      <w:r>
        <w:rPr>
          <w:spacing w:val="-2"/>
        </w:rPr>
        <w:t> </w:t>
      </w:r>
      <w:r>
        <w:rPr/>
        <w:t>experience,</w:t>
      </w:r>
      <w:r>
        <w:rPr>
          <w:spacing w:val="-3"/>
        </w:rPr>
        <w:t> </w:t>
      </w:r>
      <w:r>
        <w:rPr/>
        <w:t>trap</w:t>
      </w:r>
      <w:r>
        <w:rPr>
          <w:spacing w:val="-4"/>
        </w:rPr>
        <w:t> </w:t>
      </w:r>
      <w:r>
        <w:rPr/>
        <w:t>type,</w:t>
      </w:r>
      <w:r>
        <w:rPr>
          <w:spacing w:val="-3"/>
        </w:rPr>
        <w:t> </w:t>
      </w:r>
      <w:r>
        <w:rPr/>
        <w:t>and</w:t>
      </w:r>
      <w:r>
        <w:rPr>
          <w:spacing w:val="-4"/>
        </w:rPr>
        <w:t> </w:t>
      </w:r>
      <w:r>
        <w:rPr/>
        <w:t>the</w:t>
      </w:r>
      <w:r>
        <w:rPr>
          <w:spacing w:val="-4"/>
        </w:rPr>
        <w:t> </w:t>
      </w:r>
      <w:r>
        <w:rPr/>
        <w:t>use</w:t>
      </w:r>
      <w:r>
        <w:rPr>
          <w:spacing w:val="-3"/>
        </w:rPr>
        <w:t> </w:t>
      </w:r>
      <w:r>
        <w:rPr/>
        <w:t>of lures. Kay et al. (2000) found that fox density strongly affects trapping success, particularly in the aftermath of a drought. Trapping efficiency declines exponentially as fox density decreases, making it highly inefficient at</w:t>
      </w:r>
      <w:r>
        <w:rPr>
          <w:spacing w:val="-4"/>
        </w:rPr>
        <w:t> </w:t>
      </w:r>
      <w:r>
        <w:rPr/>
        <w:t>very</w:t>
      </w:r>
      <w:r>
        <w:rPr>
          <w:spacing w:val="-2"/>
        </w:rPr>
        <w:t> </w:t>
      </w:r>
      <w:r>
        <w:rPr/>
        <w:t>low</w:t>
      </w:r>
      <w:r>
        <w:rPr>
          <w:spacing w:val="-2"/>
        </w:rPr>
        <w:t> </w:t>
      </w:r>
      <w:r>
        <w:rPr/>
        <w:t>densities.</w:t>
      </w:r>
      <w:r>
        <w:rPr>
          <w:spacing w:val="-4"/>
        </w:rPr>
        <w:t> </w:t>
      </w:r>
      <w:r>
        <w:rPr/>
        <w:t>Several</w:t>
      </w:r>
      <w:r>
        <w:rPr>
          <w:spacing w:val="-3"/>
        </w:rPr>
        <w:t> </w:t>
      </w:r>
      <w:r>
        <w:rPr/>
        <w:t>Australian</w:t>
      </w:r>
      <w:r>
        <w:rPr>
          <w:spacing w:val="-4"/>
        </w:rPr>
        <w:t> </w:t>
      </w:r>
      <w:r>
        <w:rPr/>
        <w:t>studies</w:t>
      </w:r>
      <w:r>
        <w:rPr>
          <w:spacing w:val="-3"/>
        </w:rPr>
        <w:t> </w:t>
      </w:r>
      <w:r>
        <w:rPr/>
        <w:t>have reported</w:t>
      </w:r>
      <w:r>
        <w:rPr>
          <w:spacing w:val="-4"/>
        </w:rPr>
        <w:t> </w:t>
      </w:r>
      <w:r>
        <w:rPr/>
        <w:t>that</w:t>
      </w:r>
      <w:r>
        <w:rPr>
          <w:spacing w:val="-4"/>
        </w:rPr>
        <w:t> </w:t>
      </w:r>
      <w:r>
        <w:rPr/>
        <w:t>the</w:t>
      </w:r>
      <w:r>
        <w:rPr>
          <w:spacing w:val="-4"/>
        </w:rPr>
        <w:t> </w:t>
      </w:r>
      <w:r>
        <w:rPr/>
        <w:t>sex</w:t>
      </w:r>
      <w:r>
        <w:rPr>
          <w:spacing w:val="-3"/>
        </w:rPr>
        <w:t> </w:t>
      </w:r>
      <w:r>
        <w:rPr/>
        <w:t>ratio</w:t>
      </w:r>
      <w:r>
        <w:rPr>
          <w:spacing w:val="-4"/>
        </w:rPr>
        <w:t> </w:t>
      </w:r>
      <w:r>
        <w:rPr/>
        <w:t>of</w:t>
      </w:r>
      <w:r>
        <w:rPr>
          <w:spacing w:val="-2"/>
        </w:rPr>
        <w:t> </w:t>
      </w:r>
      <w:r>
        <w:rPr/>
        <w:t>trapped</w:t>
      </w:r>
      <w:r>
        <w:rPr>
          <w:spacing w:val="-4"/>
        </w:rPr>
        <w:t> </w:t>
      </w:r>
      <w:r>
        <w:rPr/>
        <w:t>foxes</w:t>
      </w:r>
      <w:r>
        <w:rPr>
          <w:spacing w:val="-1"/>
        </w:rPr>
        <w:t> </w:t>
      </w:r>
      <w:r>
        <w:rPr/>
        <w:t>is</w:t>
      </w:r>
      <w:r>
        <w:rPr>
          <w:spacing w:val="-3"/>
        </w:rPr>
        <w:t> </w:t>
      </w:r>
      <w:r>
        <w:rPr/>
        <w:t>generally close to 1:1 (Bubela et al. 1998; Marlow 1992; Meek 1998). However, Kay et al. (2000) found a biased sex ratio, with more males than females being trapped (1:0.67), in contrast to those shot, where the ratio was </w:t>
      </w:r>
      <w:r>
        <w:rPr>
          <w:spacing w:val="-2"/>
        </w:rPr>
        <w:t>1:0.96.</w:t>
      </w:r>
    </w:p>
    <w:p>
      <w:pPr>
        <w:pStyle w:val="BodyText"/>
        <w:spacing w:before="155"/>
      </w:pPr>
    </w:p>
    <w:p>
      <w:pPr>
        <w:pStyle w:val="Heading3"/>
        <w:numPr>
          <w:ilvl w:val="1"/>
          <w:numId w:val="17"/>
        </w:numPr>
        <w:tabs>
          <w:tab w:pos="686" w:val="left" w:leader="none"/>
        </w:tabs>
        <w:spacing w:line="240" w:lineRule="auto" w:before="0" w:after="0"/>
        <w:ind w:left="686" w:right="0" w:hanging="574"/>
        <w:jc w:val="left"/>
      </w:pPr>
      <w:bookmarkStart w:name="_TOC_250038" w:id="70"/>
      <w:r>
        <w:rPr>
          <w:color w:val="2D1E66"/>
        </w:rPr>
        <w:t>Den</w:t>
      </w:r>
      <w:r>
        <w:rPr>
          <w:color w:val="2D1E66"/>
          <w:spacing w:val="-6"/>
        </w:rPr>
        <w:t> </w:t>
      </w:r>
      <w:bookmarkEnd w:id="70"/>
      <w:r>
        <w:rPr>
          <w:color w:val="2D1E66"/>
          <w:spacing w:val="-2"/>
        </w:rPr>
        <w:t>fumigation</w:t>
      </w:r>
    </w:p>
    <w:p>
      <w:pPr>
        <w:pStyle w:val="BodyText"/>
        <w:spacing w:before="112"/>
        <w:ind w:left="112" w:right="126"/>
      </w:pPr>
      <w:r>
        <w:rPr/>
        <w:t>Historically, substances such as chloropicrin and phosphine were used to fumigate fox dens. However, in Victoria, only carbon monoxide (Den-co-Fume®, Animal Control Technologies) is registered for use as a fumigant</w:t>
      </w:r>
      <w:r>
        <w:rPr>
          <w:spacing w:val="-3"/>
        </w:rPr>
        <w:t> </w:t>
      </w:r>
      <w:r>
        <w:rPr/>
        <w:t>(Gentle</w:t>
      </w:r>
      <w:r>
        <w:rPr>
          <w:spacing w:val="-2"/>
        </w:rPr>
        <w:t> </w:t>
      </w:r>
      <w:r>
        <w:rPr/>
        <w:t>2006).</w:t>
      </w:r>
      <w:r>
        <w:rPr>
          <w:spacing w:val="-4"/>
        </w:rPr>
        <w:t> </w:t>
      </w:r>
      <w:r>
        <w:rPr/>
        <w:t>Fumigation</w:t>
      </w:r>
      <w:r>
        <w:rPr>
          <w:spacing w:val="-3"/>
        </w:rPr>
        <w:t> </w:t>
      </w:r>
      <w:r>
        <w:rPr/>
        <w:t>of</w:t>
      </w:r>
      <w:r>
        <w:rPr>
          <w:spacing w:val="-4"/>
        </w:rPr>
        <w:t> </w:t>
      </w:r>
      <w:r>
        <w:rPr/>
        <w:t>breeding</w:t>
      </w:r>
      <w:r>
        <w:rPr>
          <w:spacing w:val="-3"/>
        </w:rPr>
        <w:t> </w:t>
      </w:r>
      <w:r>
        <w:rPr/>
        <w:t>or</w:t>
      </w:r>
      <w:r>
        <w:rPr>
          <w:spacing w:val="-4"/>
        </w:rPr>
        <w:t> </w:t>
      </w:r>
      <w:r>
        <w:rPr/>
        <w:t>natal</w:t>
      </w:r>
      <w:r>
        <w:rPr>
          <w:spacing w:val="-5"/>
        </w:rPr>
        <w:t> </w:t>
      </w:r>
      <w:r>
        <w:rPr/>
        <w:t>dens</w:t>
      </w:r>
      <w:r>
        <w:rPr>
          <w:spacing w:val="-3"/>
        </w:rPr>
        <w:t> </w:t>
      </w:r>
      <w:r>
        <w:rPr/>
        <w:t>with</w:t>
      </w:r>
      <w:r>
        <w:rPr>
          <w:spacing w:val="-5"/>
        </w:rPr>
        <w:t> </w:t>
      </w:r>
      <w:r>
        <w:rPr/>
        <w:t>carbon</w:t>
      </w:r>
      <w:r>
        <w:rPr>
          <w:spacing w:val="-3"/>
        </w:rPr>
        <w:t> </w:t>
      </w:r>
      <w:r>
        <w:rPr/>
        <w:t>monoxide</w:t>
      </w:r>
      <w:r>
        <w:rPr>
          <w:spacing w:val="-5"/>
        </w:rPr>
        <w:t> </w:t>
      </w:r>
      <w:r>
        <w:rPr/>
        <w:t>gas</w:t>
      </w:r>
      <w:r>
        <w:rPr>
          <w:spacing w:val="-3"/>
        </w:rPr>
        <w:t> </w:t>
      </w:r>
      <w:r>
        <w:rPr/>
        <w:t>is</w:t>
      </w:r>
      <w:r>
        <w:rPr>
          <w:spacing w:val="-3"/>
        </w:rPr>
        <w:t> </w:t>
      </w:r>
      <w:r>
        <w:rPr/>
        <w:t>occasionally</w:t>
      </w:r>
      <w:r>
        <w:rPr>
          <w:spacing w:val="-3"/>
        </w:rPr>
        <w:t> </w:t>
      </w:r>
      <w:r>
        <w:rPr/>
        <w:t>used to</w:t>
      </w:r>
      <w:r>
        <w:rPr>
          <w:spacing w:val="-4"/>
        </w:rPr>
        <w:t> </w:t>
      </w:r>
      <w:r>
        <w:rPr/>
        <w:t>eliminate</w:t>
      </w:r>
      <w:r>
        <w:rPr>
          <w:spacing w:val="-4"/>
        </w:rPr>
        <w:t> </w:t>
      </w:r>
      <w:r>
        <w:rPr/>
        <w:t>young</w:t>
      </w:r>
      <w:r>
        <w:rPr>
          <w:spacing w:val="-1"/>
        </w:rPr>
        <w:t> </w:t>
      </w:r>
      <w:r>
        <w:rPr/>
        <w:t>cubs,</w:t>
      </w:r>
      <w:r>
        <w:rPr>
          <w:spacing w:val="-3"/>
        </w:rPr>
        <w:t> </w:t>
      </w:r>
      <w:r>
        <w:rPr/>
        <w:t>although</w:t>
      </w:r>
      <w:r>
        <w:rPr>
          <w:spacing w:val="-3"/>
        </w:rPr>
        <w:t> </w:t>
      </w:r>
      <w:r>
        <w:rPr/>
        <w:t>it</w:t>
      </w:r>
      <w:r>
        <w:rPr>
          <w:spacing w:val="-3"/>
        </w:rPr>
        <w:t> </w:t>
      </w:r>
      <w:r>
        <w:rPr/>
        <w:t>can</w:t>
      </w:r>
      <w:r>
        <w:rPr>
          <w:spacing w:val="-2"/>
        </w:rPr>
        <w:t> </w:t>
      </w:r>
      <w:r>
        <w:rPr/>
        <w:t>also</w:t>
      </w:r>
      <w:r>
        <w:rPr>
          <w:spacing w:val="-3"/>
        </w:rPr>
        <w:t> </w:t>
      </w:r>
      <w:r>
        <w:rPr/>
        <w:t>kill</w:t>
      </w:r>
      <w:r>
        <w:rPr>
          <w:spacing w:val="-4"/>
        </w:rPr>
        <w:t> </w:t>
      </w:r>
      <w:r>
        <w:rPr/>
        <w:t>adult</w:t>
      </w:r>
      <w:r>
        <w:rPr>
          <w:spacing w:val="-1"/>
        </w:rPr>
        <w:t> </w:t>
      </w:r>
      <w:r>
        <w:rPr/>
        <w:t>foxes.</w:t>
      </w:r>
      <w:r>
        <w:rPr>
          <w:spacing w:val="-3"/>
        </w:rPr>
        <w:t> </w:t>
      </w:r>
      <w:r>
        <w:rPr/>
        <w:t>Carbon</w:t>
      </w:r>
      <w:r>
        <w:rPr>
          <w:spacing w:val="-3"/>
        </w:rPr>
        <w:t> </w:t>
      </w:r>
      <w:r>
        <w:rPr/>
        <w:t>monoxide</w:t>
      </w:r>
      <w:r>
        <w:rPr>
          <w:spacing w:val="-2"/>
        </w:rPr>
        <w:t> </w:t>
      </w:r>
      <w:r>
        <w:rPr/>
        <w:t>is a</w:t>
      </w:r>
      <w:r>
        <w:rPr>
          <w:spacing w:val="-3"/>
        </w:rPr>
        <w:t> </w:t>
      </w:r>
      <w:r>
        <w:rPr/>
        <w:t>colourless,</w:t>
      </w:r>
      <w:r>
        <w:rPr>
          <w:spacing w:val="-3"/>
        </w:rPr>
        <w:t> </w:t>
      </w:r>
      <w:r>
        <w:rPr/>
        <w:t>odourless</w:t>
      </w:r>
      <w:r>
        <w:rPr>
          <w:spacing w:val="-2"/>
        </w:rPr>
        <w:t> </w:t>
      </w:r>
      <w:r>
        <w:rPr/>
        <w:t>gas that causes oxygen depletion, leading to unconsciousness and rapid, painless death without noticeable discomfort (Hart</w:t>
      </w:r>
      <w:r>
        <w:rPr>
          <w:spacing w:val="-2"/>
        </w:rPr>
        <w:t> </w:t>
      </w:r>
      <w:r>
        <w:rPr/>
        <w:t>et</w:t>
      </w:r>
      <w:r>
        <w:rPr>
          <w:spacing w:val="-1"/>
        </w:rPr>
        <w:t> </w:t>
      </w:r>
      <w:r>
        <w:rPr/>
        <w:t>al.</w:t>
      </w:r>
      <w:r>
        <w:rPr>
          <w:spacing w:val="-3"/>
        </w:rPr>
        <w:t> </w:t>
      </w:r>
      <w:r>
        <w:rPr/>
        <w:t>1996).</w:t>
      </w:r>
      <w:r>
        <w:rPr>
          <w:spacing w:val="-3"/>
        </w:rPr>
        <w:t> </w:t>
      </w:r>
      <w:r>
        <w:rPr/>
        <w:t>Den</w:t>
      </w:r>
      <w:r>
        <w:rPr>
          <w:spacing w:val="-4"/>
        </w:rPr>
        <w:t> </w:t>
      </w:r>
      <w:r>
        <w:rPr/>
        <w:t>fumigation</w:t>
      </w:r>
      <w:r>
        <w:rPr>
          <w:spacing w:val="-3"/>
        </w:rPr>
        <w:t> </w:t>
      </w:r>
      <w:r>
        <w:rPr/>
        <w:t>with</w:t>
      </w:r>
      <w:r>
        <w:rPr>
          <w:spacing w:val="-4"/>
        </w:rPr>
        <w:t> </w:t>
      </w:r>
      <w:r>
        <w:rPr/>
        <w:t>CO</w:t>
      </w:r>
      <w:r>
        <w:rPr>
          <w:spacing w:val="-2"/>
        </w:rPr>
        <w:t> </w:t>
      </w:r>
      <w:r>
        <w:rPr/>
        <w:t>reduced fox</w:t>
      </w:r>
      <w:r>
        <w:rPr>
          <w:spacing w:val="-2"/>
        </w:rPr>
        <w:t> </w:t>
      </w:r>
      <w:r>
        <w:rPr/>
        <w:t>cub</w:t>
      </w:r>
      <w:r>
        <w:rPr>
          <w:spacing w:val="-2"/>
        </w:rPr>
        <w:t> </w:t>
      </w:r>
      <w:r>
        <w:rPr/>
        <w:t>activity by</w:t>
      </w:r>
      <w:r>
        <w:rPr>
          <w:spacing w:val="-2"/>
        </w:rPr>
        <w:t> </w:t>
      </w:r>
      <w:r>
        <w:rPr/>
        <w:t>80%</w:t>
      </w:r>
      <w:r>
        <w:rPr>
          <w:spacing w:val="-3"/>
        </w:rPr>
        <w:t> </w:t>
      </w:r>
      <w:r>
        <w:rPr/>
        <w:t>compared</w:t>
      </w:r>
      <w:r>
        <w:rPr>
          <w:spacing w:val="-3"/>
        </w:rPr>
        <w:t> </w:t>
      </w:r>
      <w:r>
        <w:rPr/>
        <w:t>to</w:t>
      </w:r>
      <w:r>
        <w:rPr>
          <w:spacing w:val="-1"/>
        </w:rPr>
        <w:t> </w:t>
      </w:r>
      <w:r>
        <w:rPr/>
        <w:t>dens</w:t>
      </w:r>
      <w:r>
        <w:rPr>
          <w:spacing w:val="-2"/>
        </w:rPr>
        <w:t> </w:t>
      </w:r>
      <w:r>
        <w:rPr/>
        <w:t>that were closed but not fumigated (KTRI 1995). However, this method is not effective as a general, large-scale fox control strategy (Sharp 2012d).</w:t>
      </w:r>
    </w:p>
    <w:p>
      <w:pPr>
        <w:pStyle w:val="BodyText"/>
        <w:spacing w:before="119"/>
        <w:ind w:left="112" w:right="142"/>
      </w:pPr>
      <w:r>
        <w:rPr/>
        <w:t>Fumigating fox dens is a challenging and labour-intensive task, primarily due to the difficulty of locating the dens</w:t>
      </w:r>
      <w:r>
        <w:rPr>
          <w:spacing w:val="-1"/>
        </w:rPr>
        <w:t> </w:t>
      </w:r>
      <w:r>
        <w:rPr/>
        <w:t>(Carter et</w:t>
      </w:r>
      <w:r>
        <w:rPr>
          <w:spacing w:val="-3"/>
        </w:rPr>
        <w:t> </w:t>
      </w:r>
      <w:r>
        <w:rPr/>
        <w:t>al.</w:t>
      </w:r>
      <w:r>
        <w:rPr>
          <w:spacing w:val="-1"/>
        </w:rPr>
        <w:t> </w:t>
      </w:r>
      <w:r>
        <w:rPr/>
        <w:t>2012;</w:t>
      </w:r>
      <w:r>
        <w:rPr>
          <w:spacing w:val="-3"/>
        </w:rPr>
        <w:t> </w:t>
      </w:r>
      <w:r>
        <w:rPr/>
        <w:t>Hart</w:t>
      </w:r>
      <w:r>
        <w:rPr>
          <w:spacing w:val="-3"/>
        </w:rPr>
        <w:t> </w:t>
      </w:r>
      <w:r>
        <w:rPr/>
        <w:t>et</w:t>
      </w:r>
      <w:r>
        <w:rPr>
          <w:spacing w:val="-3"/>
        </w:rPr>
        <w:t> </w:t>
      </w:r>
      <w:r>
        <w:rPr/>
        <w:t>al.</w:t>
      </w:r>
      <w:r>
        <w:rPr>
          <w:spacing w:val="-1"/>
        </w:rPr>
        <w:t> </w:t>
      </w:r>
      <w:r>
        <w:rPr/>
        <w:t>1996).</w:t>
      </w:r>
      <w:r>
        <w:rPr>
          <w:spacing w:val="-3"/>
        </w:rPr>
        <w:t> </w:t>
      </w:r>
      <w:r>
        <w:rPr/>
        <w:t>Dens</w:t>
      </w:r>
      <w:r>
        <w:rPr>
          <w:spacing w:val="-2"/>
        </w:rPr>
        <w:t> </w:t>
      </w:r>
      <w:r>
        <w:rPr/>
        <w:t>are</w:t>
      </w:r>
      <w:r>
        <w:rPr>
          <w:spacing w:val="-3"/>
        </w:rPr>
        <w:t> </w:t>
      </w:r>
      <w:r>
        <w:rPr/>
        <w:t>typically</w:t>
      </w:r>
      <w:r>
        <w:rPr>
          <w:spacing w:val="-2"/>
        </w:rPr>
        <w:t> </w:t>
      </w:r>
      <w:r>
        <w:rPr/>
        <w:t>used</w:t>
      </w:r>
      <w:r>
        <w:rPr>
          <w:spacing w:val="-1"/>
        </w:rPr>
        <w:t> </w:t>
      </w:r>
      <w:r>
        <w:rPr/>
        <w:t>only</w:t>
      </w:r>
      <w:r>
        <w:rPr>
          <w:spacing w:val="-2"/>
        </w:rPr>
        <w:t> </w:t>
      </w:r>
      <w:r>
        <w:rPr/>
        <w:t>during</w:t>
      </w:r>
      <w:r>
        <w:rPr>
          <w:spacing w:val="-2"/>
        </w:rPr>
        <w:t> </w:t>
      </w:r>
      <w:r>
        <w:rPr/>
        <w:t>the</w:t>
      </w:r>
      <w:r>
        <w:rPr>
          <w:spacing w:val="-1"/>
        </w:rPr>
        <w:t> </w:t>
      </w:r>
      <w:r>
        <w:rPr/>
        <w:t>whelping</w:t>
      </w:r>
      <w:r>
        <w:rPr>
          <w:spacing w:val="-2"/>
        </w:rPr>
        <w:t> </w:t>
      </w:r>
      <w:r>
        <w:rPr/>
        <w:t>and</w:t>
      </w:r>
      <w:r>
        <w:rPr>
          <w:spacing w:val="-3"/>
        </w:rPr>
        <w:t> </w:t>
      </w:r>
      <w:r>
        <w:rPr/>
        <w:t>cub-rearing period (usually from early spring to summer), limiting the window for effective fumigation to this timeframe (Saunders et al. 1995, 2010). A recent survey of ACUP users found that only 12% of respondents would consider fumigation if 1080 were no longer available, and just 1% regarded it as the primary tool for fox control (Quantum Market Research 2024).</w:t>
      </w:r>
    </w:p>
    <w:p>
      <w:pPr>
        <w:pStyle w:val="BodyText"/>
        <w:spacing w:before="120"/>
        <w:ind w:left="112" w:right="142"/>
      </w:pPr>
      <w:r>
        <w:rPr/>
        <w:t>Building a den requires considerable energy, which is why many dens are reused in successive breeding seasons. If dens are not subsequently destroyed, fumigation will allow them to be recolonised in the next breeding</w:t>
      </w:r>
      <w:r>
        <w:rPr>
          <w:spacing w:val="-2"/>
        </w:rPr>
        <w:t> </w:t>
      </w:r>
      <w:r>
        <w:rPr/>
        <w:t>season.</w:t>
      </w:r>
      <w:r>
        <w:rPr>
          <w:spacing w:val="-2"/>
        </w:rPr>
        <w:t> </w:t>
      </w:r>
      <w:r>
        <w:rPr/>
        <w:t>If</w:t>
      </w:r>
      <w:r>
        <w:rPr>
          <w:spacing w:val="-4"/>
        </w:rPr>
        <w:t> </w:t>
      </w:r>
      <w:r>
        <w:rPr/>
        <w:t>machinery</w:t>
      </w:r>
      <w:r>
        <w:rPr>
          <w:spacing w:val="-2"/>
        </w:rPr>
        <w:t> </w:t>
      </w:r>
      <w:r>
        <w:rPr/>
        <w:t>can</w:t>
      </w:r>
      <w:r>
        <w:rPr>
          <w:spacing w:val="-5"/>
        </w:rPr>
        <w:t> </w:t>
      </w:r>
      <w:r>
        <w:rPr/>
        <w:t>access</w:t>
      </w:r>
      <w:r>
        <w:rPr>
          <w:spacing w:val="-3"/>
        </w:rPr>
        <w:t> </w:t>
      </w:r>
      <w:r>
        <w:rPr/>
        <w:t>the</w:t>
      </w:r>
      <w:r>
        <w:rPr>
          <w:spacing w:val="-4"/>
        </w:rPr>
        <w:t> </w:t>
      </w:r>
      <w:r>
        <w:rPr/>
        <w:t>dens,</w:t>
      </w:r>
      <w:r>
        <w:rPr>
          <w:spacing w:val="-4"/>
        </w:rPr>
        <w:t> </w:t>
      </w:r>
      <w:r>
        <w:rPr/>
        <w:t>deep</w:t>
      </w:r>
      <w:r>
        <w:rPr>
          <w:spacing w:val="-4"/>
        </w:rPr>
        <w:t> </w:t>
      </w:r>
      <w:r>
        <w:rPr/>
        <w:t>ripping</w:t>
      </w:r>
      <w:r>
        <w:rPr>
          <w:spacing w:val="-2"/>
        </w:rPr>
        <w:t> </w:t>
      </w:r>
      <w:r>
        <w:rPr/>
        <w:t>may</w:t>
      </w:r>
      <w:r>
        <w:rPr>
          <w:spacing w:val="-3"/>
        </w:rPr>
        <w:t> </w:t>
      </w:r>
      <w:r>
        <w:rPr/>
        <w:t>be</w:t>
      </w:r>
      <w:r>
        <w:rPr>
          <w:spacing w:val="-4"/>
        </w:rPr>
        <w:t> </w:t>
      </w:r>
      <w:r>
        <w:rPr/>
        <w:t>employed</w:t>
      </w:r>
      <w:r>
        <w:rPr>
          <w:spacing w:val="-5"/>
        </w:rPr>
        <w:t> </w:t>
      </w:r>
      <w:r>
        <w:rPr/>
        <w:t>to</w:t>
      </w:r>
      <w:r>
        <w:rPr>
          <w:spacing w:val="-2"/>
        </w:rPr>
        <w:t> </w:t>
      </w:r>
      <w:r>
        <w:rPr/>
        <w:t>destroy</w:t>
      </w:r>
      <w:r>
        <w:rPr>
          <w:spacing w:val="-3"/>
        </w:rPr>
        <w:t> </w:t>
      </w:r>
      <w:r>
        <w:rPr/>
        <w:t>them.</w:t>
      </w:r>
      <w:r>
        <w:rPr>
          <w:spacing w:val="-2"/>
        </w:rPr>
        <w:t> </w:t>
      </w:r>
      <w:r>
        <w:rPr/>
        <w:t>Dens can also be collapsed using explosives, filled with soil, or blocked with rocks or wire mesh to prevent re- </w:t>
      </w:r>
      <w:r>
        <w:rPr>
          <w:spacing w:val="-2"/>
        </w:rPr>
        <w:t>entry.</w:t>
      </w:r>
    </w:p>
    <w:p>
      <w:pPr>
        <w:pStyle w:val="BodyText"/>
        <w:spacing w:before="157"/>
      </w:pPr>
    </w:p>
    <w:p>
      <w:pPr>
        <w:pStyle w:val="Heading3"/>
        <w:numPr>
          <w:ilvl w:val="1"/>
          <w:numId w:val="17"/>
        </w:numPr>
        <w:tabs>
          <w:tab w:pos="686" w:val="left" w:leader="none"/>
        </w:tabs>
        <w:spacing w:line="240" w:lineRule="auto" w:before="1" w:after="0"/>
        <w:ind w:left="686" w:right="0" w:hanging="574"/>
        <w:jc w:val="left"/>
      </w:pPr>
      <w:bookmarkStart w:name="_TOC_250037" w:id="71"/>
      <w:bookmarkEnd w:id="71"/>
      <w:r>
        <w:rPr>
          <w:color w:val="2D1E66"/>
          <w:spacing w:val="-2"/>
        </w:rPr>
        <w:t>Cost-effectiveness</w:t>
      </w:r>
    </w:p>
    <w:p>
      <w:pPr>
        <w:pStyle w:val="Heading5"/>
        <w:numPr>
          <w:ilvl w:val="2"/>
          <w:numId w:val="17"/>
        </w:numPr>
        <w:tabs>
          <w:tab w:pos="831" w:val="left" w:leader="none"/>
        </w:tabs>
        <w:spacing w:line="240" w:lineRule="auto" w:before="138" w:after="0"/>
        <w:ind w:left="831" w:right="0" w:hanging="719"/>
        <w:jc w:val="left"/>
      </w:pPr>
      <w:bookmarkStart w:name="_TOC_250036" w:id="72"/>
      <w:r>
        <w:rPr/>
        <w:t>Ground</w:t>
      </w:r>
      <w:r>
        <w:rPr>
          <w:spacing w:val="-5"/>
        </w:rPr>
        <w:t> </w:t>
      </w:r>
      <w:r>
        <w:rPr/>
        <w:t>baiting</w:t>
      </w:r>
      <w:r>
        <w:rPr>
          <w:spacing w:val="-5"/>
        </w:rPr>
        <w:t> </w:t>
      </w:r>
      <w:r>
        <w:rPr/>
        <w:t>(1080</w:t>
      </w:r>
      <w:r>
        <w:rPr>
          <w:spacing w:val="-4"/>
        </w:rPr>
        <w:t> </w:t>
      </w:r>
      <w:r>
        <w:rPr/>
        <w:t>and</w:t>
      </w:r>
      <w:r>
        <w:rPr>
          <w:spacing w:val="-2"/>
        </w:rPr>
        <w:t> </w:t>
      </w:r>
      <w:r>
        <w:rPr/>
        <w:t>PAPP)</w:t>
      </w:r>
      <w:r>
        <w:rPr>
          <w:spacing w:val="-3"/>
        </w:rPr>
        <w:t> </w:t>
      </w:r>
      <w:r>
        <w:rPr/>
        <w:t>and</w:t>
      </w:r>
      <w:r>
        <w:rPr>
          <w:spacing w:val="-2"/>
        </w:rPr>
        <w:t> </w:t>
      </w:r>
      <w:bookmarkEnd w:id="72"/>
      <w:r>
        <w:rPr>
          <w:spacing w:val="-4"/>
        </w:rPr>
        <w:t>CPEs</w:t>
      </w:r>
    </w:p>
    <w:p>
      <w:pPr>
        <w:pStyle w:val="BodyText"/>
        <w:spacing w:before="57"/>
        <w:ind w:left="112" w:right="173"/>
      </w:pPr>
      <w:r>
        <w:rPr/>
        <w:t>Gentle</w:t>
      </w:r>
      <w:r>
        <w:rPr>
          <w:spacing w:val="-2"/>
        </w:rPr>
        <w:t> </w:t>
      </w:r>
      <w:r>
        <w:rPr/>
        <w:t>(2005),</w:t>
      </w:r>
      <w:r>
        <w:rPr>
          <w:spacing w:val="-3"/>
        </w:rPr>
        <w:t> </w:t>
      </w:r>
      <w:r>
        <w:rPr/>
        <w:t>using</w:t>
      </w:r>
      <w:r>
        <w:rPr>
          <w:spacing w:val="-4"/>
        </w:rPr>
        <w:t> </w:t>
      </w:r>
      <w:r>
        <w:rPr/>
        <w:t>the</w:t>
      </w:r>
      <w:r>
        <w:rPr>
          <w:spacing w:val="-4"/>
        </w:rPr>
        <w:t> </w:t>
      </w:r>
      <w:r>
        <w:rPr/>
        <w:t>cost</w:t>
      </w:r>
      <w:r>
        <w:rPr>
          <w:spacing w:val="-3"/>
        </w:rPr>
        <w:t> </w:t>
      </w:r>
      <w:r>
        <w:rPr/>
        <w:t>per</w:t>
      </w:r>
      <w:r>
        <w:rPr>
          <w:spacing w:val="-3"/>
        </w:rPr>
        <w:t> </w:t>
      </w:r>
      <w:r>
        <w:rPr/>
        <w:t>bait</w:t>
      </w:r>
      <w:r>
        <w:rPr>
          <w:spacing w:val="-3"/>
        </w:rPr>
        <w:t> </w:t>
      </w:r>
      <w:r>
        <w:rPr/>
        <w:t>consumed</w:t>
      </w:r>
      <w:r>
        <w:rPr>
          <w:spacing w:val="-3"/>
        </w:rPr>
        <w:t> </w:t>
      </w:r>
      <w:r>
        <w:rPr/>
        <w:t>by</w:t>
      </w:r>
      <w:r>
        <w:rPr>
          <w:spacing w:val="-2"/>
        </w:rPr>
        <w:t> </w:t>
      </w:r>
      <w:r>
        <w:rPr/>
        <w:t>foxes</w:t>
      </w:r>
      <w:r>
        <w:rPr>
          <w:spacing w:val="-2"/>
        </w:rPr>
        <w:t> </w:t>
      </w:r>
      <w:r>
        <w:rPr/>
        <w:t>or</w:t>
      </w:r>
      <w:r>
        <w:rPr>
          <w:spacing w:val="-3"/>
        </w:rPr>
        <w:t> </w:t>
      </w:r>
      <w:r>
        <w:rPr/>
        <w:t>per lethal</w:t>
      </w:r>
      <w:r>
        <w:rPr>
          <w:spacing w:val="-2"/>
        </w:rPr>
        <w:t> </w:t>
      </w:r>
      <w:r>
        <w:rPr/>
        <w:t>bait</w:t>
      </w:r>
      <w:r>
        <w:rPr>
          <w:spacing w:val="-3"/>
        </w:rPr>
        <w:t> </w:t>
      </w:r>
      <w:r>
        <w:rPr/>
        <w:t>presented,</w:t>
      </w:r>
      <w:r>
        <w:rPr>
          <w:spacing w:val="-3"/>
        </w:rPr>
        <w:t> </w:t>
      </w:r>
      <w:r>
        <w:rPr/>
        <w:t>found</w:t>
      </w:r>
      <w:r>
        <w:rPr>
          <w:spacing w:val="-3"/>
        </w:rPr>
        <w:t> </w:t>
      </w:r>
      <w:r>
        <w:rPr/>
        <w:t>that</w:t>
      </w:r>
      <w:r>
        <w:rPr>
          <w:spacing w:val="-3"/>
        </w:rPr>
        <w:t> </w:t>
      </w:r>
      <w:r>
        <w:rPr/>
        <w:t>fresh</w:t>
      </w:r>
      <w:r>
        <w:rPr>
          <w:spacing w:val="-1"/>
        </w:rPr>
        <w:t> </w:t>
      </w:r>
      <w:r>
        <w:rPr/>
        <w:t>meat baits (e.g. chicken wings, day-old chicks) were more cost-effective for short campaigns (up to four weeks) than manufactured baits (FOXOFF), due to their higher palatability, despite having a shorter longevity. He concluded that maximising cost-efficiency depends on using highly palatable baits, although practical considerations, such as bait storage, also play a role.</w:t>
      </w:r>
    </w:p>
    <w:p>
      <w:pPr>
        <w:pStyle w:val="BodyText"/>
        <w:spacing w:before="119"/>
        <w:ind w:left="112" w:right="173"/>
      </w:pPr>
      <w:r>
        <w:rPr/>
        <w:t>Newsome et al. (2014) investigated the relative cost-effectiveness of baiting and shooting for fox control. They estimated the density of foxes on an agricultural study property in south-east New South Wales using distance sampling and rates of bait uptake before and after a control</w:t>
      </w:r>
      <w:r>
        <w:rPr>
          <w:spacing w:val="-1"/>
        </w:rPr>
        <w:t> </w:t>
      </w:r>
      <w:r>
        <w:rPr/>
        <w:t>programme. Using</w:t>
      </w:r>
      <w:r>
        <w:rPr>
          <w:spacing w:val="-1"/>
        </w:rPr>
        <w:t> </w:t>
      </w:r>
      <w:r>
        <w:rPr/>
        <w:t>the estimated costs associated</w:t>
      </w:r>
      <w:r>
        <w:rPr>
          <w:spacing w:val="-2"/>
        </w:rPr>
        <w:t> </w:t>
      </w:r>
      <w:r>
        <w:rPr/>
        <w:t>with</w:t>
      </w:r>
      <w:r>
        <w:rPr>
          <w:spacing w:val="-4"/>
        </w:rPr>
        <w:t> </w:t>
      </w:r>
      <w:r>
        <w:rPr/>
        <w:t>the</w:t>
      </w:r>
      <w:r>
        <w:rPr>
          <w:spacing w:val="-4"/>
        </w:rPr>
        <w:t> </w:t>
      </w:r>
      <w:r>
        <w:rPr/>
        <w:t>control</w:t>
      </w:r>
      <w:r>
        <w:rPr>
          <w:spacing w:val="-3"/>
        </w:rPr>
        <w:t> </w:t>
      </w:r>
      <w:r>
        <w:rPr/>
        <w:t>programme,</w:t>
      </w:r>
      <w:r>
        <w:rPr>
          <w:spacing w:val="-2"/>
        </w:rPr>
        <w:t> </w:t>
      </w:r>
      <w:r>
        <w:rPr/>
        <w:t>they</w:t>
      </w:r>
      <w:r>
        <w:rPr>
          <w:spacing w:val="-3"/>
        </w:rPr>
        <w:t> </w:t>
      </w:r>
      <w:r>
        <w:rPr/>
        <w:t>calculated</w:t>
      </w:r>
      <w:r>
        <w:rPr>
          <w:spacing w:val="-4"/>
        </w:rPr>
        <w:t> </w:t>
      </w:r>
      <w:r>
        <w:rPr/>
        <w:t>a</w:t>
      </w:r>
      <w:r>
        <w:rPr>
          <w:spacing w:val="-5"/>
        </w:rPr>
        <w:t> </w:t>
      </w:r>
      <w:r>
        <w:rPr/>
        <w:t>kill-per-unit-effort</w:t>
      </w:r>
      <w:r>
        <w:rPr>
          <w:spacing w:val="-4"/>
        </w:rPr>
        <w:t> </w:t>
      </w:r>
      <w:r>
        <w:rPr/>
        <w:t>value,</w:t>
      </w:r>
      <w:r>
        <w:rPr>
          <w:spacing w:val="-2"/>
        </w:rPr>
        <w:t> </w:t>
      </w:r>
      <w:r>
        <w:rPr/>
        <w:t>which</w:t>
      </w:r>
      <w:r>
        <w:rPr>
          <w:spacing w:val="-2"/>
        </w:rPr>
        <w:t> </w:t>
      </w:r>
      <w:r>
        <w:rPr/>
        <w:t>was</w:t>
      </w:r>
      <w:r>
        <w:rPr>
          <w:spacing w:val="-3"/>
        </w:rPr>
        <w:t> </w:t>
      </w:r>
      <w:r>
        <w:rPr/>
        <w:t>then</w:t>
      </w:r>
      <w:r>
        <w:rPr>
          <w:spacing w:val="-5"/>
        </w:rPr>
        <w:t> </w:t>
      </w:r>
      <w:r>
        <w:rPr/>
        <w:t>compared to the costs of baiting from (Gentle 2005). A total of 66 hours were spent shooting, removing 47 foxes at a total cost of $2,440.71, equating to a kill-per-unit-effort value of $51.84 per fox. According to Gentle (2005), higher kill rates than those obtained during the shooting programme could be achieved, with bait uptake rates of 50% after a 28-day campaign using FOXOFF, at a cost of $2,071.51.</w:t>
      </w:r>
    </w:p>
    <w:p>
      <w:pPr>
        <w:pStyle w:val="BodyText"/>
        <w:spacing w:before="122"/>
        <w:ind w:left="112" w:right="173"/>
      </w:pPr>
      <w:r>
        <w:rPr/>
        <w:t>There</w:t>
      </w:r>
      <w:r>
        <w:rPr>
          <w:spacing w:val="-4"/>
        </w:rPr>
        <w:t> </w:t>
      </w:r>
      <w:r>
        <w:rPr/>
        <w:t>are</w:t>
      </w:r>
      <w:r>
        <w:rPr>
          <w:spacing w:val="-2"/>
        </w:rPr>
        <w:t> </w:t>
      </w:r>
      <w:r>
        <w:rPr/>
        <w:t>no</w:t>
      </w:r>
      <w:r>
        <w:rPr>
          <w:spacing w:val="-5"/>
        </w:rPr>
        <w:t> </w:t>
      </w:r>
      <w:r>
        <w:rPr/>
        <w:t>studies</w:t>
      </w:r>
      <w:r>
        <w:rPr>
          <w:spacing w:val="-3"/>
        </w:rPr>
        <w:t> </w:t>
      </w:r>
      <w:r>
        <w:rPr/>
        <w:t>comparing</w:t>
      </w:r>
      <w:r>
        <w:rPr>
          <w:spacing w:val="-2"/>
        </w:rPr>
        <w:t> </w:t>
      </w:r>
      <w:r>
        <w:rPr/>
        <w:t>the</w:t>
      </w:r>
      <w:r>
        <w:rPr>
          <w:spacing w:val="-5"/>
        </w:rPr>
        <w:t> </w:t>
      </w:r>
      <w:r>
        <w:rPr/>
        <w:t>cost-effectiveness</w:t>
      </w:r>
      <w:r>
        <w:rPr>
          <w:spacing w:val="-3"/>
        </w:rPr>
        <w:t> </w:t>
      </w:r>
      <w:r>
        <w:rPr/>
        <w:t>of</w:t>
      </w:r>
      <w:r>
        <w:rPr>
          <w:spacing w:val="-4"/>
        </w:rPr>
        <w:t> </w:t>
      </w:r>
      <w:r>
        <w:rPr/>
        <w:t>FOXOFF</w:t>
      </w:r>
      <w:r>
        <w:rPr>
          <w:spacing w:val="-3"/>
        </w:rPr>
        <w:t> </w:t>
      </w:r>
      <w:r>
        <w:rPr/>
        <w:t>and</w:t>
      </w:r>
      <w:r>
        <w:rPr>
          <w:spacing w:val="-5"/>
        </w:rPr>
        <w:t> </w:t>
      </w:r>
      <w:r>
        <w:rPr/>
        <w:t>FOXECUTE.</w:t>
      </w:r>
      <w:r>
        <w:rPr>
          <w:spacing w:val="-4"/>
        </w:rPr>
        <w:t> </w:t>
      </w:r>
      <w:r>
        <w:rPr/>
        <w:t>In</w:t>
      </w:r>
      <w:r>
        <w:rPr>
          <w:spacing w:val="-3"/>
        </w:rPr>
        <w:t> </w:t>
      </w:r>
      <w:r>
        <w:rPr/>
        <w:t>terms</w:t>
      </w:r>
      <w:r>
        <w:rPr>
          <w:spacing w:val="-3"/>
        </w:rPr>
        <w:t> </w:t>
      </w:r>
      <w:r>
        <w:rPr/>
        <w:t>of</w:t>
      </w:r>
      <w:r>
        <w:rPr>
          <w:spacing w:val="-2"/>
        </w:rPr>
        <w:t> </w:t>
      </w:r>
      <w:r>
        <w:rPr/>
        <w:t>the</w:t>
      </w:r>
      <w:r>
        <w:rPr>
          <w:spacing w:val="-2"/>
        </w:rPr>
        <w:t> </w:t>
      </w:r>
      <w:r>
        <w:rPr/>
        <w:t>relative cost of each bait type, FOXECUTE baits are approximately 55% more expensive than FOXOFF (FOXOFF</w:t>
      </w:r>
    </w:p>
    <w:p>
      <w:pPr>
        <w:pStyle w:val="BodyText"/>
        <w:ind w:left="112" w:right="117"/>
      </w:pPr>
      <w:r>
        <w:rPr/>
        <w:t>$1.35/bait, FOXECUTE $2.43/bait). However, the cost of bait is a relatively minor component of the total budget for the on-ground delivery of a fox programme. For instance, a large-scale fox control project in eastern Victoria costs around $1 million annually to deliver, covering salaries, vehicles, and labour for all aspects of</w:t>
      </w:r>
      <w:r>
        <w:rPr>
          <w:spacing w:val="-1"/>
        </w:rPr>
        <w:t> </w:t>
      </w:r>
      <w:r>
        <w:rPr/>
        <w:t>the</w:t>
      </w:r>
      <w:r>
        <w:rPr>
          <w:spacing w:val="-2"/>
        </w:rPr>
        <w:t> </w:t>
      </w:r>
      <w:r>
        <w:rPr/>
        <w:t>project.</w:t>
      </w:r>
      <w:r>
        <w:rPr>
          <w:spacing w:val="-1"/>
        </w:rPr>
        <w:t> </w:t>
      </w:r>
      <w:r>
        <w:rPr/>
        <w:t>The cost</w:t>
      </w:r>
      <w:r>
        <w:rPr>
          <w:spacing w:val="-1"/>
        </w:rPr>
        <w:t> </w:t>
      </w:r>
      <w:r>
        <w:rPr/>
        <w:t>of</w:t>
      </w:r>
      <w:r>
        <w:rPr>
          <w:spacing w:val="-1"/>
        </w:rPr>
        <w:t> </w:t>
      </w:r>
      <w:r>
        <w:rPr/>
        <w:t>FOXOFF for delivering</w:t>
      </w:r>
      <w:r>
        <w:rPr>
          <w:spacing w:val="-2"/>
        </w:rPr>
        <w:t> </w:t>
      </w:r>
      <w:r>
        <w:rPr/>
        <w:t>nine rounds of baiting</w:t>
      </w:r>
      <w:r>
        <w:rPr>
          <w:spacing w:val="-1"/>
        </w:rPr>
        <w:t> </w:t>
      </w:r>
      <w:r>
        <w:rPr/>
        <w:t>across 3,500</w:t>
      </w:r>
      <w:r>
        <w:rPr>
          <w:spacing w:val="-1"/>
        </w:rPr>
        <w:t> </w:t>
      </w:r>
      <w:r>
        <w:rPr/>
        <w:t>bait</w:t>
      </w:r>
      <w:r>
        <w:rPr>
          <w:spacing w:val="-1"/>
        </w:rPr>
        <w:t> </w:t>
      </w:r>
      <w:r>
        <w:rPr/>
        <w:t>stations is approximately</w:t>
      </w:r>
      <w:r>
        <w:rPr>
          <w:spacing w:val="-3"/>
        </w:rPr>
        <w:t> </w:t>
      </w:r>
      <w:r>
        <w:rPr/>
        <w:t>$50.5K,</w:t>
      </w:r>
      <w:r>
        <w:rPr>
          <w:spacing w:val="-2"/>
        </w:rPr>
        <w:t> </w:t>
      </w:r>
      <w:r>
        <w:rPr/>
        <w:t>or</w:t>
      </w:r>
      <w:r>
        <w:rPr>
          <w:spacing w:val="-4"/>
        </w:rPr>
        <w:t> </w:t>
      </w:r>
      <w:r>
        <w:rPr/>
        <w:t>about</w:t>
      </w:r>
      <w:r>
        <w:rPr>
          <w:spacing w:val="-2"/>
        </w:rPr>
        <w:t> </w:t>
      </w:r>
      <w:r>
        <w:rPr/>
        <w:t>5%</w:t>
      </w:r>
      <w:r>
        <w:rPr>
          <w:spacing w:val="-4"/>
        </w:rPr>
        <w:t> </w:t>
      </w:r>
      <w:r>
        <w:rPr/>
        <w:t>of</w:t>
      </w:r>
      <w:r>
        <w:rPr>
          <w:spacing w:val="-2"/>
        </w:rPr>
        <w:t> </w:t>
      </w:r>
      <w:r>
        <w:rPr/>
        <w:t>the</w:t>
      </w:r>
      <w:r>
        <w:rPr>
          <w:spacing w:val="-2"/>
        </w:rPr>
        <w:t> </w:t>
      </w:r>
      <w:r>
        <w:rPr/>
        <w:t>total</w:t>
      </w:r>
      <w:r>
        <w:rPr>
          <w:spacing w:val="-3"/>
        </w:rPr>
        <w:t> </w:t>
      </w:r>
      <w:r>
        <w:rPr/>
        <w:t>budget.</w:t>
      </w:r>
      <w:r>
        <w:rPr>
          <w:spacing w:val="-2"/>
        </w:rPr>
        <w:t> </w:t>
      </w:r>
      <w:r>
        <w:rPr/>
        <w:t>Replacing</w:t>
      </w:r>
      <w:r>
        <w:rPr>
          <w:spacing w:val="-4"/>
        </w:rPr>
        <w:t> </w:t>
      </w:r>
      <w:r>
        <w:rPr/>
        <w:t>FOXOFF</w:t>
      </w:r>
      <w:r>
        <w:rPr>
          <w:spacing w:val="-3"/>
        </w:rPr>
        <w:t> </w:t>
      </w:r>
      <w:r>
        <w:rPr/>
        <w:t>with</w:t>
      </w:r>
      <w:r>
        <w:rPr>
          <w:spacing w:val="-5"/>
        </w:rPr>
        <w:t> </w:t>
      </w:r>
      <w:r>
        <w:rPr/>
        <w:t>FOXECUTE</w:t>
      </w:r>
      <w:r>
        <w:rPr>
          <w:spacing w:val="-4"/>
        </w:rPr>
        <w:t> </w:t>
      </w:r>
      <w:r>
        <w:rPr/>
        <w:t>would</w:t>
      </w:r>
      <w:r>
        <w:rPr>
          <w:spacing w:val="-4"/>
        </w:rPr>
        <w:t> </w:t>
      </w:r>
      <w:r>
        <w:rPr/>
        <w:t>increase the cost to roughly $78K, or 8% of the overall project delivery budget, a 3% increase. Since PAPP baits are as</w:t>
      </w:r>
      <w:r>
        <w:rPr>
          <w:spacing w:val="-3"/>
        </w:rPr>
        <w:t> </w:t>
      </w:r>
      <w:r>
        <w:rPr/>
        <w:t>effective</w:t>
      </w:r>
      <w:r>
        <w:rPr>
          <w:spacing w:val="-4"/>
        </w:rPr>
        <w:t> </w:t>
      </w:r>
      <w:r>
        <w:rPr/>
        <w:t>as</w:t>
      </w:r>
      <w:r>
        <w:rPr>
          <w:spacing w:val="-3"/>
        </w:rPr>
        <w:t> </w:t>
      </w:r>
      <w:r>
        <w:rPr/>
        <w:t>FOXOFF</w:t>
      </w:r>
      <w:r>
        <w:rPr>
          <w:spacing w:val="-3"/>
        </w:rPr>
        <w:t> </w:t>
      </w:r>
      <w:r>
        <w:rPr/>
        <w:t>at reducing</w:t>
      </w:r>
      <w:r>
        <w:rPr>
          <w:spacing w:val="-4"/>
        </w:rPr>
        <w:t> </w:t>
      </w:r>
      <w:r>
        <w:rPr/>
        <w:t>fox</w:t>
      </w:r>
      <w:r>
        <w:rPr>
          <w:spacing w:val="-1"/>
        </w:rPr>
        <w:t> </w:t>
      </w:r>
      <w:r>
        <w:rPr/>
        <w:t>populations</w:t>
      </w:r>
      <w:r>
        <w:rPr>
          <w:spacing w:val="-3"/>
        </w:rPr>
        <w:t> </w:t>
      </w:r>
      <w:r>
        <w:rPr/>
        <w:t>(65–80%</w:t>
      </w:r>
      <w:r>
        <w:rPr>
          <w:spacing w:val="-4"/>
        </w:rPr>
        <w:t> </w:t>
      </w:r>
      <w:r>
        <w:rPr/>
        <w:t>reductions</w:t>
      </w:r>
      <w:r>
        <w:rPr>
          <w:spacing w:val="-1"/>
        </w:rPr>
        <w:t> </w:t>
      </w:r>
      <w:r>
        <w:rPr/>
        <w:t>in</w:t>
      </w:r>
      <w:r>
        <w:rPr>
          <w:spacing w:val="-2"/>
        </w:rPr>
        <w:t> </w:t>
      </w:r>
      <w:r>
        <w:rPr/>
        <w:t>abundance)</w:t>
      </w:r>
      <w:r>
        <w:rPr>
          <w:spacing w:val="-4"/>
        </w:rPr>
        <w:t> </w:t>
      </w:r>
      <w:r>
        <w:rPr/>
        <w:t>and</w:t>
      </w:r>
      <w:r>
        <w:rPr>
          <w:spacing w:val="-4"/>
        </w:rPr>
        <w:t> </w:t>
      </w:r>
      <w:r>
        <w:rPr/>
        <w:t>the</w:t>
      </w:r>
      <w:r>
        <w:rPr>
          <w:spacing w:val="-4"/>
        </w:rPr>
        <w:t> </w:t>
      </w:r>
      <w:r>
        <w:rPr/>
        <w:t>relative</w:t>
      </w:r>
      <w:r>
        <w:rPr>
          <w:spacing w:val="-2"/>
        </w:rPr>
        <w:t> </w:t>
      </w:r>
      <w:r>
        <w:rPr/>
        <w:t>cost difference is</w:t>
      </w:r>
      <w:r>
        <w:rPr>
          <w:spacing w:val="-1"/>
        </w:rPr>
        <w:t> </w:t>
      </w:r>
      <w:r>
        <w:rPr/>
        <w:t>marginal, the</w:t>
      </w:r>
      <w:r>
        <w:rPr>
          <w:spacing w:val="-1"/>
        </w:rPr>
        <w:t> </w:t>
      </w:r>
      <w:r>
        <w:rPr/>
        <w:t>main</w:t>
      </w:r>
      <w:r>
        <w:rPr>
          <w:spacing w:val="-2"/>
        </w:rPr>
        <w:t> </w:t>
      </w:r>
      <w:r>
        <w:rPr/>
        <w:t>distinction lies</w:t>
      </w:r>
      <w:r>
        <w:rPr>
          <w:spacing w:val="-1"/>
        </w:rPr>
        <w:t> </w:t>
      </w:r>
      <w:r>
        <w:rPr/>
        <w:t>in</w:t>
      </w:r>
      <w:r>
        <w:rPr>
          <w:spacing w:val="-2"/>
        </w:rPr>
        <w:t> </w:t>
      </w:r>
      <w:r>
        <w:rPr/>
        <w:t>the</w:t>
      </w:r>
      <w:r>
        <w:rPr>
          <w:spacing w:val="-2"/>
        </w:rPr>
        <w:t> </w:t>
      </w:r>
      <w:r>
        <w:rPr/>
        <w:t>non-target</w:t>
      </w:r>
      <w:r>
        <w:rPr>
          <w:spacing w:val="-1"/>
        </w:rPr>
        <w:t> </w:t>
      </w:r>
      <w:r>
        <w:rPr/>
        <w:t>and</w:t>
      </w:r>
      <w:r>
        <w:rPr>
          <w:spacing w:val="-2"/>
        </w:rPr>
        <w:t> </w:t>
      </w:r>
      <w:r>
        <w:rPr/>
        <w:t>animal welfare</w:t>
      </w:r>
      <w:r>
        <w:rPr>
          <w:spacing w:val="-2"/>
        </w:rPr>
        <w:t> </w:t>
      </w:r>
      <w:r>
        <w:rPr/>
        <w:t>impacts</w:t>
      </w:r>
      <w:r>
        <w:rPr>
          <w:spacing w:val="-1"/>
        </w:rPr>
        <w:t> </w:t>
      </w:r>
      <w:r>
        <w:rPr/>
        <w:t>(Section’s</w:t>
      </w:r>
      <w:r>
        <w:rPr>
          <w:spacing w:val="-1"/>
        </w:rPr>
        <w:t> </w:t>
      </w:r>
      <w:hyperlink w:history="true" w:anchor="_bookmark19">
        <w:r>
          <w:rPr/>
          <w:t>1</w:t>
        </w:r>
      </w:hyperlink>
      <w:r>
        <w:rPr/>
        <w:t> and </w:t>
      </w:r>
      <w:hyperlink w:history="true" w:anchor="_bookmark22">
        <w:r>
          <w:rPr>
            <w:spacing w:val="-4"/>
          </w:rPr>
          <w:t>15</w:t>
        </w:r>
      </w:hyperlink>
      <w:r>
        <w:rPr>
          <w:spacing w:val="-4"/>
        </w:rPr>
        <w:t>).</w:t>
      </w:r>
    </w:p>
    <w:p>
      <w:pPr>
        <w:spacing w:after="0"/>
        <w:sectPr>
          <w:pgSz w:w="11910" w:h="16850"/>
          <w:pgMar w:header="0" w:footer="688" w:top="1060" w:bottom="880" w:left="1020" w:right="1020"/>
        </w:sectPr>
      </w:pPr>
    </w:p>
    <w:p>
      <w:pPr>
        <w:pStyle w:val="BodyText"/>
        <w:spacing w:before="71"/>
        <w:ind w:left="112" w:right="142"/>
      </w:pPr>
      <w:r>
        <w:rPr/>
        <w:t>CPEs</w:t>
      </w:r>
      <w:r>
        <w:rPr>
          <w:spacing w:val="-1"/>
        </w:rPr>
        <w:t> </w:t>
      </w:r>
      <w:r>
        <w:rPr/>
        <w:t>are</w:t>
      </w:r>
      <w:r>
        <w:rPr>
          <w:spacing w:val="-4"/>
        </w:rPr>
        <w:t> </w:t>
      </w:r>
      <w:r>
        <w:rPr/>
        <w:t>more</w:t>
      </w:r>
      <w:r>
        <w:rPr>
          <w:spacing w:val="-4"/>
        </w:rPr>
        <w:t> </w:t>
      </w:r>
      <w:r>
        <w:rPr/>
        <w:t>target-specific,</w:t>
      </w:r>
      <w:r>
        <w:rPr>
          <w:spacing w:val="-4"/>
        </w:rPr>
        <w:t> </w:t>
      </w:r>
      <w:r>
        <w:rPr/>
        <w:t>can</w:t>
      </w:r>
      <w:r>
        <w:rPr>
          <w:spacing w:val="-4"/>
        </w:rPr>
        <w:t> </w:t>
      </w:r>
      <w:r>
        <w:rPr/>
        <w:t>be</w:t>
      </w:r>
      <w:r>
        <w:rPr>
          <w:spacing w:val="-2"/>
        </w:rPr>
        <w:t> </w:t>
      </w:r>
      <w:r>
        <w:rPr/>
        <w:t>effective</w:t>
      </w:r>
      <w:r>
        <w:rPr>
          <w:spacing w:val="-4"/>
        </w:rPr>
        <w:t> </w:t>
      </w:r>
      <w:r>
        <w:rPr/>
        <w:t>at</w:t>
      </w:r>
      <w:r>
        <w:rPr>
          <w:spacing w:val="-4"/>
        </w:rPr>
        <w:t> </w:t>
      </w:r>
      <w:r>
        <w:rPr/>
        <w:t>managing</w:t>
      </w:r>
      <w:r>
        <w:rPr>
          <w:spacing w:val="-5"/>
        </w:rPr>
        <w:t> </w:t>
      </w:r>
      <w:r>
        <w:rPr/>
        <w:t>fox</w:t>
      </w:r>
      <w:r>
        <w:rPr>
          <w:spacing w:val="-3"/>
        </w:rPr>
        <w:t> </w:t>
      </w:r>
      <w:r>
        <w:rPr/>
        <w:t>populations (Marks</w:t>
      </w:r>
      <w:r>
        <w:rPr>
          <w:spacing w:val="-3"/>
        </w:rPr>
        <w:t> </w:t>
      </w:r>
      <w:r>
        <w:rPr/>
        <w:t>et</w:t>
      </w:r>
      <w:r>
        <w:rPr>
          <w:spacing w:val="-4"/>
        </w:rPr>
        <w:t> </w:t>
      </w:r>
      <w:r>
        <w:rPr/>
        <w:t>al.</w:t>
      </w:r>
      <w:r>
        <w:rPr>
          <w:spacing w:val="-2"/>
        </w:rPr>
        <w:t> </w:t>
      </w:r>
      <w:r>
        <w:rPr/>
        <w:t>2003;</w:t>
      </w:r>
      <w:r>
        <w:rPr>
          <w:spacing w:val="-4"/>
        </w:rPr>
        <w:t> </w:t>
      </w:r>
      <w:r>
        <w:rPr/>
        <w:t>van</w:t>
      </w:r>
      <w:r>
        <w:rPr>
          <w:spacing w:val="-2"/>
        </w:rPr>
        <w:t> </w:t>
      </w:r>
      <w:r>
        <w:rPr/>
        <w:t>Polanen Petel</w:t>
      </w:r>
      <w:r>
        <w:rPr>
          <w:spacing w:val="-3"/>
        </w:rPr>
        <w:t> </w:t>
      </w:r>
      <w:r>
        <w:rPr/>
        <w:t>et</w:t>
      </w:r>
      <w:r>
        <w:rPr>
          <w:spacing w:val="-2"/>
        </w:rPr>
        <w:t> </w:t>
      </w:r>
      <w:r>
        <w:rPr/>
        <w:t>al.</w:t>
      </w:r>
      <w:r>
        <w:rPr>
          <w:spacing w:val="-2"/>
        </w:rPr>
        <w:t> </w:t>
      </w:r>
      <w:r>
        <w:rPr/>
        <w:t>2004), and can</w:t>
      </w:r>
      <w:r>
        <w:rPr>
          <w:spacing w:val="-1"/>
        </w:rPr>
        <w:t> </w:t>
      </w:r>
      <w:r>
        <w:rPr/>
        <w:t>reduce or eliminate</w:t>
      </w:r>
      <w:r>
        <w:rPr>
          <w:spacing w:val="-1"/>
        </w:rPr>
        <w:t> </w:t>
      </w:r>
      <w:r>
        <w:rPr/>
        <w:t>caching of</w:t>
      </w:r>
      <w:r>
        <w:rPr>
          <w:spacing w:val="-2"/>
        </w:rPr>
        <w:t> </w:t>
      </w:r>
      <w:r>
        <w:rPr/>
        <w:t>toxic</w:t>
      </w:r>
      <w:r>
        <w:rPr>
          <w:spacing w:val="-1"/>
        </w:rPr>
        <w:t> </w:t>
      </w:r>
      <w:r>
        <w:rPr/>
        <w:t>bait.</w:t>
      </w:r>
      <w:r>
        <w:rPr>
          <w:spacing w:val="-2"/>
        </w:rPr>
        <w:t> </w:t>
      </w:r>
      <w:r>
        <w:rPr/>
        <w:t>However, no</w:t>
      </w:r>
      <w:r>
        <w:rPr>
          <w:spacing w:val="-1"/>
        </w:rPr>
        <w:t> </w:t>
      </w:r>
      <w:r>
        <w:rPr/>
        <w:t>studies have</w:t>
      </w:r>
      <w:r>
        <w:rPr>
          <w:spacing w:val="-2"/>
        </w:rPr>
        <w:t> </w:t>
      </w:r>
      <w:r>
        <w:rPr/>
        <w:t>compared</w:t>
      </w:r>
      <w:r>
        <w:rPr>
          <w:spacing w:val="-2"/>
        </w:rPr>
        <w:t> </w:t>
      </w:r>
      <w:r>
        <w:rPr/>
        <w:t>the relative cost-effectiveness of CPEs and baiting, either with FOXOFF or FOXECUTE. Using a landscape- scale fox control operation in south-west Victoria as an example, we estimated the relative costs of using 1080 and PAPP baits and replacing baits with CPEs.</w:t>
      </w:r>
    </w:p>
    <w:p>
      <w:pPr>
        <w:pStyle w:val="BodyText"/>
        <w:spacing w:before="120"/>
        <w:ind w:left="112" w:right="173"/>
      </w:pPr>
      <w:r>
        <w:rPr/>
        <w:t>Three locations are baited continuously, with baits checked and replaced fortnightly. The number of bait stations</w:t>
      </w:r>
      <w:r>
        <w:rPr>
          <w:spacing w:val="-3"/>
        </w:rPr>
        <w:t> </w:t>
      </w:r>
      <w:r>
        <w:rPr/>
        <w:t>at</w:t>
      </w:r>
      <w:r>
        <w:rPr>
          <w:spacing w:val="-4"/>
        </w:rPr>
        <w:t> </w:t>
      </w:r>
      <w:r>
        <w:rPr/>
        <w:t>each</w:t>
      </w:r>
      <w:r>
        <w:rPr>
          <w:spacing w:val="-4"/>
        </w:rPr>
        <w:t> </w:t>
      </w:r>
      <w:r>
        <w:rPr/>
        <w:t>location</w:t>
      </w:r>
      <w:r>
        <w:rPr>
          <w:spacing w:val="-3"/>
        </w:rPr>
        <w:t> </w:t>
      </w:r>
      <w:r>
        <w:rPr/>
        <w:t>is</w:t>
      </w:r>
      <w:r>
        <w:rPr>
          <w:spacing w:val="-1"/>
        </w:rPr>
        <w:t> </w:t>
      </w:r>
      <w:r>
        <w:rPr/>
        <w:t>45,</w:t>
      </w:r>
      <w:r>
        <w:rPr>
          <w:spacing w:val="-4"/>
        </w:rPr>
        <w:t> </w:t>
      </w:r>
      <w:r>
        <w:rPr/>
        <w:t>242,</w:t>
      </w:r>
      <w:r>
        <w:rPr>
          <w:spacing w:val="-2"/>
        </w:rPr>
        <w:t> </w:t>
      </w:r>
      <w:r>
        <w:rPr/>
        <w:t>and</w:t>
      </w:r>
      <w:r>
        <w:rPr>
          <w:spacing w:val="-2"/>
        </w:rPr>
        <w:t> </w:t>
      </w:r>
      <w:r>
        <w:rPr/>
        <w:t>82.</w:t>
      </w:r>
      <w:r>
        <w:rPr>
          <w:spacing w:val="-2"/>
        </w:rPr>
        <w:t> </w:t>
      </w:r>
      <w:r>
        <w:rPr/>
        <w:t>Using</w:t>
      </w:r>
      <w:r>
        <w:rPr>
          <w:spacing w:val="-4"/>
        </w:rPr>
        <w:t> </w:t>
      </w:r>
      <w:r>
        <w:rPr/>
        <w:t>costs</w:t>
      </w:r>
      <w:r>
        <w:rPr>
          <w:spacing w:val="-3"/>
        </w:rPr>
        <w:t> </w:t>
      </w:r>
      <w:r>
        <w:rPr/>
        <w:t>for</w:t>
      </w:r>
      <w:r>
        <w:rPr>
          <w:spacing w:val="-3"/>
        </w:rPr>
        <w:t> </w:t>
      </w:r>
      <w:r>
        <w:rPr/>
        <w:t>labour,</w:t>
      </w:r>
      <w:r>
        <w:rPr>
          <w:spacing w:val="-4"/>
        </w:rPr>
        <w:t> </w:t>
      </w:r>
      <w:r>
        <w:rPr/>
        <w:t>vehicles,</w:t>
      </w:r>
      <w:r>
        <w:rPr>
          <w:spacing w:val="-4"/>
        </w:rPr>
        <w:t> </w:t>
      </w:r>
      <w:r>
        <w:rPr/>
        <w:t>and</w:t>
      </w:r>
      <w:r>
        <w:rPr>
          <w:spacing w:val="-4"/>
        </w:rPr>
        <w:t> </w:t>
      </w:r>
      <w:r>
        <w:rPr/>
        <w:t>baits</w:t>
      </w:r>
      <w:r>
        <w:rPr>
          <w:spacing w:val="-3"/>
        </w:rPr>
        <w:t> </w:t>
      </w:r>
      <w:r>
        <w:rPr/>
        <w:t>($1.90</w:t>
      </w:r>
      <w:r>
        <w:rPr>
          <w:spacing w:val="-2"/>
        </w:rPr>
        <w:t> </w:t>
      </w:r>
      <w:r>
        <w:rPr/>
        <w:t>per</w:t>
      </w:r>
      <w:r>
        <w:rPr>
          <w:spacing w:val="-3"/>
        </w:rPr>
        <w:t> </w:t>
      </w:r>
      <w:r>
        <w:rPr/>
        <w:t>FOXOFF,</w:t>
      </w:r>
    </w:p>
    <w:p>
      <w:pPr>
        <w:pStyle w:val="BodyText"/>
        <w:spacing w:before="1"/>
        <w:ind w:left="112"/>
      </w:pPr>
      <w:r>
        <w:rPr/>
        <w:t>$2.95 per FOXECUTE), along with the cost of replacing the lure and 1080 capsule for a CPE ($5.50), we estimated</w:t>
      </w:r>
      <w:r>
        <w:rPr>
          <w:spacing w:val="-3"/>
        </w:rPr>
        <w:t> </w:t>
      </w:r>
      <w:r>
        <w:rPr/>
        <w:t>the</w:t>
      </w:r>
      <w:r>
        <w:rPr>
          <w:spacing w:val="-5"/>
        </w:rPr>
        <w:t> </w:t>
      </w:r>
      <w:r>
        <w:rPr/>
        <w:t>cost</w:t>
      </w:r>
      <w:r>
        <w:rPr>
          <w:spacing w:val="-2"/>
        </w:rPr>
        <w:t> </w:t>
      </w:r>
      <w:r>
        <w:rPr/>
        <w:t>to</w:t>
      </w:r>
      <w:r>
        <w:rPr>
          <w:spacing w:val="-5"/>
        </w:rPr>
        <w:t> </w:t>
      </w:r>
      <w:r>
        <w:rPr/>
        <w:t>deliver</w:t>
      </w:r>
      <w:r>
        <w:rPr>
          <w:spacing w:val="-3"/>
        </w:rPr>
        <w:t> </w:t>
      </w:r>
      <w:r>
        <w:rPr/>
        <w:t>the</w:t>
      </w:r>
      <w:r>
        <w:rPr>
          <w:spacing w:val="-4"/>
        </w:rPr>
        <w:t> </w:t>
      </w:r>
      <w:r>
        <w:rPr/>
        <w:t>programme</w:t>
      </w:r>
      <w:r>
        <w:rPr>
          <w:spacing w:val="-2"/>
        </w:rPr>
        <w:t> </w:t>
      </w:r>
      <w:r>
        <w:rPr/>
        <w:t>using</w:t>
      </w:r>
      <w:r>
        <w:rPr>
          <w:spacing w:val="-2"/>
        </w:rPr>
        <w:t> </w:t>
      </w:r>
      <w:r>
        <w:rPr/>
        <w:t>each</w:t>
      </w:r>
      <w:r>
        <w:rPr>
          <w:spacing w:val="-4"/>
        </w:rPr>
        <w:t> </w:t>
      </w:r>
      <w:r>
        <w:rPr/>
        <w:t>tool</w:t>
      </w:r>
      <w:r>
        <w:rPr>
          <w:spacing w:val="-5"/>
        </w:rPr>
        <w:t> </w:t>
      </w:r>
      <w:r>
        <w:rPr/>
        <w:t>(Table</w:t>
      </w:r>
      <w:r>
        <w:rPr>
          <w:spacing w:val="-2"/>
        </w:rPr>
        <w:t> </w:t>
      </w:r>
      <w:r>
        <w:rPr/>
        <w:t>7).</w:t>
      </w:r>
      <w:r>
        <w:rPr>
          <w:spacing w:val="-4"/>
        </w:rPr>
        <w:t> </w:t>
      </w:r>
      <w:r>
        <w:rPr/>
        <w:t>Individual</w:t>
      </w:r>
      <w:r>
        <w:rPr>
          <w:spacing w:val="-3"/>
        </w:rPr>
        <w:t> </w:t>
      </w:r>
      <w:r>
        <w:rPr/>
        <w:t>CPEs</w:t>
      </w:r>
      <w:r>
        <w:rPr>
          <w:spacing w:val="-3"/>
        </w:rPr>
        <w:t> </w:t>
      </w:r>
      <w:r>
        <w:rPr/>
        <w:t>cost</w:t>
      </w:r>
      <w:r>
        <w:rPr>
          <w:spacing w:val="-2"/>
        </w:rPr>
        <w:t> </w:t>
      </w:r>
      <w:r>
        <w:rPr/>
        <w:t>approximately</w:t>
      </w:r>
    </w:p>
    <w:p>
      <w:pPr>
        <w:pStyle w:val="BodyText"/>
        <w:spacing w:before="1"/>
        <w:ind w:left="112"/>
      </w:pPr>
      <w:r>
        <w:rPr/>
        <w:t>$63.00</w:t>
      </w:r>
      <w:r>
        <w:rPr>
          <w:spacing w:val="-8"/>
        </w:rPr>
        <w:t> </w:t>
      </w:r>
      <w:r>
        <w:rPr/>
        <w:t>without</w:t>
      </w:r>
      <w:r>
        <w:rPr>
          <w:spacing w:val="-7"/>
        </w:rPr>
        <w:t> </w:t>
      </w:r>
      <w:r>
        <w:rPr/>
        <w:t>the</w:t>
      </w:r>
      <w:r>
        <w:rPr>
          <w:spacing w:val="-9"/>
        </w:rPr>
        <w:t> </w:t>
      </w:r>
      <w:r>
        <w:rPr/>
        <w:t>collar</w:t>
      </w:r>
      <w:r>
        <w:rPr>
          <w:spacing w:val="-7"/>
        </w:rPr>
        <w:t> </w:t>
      </w:r>
      <w:r>
        <w:rPr/>
        <w:t>modification</w:t>
      </w:r>
      <w:r>
        <w:rPr>
          <w:spacing w:val="-5"/>
        </w:rPr>
        <w:t> </w:t>
      </w:r>
      <w:r>
        <w:rPr/>
        <w:t>(which</w:t>
      </w:r>
      <w:r>
        <w:rPr>
          <w:spacing w:val="-7"/>
        </w:rPr>
        <w:t> </w:t>
      </w:r>
      <w:r>
        <w:rPr/>
        <w:t>reduces</w:t>
      </w:r>
      <w:r>
        <w:rPr>
          <w:spacing w:val="-7"/>
        </w:rPr>
        <w:t> </w:t>
      </w:r>
      <w:r>
        <w:rPr/>
        <w:t>the</w:t>
      </w:r>
      <w:r>
        <w:rPr>
          <w:spacing w:val="-8"/>
        </w:rPr>
        <w:t> </w:t>
      </w:r>
      <w:r>
        <w:rPr/>
        <w:t>likelihood</w:t>
      </w:r>
      <w:r>
        <w:rPr>
          <w:spacing w:val="-6"/>
        </w:rPr>
        <w:t> </w:t>
      </w:r>
      <w:r>
        <w:rPr/>
        <w:t>of</w:t>
      </w:r>
      <w:r>
        <w:rPr>
          <w:spacing w:val="-5"/>
        </w:rPr>
        <w:t> </w:t>
      </w:r>
      <w:r>
        <w:rPr/>
        <w:t>Dingoes</w:t>
      </w:r>
      <w:r>
        <w:rPr>
          <w:spacing w:val="-6"/>
        </w:rPr>
        <w:t> </w:t>
      </w:r>
      <w:r>
        <w:rPr/>
        <w:t>activating</w:t>
      </w:r>
      <w:r>
        <w:rPr>
          <w:spacing w:val="-7"/>
        </w:rPr>
        <w:t> </w:t>
      </w:r>
      <w:r>
        <w:rPr/>
        <w:t>the</w:t>
      </w:r>
      <w:r>
        <w:rPr>
          <w:spacing w:val="-8"/>
        </w:rPr>
        <w:t> </w:t>
      </w:r>
      <w:r>
        <w:rPr/>
        <w:t>CPE),</w:t>
      </w:r>
      <w:r>
        <w:rPr>
          <w:spacing w:val="-6"/>
        </w:rPr>
        <w:t> </w:t>
      </w:r>
      <w:r>
        <w:rPr>
          <w:spacing w:val="-5"/>
        </w:rPr>
        <w:t>and</w:t>
      </w:r>
    </w:p>
    <w:p>
      <w:pPr>
        <w:pStyle w:val="BodyText"/>
        <w:ind w:left="112"/>
      </w:pPr>
      <w:r>
        <w:rPr/>
        <w:t>$120.00</w:t>
      </w:r>
      <w:r>
        <w:rPr>
          <w:spacing w:val="-5"/>
        </w:rPr>
        <w:t> </w:t>
      </w:r>
      <w:r>
        <w:rPr/>
        <w:t>with</w:t>
      </w:r>
      <w:r>
        <w:rPr>
          <w:spacing w:val="-6"/>
        </w:rPr>
        <w:t> </w:t>
      </w:r>
      <w:r>
        <w:rPr/>
        <w:t>the</w:t>
      </w:r>
      <w:r>
        <w:rPr>
          <w:spacing w:val="-6"/>
        </w:rPr>
        <w:t> </w:t>
      </w:r>
      <w:r>
        <w:rPr/>
        <w:t>collar</w:t>
      </w:r>
      <w:r>
        <w:rPr>
          <w:spacing w:val="-4"/>
        </w:rPr>
        <w:t> </w:t>
      </w:r>
      <w:r>
        <w:rPr>
          <w:spacing w:val="-2"/>
        </w:rPr>
        <w:t>modification.</w:t>
      </w:r>
    </w:p>
    <w:p>
      <w:pPr>
        <w:pStyle w:val="BodyText"/>
        <w:spacing w:before="119"/>
        <w:ind w:left="112" w:right="117"/>
      </w:pPr>
      <w:r>
        <w:rPr/>
        <w:t>Using</w:t>
      </w:r>
      <w:r>
        <w:rPr>
          <w:spacing w:val="-3"/>
        </w:rPr>
        <w:t> </w:t>
      </w:r>
      <w:r>
        <w:rPr/>
        <w:t>an</w:t>
      </w:r>
      <w:r>
        <w:rPr>
          <w:spacing w:val="-3"/>
        </w:rPr>
        <w:t> </w:t>
      </w:r>
      <w:r>
        <w:rPr/>
        <w:t>individually-based</w:t>
      </w:r>
      <w:r>
        <w:rPr>
          <w:spacing w:val="-2"/>
        </w:rPr>
        <w:t> </w:t>
      </w:r>
      <w:r>
        <w:rPr/>
        <w:t>spatially</w:t>
      </w:r>
      <w:r>
        <w:rPr>
          <w:spacing w:val="-3"/>
        </w:rPr>
        <w:t> </w:t>
      </w:r>
      <w:r>
        <w:rPr/>
        <w:t>explicit</w:t>
      </w:r>
      <w:r>
        <w:rPr>
          <w:spacing w:val="-2"/>
        </w:rPr>
        <w:t> </w:t>
      </w:r>
      <w:r>
        <w:rPr/>
        <w:t>population</w:t>
      </w:r>
      <w:r>
        <w:rPr>
          <w:spacing w:val="-2"/>
        </w:rPr>
        <w:t> </w:t>
      </w:r>
      <w:r>
        <w:rPr/>
        <w:t>model (Hradsky</w:t>
      </w:r>
      <w:r>
        <w:rPr>
          <w:spacing w:val="-3"/>
        </w:rPr>
        <w:t> </w:t>
      </w:r>
      <w:r>
        <w:rPr/>
        <w:t>et</w:t>
      </w:r>
      <w:r>
        <w:rPr>
          <w:spacing w:val="-4"/>
        </w:rPr>
        <w:t> </w:t>
      </w:r>
      <w:r>
        <w:rPr/>
        <w:t>al.</w:t>
      </w:r>
      <w:r>
        <w:rPr>
          <w:spacing w:val="-4"/>
        </w:rPr>
        <w:t> </w:t>
      </w:r>
      <w:r>
        <w:rPr/>
        <w:t>2019),</w:t>
      </w:r>
      <w:r>
        <w:rPr>
          <w:spacing w:val="-4"/>
        </w:rPr>
        <w:t> </w:t>
      </w:r>
      <w:r>
        <w:rPr/>
        <w:t>the</w:t>
      </w:r>
      <w:r>
        <w:rPr>
          <w:spacing w:val="-4"/>
        </w:rPr>
        <w:t> </w:t>
      </w:r>
      <w:r>
        <w:rPr/>
        <w:t>fox</w:t>
      </w:r>
      <w:r>
        <w:rPr>
          <w:spacing w:val="-3"/>
        </w:rPr>
        <w:t> </w:t>
      </w:r>
      <w:r>
        <w:rPr/>
        <w:t>control</w:t>
      </w:r>
      <w:r>
        <w:rPr>
          <w:spacing w:val="-5"/>
        </w:rPr>
        <w:t> </w:t>
      </w:r>
      <w:r>
        <w:rPr/>
        <w:t>operation for location 1 in Table 7 was modelled. The predicted reduction in the fox population was 73%, from a pre- control density of approximately 2 foxes per km² to about 0.54 foxes per km². Assuming the same rate of reduction for all three methods and 1092 bait nights and 714 CPE nights, the kill-per-unit-effort value would be $12.55 for FOXOFF, $13.67 for FOXECUTE, and $21.98 for CPE.</w:t>
      </w:r>
    </w:p>
    <w:p>
      <w:pPr>
        <w:pStyle w:val="Heading7"/>
        <w:spacing w:before="201"/>
        <w:ind w:right="117"/>
      </w:pPr>
      <w:bookmarkStart w:name="_bookmark13" w:id="73"/>
      <w:bookmarkEnd w:id="73"/>
      <w:r>
        <w:rPr>
          <w:b w:val="0"/>
        </w:rPr>
      </w:r>
      <w:r>
        <w:rPr>
          <w:color w:val="1F1546"/>
        </w:rPr>
        <w:t>Table</w:t>
      </w:r>
      <w:r>
        <w:rPr>
          <w:color w:val="1F1546"/>
          <w:spacing w:val="-3"/>
        </w:rPr>
        <w:t> </w:t>
      </w:r>
      <w:r>
        <w:rPr>
          <w:color w:val="1F1546"/>
        </w:rPr>
        <w:t>7.</w:t>
      </w:r>
      <w:r>
        <w:rPr>
          <w:color w:val="1F1546"/>
          <w:spacing w:val="-2"/>
        </w:rPr>
        <w:t> </w:t>
      </w:r>
      <w:r>
        <w:rPr>
          <w:color w:val="1F1546"/>
        </w:rPr>
        <w:t>Relative</w:t>
      </w:r>
      <w:r>
        <w:rPr>
          <w:color w:val="1F1546"/>
          <w:spacing w:val="-2"/>
        </w:rPr>
        <w:t> </w:t>
      </w:r>
      <w:r>
        <w:rPr>
          <w:color w:val="1F1546"/>
        </w:rPr>
        <w:t>costs</w:t>
      </w:r>
      <w:r>
        <w:rPr>
          <w:color w:val="1F1546"/>
          <w:spacing w:val="-4"/>
        </w:rPr>
        <w:t> </w:t>
      </w:r>
      <w:r>
        <w:rPr>
          <w:color w:val="1F1546"/>
        </w:rPr>
        <w:t>of</w:t>
      </w:r>
      <w:r>
        <w:rPr>
          <w:color w:val="1F1546"/>
          <w:spacing w:val="-1"/>
        </w:rPr>
        <w:t> </w:t>
      </w:r>
      <w:r>
        <w:rPr>
          <w:color w:val="1F1546"/>
        </w:rPr>
        <w:t>implementing</w:t>
      </w:r>
      <w:r>
        <w:rPr>
          <w:color w:val="1F1546"/>
          <w:spacing w:val="-3"/>
        </w:rPr>
        <w:t> </w:t>
      </w:r>
      <w:r>
        <w:rPr>
          <w:color w:val="1F1546"/>
        </w:rPr>
        <w:t>a</w:t>
      </w:r>
      <w:r>
        <w:rPr>
          <w:color w:val="1F1546"/>
          <w:spacing w:val="-5"/>
        </w:rPr>
        <w:t> </w:t>
      </w:r>
      <w:r>
        <w:rPr>
          <w:color w:val="1F1546"/>
        </w:rPr>
        <w:t>fox</w:t>
      </w:r>
      <w:r>
        <w:rPr>
          <w:color w:val="1F1546"/>
          <w:spacing w:val="-2"/>
        </w:rPr>
        <w:t> </w:t>
      </w:r>
      <w:r>
        <w:rPr>
          <w:color w:val="1F1546"/>
        </w:rPr>
        <w:t>control</w:t>
      </w:r>
      <w:r>
        <w:rPr>
          <w:color w:val="1F1546"/>
          <w:spacing w:val="-4"/>
        </w:rPr>
        <w:t> </w:t>
      </w:r>
      <w:r>
        <w:rPr>
          <w:color w:val="1F1546"/>
        </w:rPr>
        <w:t>operation</w:t>
      </w:r>
      <w:r>
        <w:rPr>
          <w:color w:val="1F1546"/>
          <w:spacing w:val="-3"/>
        </w:rPr>
        <w:t> </w:t>
      </w:r>
      <w:r>
        <w:rPr>
          <w:color w:val="1F1546"/>
        </w:rPr>
        <w:t>using</w:t>
      </w:r>
      <w:r>
        <w:rPr>
          <w:color w:val="1F1546"/>
          <w:spacing w:val="-3"/>
        </w:rPr>
        <w:t> </w:t>
      </w:r>
      <w:r>
        <w:rPr>
          <w:color w:val="1F1546"/>
        </w:rPr>
        <w:t>FOXOFF,</w:t>
      </w:r>
      <w:r>
        <w:rPr>
          <w:color w:val="1F1546"/>
          <w:spacing w:val="-4"/>
        </w:rPr>
        <w:t> </w:t>
      </w:r>
      <w:r>
        <w:rPr>
          <w:color w:val="1F1546"/>
        </w:rPr>
        <w:t>FOXECUTE</w:t>
      </w:r>
      <w:r>
        <w:rPr>
          <w:color w:val="1F1546"/>
          <w:spacing w:val="-4"/>
        </w:rPr>
        <w:t> </w:t>
      </w:r>
      <w:r>
        <w:rPr>
          <w:color w:val="1F1546"/>
        </w:rPr>
        <w:t>and</w:t>
      </w:r>
      <w:r>
        <w:rPr>
          <w:color w:val="1F1546"/>
          <w:spacing w:val="-1"/>
        </w:rPr>
        <w:t> </w:t>
      </w:r>
      <w:r>
        <w:rPr>
          <w:color w:val="1F1546"/>
        </w:rPr>
        <w:t>CPEs across three locations in southwest Victoria.</w:t>
      </w:r>
    </w:p>
    <w:p>
      <w:pPr>
        <w:pStyle w:val="BodyText"/>
        <w:spacing w:before="2"/>
        <w:rPr>
          <w:b/>
          <w:sz w:val="10"/>
        </w:rPr>
      </w:pPr>
    </w:p>
    <w:tbl>
      <w:tblPr>
        <w:tblW w:w="0" w:type="auto"/>
        <w:jc w:val="left"/>
        <w:tblInd w:w="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2"/>
        <w:gridCol w:w="1109"/>
        <w:gridCol w:w="1417"/>
        <w:gridCol w:w="1306"/>
        <w:gridCol w:w="1429"/>
        <w:gridCol w:w="1261"/>
        <w:gridCol w:w="1425"/>
      </w:tblGrid>
      <w:tr>
        <w:trPr>
          <w:trHeight w:val="522" w:hRule="atLeast"/>
        </w:trPr>
        <w:tc>
          <w:tcPr>
            <w:tcW w:w="1162" w:type="dxa"/>
            <w:shd w:val="clear" w:color="auto" w:fill="004B96"/>
          </w:tcPr>
          <w:p>
            <w:pPr>
              <w:pStyle w:val="TableParagraph"/>
              <w:rPr>
                <w:rFonts w:ascii="Times New Roman"/>
                <w:sz w:val="18"/>
              </w:rPr>
            </w:pPr>
          </w:p>
        </w:tc>
        <w:tc>
          <w:tcPr>
            <w:tcW w:w="1109" w:type="dxa"/>
            <w:vMerge w:val="restart"/>
            <w:shd w:val="clear" w:color="auto" w:fill="004B96"/>
          </w:tcPr>
          <w:p>
            <w:pPr>
              <w:pStyle w:val="TableParagraph"/>
              <w:spacing w:before="172"/>
              <w:ind w:left="304" w:right="300" w:firstLine="48"/>
              <w:rPr>
                <w:b/>
                <w:sz w:val="20"/>
              </w:rPr>
            </w:pPr>
            <w:r>
              <w:rPr>
                <w:b/>
                <w:color w:val="FFFFFF"/>
                <w:spacing w:val="-4"/>
                <w:sz w:val="20"/>
              </w:rPr>
              <w:t>Size </w:t>
            </w:r>
            <w:r>
              <w:rPr>
                <w:b/>
                <w:color w:val="FFFFFF"/>
                <w:spacing w:val="-2"/>
                <w:sz w:val="20"/>
              </w:rPr>
              <w:t>(km</w:t>
            </w:r>
            <w:r>
              <w:rPr>
                <w:b/>
                <w:color w:val="FFFFFF"/>
                <w:spacing w:val="-2"/>
                <w:sz w:val="20"/>
                <w:vertAlign w:val="superscript"/>
              </w:rPr>
              <w:t>2</w:t>
            </w:r>
            <w:r>
              <w:rPr>
                <w:b/>
                <w:color w:val="FFFFFF"/>
                <w:spacing w:val="-2"/>
                <w:sz w:val="20"/>
                <w:vertAlign w:val="baseline"/>
              </w:rPr>
              <w:t>)</w:t>
            </w:r>
          </w:p>
        </w:tc>
        <w:tc>
          <w:tcPr>
            <w:tcW w:w="1417" w:type="dxa"/>
            <w:shd w:val="clear" w:color="auto" w:fill="004B96"/>
          </w:tcPr>
          <w:p>
            <w:pPr>
              <w:pStyle w:val="TableParagraph"/>
              <w:spacing w:before="60"/>
              <w:rPr>
                <w:b/>
                <w:sz w:val="20"/>
              </w:rPr>
            </w:pPr>
          </w:p>
          <w:p>
            <w:pPr>
              <w:pStyle w:val="TableParagraph"/>
              <w:spacing w:line="213" w:lineRule="exact"/>
              <w:ind w:right="5"/>
              <w:jc w:val="center"/>
              <w:rPr>
                <w:b/>
                <w:sz w:val="20"/>
              </w:rPr>
            </w:pPr>
            <w:r>
              <w:rPr>
                <w:b/>
                <w:color w:val="FFFFFF"/>
                <w:spacing w:val="-2"/>
                <w:sz w:val="20"/>
              </w:rPr>
              <w:t>FOXOFF</w:t>
            </w:r>
          </w:p>
        </w:tc>
        <w:tc>
          <w:tcPr>
            <w:tcW w:w="1306" w:type="dxa"/>
            <w:shd w:val="clear" w:color="auto" w:fill="004B96"/>
          </w:tcPr>
          <w:p>
            <w:pPr>
              <w:pStyle w:val="TableParagraph"/>
              <w:spacing w:before="60"/>
              <w:rPr>
                <w:b/>
                <w:sz w:val="20"/>
              </w:rPr>
            </w:pPr>
          </w:p>
          <w:p>
            <w:pPr>
              <w:pStyle w:val="TableParagraph"/>
              <w:spacing w:line="213" w:lineRule="exact"/>
              <w:ind w:left="3" w:right="4"/>
              <w:jc w:val="center"/>
              <w:rPr>
                <w:b/>
                <w:sz w:val="20"/>
              </w:rPr>
            </w:pPr>
            <w:r>
              <w:rPr>
                <w:b/>
                <w:color w:val="FFFFFF"/>
                <w:spacing w:val="-2"/>
                <w:sz w:val="20"/>
              </w:rPr>
              <w:t>FOXECUTE</w:t>
            </w:r>
          </w:p>
        </w:tc>
        <w:tc>
          <w:tcPr>
            <w:tcW w:w="1429" w:type="dxa"/>
            <w:vMerge w:val="restart"/>
            <w:shd w:val="clear" w:color="auto" w:fill="004B96"/>
          </w:tcPr>
          <w:p>
            <w:pPr>
              <w:pStyle w:val="TableParagraph"/>
              <w:spacing w:before="59"/>
              <w:ind w:left="246" w:right="249"/>
              <w:jc w:val="center"/>
              <w:rPr>
                <w:b/>
                <w:sz w:val="20"/>
              </w:rPr>
            </w:pPr>
            <w:r>
              <w:rPr>
                <w:b/>
                <w:color w:val="FFFFFF"/>
                <w:sz w:val="20"/>
              </w:rPr>
              <w:t>%</w:t>
            </w:r>
            <w:r>
              <w:rPr>
                <w:b/>
                <w:color w:val="FFFFFF"/>
                <w:spacing w:val="-14"/>
                <w:sz w:val="20"/>
              </w:rPr>
              <w:t> </w:t>
            </w:r>
            <w:r>
              <w:rPr>
                <w:b/>
                <w:color w:val="FFFFFF"/>
                <w:sz w:val="20"/>
              </w:rPr>
              <w:t>change </w:t>
            </w:r>
            <w:r>
              <w:rPr>
                <w:b/>
                <w:color w:val="FFFFFF"/>
                <w:spacing w:val="-4"/>
                <w:sz w:val="20"/>
              </w:rPr>
              <w:t>from </w:t>
            </w:r>
            <w:r>
              <w:rPr>
                <w:b/>
                <w:color w:val="FFFFFF"/>
                <w:spacing w:val="-2"/>
                <w:sz w:val="20"/>
              </w:rPr>
              <w:t>FOXOFF</w:t>
            </w:r>
          </w:p>
        </w:tc>
        <w:tc>
          <w:tcPr>
            <w:tcW w:w="1261" w:type="dxa"/>
            <w:shd w:val="clear" w:color="auto" w:fill="004B96"/>
          </w:tcPr>
          <w:p>
            <w:pPr>
              <w:pStyle w:val="TableParagraph"/>
              <w:spacing w:before="60"/>
              <w:rPr>
                <w:b/>
                <w:sz w:val="20"/>
              </w:rPr>
            </w:pPr>
          </w:p>
          <w:p>
            <w:pPr>
              <w:pStyle w:val="TableParagraph"/>
              <w:spacing w:line="213" w:lineRule="exact"/>
              <w:ind w:right="6"/>
              <w:jc w:val="center"/>
              <w:rPr>
                <w:b/>
                <w:sz w:val="20"/>
              </w:rPr>
            </w:pPr>
            <w:r>
              <w:rPr>
                <w:b/>
                <w:color w:val="FFFFFF"/>
                <w:spacing w:val="-4"/>
                <w:sz w:val="20"/>
              </w:rPr>
              <w:t>CPE*</w:t>
            </w:r>
          </w:p>
        </w:tc>
        <w:tc>
          <w:tcPr>
            <w:tcW w:w="1425" w:type="dxa"/>
            <w:vMerge w:val="restart"/>
            <w:shd w:val="clear" w:color="auto" w:fill="004B96"/>
          </w:tcPr>
          <w:p>
            <w:pPr>
              <w:pStyle w:val="TableParagraph"/>
              <w:spacing w:before="59"/>
              <w:ind w:left="115" w:right="122"/>
              <w:jc w:val="center"/>
              <w:rPr>
                <w:b/>
                <w:sz w:val="20"/>
              </w:rPr>
            </w:pPr>
            <w:r>
              <w:rPr>
                <w:b/>
                <w:color w:val="FFFFFF"/>
                <w:sz w:val="20"/>
              </w:rPr>
              <w:t>%</w:t>
            </w:r>
            <w:r>
              <w:rPr>
                <w:b/>
                <w:color w:val="FFFFFF"/>
                <w:spacing w:val="-14"/>
                <w:sz w:val="20"/>
              </w:rPr>
              <w:t> </w:t>
            </w:r>
            <w:r>
              <w:rPr>
                <w:b/>
                <w:color w:val="FFFFFF"/>
                <w:sz w:val="20"/>
              </w:rPr>
              <w:t>change </w:t>
            </w:r>
            <w:r>
              <w:rPr>
                <w:b/>
                <w:color w:val="FFFFFF"/>
                <w:spacing w:val="-4"/>
                <w:sz w:val="20"/>
              </w:rPr>
              <w:t>from </w:t>
            </w:r>
            <w:r>
              <w:rPr>
                <w:b/>
                <w:color w:val="FFFFFF"/>
                <w:spacing w:val="-2"/>
                <w:sz w:val="20"/>
              </w:rPr>
              <w:t>FOXOFF</w:t>
            </w:r>
          </w:p>
        </w:tc>
      </w:tr>
      <w:tr>
        <w:trPr>
          <w:trHeight w:val="286" w:hRule="atLeast"/>
        </w:trPr>
        <w:tc>
          <w:tcPr>
            <w:tcW w:w="1162" w:type="dxa"/>
            <w:shd w:val="clear" w:color="auto" w:fill="004B96"/>
          </w:tcPr>
          <w:p>
            <w:pPr>
              <w:pStyle w:val="TableParagraph"/>
              <w:spacing w:line="225" w:lineRule="exact"/>
              <w:ind w:left="22" w:right="22"/>
              <w:jc w:val="center"/>
              <w:rPr>
                <w:b/>
                <w:sz w:val="20"/>
              </w:rPr>
            </w:pPr>
            <w:r>
              <w:rPr>
                <w:b/>
                <w:color w:val="FFFFFF"/>
                <w:spacing w:val="-2"/>
                <w:sz w:val="20"/>
              </w:rPr>
              <w:t>Locations</w:t>
            </w:r>
          </w:p>
        </w:tc>
        <w:tc>
          <w:tcPr>
            <w:tcW w:w="1109" w:type="dxa"/>
            <w:vMerge/>
            <w:tcBorders>
              <w:top w:val="nil"/>
            </w:tcBorders>
            <w:shd w:val="clear" w:color="auto" w:fill="004B96"/>
          </w:tcPr>
          <w:p>
            <w:pPr>
              <w:rPr>
                <w:sz w:val="2"/>
                <w:szCs w:val="2"/>
              </w:rPr>
            </w:pPr>
          </w:p>
        </w:tc>
        <w:tc>
          <w:tcPr>
            <w:tcW w:w="1417" w:type="dxa"/>
            <w:shd w:val="clear" w:color="auto" w:fill="004B96"/>
          </w:tcPr>
          <w:p>
            <w:pPr>
              <w:pStyle w:val="TableParagraph"/>
              <w:rPr>
                <w:rFonts w:ascii="Times New Roman"/>
                <w:sz w:val="18"/>
              </w:rPr>
            </w:pPr>
          </w:p>
        </w:tc>
        <w:tc>
          <w:tcPr>
            <w:tcW w:w="1306" w:type="dxa"/>
            <w:shd w:val="clear" w:color="auto" w:fill="004B96"/>
          </w:tcPr>
          <w:p>
            <w:pPr>
              <w:pStyle w:val="TableParagraph"/>
              <w:rPr>
                <w:rFonts w:ascii="Times New Roman"/>
                <w:sz w:val="18"/>
              </w:rPr>
            </w:pPr>
          </w:p>
        </w:tc>
        <w:tc>
          <w:tcPr>
            <w:tcW w:w="1429" w:type="dxa"/>
            <w:vMerge/>
            <w:tcBorders>
              <w:top w:val="nil"/>
            </w:tcBorders>
            <w:shd w:val="clear" w:color="auto" w:fill="004B96"/>
          </w:tcPr>
          <w:p>
            <w:pPr>
              <w:rPr>
                <w:sz w:val="2"/>
                <w:szCs w:val="2"/>
              </w:rPr>
            </w:pPr>
          </w:p>
        </w:tc>
        <w:tc>
          <w:tcPr>
            <w:tcW w:w="1261" w:type="dxa"/>
            <w:shd w:val="clear" w:color="auto" w:fill="004B96"/>
          </w:tcPr>
          <w:p>
            <w:pPr>
              <w:pStyle w:val="TableParagraph"/>
              <w:rPr>
                <w:rFonts w:ascii="Times New Roman"/>
                <w:sz w:val="18"/>
              </w:rPr>
            </w:pPr>
          </w:p>
        </w:tc>
        <w:tc>
          <w:tcPr>
            <w:tcW w:w="1425" w:type="dxa"/>
            <w:vMerge/>
            <w:tcBorders>
              <w:top w:val="nil"/>
            </w:tcBorders>
            <w:shd w:val="clear" w:color="auto" w:fill="004B96"/>
          </w:tcPr>
          <w:p>
            <w:pPr>
              <w:rPr>
                <w:sz w:val="2"/>
                <w:szCs w:val="2"/>
              </w:rPr>
            </w:pPr>
          </w:p>
        </w:tc>
      </w:tr>
      <w:tr>
        <w:trPr>
          <w:trHeight w:val="369" w:hRule="atLeast"/>
        </w:trPr>
        <w:tc>
          <w:tcPr>
            <w:tcW w:w="1162" w:type="dxa"/>
            <w:tcBorders>
              <w:bottom w:val="single" w:sz="4" w:space="0" w:color="000000"/>
            </w:tcBorders>
          </w:tcPr>
          <w:p>
            <w:pPr>
              <w:pStyle w:val="TableParagraph"/>
              <w:spacing w:before="79"/>
              <w:ind w:right="22"/>
              <w:jc w:val="center"/>
              <w:rPr>
                <w:sz w:val="20"/>
              </w:rPr>
            </w:pPr>
            <w:r>
              <w:rPr>
                <w:sz w:val="20"/>
              </w:rPr>
              <w:t>Location</w:t>
            </w:r>
            <w:r>
              <w:rPr>
                <w:spacing w:val="-12"/>
                <w:sz w:val="20"/>
              </w:rPr>
              <w:t> </w:t>
            </w:r>
            <w:r>
              <w:rPr>
                <w:spacing w:val="-10"/>
                <w:sz w:val="20"/>
              </w:rPr>
              <w:t>1</w:t>
            </w:r>
          </w:p>
        </w:tc>
        <w:tc>
          <w:tcPr>
            <w:tcW w:w="1109" w:type="dxa"/>
            <w:tcBorders>
              <w:bottom w:val="single" w:sz="4" w:space="0" w:color="000000"/>
            </w:tcBorders>
            <w:shd w:val="clear" w:color="auto" w:fill="CCDBEA"/>
          </w:tcPr>
          <w:p>
            <w:pPr>
              <w:pStyle w:val="TableParagraph"/>
              <w:spacing w:before="79"/>
              <w:ind w:right="3"/>
              <w:jc w:val="center"/>
              <w:rPr>
                <w:sz w:val="20"/>
              </w:rPr>
            </w:pPr>
            <w:r>
              <w:rPr>
                <w:spacing w:val="-5"/>
                <w:sz w:val="20"/>
              </w:rPr>
              <w:t>47</w:t>
            </w:r>
          </w:p>
        </w:tc>
        <w:tc>
          <w:tcPr>
            <w:tcW w:w="1417" w:type="dxa"/>
            <w:tcBorders>
              <w:bottom w:val="single" w:sz="4" w:space="0" w:color="000000"/>
            </w:tcBorders>
          </w:tcPr>
          <w:p>
            <w:pPr>
              <w:pStyle w:val="TableParagraph"/>
              <w:spacing w:before="79"/>
              <w:ind w:left="1" w:right="5"/>
              <w:jc w:val="center"/>
              <w:rPr>
                <w:sz w:val="20"/>
              </w:rPr>
            </w:pPr>
            <w:r>
              <w:rPr>
                <w:spacing w:val="-2"/>
                <w:sz w:val="20"/>
              </w:rPr>
              <w:t>$13,708.24</w:t>
            </w:r>
          </w:p>
        </w:tc>
        <w:tc>
          <w:tcPr>
            <w:tcW w:w="1306" w:type="dxa"/>
            <w:tcBorders>
              <w:bottom w:val="single" w:sz="4" w:space="0" w:color="000000"/>
            </w:tcBorders>
            <w:shd w:val="clear" w:color="auto" w:fill="CCDBEA"/>
          </w:tcPr>
          <w:p>
            <w:pPr>
              <w:pStyle w:val="TableParagraph"/>
              <w:spacing w:before="79"/>
              <w:ind w:right="4"/>
              <w:jc w:val="center"/>
              <w:rPr>
                <w:sz w:val="20"/>
              </w:rPr>
            </w:pPr>
            <w:r>
              <w:rPr>
                <w:spacing w:val="-2"/>
                <w:sz w:val="20"/>
              </w:rPr>
              <w:t>$14,930.89</w:t>
            </w:r>
          </w:p>
        </w:tc>
        <w:tc>
          <w:tcPr>
            <w:tcW w:w="1429" w:type="dxa"/>
            <w:tcBorders>
              <w:bottom w:val="single" w:sz="4" w:space="0" w:color="000000"/>
            </w:tcBorders>
          </w:tcPr>
          <w:p>
            <w:pPr>
              <w:pStyle w:val="TableParagraph"/>
              <w:spacing w:before="79"/>
              <w:ind w:right="3"/>
              <w:jc w:val="center"/>
              <w:rPr>
                <w:sz w:val="20"/>
              </w:rPr>
            </w:pPr>
            <w:r>
              <w:rPr>
                <w:spacing w:val="-5"/>
                <w:sz w:val="20"/>
              </w:rPr>
              <w:t>8%</w:t>
            </w:r>
          </w:p>
        </w:tc>
        <w:tc>
          <w:tcPr>
            <w:tcW w:w="1261" w:type="dxa"/>
            <w:tcBorders>
              <w:bottom w:val="single" w:sz="4" w:space="0" w:color="000000"/>
            </w:tcBorders>
            <w:shd w:val="clear" w:color="auto" w:fill="CCDBEA"/>
          </w:tcPr>
          <w:p>
            <w:pPr>
              <w:pStyle w:val="TableParagraph"/>
              <w:spacing w:before="79"/>
              <w:ind w:left="2" w:right="6"/>
              <w:jc w:val="center"/>
              <w:rPr>
                <w:sz w:val="20"/>
              </w:rPr>
            </w:pPr>
            <w:r>
              <w:rPr>
                <w:spacing w:val="-2"/>
                <w:sz w:val="20"/>
              </w:rPr>
              <w:t>$15,692.74</w:t>
            </w:r>
          </w:p>
        </w:tc>
        <w:tc>
          <w:tcPr>
            <w:tcW w:w="1425" w:type="dxa"/>
            <w:tcBorders>
              <w:bottom w:val="single" w:sz="4" w:space="0" w:color="000000"/>
            </w:tcBorders>
          </w:tcPr>
          <w:p>
            <w:pPr>
              <w:pStyle w:val="TableParagraph"/>
              <w:spacing w:before="79"/>
              <w:ind w:left="115" w:right="122"/>
              <w:jc w:val="center"/>
              <w:rPr>
                <w:sz w:val="20"/>
              </w:rPr>
            </w:pPr>
            <w:r>
              <w:rPr>
                <w:spacing w:val="-5"/>
                <w:sz w:val="20"/>
              </w:rPr>
              <w:t>13%</w:t>
            </w:r>
          </w:p>
        </w:tc>
      </w:tr>
      <w:tr>
        <w:trPr>
          <w:trHeight w:val="371" w:hRule="atLeast"/>
        </w:trPr>
        <w:tc>
          <w:tcPr>
            <w:tcW w:w="1162" w:type="dxa"/>
            <w:tcBorders>
              <w:top w:val="single" w:sz="4" w:space="0" w:color="000000"/>
              <w:bottom w:val="single" w:sz="4" w:space="0" w:color="000000"/>
            </w:tcBorders>
          </w:tcPr>
          <w:p>
            <w:pPr>
              <w:pStyle w:val="TableParagraph"/>
              <w:spacing w:before="81"/>
              <w:ind w:right="22"/>
              <w:jc w:val="center"/>
              <w:rPr>
                <w:sz w:val="20"/>
              </w:rPr>
            </w:pPr>
            <w:r>
              <w:rPr>
                <w:sz w:val="20"/>
              </w:rPr>
              <w:t>Location</w:t>
            </w:r>
            <w:r>
              <w:rPr>
                <w:spacing w:val="-12"/>
                <w:sz w:val="20"/>
              </w:rPr>
              <w:t> </w:t>
            </w:r>
            <w:r>
              <w:rPr>
                <w:spacing w:val="-10"/>
                <w:sz w:val="20"/>
              </w:rPr>
              <w:t>2</w:t>
            </w:r>
          </w:p>
        </w:tc>
        <w:tc>
          <w:tcPr>
            <w:tcW w:w="1109" w:type="dxa"/>
            <w:tcBorders>
              <w:top w:val="single" w:sz="4" w:space="0" w:color="000000"/>
              <w:bottom w:val="single" w:sz="4" w:space="0" w:color="000000"/>
            </w:tcBorders>
            <w:shd w:val="clear" w:color="auto" w:fill="CCDBEA"/>
          </w:tcPr>
          <w:p>
            <w:pPr>
              <w:pStyle w:val="TableParagraph"/>
              <w:spacing w:before="81"/>
              <w:ind w:right="3"/>
              <w:jc w:val="center"/>
              <w:rPr>
                <w:sz w:val="20"/>
              </w:rPr>
            </w:pPr>
            <w:r>
              <w:rPr>
                <w:spacing w:val="-5"/>
                <w:sz w:val="20"/>
              </w:rPr>
              <w:t>330</w:t>
            </w:r>
          </w:p>
        </w:tc>
        <w:tc>
          <w:tcPr>
            <w:tcW w:w="1417" w:type="dxa"/>
            <w:tcBorders>
              <w:top w:val="single" w:sz="4" w:space="0" w:color="000000"/>
              <w:bottom w:val="single" w:sz="4" w:space="0" w:color="000000"/>
            </w:tcBorders>
          </w:tcPr>
          <w:p>
            <w:pPr>
              <w:pStyle w:val="TableParagraph"/>
              <w:spacing w:before="81"/>
              <w:ind w:left="1" w:right="5"/>
              <w:jc w:val="center"/>
              <w:rPr>
                <w:sz w:val="20"/>
              </w:rPr>
            </w:pPr>
            <w:r>
              <w:rPr>
                <w:spacing w:val="-2"/>
                <w:sz w:val="20"/>
              </w:rPr>
              <w:t>$51,495.60</w:t>
            </w:r>
          </w:p>
        </w:tc>
        <w:tc>
          <w:tcPr>
            <w:tcW w:w="1306" w:type="dxa"/>
            <w:tcBorders>
              <w:top w:val="single" w:sz="4" w:space="0" w:color="000000"/>
              <w:bottom w:val="single" w:sz="4" w:space="0" w:color="000000"/>
            </w:tcBorders>
            <w:shd w:val="clear" w:color="auto" w:fill="CCDBEA"/>
          </w:tcPr>
          <w:p>
            <w:pPr>
              <w:pStyle w:val="TableParagraph"/>
              <w:spacing w:before="81"/>
              <w:ind w:right="4"/>
              <w:jc w:val="center"/>
              <w:rPr>
                <w:sz w:val="20"/>
              </w:rPr>
            </w:pPr>
            <w:r>
              <w:rPr>
                <w:spacing w:val="-2"/>
                <w:sz w:val="20"/>
              </w:rPr>
              <w:t>$58,070.74</w:t>
            </w:r>
          </w:p>
        </w:tc>
        <w:tc>
          <w:tcPr>
            <w:tcW w:w="1429" w:type="dxa"/>
            <w:tcBorders>
              <w:top w:val="single" w:sz="4" w:space="0" w:color="000000"/>
              <w:bottom w:val="single" w:sz="4" w:space="0" w:color="000000"/>
            </w:tcBorders>
          </w:tcPr>
          <w:p>
            <w:pPr>
              <w:pStyle w:val="TableParagraph"/>
              <w:spacing w:before="81"/>
              <w:ind w:right="3"/>
              <w:jc w:val="center"/>
              <w:rPr>
                <w:sz w:val="20"/>
              </w:rPr>
            </w:pPr>
            <w:r>
              <w:rPr>
                <w:spacing w:val="-5"/>
                <w:sz w:val="20"/>
              </w:rPr>
              <w:t>11%</w:t>
            </w:r>
          </w:p>
        </w:tc>
        <w:tc>
          <w:tcPr>
            <w:tcW w:w="1261" w:type="dxa"/>
            <w:tcBorders>
              <w:top w:val="single" w:sz="4" w:space="0" w:color="000000"/>
              <w:bottom w:val="single" w:sz="4" w:space="0" w:color="000000"/>
            </w:tcBorders>
            <w:shd w:val="clear" w:color="auto" w:fill="CCDBEA"/>
          </w:tcPr>
          <w:p>
            <w:pPr>
              <w:pStyle w:val="TableParagraph"/>
              <w:spacing w:before="81"/>
              <w:ind w:left="2" w:right="6"/>
              <w:jc w:val="center"/>
              <w:rPr>
                <w:sz w:val="20"/>
              </w:rPr>
            </w:pPr>
            <w:r>
              <w:rPr>
                <w:spacing w:val="-2"/>
                <w:sz w:val="20"/>
              </w:rPr>
              <w:t>$62,167.80</w:t>
            </w:r>
          </w:p>
        </w:tc>
        <w:tc>
          <w:tcPr>
            <w:tcW w:w="1425" w:type="dxa"/>
            <w:tcBorders>
              <w:top w:val="single" w:sz="4" w:space="0" w:color="000000"/>
              <w:bottom w:val="single" w:sz="4" w:space="0" w:color="000000"/>
            </w:tcBorders>
          </w:tcPr>
          <w:p>
            <w:pPr>
              <w:pStyle w:val="TableParagraph"/>
              <w:spacing w:before="81"/>
              <w:ind w:left="115" w:right="122"/>
              <w:jc w:val="center"/>
              <w:rPr>
                <w:sz w:val="20"/>
              </w:rPr>
            </w:pPr>
            <w:r>
              <w:rPr>
                <w:spacing w:val="-5"/>
                <w:sz w:val="20"/>
              </w:rPr>
              <w:t>17%</w:t>
            </w:r>
          </w:p>
        </w:tc>
      </w:tr>
      <w:tr>
        <w:trPr>
          <w:trHeight w:val="369" w:hRule="atLeast"/>
        </w:trPr>
        <w:tc>
          <w:tcPr>
            <w:tcW w:w="1162" w:type="dxa"/>
            <w:tcBorders>
              <w:top w:val="single" w:sz="4" w:space="0" w:color="000000"/>
              <w:bottom w:val="single" w:sz="4" w:space="0" w:color="000000"/>
            </w:tcBorders>
          </w:tcPr>
          <w:p>
            <w:pPr>
              <w:pStyle w:val="TableParagraph"/>
              <w:spacing w:before="78"/>
              <w:ind w:right="22"/>
              <w:jc w:val="center"/>
              <w:rPr>
                <w:sz w:val="20"/>
              </w:rPr>
            </w:pPr>
            <w:r>
              <w:rPr>
                <w:sz w:val="20"/>
              </w:rPr>
              <w:t>Location</w:t>
            </w:r>
            <w:r>
              <w:rPr>
                <w:spacing w:val="-12"/>
                <w:sz w:val="20"/>
              </w:rPr>
              <w:t> </w:t>
            </w:r>
            <w:r>
              <w:rPr>
                <w:spacing w:val="-10"/>
                <w:sz w:val="20"/>
              </w:rPr>
              <w:t>3</w:t>
            </w:r>
          </w:p>
        </w:tc>
        <w:tc>
          <w:tcPr>
            <w:tcW w:w="1109" w:type="dxa"/>
            <w:tcBorders>
              <w:top w:val="single" w:sz="4" w:space="0" w:color="000000"/>
              <w:bottom w:val="single" w:sz="4" w:space="0" w:color="000000"/>
            </w:tcBorders>
            <w:shd w:val="clear" w:color="auto" w:fill="CCDBEA"/>
          </w:tcPr>
          <w:p>
            <w:pPr>
              <w:pStyle w:val="TableParagraph"/>
              <w:spacing w:before="78"/>
              <w:ind w:right="3"/>
              <w:jc w:val="center"/>
              <w:rPr>
                <w:sz w:val="20"/>
              </w:rPr>
            </w:pPr>
            <w:r>
              <w:rPr>
                <w:spacing w:val="-5"/>
                <w:sz w:val="20"/>
              </w:rPr>
              <w:t>89</w:t>
            </w:r>
          </w:p>
        </w:tc>
        <w:tc>
          <w:tcPr>
            <w:tcW w:w="1417" w:type="dxa"/>
            <w:tcBorders>
              <w:top w:val="single" w:sz="4" w:space="0" w:color="000000"/>
              <w:bottom w:val="single" w:sz="4" w:space="0" w:color="000000"/>
            </w:tcBorders>
          </w:tcPr>
          <w:p>
            <w:pPr>
              <w:pStyle w:val="TableParagraph"/>
              <w:spacing w:before="78"/>
              <w:ind w:left="1" w:right="5"/>
              <w:jc w:val="center"/>
              <w:rPr>
                <w:sz w:val="20"/>
              </w:rPr>
            </w:pPr>
            <w:r>
              <w:rPr>
                <w:spacing w:val="-2"/>
                <w:sz w:val="20"/>
              </w:rPr>
              <w:t>$15,095.60</w:t>
            </w:r>
          </w:p>
        </w:tc>
        <w:tc>
          <w:tcPr>
            <w:tcW w:w="1306" w:type="dxa"/>
            <w:tcBorders>
              <w:top w:val="single" w:sz="4" w:space="0" w:color="000000"/>
              <w:bottom w:val="single" w:sz="4" w:space="0" w:color="000000"/>
            </w:tcBorders>
            <w:shd w:val="clear" w:color="auto" w:fill="CCDBEA"/>
          </w:tcPr>
          <w:p>
            <w:pPr>
              <w:pStyle w:val="TableParagraph"/>
              <w:spacing w:before="78"/>
              <w:ind w:right="4"/>
              <w:jc w:val="center"/>
              <w:rPr>
                <w:sz w:val="20"/>
              </w:rPr>
            </w:pPr>
            <w:r>
              <w:rPr>
                <w:spacing w:val="-2"/>
                <w:sz w:val="20"/>
              </w:rPr>
              <w:t>$17,323.54</w:t>
            </w:r>
          </w:p>
        </w:tc>
        <w:tc>
          <w:tcPr>
            <w:tcW w:w="1429" w:type="dxa"/>
            <w:tcBorders>
              <w:top w:val="single" w:sz="4" w:space="0" w:color="000000"/>
              <w:bottom w:val="single" w:sz="4" w:space="0" w:color="000000"/>
            </w:tcBorders>
          </w:tcPr>
          <w:p>
            <w:pPr>
              <w:pStyle w:val="TableParagraph"/>
              <w:spacing w:before="78"/>
              <w:ind w:right="3"/>
              <w:jc w:val="center"/>
              <w:rPr>
                <w:sz w:val="20"/>
              </w:rPr>
            </w:pPr>
            <w:r>
              <w:rPr>
                <w:spacing w:val="-5"/>
                <w:sz w:val="20"/>
              </w:rPr>
              <w:t>13%</w:t>
            </w:r>
          </w:p>
        </w:tc>
        <w:tc>
          <w:tcPr>
            <w:tcW w:w="1261" w:type="dxa"/>
            <w:tcBorders>
              <w:top w:val="single" w:sz="4" w:space="0" w:color="000000"/>
              <w:bottom w:val="single" w:sz="4" w:space="0" w:color="000000"/>
            </w:tcBorders>
            <w:shd w:val="clear" w:color="auto" w:fill="CCDBEA"/>
          </w:tcPr>
          <w:p>
            <w:pPr>
              <w:pStyle w:val="TableParagraph"/>
              <w:spacing w:before="78"/>
              <w:ind w:left="2" w:right="6"/>
              <w:jc w:val="center"/>
              <w:rPr>
                <w:sz w:val="20"/>
              </w:rPr>
            </w:pPr>
            <w:r>
              <w:rPr>
                <w:spacing w:val="-2"/>
                <w:sz w:val="20"/>
              </w:rPr>
              <w:t>$18,711.80</w:t>
            </w:r>
          </w:p>
        </w:tc>
        <w:tc>
          <w:tcPr>
            <w:tcW w:w="1425" w:type="dxa"/>
            <w:tcBorders>
              <w:top w:val="single" w:sz="4" w:space="0" w:color="000000"/>
              <w:bottom w:val="single" w:sz="4" w:space="0" w:color="000000"/>
            </w:tcBorders>
          </w:tcPr>
          <w:p>
            <w:pPr>
              <w:pStyle w:val="TableParagraph"/>
              <w:spacing w:before="78"/>
              <w:ind w:left="115" w:right="122"/>
              <w:jc w:val="center"/>
              <w:rPr>
                <w:sz w:val="20"/>
              </w:rPr>
            </w:pPr>
            <w:r>
              <w:rPr>
                <w:spacing w:val="-5"/>
                <w:sz w:val="20"/>
              </w:rPr>
              <w:t>19%</w:t>
            </w:r>
          </w:p>
        </w:tc>
      </w:tr>
    </w:tbl>
    <w:p>
      <w:pPr>
        <w:spacing w:before="6"/>
        <w:ind w:left="112" w:right="142" w:firstLine="0"/>
        <w:jc w:val="left"/>
        <w:rPr>
          <w:sz w:val="18"/>
        </w:rPr>
      </w:pPr>
      <w:r>
        <w:rPr>
          <w:sz w:val="20"/>
        </w:rPr>
        <w:t>*</w:t>
      </w:r>
      <w:r>
        <w:rPr>
          <w:spacing w:val="-3"/>
          <w:sz w:val="20"/>
        </w:rPr>
        <w:t> </w:t>
      </w:r>
      <w:r>
        <w:rPr>
          <w:sz w:val="18"/>
        </w:rPr>
        <w:t>Based</w:t>
      </w:r>
      <w:r>
        <w:rPr>
          <w:spacing w:val="-2"/>
          <w:sz w:val="18"/>
        </w:rPr>
        <w:t> </w:t>
      </w:r>
      <w:r>
        <w:rPr>
          <w:sz w:val="18"/>
        </w:rPr>
        <w:t>on</w:t>
      </w:r>
      <w:r>
        <w:rPr>
          <w:spacing w:val="-3"/>
          <w:sz w:val="18"/>
        </w:rPr>
        <w:t> </w:t>
      </w:r>
      <w:r>
        <w:rPr>
          <w:sz w:val="18"/>
        </w:rPr>
        <w:t>CPE</w:t>
      </w:r>
      <w:r>
        <w:rPr>
          <w:spacing w:val="-3"/>
          <w:sz w:val="18"/>
        </w:rPr>
        <w:t> </w:t>
      </w:r>
      <w:r>
        <w:rPr>
          <w:sz w:val="18"/>
        </w:rPr>
        <w:t>checking</w:t>
      </w:r>
      <w:r>
        <w:rPr>
          <w:spacing w:val="-1"/>
          <w:sz w:val="18"/>
        </w:rPr>
        <w:t> </w:t>
      </w:r>
      <w:r>
        <w:rPr>
          <w:sz w:val="18"/>
        </w:rPr>
        <w:t>and</w:t>
      </w:r>
      <w:r>
        <w:rPr>
          <w:spacing w:val="-4"/>
          <w:sz w:val="18"/>
        </w:rPr>
        <w:t> </w:t>
      </w:r>
      <w:r>
        <w:rPr>
          <w:sz w:val="18"/>
        </w:rPr>
        <w:t>replacement</w:t>
      </w:r>
      <w:r>
        <w:rPr>
          <w:spacing w:val="-4"/>
          <w:sz w:val="18"/>
        </w:rPr>
        <w:t> </w:t>
      </w:r>
      <w:r>
        <w:rPr>
          <w:sz w:val="18"/>
        </w:rPr>
        <w:t>every</w:t>
      </w:r>
      <w:r>
        <w:rPr>
          <w:spacing w:val="-1"/>
          <w:sz w:val="18"/>
        </w:rPr>
        <w:t> </w:t>
      </w:r>
      <w:r>
        <w:rPr>
          <w:sz w:val="18"/>
        </w:rPr>
        <w:t>three</w:t>
      </w:r>
      <w:r>
        <w:rPr>
          <w:spacing w:val="-4"/>
          <w:sz w:val="18"/>
        </w:rPr>
        <w:t> </w:t>
      </w:r>
      <w:r>
        <w:rPr>
          <w:sz w:val="18"/>
        </w:rPr>
        <w:t>weeks.</w:t>
      </w:r>
      <w:r>
        <w:rPr>
          <w:spacing w:val="-2"/>
          <w:sz w:val="18"/>
        </w:rPr>
        <w:t> </w:t>
      </w:r>
      <w:r>
        <w:rPr>
          <w:sz w:val="18"/>
        </w:rPr>
        <w:t>Cost</w:t>
      </w:r>
      <w:r>
        <w:rPr>
          <w:spacing w:val="-4"/>
          <w:sz w:val="18"/>
        </w:rPr>
        <w:t> </w:t>
      </w:r>
      <w:r>
        <w:rPr>
          <w:sz w:val="18"/>
        </w:rPr>
        <w:t>could</w:t>
      </w:r>
      <w:r>
        <w:rPr>
          <w:spacing w:val="-2"/>
          <w:sz w:val="18"/>
        </w:rPr>
        <w:t> </w:t>
      </w:r>
      <w:r>
        <w:rPr>
          <w:sz w:val="18"/>
        </w:rPr>
        <w:t>be</w:t>
      </w:r>
      <w:r>
        <w:rPr>
          <w:spacing w:val="-2"/>
          <w:sz w:val="18"/>
        </w:rPr>
        <w:t> </w:t>
      </w:r>
      <w:r>
        <w:rPr>
          <w:sz w:val="18"/>
        </w:rPr>
        <w:t>reduced</w:t>
      </w:r>
      <w:r>
        <w:rPr>
          <w:spacing w:val="-2"/>
          <w:sz w:val="18"/>
        </w:rPr>
        <w:t> </w:t>
      </w:r>
      <w:r>
        <w:rPr>
          <w:sz w:val="18"/>
        </w:rPr>
        <w:t>further</w:t>
      </w:r>
      <w:r>
        <w:rPr>
          <w:spacing w:val="-2"/>
          <w:sz w:val="18"/>
        </w:rPr>
        <w:t> </w:t>
      </w:r>
      <w:r>
        <w:rPr>
          <w:sz w:val="18"/>
        </w:rPr>
        <w:t>if</w:t>
      </w:r>
      <w:r>
        <w:rPr>
          <w:spacing w:val="-4"/>
          <w:sz w:val="18"/>
        </w:rPr>
        <w:t> </w:t>
      </w:r>
      <w:r>
        <w:rPr>
          <w:sz w:val="18"/>
        </w:rPr>
        <w:t>checking</w:t>
      </w:r>
      <w:r>
        <w:rPr>
          <w:spacing w:val="-3"/>
          <w:sz w:val="18"/>
        </w:rPr>
        <w:t> </w:t>
      </w:r>
      <w:r>
        <w:rPr>
          <w:sz w:val="18"/>
        </w:rPr>
        <w:t>and replacement was every four weeks.</w:t>
      </w:r>
    </w:p>
    <w:p>
      <w:pPr>
        <w:pStyle w:val="BodyText"/>
        <w:rPr>
          <w:sz w:val="18"/>
        </w:rPr>
      </w:pPr>
    </w:p>
    <w:p>
      <w:pPr>
        <w:pStyle w:val="BodyText"/>
        <w:spacing w:before="76"/>
        <w:rPr>
          <w:sz w:val="18"/>
        </w:rPr>
      </w:pPr>
    </w:p>
    <w:p>
      <w:pPr>
        <w:pStyle w:val="Heading5"/>
        <w:numPr>
          <w:ilvl w:val="2"/>
          <w:numId w:val="17"/>
        </w:numPr>
        <w:tabs>
          <w:tab w:pos="831" w:val="left" w:leader="none"/>
        </w:tabs>
        <w:spacing w:line="240" w:lineRule="auto" w:before="0" w:after="0"/>
        <w:ind w:left="831" w:right="0" w:hanging="719"/>
        <w:jc w:val="left"/>
      </w:pPr>
      <w:bookmarkStart w:name="_TOC_250035" w:id="74"/>
      <w:r>
        <w:rPr/>
        <w:t>Aerial</w:t>
      </w:r>
      <w:r>
        <w:rPr>
          <w:spacing w:val="-4"/>
        </w:rPr>
        <w:t> </w:t>
      </w:r>
      <w:bookmarkEnd w:id="74"/>
      <w:r>
        <w:rPr>
          <w:spacing w:val="-2"/>
        </w:rPr>
        <w:t>baiting</w:t>
      </w:r>
    </w:p>
    <w:p>
      <w:pPr>
        <w:pStyle w:val="BodyText"/>
        <w:spacing w:before="56"/>
        <w:ind w:left="112" w:right="126"/>
      </w:pPr>
      <w:r>
        <w:rPr/>
        <w:t>Aerial baiting has been used successfully in Western Australia but is not currently permitted for fox control in Victoria. Nonetheless, it could also enhance cost-effectiveness in eastern Australia but faces several challenges. In higher rainfall areas, where bait decomposes quickly, maintaining lethal bait through frequent replacement or increased density may be necessary. Additionally, native animals in eastern Australia, that are</w:t>
      </w:r>
      <w:r>
        <w:rPr>
          <w:spacing w:val="-3"/>
        </w:rPr>
        <w:t> </w:t>
      </w:r>
      <w:r>
        <w:rPr/>
        <w:t>generally less</w:t>
      </w:r>
      <w:r>
        <w:rPr>
          <w:spacing w:val="-2"/>
        </w:rPr>
        <w:t> </w:t>
      </w:r>
      <w:r>
        <w:rPr/>
        <w:t>tolerant</w:t>
      </w:r>
      <w:r>
        <w:rPr>
          <w:spacing w:val="-1"/>
        </w:rPr>
        <w:t> </w:t>
      </w:r>
      <w:r>
        <w:rPr/>
        <w:t>of</w:t>
      </w:r>
      <w:r>
        <w:rPr>
          <w:spacing w:val="-3"/>
        </w:rPr>
        <w:t> </w:t>
      </w:r>
      <w:r>
        <w:rPr/>
        <w:t>1080</w:t>
      </w:r>
      <w:r>
        <w:rPr>
          <w:spacing w:val="-3"/>
        </w:rPr>
        <w:t> </w:t>
      </w:r>
      <w:r>
        <w:rPr/>
        <w:t>toxin</w:t>
      </w:r>
      <w:r>
        <w:rPr>
          <w:spacing w:val="-1"/>
        </w:rPr>
        <w:t> </w:t>
      </w:r>
      <w:r>
        <w:rPr/>
        <w:t>than</w:t>
      </w:r>
      <w:r>
        <w:rPr>
          <w:spacing w:val="-3"/>
        </w:rPr>
        <w:t> </w:t>
      </w:r>
      <w:r>
        <w:rPr/>
        <w:t>those</w:t>
      </w:r>
      <w:r>
        <w:rPr>
          <w:spacing w:val="-3"/>
        </w:rPr>
        <w:t> </w:t>
      </w:r>
      <w:r>
        <w:rPr/>
        <w:t>in</w:t>
      </w:r>
      <w:r>
        <w:rPr>
          <w:spacing w:val="-1"/>
        </w:rPr>
        <w:t> </w:t>
      </w:r>
      <w:r>
        <w:rPr/>
        <w:t>the</w:t>
      </w:r>
      <w:r>
        <w:rPr>
          <w:spacing w:val="-4"/>
        </w:rPr>
        <w:t> </w:t>
      </w:r>
      <w:r>
        <w:rPr/>
        <w:t>west,</w:t>
      </w:r>
      <w:r>
        <w:rPr>
          <w:spacing w:val="-3"/>
        </w:rPr>
        <w:t> </w:t>
      </w:r>
      <w:r>
        <w:rPr/>
        <w:t>may</w:t>
      </w:r>
      <w:r>
        <w:rPr>
          <w:spacing w:val="-2"/>
        </w:rPr>
        <w:t> </w:t>
      </w:r>
      <w:r>
        <w:rPr/>
        <w:t>face</w:t>
      </w:r>
      <w:r>
        <w:rPr>
          <w:spacing w:val="-3"/>
        </w:rPr>
        <w:t> </w:t>
      </w:r>
      <w:r>
        <w:rPr/>
        <w:t>higher</w:t>
      </w:r>
      <w:r>
        <w:rPr>
          <w:spacing w:val="-3"/>
        </w:rPr>
        <w:t> </w:t>
      </w:r>
      <w:r>
        <w:rPr/>
        <w:t>non-target</w:t>
      </w:r>
      <w:r>
        <w:rPr>
          <w:spacing w:val="-3"/>
        </w:rPr>
        <w:t> </w:t>
      </w:r>
      <w:r>
        <w:rPr/>
        <w:t>risks (see</w:t>
      </w:r>
      <w:r>
        <w:rPr>
          <w:spacing w:val="-4"/>
        </w:rPr>
        <w:t> </w:t>
      </w:r>
      <w:r>
        <w:rPr/>
        <w:t>Section </w:t>
      </w:r>
      <w:hyperlink w:history="true" w:anchor="_bookmark20">
        <w:r>
          <w:rPr/>
          <w:t>13.1.3</w:t>
        </w:r>
      </w:hyperlink>
      <w:r>
        <w:rPr/>
        <w:t>). While studies have not found significant population-level impacts on non-target species, aerial baiting's surface presentation of baits could elevate this risk (Allen et al. 1989; Glen et al. 2007). Further, regulatory and</w:t>
      </w:r>
      <w:r>
        <w:rPr>
          <w:spacing w:val="-1"/>
        </w:rPr>
        <w:t> </w:t>
      </w:r>
      <w:r>
        <w:rPr/>
        <w:t>logistical</w:t>
      </w:r>
      <w:r>
        <w:rPr>
          <w:spacing w:val="-2"/>
        </w:rPr>
        <w:t> </w:t>
      </w:r>
      <w:r>
        <w:rPr/>
        <w:t>challenges due</w:t>
      </w:r>
      <w:r>
        <w:rPr>
          <w:spacing w:val="-1"/>
        </w:rPr>
        <w:t> </w:t>
      </w:r>
      <w:r>
        <w:rPr/>
        <w:t>to fragmented landscapes and</w:t>
      </w:r>
      <w:r>
        <w:rPr>
          <w:spacing w:val="-2"/>
        </w:rPr>
        <w:t> </w:t>
      </w:r>
      <w:r>
        <w:rPr/>
        <w:t>denser</w:t>
      </w:r>
      <w:r>
        <w:rPr>
          <w:spacing w:val="-1"/>
        </w:rPr>
        <w:t> </w:t>
      </w:r>
      <w:r>
        <w:rPr/>
        <w:t>human populations in</w:t>
      </w:r>
      <w:r>
        <w:rPr>
          <w:spacing w:val="-1"/>
        </w:rPr>
        <w:t> </w:t>
      </w:r>
      <w:r>
        <w:rPr/>
        <w:t>eastern Australia complicate aerial baiting implementation (McIlroy and Saunders 1998; Saunders and McLeod 2007). Although, aerial baiting has been delivered to manage livestock loss and targeting Dingoes and Wild Dogs in restricted locations in Victoria using dried meat baits containing 6 mg of 1080.</w:t>
      </w:r>
    </w:p>
    <w:p>
      <w:pPr>
        <w:pStyle w:val="Heading5"/>
        <w:numPr>
          <w:ilvl w:val="2"/>
          <w:numId w:val="17"/>
        </w:numPr>
        <w:tabs>
          <w:tab w:pos="831" w:val="left" w:leader="none"/>
        </w:tabs>
        <w:spacing w:line="240" w:lineRule="auto" w:before="142" w:after="0"/>
        <w:ind w:left="831" w:right="0" w:hanging="719"/>
        <w:jc w:val="left"/>
      </w:pPr>
      <w:bookmarkStart w:name="_TOC_250034" w:id="75"/>
      <w:r>
        <w:rPr/>
        <w:t>Ground-based</w:t>
      </w:r>
      <w:r>
        <w:rPr>
          <w:spacing w:val="-8"/>
        </w:rPr>
        <w:t> </w:t>
      </w:r>
      <w:bookmarkEnd w:id="75"/>
      <w:r>
        <w:rPr>
          <w:spacing w:val="-2"/>
        </w:rPr>
        <w:t>shooting</w:t>
      </w:r>
    </w:p>
    <w:p>
      <w:pPr>
        <w:pStyle w:val="BodyText"/>
        <w:spacing w:before="56"/>
        <w:ind w:left="112" w:right="117"/>
      </w:pPr>
      <w:r>
        <w:rPr/>
        <w:t>Shooting has often been dismissed as an ineffective population control tool, primarily because it is generally too</w:t>
      </w:r>
      <w:r>
        <w:rPr>
          <w:spacing w:val="-4"/>
        </w:rPr>
        <w:t> </w:t>
      </w:r>
      <w:r>
        <w:rPr/>
        <w:t>inefficient</w:t>
      </w:r>
      <w:r>
        <w:rPr>
          <w:spacing w:val="-5"/>
        </w:rPr>
        <w:t> </w:t>
      </w:r>
      <w:r>
        <w:rPr/>
        <w:t>to</w:t>
      </w:r>
      <w:r>
        <w:rPr>
          <w:spacing w:val="-5"/>
        </w:rPr>
        <w:t> </w:t>
      </w:r>
      <w:r>
        <w:rPr/>
        <w:t>achieve</w:t>
      </w:r>
      <w:r>
        <w:rPr>
          <w:spacing w:val="-3"/>
        </w:rPr>
        <w:t> </w:t>
      </w:r>
      <w:r>
        <w:rPr/>
        <w:t>meaningful</w:t>
      </w:r>
      <w:r>
        <w:rPr>
          <w:spacing w:val="-4"/>
        </w:rPr>
        <w:t> </w:t>
      </w:r>
      <w:r>
        <w:rPr/>
        <w:t>population</w:t>
      </w:r>
      <w:r>
        <w:rPr>
          <w:spacing w:val="-5"/>
        </w:rPr>
        <w:t> </w:t>
      </w:r>
      <w:r>
        <w:rPr/>
        <w:t>reductions.</w:t>
      </w:r>
      <w:r>
        <w:rPr>
          <w:spacing w:val="-5"/>
        </w:rPr>
        <w:t> </w:t>
      </w:r>
      <w:r>
        <w:rPr/>
        <w:t>Published</w:t>
      </w:r>
      <w:r>
        <w:rPr>
          <w:spacing w:val="-5"/>
        </w:rPr>
        <w:t> </w:t>
      </w:r>
      <w:r>
        <w:rPr/>
        <w:t>examples</w:t>
      </w:r>
      <w:r>
        <w:rPr>
          <w:spacing w:val="-4"/>
        </w:rPr>
        <w:t> </w:t>
      </w:r>
      <w:r>
        <w:rPr/>
        <w:t>of</w:t>
      </w:r>
      <w:r>
        <w:rPr>
          <w:spacing w:val="-3"/>
        </w:rPr>
        <w:t> </w:t>
      </w:r>
      <w:r>
        <w:rPr/>
        <w:t>kills</w:t>
      </w:r>
      <w:r>
        <w:rPr>
          <w:spacing w:val="-2"/>
        </w:rPr>
        <w:t> </w:t>
      </w:r>
      <w:r>
        <w:rPr/>
        <w:t>per</w:t>
      </w:r>
      <w:r>
        <w:rPr>
          <w:spacing w:val="-4"/>
        </w:rPr>
        <w:t> </w:t>
      </w:r>
      <w:r>
        <w:rPr/>
        <w:t>unit</w:t>
      </w:r>
      <w:r>
        <w:rPr>
          <w:spacing w:val="-3"/>
        </w:rPr>
        <w:t> </w:t>
      </w:r>
      <w:r>
        <w:rPr/>
        <w:t>effort (without reported costs) for</w:t>
      </w:r>
      <w:r>
        <w:rPr>
          <w:spacing w:val="-2"/>
        </w:rPr>
        <w:t> </w:t>
      </w:r>
      <w:r>
        <w:rPr/>
        <w:t>foxes</w:t>
      </w:r>
      <w:r>
        <w:rPr>
          <w:spacing w:val="-1"/>
        </w:rPr>
        <w:t> </w:t>
      </w:r>
      <w:r>
        <w:rPr/>
        <w:t>in eastern Australia range</w:t>
      </w:r>
      <w:r>
        <w:rPr>
          <w:spacing w:val="-2"/>
        </w:rPr>
        <w:t> </w:t>
      </w:r>
      <w:r>
        <w:rPr/>
        <w:t>from</w:t>
      </w:r>
      <w:r>
        <w:rPr>
          <w:spacing w:val="-2"/>
        </w:rPr>
        <w:t> </w:t>
      </w:r>
      <w:r>
        <w:rPr/>
        <w:t>0.24</w:t>
      </w:r>
      <w:r>
        <w:rPr>
          <w:spacing w:val="-2"/>
        </w:rPr>
        <w:t> </w:t>
      </w:r>
      <w:r>
        <w:rPr/>
        <w:t>foxes per</w:t>
      </w:r>
      <w:r>
        <w:rPr>
          <w:spacing w:val="-1"/>
        </w:rPr>
        <w:t> </w:t>
      </w:r>
      <w:r>
        <w:rPr/>
        <w:t>hour (Coman 1992) to 0.78 foxes</w:t>
      </w:r>
      <w:r>
        <w:rPr>
          <w:spacing w:val="-1"/>
        </w:rPr>
        <w:t> </w:t>
      </w:r>
      <w:r>
        <w:rPr/>
        <w:t>per hour (Fleming 1997; Newsome et al. 2014). With sufficient repeated and organised effort, shooting was able to</w:t>
      </w:r>
      <w:r>
        <w:rPr>
          <w:spacing w:val="-4"/>
        </w:rPr>
        <w:t> </w:t>
      </w:r>
      <w:r>
        <w:rPr/>
        <w:t>reduce</w:t>
      </w:r>
      <w:r>
        <w:rPr>
          <w:spacing w:val="-1"/>
        </w:rPr>
        <w:t> </w:t>
      </w:r>
      <w:r>
        <w:rPr/>
        <w:t>fox</w:t>
      </w:r>
      <w:r>
        <w:rPr>
          <w:spacing w:val="-2"/>
        </w:rPr>
        <w:t> </w:t>
      </w:r>
      <w:r>
        <w:rPr/>
        <w:t>populations</w:t>
      </w:r>
      <w:r>
        <w:rPr>
          <w:spacing w:val="-2"/>
        </w:rPr>
        <w:t> </w:t>
      </w:r>
      <w:r>
        <w:rPr/>
        <w:t>in</w:t>
      </w:r>
      <w:r>
        <w:rPr>
          <w:spacing w:val="-1"/>
        </w:rPr>
        <w:t> </w:t>
      </w:r>
      <w:r>
        <w:rPr/>
        <w:t>agricultural</w:t>
      </w:r>
      <w:r>
        <w:rPr>
          <w:spacing w:val="-4"/>
        </w:rPr>
        <w:t> </w:t>
      </w:r>
      <w:r>
        <w:rPr/>
        <w:t>landscapes</w:t>
      </w:r>
      <w:r>
        <w:rPr>
          <w:spacing w:val="-2"/>
        </w:rPr>
        <w:t> </w:t>
      </w:r>
      <w:r>
        <w:rPr/>
        <w:t>in</w:t>
      </w:r>
      <w:r>
        <w:rPr>
          <w:spacing w:val="-1"/>
        </w:rPr>
        <w:t> </w:t>
      </w:r>
      <w:r>
        <w:rPr/>
        <w:t>New</w:t>
      </w:r>
      <w:r>
        <w:rPr>
          <w:spacing w:val="-3"/>
        </w:rPr>
        <w:t> </w:t>
      </w:r>
      <w:r>
        <w:rPr/>
        <w:t>South</w:t>
      </w:r>
      <w:r>
        <w:rPr>
          <w:spacing w:val="-3"/>
        </w:rPr>
        <w:t> </w:t>
      </w:r>
      <w:r>
        <w:rPr/>
        <w:t>Wales over</w:t>
      </w:r>
      <w:r>
        <w:rPr>
          <w:spacing w:val="-3"/>
        </w:rPr>
        <w:t> </w:t>
      </w:r>
      <w:r>
        <w:rPr/>
        <w:t>four</w:t>
      </w:r>
      <w:r>
        <w:rPr>
          <w:spacing w:val="-3"/>
        </w:rPr>
        <w:t> </w:t>
      </w:r>
      <w:r>
        <w:rPr/>
        <w:t>years.</w:t>
      </w:r>
      <w:r>
        <w:rPr>
          <w:spacing w:val="-3"/>
        </w:rPr>
        <w:t> </w:t>
      </w:r>
      <w:r>
        <w:rPr/>
        <w:t>In</w:t>
      </w:r>
      <w:r>
        <w:rPr>
          <w:spacing w:val="-4"/>
        </w:rPr>
        <w:t> </w:t>
      </w:r>
      <w:r>
        <w:rPr/>
        <w:t>this</w:t>
      </w:r>
      <w:r>
        <w:rPr>
          <w:spacing w:val="-2"/>
        </w:rPr>
        <w:t> </w:t>
      </w:r>
      <w:r>
        <w:rPr/>
        <w:t>instance,</w:t>
      </w:r>
      <w:r>
        <w:rPr>
          <w:spacing w:val="-1"/>
        </w:rPr>
        <w:t> </w:t>
      </w:r>
      <w:r>
        <w:rPr/>
        <w:t>the cost per fox shot ranged from $43.00–$132.00, and the kills per unit effort ranged from 0.14–0.88 foxes per hour, with the cost per kill decreasing as the number of foxes shot per hour increased (McLeod, pers. comm.). This suggests that, similarly to that for Feral Pigs, the efficiency of shooting declines as the density</w:t>
      </w:r>
      <w:r>
        <w:rPr/>
        <w:t> of the target species decreases (Choquenot et al. 1999). In Victoria, kill rates per unit effort have been reported as ranging between 0.2 and 0.6 foxes per hour, with the cost (total contract cost) per fox shot varying between $382.00 and $1,245.00 (Mike McStephen, Ruby Wicks, pers. comm.).</w:t>
      </w:r>
    </w:p>
    <w:p>
      <w:pPr>
        <w:pStyle w:val="BodyText"/>
        <w:spacing w:before="121"/>
        <w:ind w:left="112" w:right="188"/>
      </w:pPr>
      <w:r>
        <w:rPr/>
        <w:t>Spotlight</w:t>
      </w:r>
      <w:r>
        <w:rPr>
          <w:spacing w:val="-1"/>
        </w:rPr>
        <w:t> </w:t>
      </w:r>
      <w:r>
        <w:rPr/>
        <w:t>shooting</w:t>
      </w:r>
      <w:r>
        <w:rPr>
          <w:spacing w:val="-1"/>
        </w:rPr>
        <w:t> </w:t>
      </w:r>
      <w:r>
        <w:rPr/>
        <w:t>is limited to</w:t>
      </w:r>
      <w:r>
        <w:rPr>
          <w:spacing w:val="-3"/>
        </w:rPr>
        <w:t> </w:t>
      </w:r>
      <w:r>
        <w:rPr/>
        <w:t>areas</w:t>
      </w:r>
      <w:r>
        <w:rPr>
          <w:spacing w:val="-1"/>
        </w:rPr>
        <w:t> </w:t>
      </w:r>
      <w:r>
        <w:rPr/>
        <w:t>with</w:t>
      </w:r>
      <w:r>
        <w:rPr>
          <w:spacing w:val="-2"/>
        </w:rPr>
        <w:t> </w:t>
      </w:r>
      <w:r>
        <w:rPr/>
        <w:t>good</w:t>
      </w:r>
      <w:r>
        <w:rPr>
          <w:spacing w:val="-3"/>
        </w:rPr>
        <w:t> </w:t>
      </w:r>
      <w:r>
        <w:rPr/>
        <w:t>visibility</w:t>
      </w:r>
      <w:r>
        <w:rPr>
          <w:spacing w:val="-1"/>
        </w:rPr>
        <w:t> </w:t>
      </w:r>
      <w:r>
        <w:rPr/>
        <w:t>and</w:t>
      </w:r>
      <w:r>
        <w:rPr>
          <w:spacing w:val="-2"/>
        </w:rPr>
        <w:t> </w:t>
      </w:r>
      <w:r>
        <w:rPr/>
        <w:t>vehicle</w:t>
      </w:r>
      <w:r>
        <w:rPr>
          <w:spacing w:val="-2"/>
        </w:rPr>
        <w:t> </w:t>
      </w:r>
      <w:r>
        <w:rPr/>
        <w:t>access,</w:t>
      </w:r>
      <w:r>
        <w:rPr>
          <w:spacing w:val="-2"/>
        </w:rPr>
        <w:t> </w:t>
      </w:r>
      <w:r>
        <w:rPr/>
        <w:t>although</w:t>
      </w:r>
      <w:r>
        <w:rPr>
          <w:spacing w:val="-3"/>
        </w:rPr>
        <w:t> </w:t>
      </w:r>
      <w:r>
        <w:rPr/>
        <w:t>recent advances</w:t>
      </w:r>
      <w:r>
        <w:rPr>
          <w:spacing w:val="-1"/>
        </w:rPr>
        <w:t> </w:t>
      </w:r>
      <w:r>
        <w:rPr/>
        <w:t>in the use of thermal technologies has improved efficacy. Newsome et al. (2014) and Saunders and McLeod (2007)</w:t>
      </w:r>
      <w:r>
        <w:rPr>
          <w:spacing w:val="-3"/>
        </w:rPr>
        <w:t> </w:t>
      </w:r>
      <w:r>
        <w:rPr/>
        <w:t>found</w:t>
      </w:r>
      <w:r>
        <w:rPr>
          <w:spacing w:val="-4"/>
        </w:rPr>
        <w:t> </w:t>
      </w:r>
      <w:r>
        <w:rPr/>
        <w:t>that</w:t>
      </w:r>
      <w:r>
        <w:rPr>
          <w:spacing w:val="-4"/>
        </w:rPr>
        <w:t> </w:t>
      </w:r>
      <w:r>
        <w:rPr/>
        <w:t>spotlight</w:t>
      </w:r>
      <w:r>
        <w:rPr>
          <w:spacing w:val="-2"/>
        </w:rPr>
        <w:t> </w:t>
      </w:r>
      <w:r>
        <w:rPr/>
        <w:t>shooting</w:t>
      </w:r>
      <w:r>
        <w:rPr>
          <w:spacing w:val="-5"/>
        </w:rPr>
        <w:t> </w:t>
      </w:r>
      <w:r>
        <w:rPr/>
        <w:t>for</w:t>
      </w:r>
      <w:r>
        <w:rPr>
          <w:spacing w:val="-4"/>
        </w:rPr>
        <w:t> </w:t>
      </w:r>
      <w:r>
        <w:rPr/>
        <w:t>fox</w:t>
      </w:r>
      <w:r>
        <w:rPr>
          <w:spacing w:val="-3"/>
        </w:rPr>
        <w:t> </w:t>
      </w:r>
      <w:r>
        <w:rPr/>
        <w:t>control</w:t>
      </w:r>
      <w:r>
        <w:rPr>
          <w:spacing w:val="-5"/>
        </w:rPr>
        <w:t> </w:t>
      </w:r>
      <w:r>
        <w:rPr/>
        <w:t>was</w:t>
      </w:r>
      <w:r>
        <w:rPr>
          <w:spacing w:val="-3"/>
        </w:rPr>
        <w:t> </w:t>
      </w:r>
      <w:r>
        <w:rPr/>
        <w:t>likely</w:t>
      </w:r>
      <w:r>
        <w:rPr>
          <w:spacing w:val="-3"/>
        </w:rPr>
        <w:t> </w:t>
      </w:r>
      <w:r>
        <w:rPr/>
        <w:t>to</w:t>
      </w:r>
      <w:r>
        <w:rPr>
          <w:spacing w:val="-3"/>
        </w:rPr>
        <w:t> </w:t>
      </w:r>
      <w:r>
        <w:rPr/>
        <w:t>be</w:t>
      </w:r>
      <w:r>
        <w:rPr>
          <w:spacing w:val="-5"/>
        </w:rPr>
        <w:t> </w:t>
      </w:r>
      <w:r>
        <w:rPr/>
        <w:t>more</w:t>
      </w:r>
      <w:r>
        <w:rPr>
          <w:spacing w:val="-4"/>
        </w:rPr>
        <w:t> </w:t>
      </w:r>
      <w:r>
        <w:rPr/>
        <w:t>costly</w:t>
      </w:r>
      <w:r>
        <w:rPr>
          <w:spacing w:val="-1"/>
        </w:rPr>
        <w:t> </w:t>
      </w:r>
      <w:r>
        <w:rPr/>
        <w:t>and</w:t>
      </w:r>
      <w:r>
        <w:rPr>
          <w:spacing w:val="-4"/>
        </w:rPr>
        <w:t> </w:t>
      </w:r>
      <w:r>
        <w:rPr/>
        <w:t>less</w:t>
      </w:r>
      <w:r>
        <w:rPr>
          <w:spacing w:val="-3"/>
        </w:rPr>
        <w:t> </w:t>
      </w:r>
      <w:r>
        <w:rPr/>
        <w:t>effective</w:t>
      </w:r>
      <w:r>
        <w:rPr>
          <w:spacing w:val="-2"/>
        </w:rPr>
        <w:t> </w:t>
      </w:r>
      <w:r>
        <w:rPr/>
        <w:t>than</w:t>
      </w:r>
      <w:r>
        <w:rPr>
          <w:spacing w:val="-4"/>
        </w:rPr>
        <w:t> </w:t>
      </w:r>
      <w:r>
        <w:rPr/>
        <w:t>poison baiting, although no economic analyses comparing shooting and other methods have been conducted.</w:t>
      </w:r>
    </w:p>
    <w:p>
      <w:pPr>
        <w:spacing w:after="0"/>
        <w:sectPr>
          <w:pgSz w:w="11910" w:h="16850"/>
          <w:pgMar w:header="0" w:footer="688" w:top="1060" w:bottom="880" w:left="1020" w:right="1020"/>
        </w:sectPr>
      </w:pPr>
    </w:p>
    <w:p>
      <w:pPr>
        <w:pStyle w:val="BodyText"/>
        <w:spacing w:before="71"/>
        <w:ind w:left="112"/>
      </w:pPr>
      <w:r>
        <w:rPr/>
        <w:t>Recreational</w:t>
      </w:r>
      <w:r>
        <w:rPr>
          <w:spacing w:val="-5"/>
        </w:rPr>
        <w:t> </w:t>
      </w:r>
      <w:r>
        <w:rPr/>
        <w:t>hunting</w:t>
      </w:r>
      <w:r>
        <w:rPr>
          <w:spacing w:val="-3"/>
        </w:rPr>
        <w:t> </w:t>
      </w:r>
      <w:r>
        <w:rPr/>
        <w:t>of</w:t>
      </w:r>
      <w:r>
        <w:rPr>
          <w:spacing w:val="-5"/>
        </w:rPr>
        <w:t> </w:t>
      </w:r>
      <w:r>
        <w:rPr/>
        <w:t>foxes</w:t>
      </w:r>
      <w:r>
        <w:rPr>
          <w:spacing w:val="-4"/>
        </w:rPr>
        <w:t> </w:t>
      </w:r>
      <w:r>
        <w:rPr/>
        <w:t>for</w:t>
      </w:r>
      <w:r>
        <w:rPr>
          <w:spacing w:val="-4"/>
        </w:rPr>
        <w:t> </w:t>
      </w:r>
      <w:r>
        <w:rPr/>
        <w:t>conservation</w:t>
      </w:r>
      <w:r>
        <w:rPr>
          <w:spacing w:val="-4"/>
        </w:rPr>
        <w:t> </w:t>
      </w:r>
      <w:r>
        <w:rPr/>
        <w:t>purposes</w:t>
      </w:r>
      <w:r>
        <w:rPr>
          <w:spacing w:val="-4"/>
        </w:rPr>
        <w:t> </w:t>
      </w:r>
      <w:r>
        <w:rPr/>
        <w:t>has</w:t>
      </w:r>
      <w:r>
        <w:rPr>
          <w:spacing w:val="-4"/>
        </w:rPr>
        <w:t> </w:t>
      </w:r>
      <w:r>
        <w:rPr/>
        <w:t>also</w:t>
      </w:r>
      <w:r>
        <w:rPr>
          <w:spacing w:val="-5"/>
        </w:rPr>
        <w:t> </w:t>
      </w:r>
      <w:r>
        <w:rPr/>
        <w:t>been</w:t>
      </w:r>
      <w:r>
        <w:rPr>
          <w:spacing w:val="-4"/>
        </w:rPr>
        <w:t> </w:t>
      </w:r>
      <w:r>
        <w:rPr/>
        <w:t>promoted</w:t>
      </w:r>
      <w:r>
        <w:rPr>
          <w:spacing w:val="-3"/>
        </w:rPr>
        <w:t> </w:t>
      </w:r>
      <w:r>
        <w:rPr/>
        <w:t>in</w:t>
      </w:r>
      <w:r>
        <w:rPr>
          <w:spacing w:val="-3"/>
        </w:rPr>
        <w:t> </w:t>
      </w:r>
      <w:r>
        <w:rPr/>
        <w:t>Australia.</w:t>
      </w:r>
      <w:r>
        <w:rPr>
          <w:spacing w:val="-5"/>
        </w:rPr>
        <w:t> </w:t>
      </w:r>
      <w:r>
        <w:rPr/>
        <w:t>However,</w:t>
      </w:r>
      <w:r>
        <w:rPr>
          <w:spacing w:val="-5"/>
        </w:rPr>
        <w:t> </w:t>
      </w:r>
      <w:r>
        <w:rPr/>
        <w:t>only the number of foxes shot is presented as evidence of effectiveness; no study has yet linked the shooting of foxes</w:t>
      </w:r>
      <w:r>
        <w:rPr>
          <w:spacing w:val="-1"/>
        </w:rPr>
        <w:t> </w:t>
      </w:r>
      <w:r>
        <w:rPr/>
        <w:t>to</w:t>
      </w:r>
      <w:r>
        <w:rPr>
          <w:spacing w:val="-3"/>
        </w:rPr>
        <w:t> </w:t>
      </w:r>
      <w:r>
        <w:rPr/>
        <w:t>environmental</w:t>
      </w:r>
      <w:r>
        <w:rPr>
          <w:spacing w:val="-1"/>
        </w:rPr>
        <w:t> </w:t>
      </w:r>
      <w:r>
        <w:rPr/>
        <w:t>recovery,</w:t>
      </w:r>
      <w:r>
        <w:rPr>
          <w:spacing w:val="-2"/>
        </w:rPr>
        <w:t> </w:t>
      </w:r>
      <w:r>
        <w:rPr/>
        <w:t>nor</w:t>
      </w:r>
      <w:r>
        <w:rPr>
          <w:spacing w:val="-2"/>
        </w:rPr>
        <w:t> </w:t>
      </w:r>
      <w:r>
        <w:rPr/>
        <w:t>has any</w:t>
      </w:r>
      <w:r>
        <w:rPr>
          <w:spacing w:val="-1"/>
        </w:rPr>
        <w:t> </w:t>
      </w:r>
      <w:r>
        <w:rPr/>
        <w:t>study</w:t>
      </w:r>
      <w:r>
        <w:rPr>
          <w:spacing w:val="-1"/>
        </w:rPr>
        <w:t> </w:t>
      </w:r>
      <w:r>
        <w:rPr/>
        <w:t>assessed</w:t>
      </w:r>
      <w:r>
        <w:rPr>
          <w:spacing w:val="-3"/>
        </w:rPr>
        <w:t> </w:t>
      </w:r>
      <w:r>
        <w:rPr/>
        <w:t>its</w:t>
      </w:r>
      <w:r>
        <w:rPr>
          <w:spacing w:val="-1"/>
        </w:rPr>
        <w:t> </w:t>
      </w:r>
      <w:r>
        <w:rPr/>
        <w:t>cost-effectiveness</w:t>
      </w:r>
      <w:r>
        <w:rPr>
          <w:spacing w:val="-1"/>
        </w:rPr>
        <w:t> </w:t>
      </w:r>
      <w:r>
        <w:rPr/>
        <w:t>in</w:t>
      </w:r>
      <w:r>
        <w:rPr>
          <w:spacing w:val="-2"/>
        </w:rPr>
        <w:t> </w:t>
      </w:r>
      <w:r>
        <w:rPr/>
        <w:t>the</w:t>
      </w:r>
      <w:r>
        <w:rPr>
          <w:spacing w:val="-2"/>
        </w:rPr>
        <w:t> </w:t>
      </w:r>
      <w:r>
        <w:rPr/>
        <w:t>scientific</w:t>
      </w:r>
      <w:r>
        <w:rPr>
          <w:spacing w:val="-1"/>
        </w:rPr>
        <w:t> </w:t>
      </w:r>
      <w:r>
        <w:rPr/>
        <w:t>literature (Mcleod et al. 2008; Saunders et al. 2010).</w:t>
      </w:r>
    </w:p>
    <w:p>
      <w:pPr>
        <w:pStyle w:val="Heading5"/>
        <w:numPr>
          <w:ilvl w:val="2"/>
          <w:numId w:val="17"/>
        </w:numPr>
        <w:tabs>
          <w:tab w:pos="831" w:val="left" w:leader="none"/>
        </w:tabs>
        <w:spacing w:line="240" w:lineRule="auto" w:before="142" w:after="0"/>
        <w:ind w:left="831" w:right="0" w:hanging="719"/>
        <w:jc w:val="left"/>
      </w:pPr>
      <w:bookmarkStart w:name="_TOC_250033" w:id="76"/>
      <w:r>
        <w:rPr/>
        <w:t>Trapping</w:t>
      </w:r>
      <w:r>
        <w:rPr>
          <w:spacing w:val="-2"/>
        </w:rPr>
        <w:t> </w:t>
      </w:r>
      <w:r>
        <w:rPr/>
        <w:t>and</w:t>
      </w:r>
      <w:r>
        <w:rPr>
          <w:spacing w:val="-4"/>
        </w:rPr>
        <w:t> </w:t>
      </w:r>
      <w:r>
        <w:rPr/>
        <w:t>den</w:t>
      </w:r>
      <w:r>
        <w:rPr>
          <w:spacing w:val="-4"/>
        </w:rPr>
        <w:t> </w:t>
      </w:r>
      <w:bookmarkEnd w:id="76"/>
      <w:r>
        <w:rPr>
          <w:spacing w:val="-2"/>
        </w:rPr>
        <w:t>fumigation</w:t>
      </w:r>
    </w:p>
    <w:p>
      <w:pPr>
        <w:pStyle w:val="BodyText"/>
        <w:spacing w:before="56"/>
        <w:ind w:left="112"/>
      </w:pPr>
      <w:r>
        <w:rPr/>
        <w:t>We</w:t>
      </w:r>
      <w:r>
        <w:rPr>
          <w:spacing w:val="-2"/>
        </w:rPr>
        <w:t> </w:t>
      </w:r>
      <w:r>
        <w:rPr/>
        <w:t>did</w:t>
      </w:r>
      <w:r>
        <w:rPr>
          <w:spacing w:val="-2"/>
        </w:rPr>
        <w:t> </w:t>
      </w:r>
      <w:r>
        <w:rPr/>
        <w:t>not</w:t>
      </w:r>
      <w:r>
        <w:rPr>
          <w:spacing w:val="-2"/>
        </w:rPr>
        <w:t> </w:t>
      </w:r>
      <w:r>
        <w:rPr/>
        <w:t>discover</w:t>
      </w:r>
      <w:r>
        <w:rPr>
          <w:spacing w:val="-4"/>
        </w:rPr>
        <w:t> </w:t>
      </w:r>
      <w:r>
        <w:rPr/>
        <w:t>any</w:t>
      </w:r>
      <w:r>
        <w:rPr>
          <w:spacing w:val="-3"/>
        </w:rPr>
        <w:t> </w:t>
      </w:r>
      <w:r>
        <w:rPr/>
        <w:t>data</w:t>
      </w:r>
      <w:r>
        <w:rPr>
          <w:spacing w:val="-5"/>
        </w:rPr>
        <w:t> </w:t>
      </w:r>
      <w:r>
        <w:rPr/>
        <w:t>on</w:t>
      </w:r>
      <w:r>
        <w:rPr>
          <w:spacing w:val="-2"/>
        </w:rPr>
        <w:t> </w:t>
      </w:r>
      <w:r>
        <w:rPr/>
        <w:t>the</w:t>
      </w:r>
      <w:r>
        <w:rPr>
          <w:spacing w:val="-2"/>
        </w:rPr>
        <w:t> </w:t>
      </w:r>
      <w:r>
        <w:rPr/>
        <w:t>cost-effectiveness or</w:t>
      </w:r>
      <w:r>
        <w:rPr>
          <w:spacing w:val="-4"/>
        </w:rPr>
        <w:t> </w:t>
      </w:r>
      <w:r>
        <w:rPr/>
        <w:t>relative</w:t>
      </w:r>
      <w:r>
        <w:rPr>
          <w:spacing w:val="-4"/>
        </w:rPr>
        <w:t> </w:t>
      </w:r>
      <w:r>
        <w:rPr/>
        <w:t>costs</w:t>
      </w:r>
      <w:r>
        <w:rPr>
          <w:spacing w:val="-3"/>
        </w:rPr>
        <w:t> </w:t>
      </w:r>
      <w:r>
        <w:rPr/>
        <w:t>of</w:t>
      </w:r>
      <w:r>
        <w:rPr>
          <w:spacing w:val="-2"/>
        </w:rPr>
        <w:t> </w:t>
      </w:r>
      <w:r>
        <w:rPr/>
        <w:t>trapping</w:t>
      </w:r>
      <w:r>
        <w:rPr>
          <w:spacing w:val="-4"/>
        </w:rPr>
        <w:t> </w:t>
      </w:r>
      <w:r>
        <w:rPr/>
        <w:t>or</w:t>
      </w:r>
      <w:r>
        <w:rPr>
          <w:spacing w:val="-3"/>
        </w:rPr>
        <w:t> </w:t>
      </w:r>
      <w:r>
        <w:rPr/>
        <w:t>den</w:t>
      </w:r>
      <w:r>
        <w:rPr>
          <w:spacing w:val="-4"/>
        </w:rPr>
        <w:t> </w:t>
      </w:r>
      <w:r>
        <w:rPr/>
        <w:t>fumigation,</w:t>
      </w:r>
      <w:r>
        <w:rPr>
          <w:spacing w:val="-4"/>
        </w:rPr>
        <w:t> </w:t>
      </w:r>
      <w:r>
        <w:rPr/>
        <w:t>or</w:t>
      </w:r>
      <w:r>
        <w:rPr>
          <w:spacing w:val="-3"/>
        </w:rPr>
        <w:t> </w:t>
      </w:r>
      <w:r>
        <w:rPr/>
        <w:t>any data on combining these methods with baiting or shooting for managing foxes.</w:t>
      </w:r>
    </w:p>
    <w:p>
      <w:pPr>
        <w:pStyle w:val="BodyText"/>
        <w:spacing w:before="121"/>
        <w:ind w:left="112" w:right="142"/>
      </w:pPr>
      <w:r>
        <w:rPr/>
        <w:t>Table</w:t>
      </w:r>
      <w:r>
        <w:rPr>
          <w:spacing w:val="-2"/>
        </w:rPr>
        <w:t> </w:t>
      </w:r>
      <w:r>
        <w:rPr/>
        <w:t>8</w:t>
      </w:r>
      <w:r>
        <w:rPr>
          <w:spacing w:val="-4"/>
        </w:rPr>
        <w:t> </w:t>
      </w:r>
      <w:r>
        <w:rPr/>
        <w:t>compares</w:t>
      </w:r>
      <w:r>
        <w:rPr>
          <w:spacing w:val="-3"/>
        </w:rPr>
        <w:t> </w:t>
      </w:r>
      <w:r>
        <w:rPr/>
        <w:t>the</w:t>
      </w:r>
      <w:r>
        <w:rPr>
          <w:spacing w:val="-5"/>
        </w:rPr>
        <w:t> </w:t>
      </w:r>
      <w:r>
        <w:rPr/>
        <w:t>reported</w:t>
      </w:r>
      <w:r>
        <w:rPr>
          <w:spacing w:val="-5"/>
        </w:rPr>
        <w:t> </w:t>
      </w:r>
      <w:r>
        <w:rPr/>
        <w:t>cost-effectiveness,</w:t>
      </w:r>
      <w:r>
        <w:rPr>
          <w:spacing w:val="-4"/>
        </w:rPr>
        <w:t> </w:t>
      </w:r>
      <w:r>
        <w:rPr/>
        <w:t>non-target</w:t>
      </w:r>
      <w:r>
        <w:rPr>
          <w:spacing w:val="-3"/>
        </w:rPr>
        <w:t> </w:t>
      </w:r>
      <w:r>
        <w:rPr/>
        <w:t>impacts,</w:t>
      </w:r>
      <w:r>
        <w:rPr>
          <w:spacing w:val="-4"/>
        </w:rPr>
        <w:t> </w:t>
      </w:r>
      <w:r>
        <w:rPr/>
        <w:t>and</w:t>
      </w:r>
      <w:r>
        <w:rPr>
          <w:spacing w:val="-4"/>
        </w:rPr>
        <w:t> </w:t>
      </w:r>
      <w:r>
        <w:rPr/>
        <w:t>the</w:t>
      </w:r>
      <w:r>
        <w:rPr>
          <w:spacing w:val="-4"/>
        </w:rPr>
        <w:t> </w:t>
      </w:r>
      <w:r>
        <w:rPr/>
        <w:t>advantages</w:t>
      </w:r>
      <w:r>
        <w:rPr>
          <w:spacing w:val="-4"/>
        </w:rPr>
        <w:t> </w:t>
      </w:r>
      <w:r>
        <w:rPr/>
        <w:t>and disadvantages of the various lethal control methods used to manage foxes.</w:t>
      </w:r>
    </w:p>
    <w:p>
      <w:pPr>
        <w:spacing w:after="0"/>
        <w:sectPr>
          <w:pgSz w:w="11910" w:h="16850"/>
          <w:pgMar w:header="0" w:footer="688" w:top="1060" w:bottom="880" w:left="1020" w:right="1020"/>
        </w:sectPr>
      </w:pPr>
    </w:p>
    <w:p>
      <w:pPr>
        <w:pStyle w:val="Heading7"/>
        <w:spacing w:line="242" w:lineRule="auto"/>
        <w:ind w:left="132" w:right="120"/>
      </w:pPr>
      <w:bookmarkStart w:name="_bookmark14" w:id="77"/>
      <w:bookmarkEnd w:id="77"/>
      <w:r>
        <w:rPr>
          <w:b w:val="0"/>
        </w:rPr>
      </w:r>
      <w:r>
        <w:rPr>
          <w:color w:val="1F1546"/>
        </w:rPr>
        <w:t>Table</w:t>
      </w:r>
      <w:r>
        <w:rPr>
          <w:color w:val="1F1546"/>
          <w:spacing w:val="-2"/>
        </w:rPr>
        <w:t> </w:t>
      </w:r>
      <w:r>
        <w:rPr>
          <w:color w:val="1F1546"/>
        </w:rPr>
        <w:t>8.</w:t>
      </w:r>
      <w:r>
        <w:rPr>
          <w:color w:val="1F1546"/>
          <w:spacing w:val="-1"/>
        </w:rPr>
        <w:t> </w:t>
      </w:r>
      <w:r>
        <w:rPr>
          <w:color w:val="1F1546"/>
        </w:rPr>
        <w:t>Summary</w:t>
      </w:r>
      <w:r>
        <w:rPr>
          <w:color w:val="1F1546"/>
          <w:spacing w:val="-3"/>
        </w:rPr>
        <w:t> </w:t>
      </w:r>
      <w:r>
        <w:rPr>
          <w:color w:val="1F1546"/>
        </w:rPr>
        <w:t>of cost-effectiveness,</w:t>
      </w:r>
      <w:r>
        <w:rPr>
          <w:color w:val="1F1546"/>
          <w:spacing w:val="-3"/>
        </w:rPr>
        <w:t> </w:t>
      </w:r>
      <w:r>
        <w:rPr>
          <w:color w:val="1F1546"/>
        </w:rPr>
        <w:t>target</w:t>
      </w:r>
      <w:r>
        <w:rPr>
          <w:color w:val="1F1546"/>
          <w:spacing w:val="-3"/>
        </w:rPr>
        <w:t> </w:t>
      </w:r>
      <w:r>
        <w:rPr>
          <w:color w:val="1F1546"/>
        </w:rPr>
        <w:t>specificity,</w:t>
      </w:r>
      <w:r>
        <w:rPr>
          <w:color w:val="1F1546"/>
          <w:spacing w:val="-1"/>
        </w:rPr>
        <w:t> </w:t>
      </w:r>
      <w:r>
        <w:rPr>
          <w:color w:val="1F1546"/>
        </w:rPr>
        <w:t>and</w:t>
      </w:r>
      <w:r>
        <w:rPr>
          <w:color w:val="1F1546"/>
          <w:spacing w:val="-2"/>
        </w:rPr>
        <w:t> </w:t>
      </w:r>
      <w:r>
        <w:rPr>
          <w:color w:val="1F1546"/>
        </w:rPr>
        <w:t>advantages</w:t>
      </w:r>
      <w:r>
        <w:rPr>
          <w:color w:val="1F1546"/>
          <w:spacing w:val="-1"/>
        </w:rPr>
        <w:t> </w:t>
      </w:r>
      <w:r>
        <w:rPr>
          <w:color w:val="1F1546"/>
        </w:rPr>
        <w:t>and</w:t>
      </w:r>
      <w:r>
        <w:rPr>
          <w:color w:val="1F1546"/>
          <w:spacing w:val="-2"/>
        </w:rPr>
        <w:t> </w:t>
      </w:r>
      <w:r>
        <w:rPr>
          <w:color w:val="1F1546"/>
        </w:rPr>
        <w:t>disadvantages</w:t>
      </w:r>
      <w:r>
        <w:rPr>
          <w:color w:val="1F1546"/>
          <w:spacing w:val="-4"/>
        </w:rPr>
        <w:t> </w:t>
      </w:r>
      <w:r>
        <w:rPr>
          <w:color w:val="1F1546"/>
        </w:rPr>
        <w:t>of lethal</w:t>
      </w:r>
      <w:r>
        <w:rPr>
          <w:color w:val="1F1546"/>
          <w:spacing w:val="-3"/>
        </w:rPr>
        <w:t> </w:t>
      </w:r>
      <w:r>
        <w:rPr>
          <w:color w:val="1F1546"/>
        </w:rPr>
        <w:t>fox</w:t>
      </w:r>
      <w:r>
        <w:rPr>
          <w:color w:val="1F1546"/>
          <w:spacing w:val="-3"/>
        </w:rPr>
        <w:t> </w:t>
      </w:r>
      <w:r>
        <w:rPr>
          <w:color w:val="1F1546"/>
        </w:rPr>
        <w:t>control</w:t>
      </w:r>
      <w:r>
        <w:rPr>
          <w:color w:val="1F1546"/>
          <w:spacing w:val="-3"/>
        </w:rPr>
        <w:t> </w:t>
      </w:r>
      <w:r>
        <w:rPr>
          <w:color w:val="1F1546"/>
        </w:rPr>
        <w:t>methods</w:t>
      </w:r>
      <w:r>
        <w:rPr>
          <w:color w:val="1F1546"/>
          <w:spacing w:val="-3"/>
        </w:rPr>
        <w:t> </w:t>
      </w:r>
      <w:r>
        <w:rPr>
          <w:color w:val="1F1546"/>
        </w:rPr>
        <w:t>used</w:t>
      </w:r>
      <w:r>
        <w:rPr>
          <w:color w:val="1F1546"/>
          <w:spacing w:val="-2"/>
        </w:rPr>
        <w:t> </w:t>
      </w:r>
      <w:r>
        <w:rPr>
          <w:color w:val="1F1546"/>
        </w:rPr>
        <w:t>in</w:t>
      </w:r>
      <w:r>
        <w:rPr>
          <w:color w:val="1F1546"/>
          <w:spacing w:val="-3"/>
        </w:rPr>
        <w:t> </w:t>
      </w:r>
      <w:r>
        <w:rPr>
          <w:color w:val="1F1546"/>
        </w:rPr>
        <w:t>Victoria. Adapted from the State and National Codes of Practices and updated using outcomes from the literature review.</w:t>
      </w:r>
    </w:p>
    <w:p>
      <w:pPr>
        <w:pStyle w:val="BodyText"/>
        <w:spacing w:before="8" w:after="1"/>
        <w:rPr>
          <w:b/>
          <w:sz w:val="9"/>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4"/>
        <w:gridCol w:w="2209"/>
        <w:gridCol w:w="3256"/>
        <w:gridCol w:w="3434"/>
        <w:gridCol w:w="3462"/>
      </w:tblGrid>
      <w:tr>
        <w:trPr>
          <w:trHeight w:val="580" w:hRule="atLeast"/>
        </w:trPr>
        <w:tc>
          <w:tcPr>
            <w:tcW w:w="2004" w:type="dxa"/>
            <w:shd w:val="clear" w:color="auto" w:fill="004B96"/>
          </w:tcPr>
          <w:p>
            <w:pPr>
              <w:pStyle w:val="TableParagraph"/>
              <w:spacing w:before="59"/>
              <w:ind w:left="122"/>
              <w:rPr>
                <w:b/>
                <w:sz w:val="20"/>
              </w:rPr>
            </w:pPr>
            <w:r>
              <w:rPr>
                <w:b/>
                <w:color w:val="FFFFFF"/>
                <w:sz w:val="20"/>
              </w:rPr>
              <w:t>Control</w:t>
            </w:r>
            <w:r>
              <w:rPr>
                <w:b/>
                <w:color w:val="FFFFFF"/>
                <w:spacing w:val="-9"/>
                <w:sz w:val="20"/>
              </w:rPr>
              <w:t> </w:t>
            </w:r>
            <w:r>
              <w:rPr>
                <w:b/>
                <w:color w:val="FFFFFF"/>
                <w:spacing w:val="-2"/>
                <w:sz w:val="20"/>
              </w:rPr>
              <w:t>technique</w:t>
            </w:r>
          </w:p>
        </w:tc>
        <w:tc>
          <w:tcPr>
            <w:tcW w:w="2209" w:type="dxa"/>
            <w:shd w:val="clear" w:color="auto" w:fill="004B96"/>
          </w:tcPr>
          <w:p>
            <w:pPr>
              <w:pStyle w:val="TableParagraph"/>
              <w:spacing w:before="59"/>
              <w:ind w:left="161"/>
              <w:rPr>
                <w:b/>
                <w:sz w:val="20"/>
              </w:rPr>
            </w:pPr>
            <w:r>
              <w:rPr>
                <w:b/>
                <w:color w:val="FFFFFF"/>
                <w:spacing w:val="-2"/>
                <w:sz w:val="20"/>
              </w:rPr>
              <w:t>Cost-effectiveness</w:t>
            </w:r>
          </w:p>
        </w:tc>
        <w:tc>
          <w:tcPr>
            <w:tcW w:w="3256" w:type="dxa"/>
            <w:shd w:val="clear" w:color="auto" w:fill="004B96"/>
          </w:tcPr>
          <w:p>
            <w:pPr>
              <w:pStyle w:val="TableParagraph"/>
              <w:spacing w:before="59"/>
              <w:ind w:left="170" w:right="104"/>
              <w:rPr>
                <w:b/>
                <w:sz w:val="20"/>
              </w:rPr>
            </w:pPr>
            <w:r>
              <w:rPr>
                <w:b/>
                <w:color w:val="FFFFFF"/>
                <w:sz w:val="20"/>
              </w:rPr>
              <w:t>Target</w:t>
            </w:r>
            <w:r>
              <w:rPr>
                <w:b/>
                <w:color w:val="FFFFFF"/>
                <w:spacing w:val="-13"/>
                <w:sz w:val="20"/>
              </w:rPr>
              <w:t> </w:t>
            </w:r>
            <w:r>
              <w:rPr>
                <w:b/>
                <w:color w:val="FFFFFF"/>
                <w:sz w:val="20"/>
              </w:rPr>
              <w:t>specificity</w:t>
            </w:r>
            <w:r>
              <w:rPr>
                <w:b/>
                <w:color w:val="FFFFFF"/>
                <w:spacing w:val="-12"/>
                <w:sz w:val="20"/>
              </w:rPr>
              <w:t> </w:t>
            </w:r>
            <w:r>
              <w:rPr>
                <w:b/>
                <w:color w:val="FFFFFF"/>
                <w:sz w:val="20"/>
              </w:rPr>
              <w:t>and</w:t>
            </w:r>
            <w:r>
              <w:rPr>
                <w:b/>
                <w:color w:val="FFFFFF"/>
                <w:spacing w:val="-13"/>
                <w:sz w:val="20"/>
              </w:rPr>
              <w:t> </w:t>
            </w:r>
            <w:r>
              <w:rPr>
                <w:b/>
                <w:color w:val="FFFFFF"/>
                <w:sz w:val="20"/>
              </w:rPr>
              <w:t>non- target impacts</w:t>
            </w:r>
          </w:p>
        </w:tc>
        <w:tc>
          <w:tcPr>
            <w:tcW w:w="3434" w:type="dxa"/>
            <w:shd w:val="clear" w:color="auto" w:fill="004B96"/>
          </w:tcPr>
          <w:p>
            <w:pPr>
              <w:pStyle w:val="TableParagraph"/>
              <w:spacing w:before="59"/>
              <w:ind w:left="140"/>
              <w:rPr>
                <w:b/>
                <w:sz w:val="20"/>
              </w:rPr>
            </w:pPr>
            <w:r>
              <w:rPr>
                <w:b/>
                <w:color w:val="FFFFFF"/>
                <w:spacing w:val="-2"/>
                <w:sz w:val="20"/>
              </w:rPr>
              <w:t>Advantages</w:t>
            </w:r>
          </w:p>
        </w:tc>
        <w:tc>
          <w:tcPr>
            <w:tcW w:w="3462" w:type="dxa"/>
            <w:shd w:val="clear" w:color="auto" w:fill="004B96"/>
          </w:tcPr>
          <w:p>
            <w:pPr>
              <w:pStyle w:val="TableParagraph"/>
              <w:spacing w:before="59"/>
              <w:ind w:left="107"/>
              <w:rPr>
                <w:b/>
                <w:sz w:val="20"/>
              </w:rPr>
            </w:pPr>
            <w:r>
              <w:rPr>
                <w:b/>
                <w:color w:val="FFFFFF"/>
                <w:spacing w:val="-2"/>
                <w:sz w:val="20"/>
              </w:rPr>
              <w:t>Disadvantages</w:t>
            </w:r>
          </w:p>
        </w:tc>
      </w:tr>
      <w:tr>
        <w:trPr>
          <w:trHeight w:val="1518" w:hRule="atLeast"/>
        </w:trPr>
        <w:tc>
          <w:tcPr>
            <w:tcW w:w="2004" w:type="dxa"/>
            <w:tcBorders>
              <w:bottom w:val="single" w:sz="4" w:space="0" w:color="000000"/>
            </w:tcBorders>
          </w:tcPr>
          <w:p>
            <w:pPr>
              <w:pStyle w:val="TableParagraph"/>
              <w:spacing w:before="79"/>
              <w:ind w:left="122"/>
              <w:rPr>
                <w:sz w:val="20"/>
              </w:rPr>
            </w:pPr>
            <w:r>
              <w:rPr>
                <w:sz w:val="20"/>
              </w:rPr>
              <w:t>Ground</w:t>
            </w:r>
            <w:r>
              <w:rPr>
                <w:spacing w:val="-14"/>
                <w:sz w:val="20"/>
              </w:rPr>
              <w:t> </w:t>
            </w:r>
            <w:r>
              <w:rPr>
                <w:sz w:val="20"/>
              </w:rPr>
              <w:t>baiting</w:t>
            </w:r>
            <w:r>
              <w:rPr>
                <w:spacing w:val="-14"/>
                <w:sz w:val="20"/>
              </w:rPr>
              <w:t> </w:t>
            </w:r>
            <w:r>
              <w:rPr>
                <w:sz w:val="20"/>
              </w:rPr>
              <w:t>with </w:t>
            </w:r>
            <w:r>
              <w:rPr>
                <w:spacing w:val="-4"/>
                <w:sz w:val="20"/>
              </w:rPr>
              <w:t>1080</w:t>
            </w:r>
          </w:p>
        </w:tc>
        <w:tc>
          <w:tcPr>
            <w:tcW w:w="2209" w:type="dxa"/>
            <w:tcBorders>
              <w:bottom w:val="single" w:sz="4" w:space="0" w:color="000000"/>
            </w:tcBorders>
          </w:tcPr>
          <w:p>
            <w:pPr>
              <w:pStyle w:val="TableParagraph"/>
              <w:spacing w:before="79"/>
              <w:ind w:left="161"/>
              <w:rPr>
                <w:sz w:val="20"/>
              </w:rPr>
            </w:pPr>
            <w:r>
              <w:rPr>
                <w:spacing w:val="-2"/>
                <w:sz w:val="20"/>
              </w:rPr>
              <w:t>Cost-effective</w:t>
            </w:r>
          </w:p>
        </w:tc>
        <w:tc>
          <w:tcPr>
            <w:tcW w:w="3256" w:type="dxa"/>
            <w:tcBorders>
              <w:bottom w:val="single" w:sz="4" w:space="0" w:color="000000"/>
            </w:tcBorders>
          </w:tcPr>
          <w:p>
            <w:pPr>
              <w:pStyle w:val="TableParagraph"/>
              <w:spacing w:before="79"/>
              <w:ind w:left="170" w:right="104"/>
              <w:rPr>
                <w:sz w:val="20"/>
              </w:rPr>
            </w:pPr>
            <w:r>
              <w:rPr>
                <w:sz w:val="20"/>
              </w:rPr>
              <w:t>There</w:t>
            </w:r>
            <w:r>
              <w:rPr>
                <w:spacing w:val="-8"/>
                <w:sz w:val="20"/>
              </w:rPr>
              <w:t> </w:t>
            </w:r>
            <w:r>
              <w:rPr>
                <w:sz w:val="20"/>
              </w:rPr>
              <w:t>is</w:t>
            </w:r>
            <w:r>
              <w:rPr>
                <w:spacing w:val="-5"/>
                <w:sz w:val="20"/>
              </w:rPr>
              <w:t> </w:t>
            </w:r>
            <w:r>
              <w:rPr>
                <w:sz w:val="20"/>
              </w:rPr>
              <w:t>a</w:t>
            </w:r>
            <w:r>
              <w:rPr>
                <w:spacing w:val="-8"/>
                <w:sz w:val="20"/>
              </w:rPr>
              <w:t> </w:t>
            </w:r>
            <w:r>
              <w:rPr>
                <w:sz w:val="20"/>
              </w:rPr>
              <w:t>risk</w:t>
            </w:r>
            <w:r>
              <w:rPr>
                <w:spacing w:val="-7"/>
                <w:sz w:val="20"/>
              </w:rPr>
              <w:t> </w:t>
            </w:r>
            <w:r>
              <w:rPr>
                <w:sz w:val="20"/>
              </w:rPr>
              <w:t>of</w:t>
            </w:r>
            <w:r>
              <w:rPr>
                <w:spacing w:val="-8"/>
                <w:sz w:val="20"/>
              </w:rPr>
              <w:t> </w:t>
            </w:r>
            <w:r>
              <w:rPr>
                <w:sz w:val="20"/>
              </w:rPr>
              <w:t>poisoning</w:t>
            </w:r>
            <w:r>
              <w:rPr>
                <w:spacing w:val="-7"/>
                <w:sz w:val="20"/>
              </w:rPr>
              <w:t> </w:t>
            </w:r>
            <w:r>
              <w:rPr>
                <w:sz w:val="20"/>
              </w:rPr>
              <w:t>non- target</w:t>
            </w:r>
            <w:r>
              <w:rPr>
                <w:spacing w:val="-9"/>
                <w:sz w:val="20"/>
              </w:rPr>
              <w:t> </w:t>
            </w:r>
            <w:r>
              <w:rPr>
                <w:sz w:val="20"/>
              </w:rPr>
              <w:t>animals.</w:t>
            </w:r>
            <w:r>
              <w:rPr>
                <w:spacing w:val="-11"/>
                <w:sz w:val="20"/>
              </w:rPr>
              <w:t> </w:t>
            </w:r>
            <w:r>
              <w:rPr>
                <w:sz w:val="20"/>
              </w:rPr>
              <w:t>Strategic</w:t>
            </w:r>
            <w:r>
              <w:rPr>
                <w:spacing w:val="-10"/>
                <w:sz w:val="20"/>
              </w:rPr>
              <w:t> </w:t>
            </w:r>
            <w:r>
              <w:rPr>
                <w:sz w:val="20"/>
              </w:rPr>
              <w:t>ground baiting, where baits are buried, reduces risk to non-target species. Uneaten baits can be collected and destroyed.</w:t>
            </w:r>
          </w:p>
        </w:tc>
        <w:tc>
          <w:tcPr>
            <w:tcW w:w="3434" w:type="dxa"/>
            <w:tcBorders>
              <w:bottom w:val="single" w:sz="4" w:space="0" w:color="000000"/>
            </w:tcBorders>
          </w:tcPr>
          <w:p>
            <w:pPr>
              <w:pStyle w:val="TableParagraph"/>
              <w:spacing w:before="79"/>
              <w:ind w:left="140"/>
              <w:rPr>
                <w:sz w:val="20"/>
              </w:rPr>
            </w:pPr>
            <w:r>
              <w:rPr>
                <w:sz w:val="20"/>
              </w:rPr>
              <w:t>Currently</w:t>
            </w:r>
            <w:r>
              <w:rPr>
                <w:spacing w:val="-14"/>
                <w:sz w:val="20"/>
              </w:rPr>
              <w:t> </w:t>
            </w:r>
            <w:r>
              <w:rPr>
                <w:sz w:val="20"/>
              </w:rPr>
              <w:t>the</w:t>
            </w:r>
            <w:r>
              <w:rPr>
                <w:spacing w:val="-13"/>
                <w:sz w:val="20"/>
              </w:rPr>
              <w:t> </w:t>
            </w:r>
            <w:r>
              <w:rPr>
                <w:sz w:val="20"/>
              </w:rPr>
              <w:t>most</w:t>
            </w:r>
            <w:r>
              <w:rPr>
                <w:spacing w:val="-14"/>
                <w:sz w:val="20"/>
              </w:rPr>
              <w:t> </w:t>
            </w:r>
            <w:r>
              <w:rPr>
                <w:sz w:val="20"/>
              </w:rPr>
              <w:t>cost-effective technique available.</w:t>
            </w:r>
          </w:p>
        </w:tc>
        <w:tc>
          <w:tcPr>
            <w:tcW w:w="3462" w:type="dxa"/>
            <w:tcBorders>
              <w:bottom w:val="single" w:sz="4" w:space="0" w:color="000000"/>
            </w:tcBorders>
            <w:shd w:val="clear" w:color="auto" w:fill="CCDBEA"/>
          </w:tcPr>
          <w:p>
            <w:pPr>
              <w:pStyle w:val="TableParagraph"/>
              <w:spacing w:before="79"/>
              <w:ind w:left="107" w:right="173"/>
              <w:rPr>
                <w:sz w:val="20"/>
              </w:rPr>
            </w:pPr>
            <w:r>
              <w:rPr>
                <w:sz w:val="20"/>
              </w:rPr>
              <w:t>1080 ingestion can also kill non- target animals including native species, cats, dogs and livestock. 1080</w:t>
            </w:r>
            <w:r>
              <w:rPr>
                <w:spacing w:val="-8"/>
                <w:sz w:val="20"/>
              </w:rPr>
              <w:t> </w:t>
            </w:r>
            <w:r>
              <w:rPr>
                <w:sz w:val="20"/>
              </w:rPr>
              <w:t>is</w:t>
            </w:r>
            <w:r>
              <w:rPr>
                <w:spacing w:val="-8"/>
                <w:sz w:val="20"/>
              </w:rPr>
              <w:t> </w:t>
            </w:r>
            <w:r>
              <w:rPr>
                <w:sz w:val="20"/>
              </w:rPr>
              <w:t>toxic</w:t>
            </w:r>
            <w:r>
              <w:rPr>
                <w:spacing w:val="-8"/>
                <w:sz w:val="20"/>
              </w:rPr>
              <w:t> </w:t>
            </w:r>
            <w:r>
              <w:rPr>
                <w:sz w:val="20"/>
              </w:rPr>
              <w:t>to</w:t>
            </w:r>
            <w:r>
              <w:rPr>
                <w:spacing w:val="-10"/>
                <w:sz w:val="20"/>
              </w:rPr>
              <w:t> </w:t>
            </w:r>
            <w:r>
              <w:rPr>
                <w:sz w:val="20"/>
              </w:rPr>
              <w:t>humans;</w:t>
            </w:r>
            <w:r>
              <w:rPr>
                <w:spacing w:val="-9"/>
                <w:sz w:val="20"/>
              </w:rPr>
              <w:t> </w:t>
            </w:r>
            <w:r>
              <w:rPr>
                <w:sz w:val="20"/>
              </w:rPr>
              <w:t>operators need to take precautions to safeguard against exposure.</w:t>
            </w:r>
          </w:p>
        </w:tc>
      </w:tr>
      <w:tr>
        <w:trPr>
          <w:trHeight w:val="3211" w:hRule="atLeast"/>
        </w:trPr>
        <w:tc>
          <w:tcPr>
            <w:tcW w:w="2004" w:type="dxa"/>
            <w:tcBorders>
              <w:top w:val="single" w:sz="4" w:space="0" w:color="000000"/>
              <w:bottom w:val="single" w:sz="4" w:space="0" w:color="000000"/>
            </w:tcBorders>
          </w:tcPr>
          <w:p>
            <w:pPr>
              <w:pStyle w:val="TableParagraph"/>
              <w:spacing w:before="81"/>
              <w:ind w:left="122"/>
              <w:rPr>
                <w:sz w:val="20"/>
              </w:rPr>
            </w:pPr>
            <w:r>
              <w:rPr>
                <w:sz w:val="20"/>
              </w:rPr>
              <w:t>Ground</w:t>
            </w:r>
            <w:r>
              <w:rPr>
                <w:spacing w:val="-14"/>
                <w:sz w:val="20"/>
              </w:rPr>
              <w:t> </w:t>
            </w:r>
            <w:r>
              <w:rPr>
                <w:sz w:val="20"/>
              </w:rPr>
              <w:t>baiting</w:t>
            </w:r>
            <w:r>
              <w:rPr>
                <w:spacing w:val="-14"/>
                <w:sz w:val="20"/>
              </w:rPr>
              <w:t> </w:t>
            </w:r>
            <w:r>
              <w:rPr>
                <w:sz w:val="20"/>
              </w:rPr>
              <w:t>with </w:t>
            </w:r>
            <w:r>
              <w:rPr>
                <w:spacing w:val="-4"/>
                <w:sz w:val="20"/>
              </w:rPr>
              <w:t>PAPP</w:t>
            </w:r>
          </w:p>
        </w:tc>
        <w:tc>
          <w:tcPr>
            <w:tcW w:w="2209" w:type="dxa"/>
            <w:tcBorders>
              <w:top w:val="single" w:sz="4" w:space="0" w:color="000000"/>
              <w:bottom w:val="single" w:sz="4" w:space="0" w:color="000000"/>
            </w:tcBorders>
          </w:tcPr>
          <w:p>
            <w:pPr>
              <w:pStyle w:val="TableParagraph"/>
              <w:spacing w:before="81"/>
              <w:ind w:left="161"/>
              <w:rPr>
                <w:sz w:val="20"/>
              </w:rPr>
            </w:pPr>
            <w:r>
              <w:rPr>
                <w:spacing w:val="-2"/>
                <w:sz w:val="20"/>
              </w:rPr>
              <w:t>Cost-effective</w:t>
            </w:r>
          </w:p>
        </w:tc>
        <w:tc>
          <w:tcPr>
            <w:tcW w:w="3256" w:type="dxa"/>
            <w:tcBorders>
              <w:top w:val="single" w:sz="4" w:space="0" w:color="000000"/>
              <w:bottom w:val="single" w:sz="4" w:space="0" w:color="000000"/>
            </w:tcBorders>
          </w:tcPr>
          <w:p>
            <w:pPr>
              <w:pStyle w:val="TableParagraph"/>
              <w:spacing w:before="81"/>
              <w:ind w:left="170" w:right="104"/>
              <w:rPr>
                <w:sz w:val="20"/>
              </w:rPr>
            </w:pPr>
            <w:r>
              <w:rPr>
                <w:sz w:val="20"/>
              </w:rPr>
              <w:t>There</w:t>
            </w:r>
            <w:r>
              <w:rPr>
                <w:spacing w:val="-8"/>
                <w:sz w:val="20"/>
              </w:rPr>
              <w:t> </w:t>
            </w:r>
            <w:r>
              <w:rPr>
                <w:sz w:val="20"/>
              </w:rPr>
              <w:t>is</w:t>
            </w:r>
            <w:r>
              <w:rPr>
                <w:spacing w:val="-5"/>
                <w:sz w:val="20"/>
              </w:rPr>
              <w:t> </w:t>
            </w:r>
            <w:r>
              <w:rPr>
                <w:sz w:val="20"/>
              </w:rPr>
              <w:t>a</w:t>
            </w:r>
            <w:r>
              <w:rPr>
                <w:spacing w:val="-8"/>
                <w:sz w:val="20"/>
              </w:rPr>
              <w:t> </w:t>
            </w:r>
            <w:r>
              <w:rPr>
                <w:sz w:val="20"/>
              </w:rPr>
              <w:t>risk</w:t>
            </w:r>
            <w:r>
              <w:rPr>
                <w:spacing w:val="-7"/>
                <w:sz w:val="20"/>
              </w:rPr>
              <w:t> </w:t>
            </w:r>
            <w:r>
              <w:rPr>
                <w:sz w:val="20"/>
              </w:rPr>
              <w:t>of</w:t>
            </w:r>
            <w:r>
              <w:rPr>
                <w:spacing w:val="-8"/>
                <w:sz w:val="20"/>
              </w:rPr>
              <w:t> </w:t>
            </w:r>
            <w:r>
              <w:rPr>
                <w:sz w:val="20"/>
              </w:rPr>
              <w:t>poisoning</w:t>
            </w:r>
            <w:r>
              <w:rPr>
                <w:spacing w:val="-7"/>
                <w:sz w:val="20"/>
              </w:rPr>
              <w:t> </w:t>
            </w:r>
            <w:r>
              <w:rPr>
                <w:sz w:val="20"/>
              </w:rPr>
              <w:t>non- target</w:t>
            </w:r>
            <w:r>
              <w:rPr>
                <w:spacing w:val="-9"/>
                <w:sz w:val="20"/>
              </w:rPr>
              <w:t> </w:t>
            </w:r>
            <w:r>
              <w:rPr>
                <w:sz w:val="20"/>
              </w:rPr>
              <w:t>animals.</w:t>
            </w:r>
            <w:r>
              <w:rPr>
                <w:spacing w:val="-11"/>
                <w:sz w:val="20"/>
              </w:rPr>
              <w:t> </w:t>
            </w:r>
            <w:r>
              <w:rPr>
                <w:sz w:val="20"/>
              </w:rPr>
              <w:t>Strategic</w:t>
            </w:r>
            <w:r>
              <w:rPr>
                <w:spacing w:val="-10"/>
                <w:sz w:val="20"/>
              </w:rPr>
              <w:t> </w:t>
            </w:r>
            <w:r>
              <w:rPr>
                <w:sz w:val="20"/>
              </w:rPr>
              <w:t>ground baiting, where baits are buried reduces risk to non-target species. Uneaten baits can be collected and destroyed.</w:t>
            </w:r>
          </w:p>
          <w:p>
            <w:pPr>
              <w:pStyle w:val="TableParagraph"/>
              <w:spacing w:before="80"/>
              <w:ind w:left="170" w:right="104"/>
              <w:rPr>
                <w:sz w:val="20"/>
              </w:rPr>
            </w:pPr>
            <w:r>
              <w:rPr>
                <w:sz w:val="20"/>
              </w:rPr>
              <w:t>Some species are more susceptible</w:t>
            </w:r>
            <w:r>
              <w:rPr>
                <w:spacing w:val="-10"/>
                <w:sz w:val="20"/>
              </w:rPr>
              <w:t> </w:t>
            </w:r>
            <w:r>
              <w:rPr>
                <w:sz w:val="20"/>
              </w:rPr>
              <w:t>to</w:t>
            </w:r>
            <w:r>
              <w:rPr>
                <w:spacing w:val="-11"/>
                <w:sz w:val="20"/>
              </w:rPr>
              <w:t> </w:t>
            </w:r>
            <w:r>
              <w:rPr>
                <w:sz w:val="20"/>
              </w:rPr>
              <w:t>PAPP,</w:t>
            </w:r>
            <w:r>
              <w:rPr>
                <w:spacing w:val="-10"/>
                <w:sz w:val="20"/>
              </w:rPr>
              <w:t> </w:t>
            </w:r>
            <w:r>
              <w:rPr>
                <w:sz w:val="20"/>
              </w:rPr>
              <w:t>e.g.,</w:t>
            </w:r>
            <w:r>
              <w:rPr>
                <w:spacing w:val="-9"/>
                <w:sz w:val="20"/>
              </w:rPr>
              <w:t> </w:t>
            </w:r>
            <w:r>
              <w:rPr>
                <w:sz w:val="20"/>
              </w:rPr>
              <w:t>quolls, southern brown bandicoot, varanids, while others are less susceptible compared to 1080, e.g.,</w:t>
            </w:r>
            <w:r>
              <w:rPr>
                <w:spacing w:val="-13"/>
                <w:sz w:val="20"/>
              </w:rPr>
              <w:t> </w:t>
            </w:r>
            <w:r>
              <w:rPr>
                <w:sz w:val="20"/>
              </w:rPr>
              <w:t>brush-tailed</w:t>
            </w:r>
            <w:r>
              <w:rPr>
                <w:spacing w:val="-14"/>
                <w:sz w:val="20"/>
              </w:rPr>
              <w:t> </w:t>
            </w:r>
            <w:r>
              <w:rPr>
                <w:sz w:val="20"/>
              </w:rPr>
              <w:t>possums,</w:t>
            </w:r>
            <w:r>
              <w:rPr>
                <w:spacing w:val="-13"/>
                <w:sz w:val="20"/>
              </w:rPr>
              <w:t> </w:t>
            </w:r>
            <w:r>
              <w:rPr>
                <w:sz w:val="20"/>
              </w:rPr>
              <w:t>some bird species</w:t>
            </w:r>
          </w:p>
        </w:tc>
        <w:tc>
          <w:tcPr>
            <w:tcW w:w="3434" w:type="dxa"/>
            <w:tcBorders>
              <w:top w:val="single" w:sz="4" w:space="0" w:color="000000"/>
              <w:bottom w:val="single" w:sz="4" w:space="0" w:color="000000"/>
            </w:tcBorders>
          </w:tcPr>
          <w:p>
            <w:pPr>
              <w:pStyle w:val="TableParagraph"/>
              <w:spacing w:before="81"/>
              <w:ind w:left="140" w:right="75"/>
              <w:rPr>
                <w:sz w:val="20"/>
              </w:rPr>
            </w:pPr>
            <w:r>
              <w:rPr>
                <w:sz w:val="20"/>
              </w:rPr>
              <w:t>Currently</w:t>
            </w:r>
            <w:r>
              <w:rPr>
                <w:spacing w:val="-14"/>
                <w:sz w:val="20"/>
              </w:rPr>
              <w:t> </w:t>
            </w:r>
            <w:r>
              <w:rPr>
                <w:sz w:val="20"/>
              </w:rPr>
              <w:t>the</w:t>
            </w:r>
            <w:r>
              <w:rPr>
                <w:spacing w:val="-14"/>
                <w:sz w:val="20"/>
              </w:rPr>
              <w:t> </w:t>
            </w:r>
            <w:r>
              <w:rPr>
                <w:sz w:val="20"/>
              </w:rPr>
              <w:t>most</w:t>
            </w:r>
            <w:r>
              <w:rPr>
                <w:spacing w:val="-13"/>
                <w:sz w:val="20"/>
              </w:rPr>
              <w:t> </w:t>
            </w:r>
            <w:r>
              <w:rPr>
                <w:sz w:val="20"/>
              </w:rPr>
              <w:t>humane technique available.</w:t>
            </w:r>
          </w:p>
          <w:p>
            <w:pPr>
              <w:pStyle w:val="TableParagraph"/>
              <w:spacing w:before="80"/>
              <w:ind w:left="140"/>
              <w:rPr>
                <w:sz w:val="20"/>
              </w:rPr>
            </w:pPr>
            <w:r>
              <w:rPr>
                <w:sz w:val="20"/>
              </w:rPr>
              <w:t>Antidote</w:t>
            </w:r>
            <w:r>
              <w:rPr>
                <w:spacing w:val="-8"/>
                <w:sz w:val="20"/>
              </w:rPr>
              <w:t> </w:t>
            </w:r>
            <w:r>
              <w:rPr>
                <w:sz w:val="20"/>
              </w:rPr>
              <w:t>available</w:t>
            </w:r>
            <w:r>
              <w:rPr>
                <w:spacing w:val="-9"/>
                <w:sz w:val="20"/>
              </w:rPr>
              <w:t> </w:t>
            </w:r>
            <w:r>
              <w:rPr>
                <w:sz w:val="20"/>
              </w:rPr>
              <w:t>but</w:t>
            </w:r>
            <w:r>
              <w:rPr>
                <w:spacing w:val="-8"/>
                <w:sz w:val="20"/>
              </w:rPr>
              <w:t> </w:t>
            </w:r>
            <w:r>
              <w:rPr>
                <w:sz w:val="20"/>
              </w:rPr>
              <w:t>needs</w:t>
            </w:r>
            <w:r>
              <w:rPr>
                <w:spacing w:val="-8"/>
                <w:sz w:val="20"/>
              </w:rPr>
              <w:t> </w:t>
            </w:r>
            <w:r>
              <w:rPr>
                <w:sz w:val="20"/>
              </w:rPr>
              <w:t>to</w:t>
            </w:r>
            <w:r>
              <w:rPr>
                <w:spacing w:val="-10"/>
                <w:sz w:val="20"/>
              </w:rPr>
              <w:t> </w:t>
            </w:r>
            <w:r>
              <w:rPr>
                <w:sz w:val="20"/>
              </w:rPr>
              <w:t>be administered within 20 minutes.</w:t>
            </w:r>
          </w:p>
        </w:tc>
        <w:tc>
          <w:tcPr>
            <w:tcW w:w="3462" w:type="dxa"/>
            <w:tcBorders>
              <w:top w:val="single" w:sz="4" w:space="0" w:color="000000"/>
              <w:bottom w:val="single" w:sz="4" w:space="0" w:color="000000"/>
            </w:tcBorders>
            <w:shd w:val="clear" w:color="auto" w:fill="CCDBEA"/>
          </w:tcPr>
          <w:p>
            <w:pPr>
              <w:pStyle w:val="TableParagraph"/>
              <w:spacing w:before="81"/>
              <w:ind w:left="107" w:right="173"/>
              <w:rPr>
                <w:sz w:val="20"/>
              </w:rPr>
            </w:pPr>
            <w:r>
              <w:rPr>
                <w:sz w:val="20"/>
              </w:rPr>
              <w:t>PAPP ingestion can also kill non- target animals including native species, cats, dogs and livestock. PAPP</w:t>
            </w:r>
            <w:r>
              <w:rPr>
                <w:spacing w:val="-8"/>
                <w:sz w:val="20"/>
              </w:rPr>
              <w:t> </w:t>
            </w:r>
            <w:r>
              <w:rPr>
                <w:sz w:val="20"/>
              </w:rPr>
              <w:t>is</w:t>
            </w:r>
            <w:r>
              <w:rPr>
                <w:spacing w:val="-9"/>
                <w:sz w:val="20"/>
              </w:rPr>
              <w:t> </w:t>
            </w:r>
            <w:r>
              <w:rPr>
                <w:sz w:val="20"/>
              </w:rPr>
              <w:t>toxic</w:t>
            </w:r>
            <w:r>
              <w:rPr>
                <w:spacing w:val="-9"/>
                <w:sz w:val="20"/>
              </w:rPr>
              <w:t> </w:t>
            </w:r>
            <w:r>
              <w:rPr>
                <w:sz w:val="20"/>
              </w:rPr>
              <w:t>to</w:t>
            </w:r>
            <w:r>
              <w:rPr>
                <w:spacing w:val="-10"/>
                <w:sz w:val="20"/>
              </w:rPr>
              <w:t> </w:t>
            </w:r>
            <w:r>
              <w:rPr>
                <w:sz w:val="20"/>
              </w:rPr>
              <w:t>humans;</w:t>
            </w:r>
            <w:r>
              <w:rPr>
                <w:spacing w:val="-9"/>
                <w:sz w:val="20"/>
              </w:rPr>
              <w:t> </w:t>
            </w:r>
            <w:r>
              <w:rPr>
                <w:sz w:val="20"/>
              </w:rPr>
              <w:t>operators need to take precautions to safeguard against exposure.</w:t>
            </w:r>
          </w:p>
        </w:tc>
      </w:tr>
      <w:tr>
        <w:trPr>
          <w:trHeight w:val="2220" w:hRule="atLeast"/>
        </w:trPr>
        <w:tc>
          <w:tcPr>
            <w:tcW w:w="2004" w:type="dxa"/>
            <w:tcBorders>
              <w:top w:val="single" w:sz="4" w:space="0" w:color="000000"/>
              <w:bottom w:val="single" w:sz="4" w:space="0" w:color="000000"/>
            </w:tcBorders>
          </w:tcPr>
          <w:p>
            <w:pPr>
              <w:pStyle w:val="TableParagraph"/>
              <w:spacing w:before="78"/>
              <w:ind w:left="122"/>
              <w:rPr>
                <w:sz w:val="20"/>
              </w:rPr>
            </w:pPr>
            <w:r>
              <w:rPr>
                <w:sz w:val="20"/>
              </w:rPr>
              <w:t>Cand</w:t>
            </w:r>
            <w:r>
              <w:rPr>
                <w:spacing w:val="-14"/>
                <w:sz w:val="20"/>
              </w:rPr>
              <w:t> </w:t>
            </w:r>
            <w:r>
              <w:rPr>
                <w:sz w:val="20"/>
              </w:rPr>
              <w:t>Pest</w:t>
            </w:r>
            <w:r>
              <w:rPr>
                <w:spacing w:val="-14"/>
                <w:sz w:val="20"/>
              </w:rPr>
              <w:t> </w:t>
            </w:r>
            <w:r>
              <w:rPr>
                <w:sz w:val="20"/>
              </w:rPr>
              <w:t>Ejector </w:t>
            </w:r>
            <w:r>
              <w:rPr>
                <w:spacing w:val="-2"/>
                <w:sz w:val="20"/>
              </w:rPr>
              <w:t>(1080/PAPP)</w:t>
            </w:r>
          </w:p>
        </w:tc>
        <w:tc>
          <w:tcPr>
            <w:tcW w:w="2209" w:type="dxa"/>
            <w:tcBorders>
              <w:top w:val="single" w:sz="4" w:space="0" w:color="000000"/>
              <w:bottom w:val="single" w:sz="4" w:space="0" w:color="000000"/>
            </w:tcBorders>
          </w:tcPr>
          <w:p>
            <w:pPr>
              <w:pStyle w:val="TableParagraph"/>
              <w:spacing w:before="78"/>
              <w:ind w:left="161" w:right="61"/>
              <w:rPr>
                <w:sz w:val="20"/>
              </w:rPr>
            </w:pPr>
            <w:r>
              <w:rPr>
                <w:sz w:val="20"/>
              </w:rPr>
              <w:t>Can</w:t>
            </w:r>
            <w:r>
              <w:rPr>
                <w:spacing w:val="-14"/>
                <w:sz w:val="20"/>
              </w:rPr>
              <w:t> </w:t>
            </w:r>
            <w:r>
              <w:rPr>
                <w:sz w:val="20"/>
              </w:rPr>
              <w:t>be</w:t>
            </w:r>
            <w:r>
              <w:rPr>
                <w:spacing w:val="-14"/>
                <w:sz w:val="20"/>
              </w:rPr>
              <w:t> </w:t>
            </w:r>
            <w:r>
              <w:rPr>
                <w:sz w:val="20"/>
              </w:rPr>
              <w:t>cost-effective in certain situations</w:t>
            </w:r>
          </w:p>
        </w:tc>
        <w:tc>
          <w:tcPr>
            <w:tcW w:w="3256" w:type="dxa"/>
            <w:tcBorders>
              <w:top w:val="single" w:sz="4" w:space="0" w:color="000000"/>
              <w:bottom w:val="single" w:sz="4" w:space="0" w:color="000000"/>
            </w:tcBorders>
          </w:tcPr>
          <w:p>
            <w:pPr>
              <w:pStyle w:val="TableParagraph"/>
              <w:spacing w:before="78"/>
              <w:ind w:left="170" w:right="104"/>
              <w:rPr>
                <w:sz w:val="20"/>
              </w:rPr>
            </w:pPr>
            <w:r>
              <w:rPr>
                <w:sz w:val="20"/>
              </w:rPr>
              <w:t>Target</w:t>
            </w:r>
            <w:r>
              <w:rPr>
                <w:spacing w:val="-14"/>
                <w:sz w:val="20"/>
              </w:rPr>
              <w:t> </w:t>
            </w:r>
            <w:r>
              <w:rPr>
                <w:sz w:val="20"/>
              </w:rPr>
              <w:t>specific,</w:t>
            </w:r>
            <w:r>
              <w:rPr>
                <w:spacing w:val="-14"/>
                <w:sz w:val="20"/>
              </w:rPr>
              <w:t> </w:t>
            </w:r>
            <w:r>
              <w:rPr>
                <w:sz w:val="20"/>
              </w:rPr>
              <w:t>particularly</w:t>
            </w:r>
            <w:r>
              <w:rPr>
                <w:spacing w:val="-14"/>
                <w:sz w:val="20"/>
              </w:rPr>
              <w:t> </w:t>
            </w:r>
            <w:r>
              <w:rPr>
                <w:sz w:val="20"/>
              </w:rPr>
              <w:t>when used with collar to restrict Dingo </w:t>
            </w:r>
            <w:r>
              <w:rPr>
                <w:spacing w:val="-2"/>
                <w:sz w:val="20"/>
              </w:rPr>
              <w:t>access</w:t>
            </w:r>
          </w:p>
        </w:tc>
        <w:tc>
          <w:tcPr>
            <w:tcW w:w="3434" w:type="dxa"/>
            <w:tcBorders>
              <w:top w:val="single" w:sz="4" w:space="0" w:color="000000"/>
              <w:bottom w:val="single" w:sz="4" w:space="0" w:color="000000"/>
            </w:tcBorders>
          </w:tcPr>
          <w:p>
            <w:pPr>
              <w:pStyle w:val="TableParagraph"/>
              <w:spacing w:before="78"/>
              <w:ind w:left="140"/>
              <w:rPr>
                <w:sz w:val="20"/>
              </w:rPr>
            </w:pPr>
            <w:r>
              <w:rPr>
                <w:sz w:val="20"/>
              </w:rPr>
              <w:t>Unspent</w:t>
            </w:r>
            <w:r>
              <w:rPr>
                <w:spacing w:val="-10"/>
                <w:sz w:val="20"/>
              </w:rPr>
              <w:t> </w:t>
            </w:r>
            <w:r>
              <w:rPr>
                <w:sz w:val="20"/>
              </w:rPr>
              <w:t>capsules</w:t>
            </w:r>
            <w:r>
              <w:rPr>
                <w:spacing w:val="-11"/>
                <w:sz w:val="20"/>
              </w:rPr>
              <w:t> </w:t>
            </w:r>
            <w:r>
              <w:rPr>
                <w:sz w:val="20"/>
              </w:rPr>
              <w:t>can</w:t>
            </w:r>
            <w:r>
              <w:rPr>
                <w:spacing w:val="-11"/>
                <w:sz w:val="20"/>
              </w:rPr>
              <w:t> </w:t>
            </w:r>
            <w:r>
              <w:rPr>
                <w:sz w:val="20"/>
              </w:rPr>
              <w:t>be</w:t>
            </w:r>
            <w:r>
              <w:rPr>
                <w:spacing w:val="-12"/>
                <w:sz w:val="20"/>
              </w:rPr>
              <w:t> </w:t>
            </w:r>
            <w:r>
              <w:rPr>
                <w:sz w:val="20"/>
              </w:rPr>
              <w:t>collected and destroyed.</w:t>
            </w:r>
          </w:p>
          <w:p>
            <w:pPr>
              <w:pStyle w:val="TableParagraph"/>
              <w:spacing w:before="80"/>
              <w:ind w:left="140"/>
              <w:rPr>
                <w:sz w:val="20"/>
              </w:rPr>
            </w:pPr>
            <w:r>
              <w:rPr>
                <w:sz w:val="20"/>
              </w:rPr>
              <w:t>Can</w:t>
            </w:r>
            <w:r>
              <w:rPr>
                <w:spacing w:val="-8"/>
                <w:sz w:val="20"/>
              </w:rPr>
              <w:t> </w:t>
            </w:r>
            <w:r>
              <w:rPr>
                <w:sz w:val="20"/>
              </w:rPr>
              <w:t>be</w:t>
            </w:r>
            <w:r>
              <w:rPr>
                <w:spacing w:val="-7"/>
                <w:sz w:val="20"/>
              </w:rPr>
              <w:t> </w:t>
            </w:r>
            <w:r>
              <w:rPr>
                <w:sz w:val="20"/>
              </w:rPr>
              <w:t>used</w:t>
            </w:r>
            <w:r>
              <w:rPr>
                <w:spacing w:val="-7"/>
                <w:sz w:val="20"/>
              </w:rPr>
              <w:t> </w:t>
            </w:r>
            <w:r>
              <w:rPr>
                <w:sz w:val="20"/>
              </w:rPr>
              <w:t>with</w:t>
            </w:r>
            <w:r>
              <w:rPr>
                <w:spacing w:val="-8"/>
                <w:sz w:val="20"/>
              </w:rPr>
              <w:t> </w:t>
            </w:r>
            <w:r>
              <w:rPr>
                <w:sz w:val="20"/>
              </w:rPr>
              <w:t>either</w:t>
            </w:r>
            <w:r>
              <w:rPr>
                <w:spacing w:val="-6"/>
                <w:sz w:val="20"/>
              </w:rPr>
              <w:t> </w:t>
            </w:r>
            <w:r>
              <w:rPr>
                <w:sz w:val="20"/>
              </w:rPr>
              <w:t>1080,</w:t>
            </w:r>
            <w:r>
              <w:rPr>
                <w:spacing w:val="-7"/>
                <w:sz w:val="20"/>
              </w:rPr>
              <w:t> </w:t>
            </w:r>
            <w:r>
              <w:rPr>
                <w:sz w:val="20"/>
              </w:rPr>
              <w:t>or </w:t>
            </w:r>
            <w:r>
              <w:rPr>
                <w:spacing w:val="-2"/>
                <w:sz w:val="20"/>
              </w:rPr>
              <w:t>PAPP.</w:t>
            </w:r>
          </w:p>
          <w:p>
            <w:pPr>
              <w:pStyle w:val="TableParagraph"/>
              <w:spacing w:before="80"/>
              <w:ind w:left="140"/>
              <w:rPr>
                <w:sz w:val="20"/>
              </w:rPr>
            </w:pPr>
            <w:r>
              <w:rPr>
                <w:sz w:val="20"/>
              </w:rPr>
              <w:t>Requires</w:t>
            </w:r>
            <w:r>
              <w:rPr>
                <w:spacing w:val="-10"/>
                <w:sz w:val="20"/>
              </w:rPr>
              <w:t> </w:t>
            </w:r>
            <w:r>
              <w:rPr>
                <w:sz w:val="20"/>
              </w:rPr>
              <w:t>relatively</w:t>
            </w:r>
            <w:r>
              <w:rPr>
                <w:spacing w:val="-10"/>
                <w:sz w:val="20"/>
              </w:rPr>
              <w:t> </w:t>
            </w:r>
            <w:r>
              <w:rPr>
                <w:sz w:val="20"/>
              </w:rPr>
              <w:t>little</w:t>
            </w:r>
            <w:r>
              <w:rPr>
                <w:spacing w:val="-11"/>
                <w:sz w:val="20"/>
              </w:rPr>
              <w:t> </w:t>
            </w:r>
            <w:r>
              <w:rPr>
                <w:sz w:val="20"/>
              </w:rPr>
              <w:t>time</w:t>
            </w:r>
            <w:r>
              <w:rPr>
                <w:spacing w:val="-11"/>
                <w:sz w:val="20"/>
              </w:rPr>
              <w:t> </w:t>
            </w:r>
            <w:r>
              <w:rPr>
                <w:sz w:val="20"/>
              </w:rPr>
              <w:t>to </w:t>
            </w:r>
            <w:r>
              <w:rPr>
                <w:spacing w:val="-2"/>
                <w:sz w:val="20"/>
              </w:rPr>
              <w:t>establish.</w:t>
            </w:r>
          </w:p>
          <w:p>
            <w:pPr>
              <w:pStyle w:val="TableParagraph"/>
              <w:spacing w:before="80"/>
              <w:ind w:left="140"/>
              <w:rPr>
                <w:sz w:val="20"/>
              </w:rPr>
            </w:pPr>
            <w:r>
              <w:rPr>
                <w:sz w:val="20"/>
              </w:rPr>
              <w:t>Can</w:t>
            </w:r>
            <w:r>
              <w:rPr>
                <w:spacing w:val="-10"/>
                <w:sz w:val="20"/>
              </w:rPr>
              <w:t> </w:t>
            </w:r>
            <w:r>
              <w:rPr>
                <w:sz w:val="20"/>
              </w:rPr>
              <w:t>be</w:t>
            </w:r>
            <w:r>
              <w:rPr>
                <w:spacing w:val="-9"/>
                <w:sz w:val="20"/>
              </w:rPr>
              <w:t> </w:t>
            </w:r>
            <w:r>
              <w:rPr>
                <w:sz w:val="20"/>
              </w:rPr>
              <w:t>deployed</w:t>
            </w:r>
            <w:r>
              <w:rPr>
                <w:spacing w:val="-10"/>
                <w:sz w:val="20"/>
              </w:rPr>
              <w:t> </w:t>
            </w:r>
            <w:r>
              <w:rPr>
                <w:sz w:val="20"/>
              </w:rPr>
              <w:t>for</w:t>
            </w:r>
            <w:r>
              <w:rPr>
                <w:spacing w:val="-9"/>
                <w:sz w:val="20"/>
              </w:rPr>
              <w:t> </w:t>
            </w:r>
            <w:r>
              <w:rPr>
                <w:sz w:val="20"/>
              </w:rPr>
              <w:t>longer</w:t>
            </w:r>
            <w:r>
              <w:rPr>
                <w:spacing w:val="-9"/>
                <w:sz w:val="20"/>
              </w:rPr>
              <w:t> </w:t>
            </w:r>
            <w:r>
              <w:rPr>
                <w:sz w:val="20"/>
              </w:rPr>
              <w:t>periods than baits.</w:t>
            </w:r>
          </w:p>
        </w:tc>
        <w:tc>
          <w:tcPr>
            <w:tcW w:w="3462" w:type="dxa"/>
            <w:tcBorders>
              <w:top w:val="single" w:sz="4" w:space="0" w:color="000000"/>
              <w:bottom w:val="single" w:sz="4" w:space="0" w:color="000000"/>
            </w:tcBorders>
            <w:shd w:val="clear" w:color="auto" w:fill="CCDBEA"/>
          </w:tcPr>
          <w:p>
            <w:pPr>
              <w:pStyle w:val="TableParagraph"/>
              <w:spacing w:before="78"/>
              <w:ind w:left="107" w:right="173"/>
              <w:rPr>
                <w:sz w:val="20"/>
              </w:rPr>
            </w:pPr>
            <w:r>
              <w:rPr>
                <w:sz w:val="20"/>
              </w:rPr>
              <w:t>Slightly more expensive than baiting. 1080 is toxic to humans; operators</w:t>
            </w:r>
            <w:r>
              <w:rPr>
                <w:spacing w:val="-10"/>
                <w:sz w:val="20"/>
              </w:rPr>
              <w:t> </w:t>
            </w:r>
            <w:r>
              <w:rPr>
                <w:sz w:val="20"/>
              </w:rPr>
              <w:t>need</w:t>
            </w:r>
            <w:r>
              <w:rPr>
                <w:spacing w:val="-12"/>
                <w:sz w:val="20"/>
              </w:rPr>
              <w:t> </w:t>
            </w:r>
            <w:r>
              <w:rPr>
                <w:sz w:val="20"/>
              </w:rPr>
              <w:t>to</w:t>
            </w:r>
            <w:r>
              <w:rPr>
                <w:spacing w:val="-10"/>
                <w:sz w:val="20"/>
              </w:rPr>
              <w:t> </w:t>
            </w:r>
            <w:r>
              <w:rPr>
                <w:sz w:val="20"/>
              </w:rPr>
              <w:t>take</w:t>
            </w:r>
            <w:r>
              <w:rPr>
                <w:spacing w:val="-12"/>
                <w:sz w:val="20"/>
              </w:rPr>
              <w:t> </w:t>
            </w:r>
            <w:r>
              <w:rPr>
                <w:sz w:val="20"/>
              </w:rPr>
              <w:t>precautions to safeguard against exposure.</w:t>
            </w:r>
          </w:p>
          <w:p>
            <w:pPr>
              <w:pStyle w:val="TableParagraph"/>
              <w:spacing w:before="81"/>
              <w:ind w:left="107" w:right="173"/>
              <w:rPr>
                <w:sz w:val="20"/>
              </w:rPr>
            </w:pPr>
            <w:r>
              <w:rPr>
                <w:sz w:val="20"/>
              </w:rPr>
              <w:t>Requires</w:t>
            </w:r>
            <w:r>
              <w:rPr>
                <w:spacing w:val="-11"/>
                <w:sz w:val="20"/>
              </w:rPr>
              <w:t> </w:t>
            </w:r>
            <w:r>
              <w:rPr>
                <w:sz w:val="20"/>
              </w:rPr>
              <w:t>a</w:t>
            </w:r>
            <w:r>
              <w:rPr>
                <w:spacing w:val="-10"/>
                <w:sz w:val="20"/>
              </w:rPr>
              <w:t> </w:t>
            </w:r>
            <w:r>
              <w:rPr>
                <w:sz w:val="20"/>
              </w:rPr>
              <w:t>moderate</w:t>
            </w:r>
            <w:r>
              <w:rPr>
                <w:spacing w:val="-8"/>
                <w:sz w:val="20"/>
              </w:rPr>
              <w:t> </w:t>
            </w:r>
            <w:r>
              <w:rPr>
                <w:sz w:val="20"/>
              </w:rPr>
              <w:t>level</w:t>
            </w:r>
            <w:r>
              <w:rPr>
                <w:spacing w:val="-11"/>
                <w:sz w:val="20"/>
              </w:rPr>
              <w:t> </w:t>
            </w:r>
            <w:r>
              <w:rPr>
                <w:sz w:val="20"/>
              </w:rPr>
              <w:t>of technical ability and local </w:t>
            </w:r>
            <w:r>
              <w:rPr>
                <w:spacing w:val="-2"/>
                <w:sz w:val="20"/>
              </w:rPr>
              <w:t>knowledge.</w:t>
            </w:r>
          </w:p>
        </w:tc>
      </w:tr>
      <w:tr>
        <w:trPr>
          <w:trHeight w:val="1060" w:hRule="atLeast"/>
        </w:trPr>
        <w:tc>
          <w:tcPr>
            <w:tcW w:w="2004" w:type="dxa"/>
            <w:tcBorders>
              <w:top w:val="single" w:sz="4" w:space="0" w:color="000000"/>
              <w:bottom w:val="single" w:sz="4" w:space="0" w:color="000000"/>
            </w:tcBorders>
          </w:tcPr>
          <w:p>
            <w:pPr>
              <w:pStyle w:val="TableParagraph"/>
              <w:spacing w:before="78"/>
              <w:ind w:left="122"/>
              <w:rPr>
                <w:sz w:val="20"/>
              </w:rPr>
            </w:pPr>
            <w:r>
              <w:rPr>
                <w:sz w:val="20"/>
              </w:rPr>
              <w:t>Ground</w:t>
            </w:r>
            <w:r>
              <w:rPr>
                <w:spacing w:val="-12"/>
                <w:sz w:val="20"/>
              </w:rPr>
              <w:t> </w:t>
            </w:r>
            <w:r>
              <w:rPr>
                <w:spacing w:val="-2"/>
                <w:sz w:val="20"/>
              </w:rPr>
              <w:t>shooting</w:t>
            </w:r>
          </w:p>
        </w:tc>
        <w:tc>
          <w:tcPr>
            <w:tcW w:w="2209" w:type="dxa"/>
            <w:tcBorders>
              <w:top w:val="single" w:sz="4" w:space="0" w:color="000000"/>
              <w:bottom w:val="single" w:sz="4" w:space="0" w:color="000000"/>
            </w:tcBorders>
          </w:tcPr>
          <w:p>
            <w:pPr>
              <w:pStyle w:val="TableParagraph"/>
              <w:spacing w:before="78"/>
              <w:ind w:left="161"/>
              <w:rPr>
                <w:sz w:val="20"/>
              </w:rPr>
            </w:pPr>
            <w:r>
              <w:rPr>
                <w:sz w:val="20"/>
              </w:rPr>
              <w:t>Generally,</w:t>
            </w:r>
            <w:r>
              <w:rPr>
                <w:spacing w:val="-14"/>
                <w:sz w:val="20"/>
              </w:rPr>
              <w:t> </w:t>
            </w:r>
            <w:r>
              <w:rPr>
                <w:sz w:val="20"/>
              </w:rPr>
              <w:t>not</w:t>
            </w:r>
            <w:r>
              <w:rPr>
                <w:spacing w:val="-14"/>
                <w:sz w:val="20"/>
              </w:rPr>
              <w:t> </w:t>
            </w:r>
            <w:r>
              <w:rPr>
                <w:sz w:val="20"/>
              </w:rPr>
              <w:t>cost- effective, can be if coordinated and </w:t>
            </w:r>
            <w:r>
              <w:rPr>
                <w:spacing w:val="-2"/>
                <w:sz w:val="20"/>
              </w:rPr>
              <w:t>repeated</w:t>
            </w:r>
          </w:p>
        </w:tc>
        <w:tc>
          <w:tcPr>
            <w:tcW w:w="3256" w:type="dxa"/>
            <w:tcBorders>
              <w:top w:val="single" w:sz="4" w:space="0" w:color="000000"/>
              <w:bottom w:val="single" w:sz="4" w:space="0" w:color="000000"/>
            </w:tcBorders>
          </w:tcPr>
          <w:p>
            <w:pPr>
              <w:pStyle w:val="TableParagraph"/>
              <w:spacing w:before="78"/>
              <w:ind w:left="170" w:right="104"/>
              <w:rPr>
                <w:sz w:val="20"/>
              </w:rPr>
            </w:pPr>
            <w:r>
              <w:rPr>
                <w:sz w:val="20"/>
              </w:rPr>
              <w:t>Target</w:t>
            </w:r>
            <w:r>
              <w:rPr>
                <w:spacing w:val="-13"/>
                <w:sz w:val="20"/>
              </w:rPr>
              <w:t> </w:t>
            </w:r>
            <w:r>
              <w:rPr>
                <w:sz w:val="20"/>
              </w:rPr>
              <w:t>specific.</w:t>
            </w:r>
            <w:r>
              <w:rPr>
                <w:spacing w:val="-13"/>
                <w:sz w:val="20"/>
              </w:rPr>
              <w:t> </w:t>
            </w:r>
            <w:r>
              <w:rPr>
                <w:sz w:val="20"/>
              </w:rPr>
              <w:t>No</w:t>
            </w:r>
            <w:r>
              <w:rPr>
                <w:spacing w:val="-13"/>
                <w:sz w:val="20"/>
              </w:rPr>
              <w:t> </w:t>
            </w:r>
            <w:r>
              <w:rPr>
                <w:sz w:val="20"/>
              </w:rPr>
              <w:t>non-target </w:t>
            </w:r>
            <w:r>
              <w:rPr>
                <w:spacing w:val="-2"/>
                <w:sz w:val="20"/>
              </w:rPr>
              <w:t>impacts.</w:t>
            </w:r>
          </w:p>
        </w:tc>
        <w:tc>
          <w:tcPr>
            <w:tcW w:w="3434" w:type="dxa"/>
            <w:tcBorders>
              <w:top w:val="single" w:sz="4" w:space="0" w:color="000000"/>
              <w:bottom w:val="single" w:sz="4" w:space="0" w:color="000000"/>
            </w:tcBorders>
          </w:tcPr>
          <w:p>
            <w:pPr>
              <w:pStyle w:val="TableParagraph"/>
              <w:spacing w:before="78"/>
              <w:ind w:left="140"/>
              <w:rPr>
                <w:sz w:val="20"/>
              </w:rPr>
            </w:pPr>
            <w:r>
              <w:rPr>
                <w:sz w:val="20"/>
              </w:rPr>
              <w:t>Target</w:t>
            </w:r>
            <w:r>
              <w:rPr>
                <w:spacing w:val="-7"/>
                <w:sz w:val="20"/>
              </w:rPr>
              <w:t> </w:t>
            </w:r>
            <w:r>
              <w:rPr>
                <w:spacing w:val="-2"/>
                <w:sz w:val="20"/>
              </w:rPr>
              <w:t>specific</w:t>
            </w:r>
          </w:p>
          <w:p>
            <w:pPr>
              <w:pStyle w:val="TableParagraph"/>
              <w:spacing w:before="80"/>
              <w:ind w:left="140"/>
              <w:rPr>
                <w:sz w:val="20"/>
              </w:rPr>
            </w:pPr>
            <w:r>
              <w:rPr>
                <w:sz w:val="20"/>
              </w:rPr>
              <w:t>Can</w:t>
            </w:r>
            <w:r>
              <w:rPr>
                <w:spacing w:val="-8"/>
                <w:sz w:val="20"/>
              </w:rPr>
              <w:t> </w:t>
            </w:r>
            <w:r>
              <w:rPr>
                <w:sz w:val="20"/>
              </w:rPr>
              <w:t>be</w:t>
            </w:r>
            <w:r>
              <w:rPr>
                <w:spacing w:val="-6"/>
                <w:sz w:val="20"/>
              </w:rPr>
              <w:t> </w:t>
            </w:r>
            <w:r>
              <w:rPr>
                <w:sz w:val="20"/>
              </w:rPr>
              <w:t>effective</w:t>
            </w:r>
            <w:r>
              <w:rPr>
                <w:spacing w:val="-5"/>
                <w:sz w:val="20"/>
              </w:rPr>
              <w:t> </w:t>
            </w:r>
            <w:r>
              <w:rPr>
                <w:sz w:val="20"/>
              </w:rPr>
              <w:t>if</w:t>
            </w:r>
            <w:r>
              <w:rPr>
                <w:spacing w:val="-6"/>
                <w:sz w:val="20"/>
              </w:rPr>
              <w:t> </w:t>
            </w:r>
            <w:r>
              <w:rPr>
                <w:sz w:val="20"/>
              </w:rPr>
              <w:t>well-</w:t>
            </w:r>
            <w:r>
              <w:rPr>
                <w:spacing w:val="-2"/>
                <w:sz w:val="20"/>
              </w:rPr>
              <w:t>coordinated</w:t>
            </w:r>
          </w:p>
        </w:tc>
        <w:tc>
          <w:tcPr>
            <w:tcW w:w="3462" w:type="dxa"/>
            <w:tcBorders>
              <w:top w:val="single" w:sz="4" w:space="0" w:color="000000"/>
              <w:bottom w:val="single" w:sz="4" w:space="0" w:color="000000"/>
            </w:tcBorders>
            <w:shd w:val="clear" w:color="auto" w:fill="CCDBEA"/>
          </w:tcPr>
          <w:p>
            <w:pPr>
              <w:pStyle w:val="TableParagraph"/>
              <w:spacing w:before="78"/>
              <w:ind w:left="107" w:right="377"/>
              <w:rPr>
                <w:sz w:val="20"/>
              </w:rPr>
            </w:pPr>
            <w:r>
              <w:rPr>
                <w:sz w:val="20"/>
              </w:rPr>
              <w:t>Labour</w:t>
            </w:r>
            <w:r>
              <w:rPr>
                <w:spacing w:val="-12"/>
                <w:sz w:val="20"/>
              </w:rPr>
              <w:t> </w:t>
            </w:r>
            <w:r>
              <w:rPr>
                <w:sz w:val="20"/>
              </w:rPr>
              <w:t>intensive,</w:t>
            </w:r>
            <w:r>
              <w:rPr>
                <w:spacing w:val="-12"/>
                <w:sz w:val="20"/>
              </w:rPr>
              <w:t> </w:t>
            </w:r>
            <w:r>
              <w:rPr>
                <w:sz w:val="20"/>
              </w:rPr>
              <w:t>only</w:t>
            </w:r>
            <w:r>
              <w:rPr>
                <w:spacing w:val="-11"/>
                <w:sz w:val="20"/>
              </w:rPr>
              <w:t> </w:t>
            </w:r>
            <w:r>
              <w:rPr>
                <w:sz w:val="20"/>
              </w:rPr>
              <w:t>suitable</w:t>
            </w:r>
            <w:r>
              <w:rPr>
                <w:spacing w:val="-10"/>
                <w:sz w:val="20"/>
              </w:rPr>
              <w:t> </w:t>
            </w:r>
            <w:r>
              <w:rPr>
                <w:sz w:val="20"/>
              </w:rPr>
              <w:t>for smaller-scale operations.</w:t>
            </w:r>
          </w:p>
        </w:tc>
      </w:tr>
    </w:tbl>
    <w:p>
      <w:pPr>
        <w:tabs>
          <w:tab w:pos="14705" w:val="right" w:leader="none"/>
        </w:tabs>
        <w:spacing w:before="223"/>
        <w:ind w:left="10274"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56</w:t>
      </w:r>
    </w:p>
    <w:p>
      <w:pPr>
        <w:spacing w:after="0"/>
        <w:jc w:val="left"/>
        <w:rPr>
          <w:sz w:val="20"/>
        </w:rPr>
        <w:sectPr>
          <w:footerReference w:type="even" r:id="rId57"/>
          <w:pgSz w:w="16850" w:h="11910" w:orient="landscape"/>
          <w:pgMar w:header="0" w:footer="0" w:top="1140" w:bottom="280" w:left="1000" w:right="1020"/>
        </w:sectPr>
      </w:pPr>
    </w:p>
    <w:p>
      <w:pPr>
        <w:pStyle w:val="BodyText"/>
        <w:spacing w:before="3"/>
        <w:rPr>
          <w:sz w:val="2"/>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7"/>
        <w:gridCol w:w="2332"/>
        <w:gridCol w:w="3067"/>
        <w:gridCol w:w="3567"/>
        <w:gridCol w:w="3461"/>
      </w:tblGrid>
      <w:tr>
        <w:trPr>
          <w:trHeight w:val="830" w:hRule="atLeast"/>
        </w:trPr>
        <w:tc>
          <w:tcPr>
            <w:tcW w:w="1937" w:type="dxa"/>
            <w:tcBorders>
              <w:top w:val="single" w:sz="4" w:space="0" w:color="000000"/>
              <w:bottom w:val="single" w:sz="4" w:space="0" w:color="000000"/>
            </w:tcBorders>
          </w:tcPr>
          <w:p>
            <w:pPr>
              <w:pStyle w:val="TableParagraph"/>
              <w:spacing w:before="81"/>
              <w:ind w:left="122" w:right="463"/>
              <w:rPr>
                <w:sz w:val="20"/>
              </w:rPr>
            </w:pPr>
            <w:r>
              <w:rPr>
                <w:sz w:val="20"/>
              </w:rPr>
              <w:t>Den</w:t>
            </w:r>
            <w:r>
              <w:rPr>
                <w:spacing w:val="-14"/>
                <w:sz w:val="20"/>
              </w:rPr>
              <w:t> </w:t>
            </w:r>
            <w:r>
              <w:rPr>
                <w:sz w:val="20"/>
              </w:rPr>
              <w:t>fumigation using carbon </w:t>
            </w:r>
            <w:r>
              <w:rPr>
                <w:spacing w:val="-2"/>
                <w:sz w:val="20"/>
              </w:rPr>
              <w:t>monoxide</w:t>
            </w:r>
          </w:p>
        </w:tc>
        <w:tc>
          <w:tcPr>
            <w:tcW w:w="2332" w:type="dxa"/>
            <w:tcBorders>
              <w:top w:val="single" w:sz="4" w:space="0" w:color="000000"/>
              <w:bottom w:val="single" w:sz="4" w:space="0" w:color="000000"/>
            </w:tcBorders>
          </w:tcPr>
          <w:p>
            <w:pPr>
              <w:pStyle w:val="TableParagraph"/>
              <w:spacing w:before="81"/>
              <w:ind w:left="228" w:right="156"/>
              <w:rPr>
                <w:sz w:val="20"/>
              </w:rPr>
            </w:pPr>
            <w:r>
              <w:rPr>
                <w:sz w:val="20"/>
              </w:rPr>
              <w:t>Not cost-effective. Can</w:t>
            </w:r>
            <w:r>
              <w:rPr>
                <w:spacing w:val="-14"/>
                <w:sz w:val="20"/>
              </w:rPr>
              <w:t> </w:t>
            </w:r>
            <w:r>
              <w:rPr>
                <w:sz w:val="20"/>
              </w:rPr>
              <w:t>be</w:t>
            </w:r>
            <w:r>
              <w:rPr>
                <w:spacing w:val="-14"/>
                <w:sz w:val="20"/>
              </w:rPr>
              <w:t> </w:t>
            </w:r>
            <w:r>
              <w:rPr>
                <w:sz w:val="20"/>
              </w:rPr>
              <w:t>cost-effective in some situations.</w:t>
            </w:r>
          </w:p>
        </w:tc>
        <w:tc>
          <w:tcPr>
            <w:tcW w:w="3067" w:type="dxa"/>
            <w:tcBorders>
              <w:top w:val="single" w:sz="4" w:space="0" w:color="000000"/>
              <w:bottom w:val="single" w:sz="4" w:space="0" w:color="000000"/>
            </w:tcBorders>
          </w:tcPr>
          <w:p>
            <w:pPr>
              <w:pStyle w:val="TableParagraph"/>
              <w:spacing w:before="81"/>
              <w:ind w:left="114" w:right="408"/>
              <w:jc w:val="both"/>
              <w:rPr>
                <w:sz w:val="20"/>
              </w:rPr>
            </w:pPr>
            <w:r>
              <w:rPr>
                <w:sz w:val="20"/>
              </w:rPr>
              <w:t>Target</w:t>
            </w:r>
            <w:r>
              <w:rPr>
                <w:spacing w:val="-11"/>
                <w:sz w:val="20"/>
              </w:rPr>
              <w:t> </w:t>
            </w:r>
            <w:r>
              <w:rPr>
                <w:sz w:val="20"/>
              </w:rPr>
              <w:t>specific.</w:t>
            </w:r>
            <w:r>
              <w:rPr>
                <w:spacing w:val="-11"/>
                <w:sz w:val="20"/>
              </w:rPr>
              <w:t> </w:t>
            </w:r>
            <w:r>
              <w:rPr>
                <w:sz w:val="20"/>
              </w:rPr>
              <w:t>Need</w:t>
            </w:r>
            <w:r>
              <w:rPr>
                <w:spacing w:val="-9"/>
                <w:sz w:val="20"/>
              </w:rPr>
              <w:t> </w:t>
            </w:r>
            <w:r>
              <w:rPr>
                <w:sz w:val="20"/>
              </w:rPr>
              <w:t>to</w:t>
            </w:r>
            <w:r>
              <w:rPr>
                <w:spacing w:val="-12"/>
                <w:sz w:val="20"/>
              </w:rPr>
              <w:t> </w:t>
            </w:r>
            <w:r>
              <w:rPr>
                <w:sz w:val="20"/>
              </w:rPr>
              <w:t>take steps</w:t>
            </w:r>
            <w:r>
              <w:rPr>
                <w:spacing w:val="-6"/>
                <w:sz w:val="20"/>
              </w:rPr>
              <w:t> </w:t>
            </w:r>
            <w:r>
              <w:rPr>
                <w:sz w:val="20"/>
              </w:rPr>
              <w:t>to</w:t>
            </w:r>
            <w:r>
              <w:rPr>
                <w:spacing w:val="-8"/>
                <w:sz w:val="20"/>
              </w:rPr>
              <w:t> </w:t>
            </w:r>
            <w:r>
              <w:rPr>
                <w:sz w:val="20"/>
              </w:rPr>
              <w:t>ensure</w:t>
            </w:r>
            <w:r>
              <w:rPr>
                <w:spacing w:val="-7"/>
                <w:sz w:val="20"/>
              </w:rPr>
              <w:t> </w:t>
            </w:r>
            <w:r>
              <w:rPr>
                <w:sz w:val="20"/>
              </w:rPr>
              <w:t>dens</w:t>
            </w:r>
            <w:r>
              <w:rPr>
                <w:spacing w:val="-6"/>
                <w:sz w:val="20"/>
              </w:rPr>
              <w:t> </w:t>
            </w:r>
            <w:r>
              <w:rPr>
                <w:sz w:val="20"/>
              </w:rPr>
              <w:t>are</w:t>
            </w:r>
            <w:r>
              <w:rPr>
                <w:spacing w:val="-5"/>
                <w:sz w:val="20"/>
              </w:rPr>
              <w:t> </w:t>
            </w:r>
            <w:r>
              <w:rPr>
                <w:sz w:val="20"/>
              </w:rPr>
              <w:t>not occupied by native species.</w:t>
            </w:r>
          </w:p>
        </w:tc>
        <w:tc>
          <w:tcPr>
            <w:tcW w:w="3567" w:type="dxa"/>
            <w:tcBorders>
              <w:top w:val="single" w:sz="4" w:space="0" w:color="000000"/>
              <w:bottom w:val="single" w:sz="4" w:space="0" w:color="000000"/>
            </w:tcBorders>
          </w:tcPr>
          <w:p>
            <w:pPr>
              <w:pStyle w:val="TableParagraph"/>
              <w:spacing w:before="81"/>
              <w:ind w:left="272" w:right="220"/>
              <w:rPr>
                <w:sz w:val="20"/>
              </w:rPr>
            </w:pPr>
            <w:r>
              <w:rPr>
                <w:sz w:val="20"/>
              </w:rPr>
              <w:t>Useful</w:t>
            </w:r>
            <w:r>
              <w:rPr>
                <w:spacing w:val="-10"/>
                <w:sz w:val="20"/>
              </w:rPr>
              <w:t> </w:t>
            </w:r>
            <w:r>
              <w:rPr>
                <w:sz w:val="20"/>
              </w:rPr>
              <w:t>for</w:t>
            </w:r>
            <w:r>
              <w:rPr>
                <w:spacing w:val="-11"/>
                <w:sz w:val="20"/>
              </w:rPr>
              <w:t> </w:t>
            </w:r>
            <w:r>
              <w:rPr>
                <w:sz w:val="20"/>
              </w:rPr>
              <w:t>localised</w:t>
            </w:r>
            <w:r>
              <w:rPr>
                <w:spacing w:val="-12"/>
                <w:sz w:val="20"/>
              </w:rPr>
              <w:t> </w:t>
            </w:r>
            <w:r>
              <w:rPr>
                <w:sz w:val="20"/>
              </w:rPr>
              <w:t>control,</w:t>
            </w:r>
            <w:r>
              <w:rPr>
                <w:spacing w:val="-9"/>
                <w:sz w:val="20"/>
              </w:rPr>
              <w:t> </w:t>
            </w:r>
            <w:r>
              <w:rPr>
                <w:sz w:val="20"/>
              </w:rPr>
              <w:t>where baiting and shooting are not </w:t>
            </w:r>
            <w:r>
              <w:rPr>
                <w:spacing w:val="-2"/>
                <w:sz w:val="20"/>
              </w:rPr>
              <w:t>feasible</w:t>
            </w:r>
          </w:p>
        </w:tc>
        <w:tc>
          <w:tcPr>
            <w:tcW w:w="3461" w:type="dxa"/>
            <w:tcBorders>
              <w:top w:val="single" w:sz="4" w:space="0" w:color="000000"/>
              <w:bottom w:val="single" w:sz="4" w:space="0" w:color="000000"/>
            </w:tcBorders>
            <w:shd w:val="clear" w:color="auto" w:fill="CCDBEA"/>
          </w:tcPr>
          <w:p>
            <w:pPr>
              <w:pStyle w:val="TableParagraph"/>
              <w:spacing w:before="81"/>
              <w:ind w:left="107" w:right="16"/>
              <w:rPr>
                <w:sz w:val="20"/>
              </w:rPr>
            </w:pPr>
            <w:r>
              <w:rPr>
                <w:sz w:val="20"/>
              </w:rPr>
              <w:t>Not</w:t>
            </w:r>
            <w:r>
              <w:rPr>
                <w:spacing w:val="-12"/>
                <w:sz w:val="20"/>
              </w:rPr>
              <w:t> </w:t>
            </w:r>
            <w:r>
              <w:rPr>
                <w:sz w:val="20"/>
              </w:rPr>
              <w:t>effective</w:t>
            </w:r>
            <w:r>
              <w:rPr>
                <w:spacing w:val="-11"/>
                <w:sz w:val="20"/>
              </w:rPr>
              <w:t> </w:t>
            </w:r>
            <w:r>
              <w:rPr>
                <w:sz w:val="20"/>
              </w:rPr>
              <w:t>for</w:t>
            </w:r>
            <w:r>
              <w:rPr>
                <w:spacing w:val="-12"/>
                <w:sz w:val="20"/>
              </w:rPr>
              <w:t> </w:t>
            </w:r>
            <w:r>
              <w:rPr>
                <w:sz w:val="20"/>
              </w:rPr>
              <w:t>broadscale</w:t>
            </w:r>
            <w:r>
              <w:rPr>
                <w:spacing w:val="-11"/>
                <w:sz w:val="20"/>
              </w:rPr>
              <w:t> </w:t>
            </w:r>
            <w:r>
              <w:rPr>
                <w:sz w:val="20"/>
              </w:rPr>
              <w:t>control. CO is toxic to humans; operators need to take precautions.</w:t>
            </w:r>
          </w:p>
        </w:tc>
      </w:tr>
      <w:tr>
        <w:trPr>
          <w:trHeight w:val="1060" w:hRule="atLeast"/>
        </w:trPr>
        <w:tc>
          <w:tcPr>
            <w:tcW w:w="1937" w:type="dxa"/>
            <w:tcBorders>
              <w:top w:val="single" w:sz="4" w:space="0" w:color="000000"/>
              <w:bottom w:val="single" w:sz="4" w:space="0" w:color="000000"/>
            </w:tcBorders>
          </w:tcPr>
          <w:p>
            <w:pPr>
              <w:pStyle w:val="TableParagraph"/>
              <w:spacing w:before="81"/>
              <w:ind w:left="122"/>
              <w:rPr>
                <w:sz w:val="20"/>
              </w:rPr>
            </w:pPr>
            <w:r>
              <w:rPr>
                <w:sz w:val="20"/>
              </w:rPr>
              <w:t>Trapping</w:t>
            </w:r>
            <w:r>
              <w:rPr>
                <w:spacing w:val="-14"/>
                <w:sz w:val="20"/>
              </w:rPr>
              <w:t> </w:t>
            </w:r>
            <w:r>
              <w:rPr>
                <w:sz w:val="20"/>
              </w:rPr>
              <w:t>(soft</w:t>
            </w:r>
            <w:r>
              <w:rPr>
                <w:spacing w:val="-14"/>
                <w:sz w:val="20"/>
              </w:rPr>
              <w:t> </w:t>
            </w:r>
            <w:r>
              <w:rPr>
                <w:sz w:val="20"/>
              </w:rPr>
              <w:t>jaw foot hold traps)</w:t>
            </w:r>
          </w:p>
        </w:tc>
        <w:tc>
          <w:tcPr>
            <w:tcW w:w="2332" w:type="dxa"/>
            <w:tcBorders>
              <w:top w:val="single" w:sz="4" w:space="0" w:color="000000"/>
              <w:bottom w:val="single" w:sz="4" w:space="0" w:color="000000"/>
            </w:tcBorders>
          </w:tcPr>
          <w:p>
            <w:pPr>
              <w:pStyle w:val="TableParagraph"/>
              <w:spacing w:before="81"/>
              <w:ind w:left="228"/>
              <w:rPr>
                <w:sz w:val="20"/>
              </w:rPr>
            </w:pPr>
            <w:r>
              <w:rPr>
                <w:sz w:val="20"/>
              </w:rPr>
              <w:t>Generally, not cost- effective.</w:t>
            </w:r>
            <w:r>
              <w:rPr>
                <w:spacing w:val="-14"/>
                <w:sz w:val="20"/>
              </w:rPr>
              <w:t> </w:t>
            </w:r>
            <w:r>
              <w:rPr>
                <w:sz w:val="20"/>
              </w:rPr>
              <w:t>Can</w:t>
            </w:r>
            <w:r>
              <w:rPr>
                <w:spacing w:val="-14"/>
                <w:sz w:val="20"/>
              </w:rPr>
              <w:t> </w:t>
            </w:r>
            <w:r>
              <w:rPr>
                <w:sz w:val="20"/>
              </w:rPr>
              <w:t>be</w:t>
            </w:r>
            <w:r>
              <w:rPr>
                <w:spacing w:val="-12"/>
                <w:sz w:val="20"/>
              </w:rPr>
              <w:t> </w:t>
            </w:r>
            <w:r>
              <w:rPr>
                <w:sz w:val="20"/>
              </w:rPr>
              <w:t>cost- effective in some </w:t>
            </w:r>
            <w:r>
              <w:rPr>
                <w:spacing w:val="-2"/>
                <w:sz w:val="20"/>
              </w:rPr>
              <w:t>situations.</w:t>
            </w:r>
          </w:p>
        </w:tc>
        <w:tc>
          <w:tcPr>
            <w:tcW w:w="3067" w:type="dxa"/>
            <w:tcBorders>
              <w:top w:val="single" w:sz="4" w:space="0" w:color="000000"/>
              <w:bottom w:val="single" w:sz="4" w:space="0" w:color="000000"/>
            </w:tcBorders>
          </w:tcPr>
          <w:p>
            <w:pPr>
              <w:pStyle w:val="TableParagraph"/>
              <w:spacing w:before="81"/>
              <w:ind w:left="114"/>
              <w:rPr>
                <w:sz w:val="20"/>
              </w:rPr>
            </w:pPr>
            <w:r>
              <w:rPr>
                <w:sz w:val="20"/>
              </w:rPr>
              <w:t>May</w:t>
            </w:r>
            <w:r>
              <w:rPr>
                <w:spacing w:val="-7"/>
                <w:sz w:val="20"/>
              </w:rPr>
              <w:t> </w:t>
            </w:r>
            <w:r>
              <w:rPr>
                <w:sz w:val="20"/>
              </w:rPr>
              <w:t>catch</w:t>
            </w:r>
            <w:r>
              <w:rPr>
                <w:spacing w:val="-8"/>
                <w:sz w:val="20"/>
              </w:rPr>
              <w:t> </w:t>
            </w:r>
            <w:r>
              <w:rPr>
                <w:sz w:val="20"/>
              </w:rPr>
              <w:t>non-target</w:t>
            </w:r>
            <w:r>
              <w:rPr>
                <w:spacing w:val="-8"/>
                <w:sz w:val="20"/>
              </w:rPr>
              <w:t> </w:t>
            </w:r>
            <w:r>
              <w:rPr>
                <w:spacing w:val="-2"/>
                <w:sz w:val="20"/>
              </w:rPr>
              <w:t>animals.</w:t>
            </w:r>
          </w:p>
        </w:tc>
        <w:tc>
          <w:tcPr>
            <w:tcW w:w="3567" w:type="dxa"/>
            <w:tcBorders>
              <w:top w:val="single" w:sz="4" w:space="0" w:color="000000"/>
              <w:bottom w:val="single" w:sz="4" w:space="0" w:color="000000"/>
            </w:tcBorders>
          </w:tcPr>
          <w:p>
            <w:pPr>
              <w:pStyle w:val="TableParagraph"/>
              <w:spacing w:before="81"/>
              <w:ind w:left="272" w:right="220"/>
              <w:rPr>
                <w:sz w:val="20"/>
              </w:rPr>
            </w:pPr>
            <w:r>
              <w:rPr>
                <w:sz w:val="20"/>
              </w:rPr>
              <w:t>Important</w:t>
            </w:r>
            <w:r>
              <w:rPr>
                <w:spacing w:val="-14"/>
                <w:sz w:val="20"/>
              </w:rPr>
              <w:t> </w:t>
            </w:r>
            <w:r>
              <w:rPr>
                <w:sz w:val="20"/>
              </w:rPr>
              <w:t>control</w:t>
            </w:r>
            <w:r>
              <w:rPr>
                <w:spacing w:val="-14"/>
                <w:sz w:val="20"/>
              </w:rPr>
              <w:t> </w:t>
            </w:r>
            <w:r>
              <w:rPr>
                <w:sz w:val="20"/>
              </w:rPr>
              <w:t>technique</w:t>
            </w:r>
            <w:r>
              <w:rPr>
                <w:spacing w:val="-13"/>
                <w:sz w:val="20"/>
              </w:rPr>
              <w:t> </w:t>
            </w:r>
            <w:r>
              <w:rPr>
                <w:sz w:val="20"/>
              </w:rPr>
              <w:t>in areas where baiting or aerial shooting is not possible.</w:t>
            </w:r>
          </w:p>
        </w:tc>
        <w:tc>
          <w:tcPr>
            <w:tcW w:w="3461" w:type="dxa"/>
            <w:tcBorders>
              <w:top w:val="single" w:sz="4" w:space="0" w:color="000000"/>
              <w:bottom w:val="single" w:sz="4" w:space="0" w:color="000000"/>
            </w:tcBorders>
            <w:shd w:val="clear" w:color="auto" w:fill="CCDBEA"/>
          </w:tcPr>
          <w:p>
            <w:pPr>
              <w:pStyle w:val="TableParagraph"/>
              <w:spacing w:before="81"/>
              <w:ind w:left="107"/>
              <w:rPr>
                <w:sz w:val="20"/>
              </w:rPr>
            </w:pPr>
            <w:r>
              <w:rPr>
                <w:sz w:val="20"/>
              </w:rPr>
              <w:t>Not</w:t>
            </w:r>
            <w:r>
              <w:rPr>
                <w:spacing w:val="-8"/>
                <w:sz w:val="20"/>
              </w:rPr>
              <w:t> </w:t>
            </w:r>
            <w:r>
              <w:rPr>
                <w:sz w:val="20"/>
              </w:rPr>
              <w:t>practical</w:t>
            </w:r>
            <w:r>
              <w:rPr>
                <w:spacing w:val="-8"/>
                <w:sz w:val="20"/>
              </w:rPr>
              <w:t> </w:t>
            </w:r>
            <w:r>
              <w:rPr>
                <w:sz w:val="20"/>
              </w:rPr>
              <w:t>for</w:t>
            </w:r>
            <w:r>
              <w:rPr>
                <w:spacing w:val="-7"/>
                <w:sz w:val="20"/>
              </w:rPr>
              <w:t> </w:t>
            </w:r>
            <w:r>
              <w:rPr>
                <w:sz w:val="20"/>
              </w:rPr>
              <w:t>large-scale</w:t>
            </w:r>
            <w:r>
              <w:rPr>
                <w:spacing w:val="-5"/>
                <w:sz w:val="20"/>
              </w:rPr>
              <w:t> </w:t>
            </w:r>
            <w:r>
              <w:rPr>
                <w:spacing w:val="-2"/>
                <w:sz w:val="20"/>
              </w:rPr>
              <w:t>control.</w:t>
            </w:r>
          </w:p>
        </w:tc>
      </w:tr>
    </w:tbl>
    <w:p>
      <w:pPr>
        <w:spacing w:after="0"/>
        <w:rPr>
          <w:sz w:val="20"/>
        </w:rPr>
        <w:sectPr>
          <w:footerReference w:type="default" r:id="rId58"/>
          <w:pgSz w:w="16850" w:h="11910" w:orient="landscape"/>
          <w:pgMar w:header="0" w:footer="686" w:top="1100" w:bottom="880" w:left="1000" w:right="1020"/>
        </w:sectPr>
      </w:pPr>
    </w:p>
    <w:p>
      <w:pPr>
        <w:pStyle w:val="Heading2"/>
        <w:numPr>
          <w:ilvl w:val="0"/>
          <w:numId w:val="14"/>
        </w:numPr>
        <w:tabs>
          <w:tab w:pos="678" w:val="left" w:leader="none"/>
        </w:tabs>
        <w:spacing w:line="240" w:lineRule="auto" w:before="61" w:after="0"/>
        <w:ind w:left="678" w:right="0" w:hanging="566"/>
        <w:jc w:val="left"/>
      </w:pPr>
      <w:bookmarkStart w:name="_TOC_250032" w:id="78"/>
      <w:r>
        <w:rPr>
          <w:color w:val="001F5F"/>
        </w:rPr>
        <w:t>Lethal</w:t>
      </w:r>
      <w:r>
        <w:rPr>
          <w:color w:val="001F5F"/>
          <w:spacing w:val="-11"/>
        </w:rPr>
        <w:t> </w:t>
      </w:r>
      <w:r>
        <w:rPr>
          <w:color w:val="001F5F"/>
        </w:rPr>
        <w:t>methods</w:t>
      </w:r>
      <w:r>
        <w:rPr>
          <w:color w:val="001F5F"/>
          <w:spacing w:val="-8"/>
        </w:rPr>
        <w:t> </w:t>
      </w:r>
      <w:r>
        <w:rPr>
          <w:color w:val="001F5F"/>
        </w:rPr>
        <w:t>for</w:t>
      </w:r>
      <w:r>
        <w:rPr>
          <w:color w:val="001F5F"/>
          <w:spacing w:val="-11"/>
        </w:rPr>
        <w:t> </w:t>
      </w:r>
      <w:r>
        <w:rPr>
          <w:color w:val="001F5F"/>
        </w:rPr>
        <w:t>managing</w:t>
      </w:r>
      <w:r>
        <w:rPr>
          <w:color w:val="001F5F"/>
          <w:spacing w:val="-9"/>
        </w:rPr>
        <w:t> </w:t>
      </w:r>
      <w:r>
        <w:rPr>
          <w:color w:val="001F5F"/>
        </w:rPr>
        <w:t>Dingoes</w:t>
      </w:r>
      <w:r>
        <w:rPr>
          <w:color w:val="001F5F"/>
          <w:spacing w:val="-11"/>
        </w:rPr>
        <w:t> </w:t>
      </w:r>
      <w:r>
        <w:rPr>
          <w:color w:val="001F5F"/>
        </w:rPr>
        <w:t>and</w:t>
      </w:r>
      <w:r>
        <w:rPr>
          <w:color w:val="001F5F"/>
          <w:spacing w:val="-9"/>
        </w:rPr>
        <w:t> </w:t>
      </w:r>
      <w:r>
        <w:rPr>
          <w:color w:val="001F5F"/>
        </w:rPr>
        <w:t>Wild</w:t>
      </w:r>
      <w:r>
        <w:rPr>
          <w:color w:val="001F5F"/>
          <w:spacing w:val="-9"/>
        </w:rPr>
        <w:t> </w:t>
      </w:r>
      <w:bookmarkEnd w:id="78"/>
      <w:r>
        <w:rPr>
          <w:color w:val="001F5F"/>
          <w:spacing w:val="-4"/>
        </w:rPr>
        <w:t>Dogs</w:t>
      </w:r>
    </w:p>
    <w:p>
      <w:pPr>
        <w:pStyle w:val="BodyText"/>
        <w:spacing w:before="280"/>
        <w:rPr>
          <w:b/>
          <w:sz w:val="32"/>
        </w:rPr>
      </w:pPr>
    </w:p>
    <w:p>
      <w:pPr>
        <w:pStyle w:val="Heading3"/>
        <w:ind w:left="112" w:firstLine="0"/>
      </w:pPr>
      <w:r>
        <w:rPr>
          <w:color w:val="2D1E66"/>
        </w:rPr>
        <w:t>11.1</w:t>
      </w:r>
      <w:r>
        <w:rPr>
          <w:color w:val="2D1E66"/>
          <w:spacing w:val="37"/>
        </w:rPr>
        <w:t> </w:t>
      </w:r>
      <w:r>
        <w:rPr>
          <w:color w:val="2D1E66"/>
          <w:spacing w:val="-4"/>
        </w:rPr>
        <w:t>1080</w:t>
      </w:r>
    </w:p>
    <w:p>
      <w:pPr>
        <w:pStyle w:val="BodyText"/>
        <w:spacing w:before="112"/>
        <w:ind w:left="112" w:right="142"/>
      </w:pPr>
      <w:r>
        <w:rPr/>
        <w:t>Baiting with 1080 to manage Dingoes and Wild Dogs is widely used across Australia (Fleming et al. 2001; Philip 2021; Reddiex et al. 2006) and Victoria and is generally the most practical and effective means of reducing the impacts on animal agriculture over large areas (Fleming et al. 2001, 2014). Table 9 compares the</w:t>
      </w:r>
      <w:r>
        <w:rPr>
          <w:spacing w:val="-5"/>
        </w:rPr>
        <w:t> </w:t>
      </w:r>
      <w:r>
        <w:rPr/>
        <w:t>reported</w:t>
      </w:r>
      <w:r>
        <w:rPr>
          <w:spacing w:val="-2"/>
        </w:rPr>
        <w:t> </w:t>
      </w:r>
      <w:r>
        <w:rPr/>
        <w:t>percentage</w:t>
      </w:r>
      <w:r>
        <w:rPr>
          <w:spacing w:val="-4"/>
        </w:rPr>
        <w:t> </w:t>
      </w:r>
      <w:r>
        <w:rPr/>
        <w:t>reduction</w:t>
      </w:r>
      <w:r>
        <w:rPr>
          <w:spacing w:val="-4"/>
        </w:rPr>
        <w:t> </w:t>
      </w:r>
      <w:r>
        <w:rPr/>
        <w:t>in Dingo</w:t>
      </w:r>
      <w:r>
        <w:rPr>
          <w:spacing w:val="-4"/>
        </w:rPr>
        <w:t> </w:t>
      </w:r>
      <w:r>
        <w:rPr/>
        <w:t>and</w:t>
      </w:r>
      <w:r>
        <w:rPr>
          <w:spacing w:val="-2"/>
        </w:rPr>
        <w:t> </w:t>
      </w:r>
      <w:r>
        <w:rPr/>
        <w:t>Wild</w:t>
      </w:r>
      <w:r>
        <w:rPr>
          <w:spacing w:val="-2"/>
        </w:rPr>
        <w:t> </w:t>
      </w:r>
      <w:r>
        <w:rPr/>
        <w:t>Dogs</w:t>
      </w:r>
      <w:r>
        <w:rPr>
          <w:spacing w:val="-3"/>
        </w:rPr>
        <w:t> </w:t>
      </w:r>
      <w:r>
        <w:rPr/>
        <w:t>achieved</w:t>
      </w:r>
      <w:r>
        <w:rPr>
          <w:spacing w:val="-3"/>
        </w:rPr>
        <w:t> </w:t>
      </w:r>
      <w:r>
        <w:rPr/>
        <w:t>using</w:t>
      </w:r>
      <w:r>
        <w:rPr>
          <w:spacing w:val="-4"/>
        </w:rPr>
        <w:t> </w:t>
      </w:r>
      <w:r>
        <w:rPr/>
        <w:t>the</w:t>
      </w:r>
      <w:r>
        <w:rPr>
          <w:spacing w:val="-4"/>
        </w:rPr>
        <w:t> </w:t>
      </w:r>
      <w:r>
        <w:rPr/>
        <w:t>various</w:t>
      </w:r>
      <w:r>
        <w:rPr>
          <w:spacing w:val="-3"/>
        </w:rPr>
        <w:t> </w:t>
      </w:r>
      <w:r>
        <w:rPr/>
        <w:t>control</w:t>
      </w:r>
      <w:r>
        <w:rPr>
          <w:spacing w:val="-3"/>
        </w:rPr>
        <w:t> </w:t>
      </w:r>
      <w:r>
        <w:rPr/>
        <w:t>methods</w:t>
      </w:r>
      <w:r>
        <w:rPr>
          <w:spacing w:val="-1"/>
        </w:rPr>
        <w:t> </w:t>
      </w:r>
      <w:r>
        <w:rPr/>
        <w:t>used in Victoria.</w:t>
      </w:r>
    </w:p>
    <w:p>
      <w:pPr>
        <w:pStyle w:val="BodyText"/>
        <w:spacing w:before="120"/>
        <w:ind w:left="112" w:right="219"/>
      </w:pPr>
      <w:r>
        <w:rPr/>
        <w:t>Unlike the other three pest species, the aim is not to drive populations to very low levels, but to reduce the rate of attack on livestock. To help facilitate this, the management of Dingoes and Wild Dogs in Victoria is restricted</w:t>
      </w:r>
      <w:r>
        <w:rPr>
          <w:spacing w:val="-4"/>
        </w:rPr>
        <w:t> </w:t>
      </w:r>
      <w:r>
        <w:rPr/>
        <w:t>to</w:t>
      </w:r>
      <w:r>
        <w:rPr>
          <w:spacing w:val="-1"/>
        </w:rPr>
        <w:t> </w:t>
      </w:r>
      <w:r>
        <w:rPr/>
        <w:t>areas of</w:t>
      </w:r>
      <w:r>
        <w:rPr>
          <w:spacing w:val="-3"/>
        </w:rPr>
        <w:t> </w:t>
      </w:r>
      <w:r>
        <w:rPr/>
        <w:t>eastern</w:t>
      </w:r>
      <w:r>
        <w:rPr>
          <w:spacing w:val="-3"/>
        </w:rPr>
        <w:t> </w:t>
      </w:r>
      <w:r>
        <w:rPr/>
        <w:t>Victoria</w:t>
      </w:r>
      <w:r>
        <w:rPr>
          <w:spacing w:val="-1"/>
        </w:rPr>
        <w:t> </w:t>
      </w:r>
      <w:r>
        <w:rPr/>
        <w:t>within</w:t>
      </w:r>
      <w:r>
        <w:rPr>
          <w:spacing w:val="-3"/>
        </w:rPr>
        <w:t> </w:t>
      </w:r>
      <w:r>
        <w:rPr/>
        <w:t>a</w:t>
      </w:r>
      <w:r>
        <w:rPr>
          <w:spacing w:val="-2"/>
        </w:rPr>
        <w:t> </w:t>
      </w:r>
      <w:r>
        <w:rPr/>
        <w:t>3-km</w:t>
      </w:r>
      <w:r>
        <w:rPr>
          <w:spacing w:val="-3"/>
        </w:rPr>
        <w:t> </w:t>
      </w:r>
      <w:r>
        <w:rPr/>
        <w:t>zone</w:t>
      </w:r>
      <w:r>
        <w:rPr>
          <w:spacing w:val="-3"/>
        </w:rPr>
        <w:t> </w:t>
      </w:r>
      <w:r>
        <w:rPr/>
        <w:t>bordering</w:t>
      </w:r>
      <w:r>
        <w:rPr>
          <w:spacing w:val="-3"/>
        </w:rPr>
        <w:t> </w:t>
      </w:r>
      <w:r>
        <w:rPr/>
        <w:t>private</w:t>
      </w:r>
      <w:r>
        <w:rPr>
          <w:spacing w:val="-4"/>
        </w:rPr>
        <w:t> </w:t>
      </w:r>
      <w:r>
        <w:rPr/>
        <w:t>and</w:t>
      </w:r>
      <w:r>
        <w:rPr>
          <w:spacing w:val="-2"/>
        </w:rPr>
        <w:t> </w:t>
      </w:r>
      <w:r>
        <w:rPr/>
        <w:t>public</w:t>
      </w:r>
      <w:r>
        <w:rPr>
          <w:spacing w:val="-2"/>
        </w:rPr>
        <w:t> </w:t>
      </w:r>
      <w:r>
        <w:rPr/>
        <w:t>land</w:t>
      </w:r>
      <w:r>
        <w:rPr>
          <w:spacing w:val="-1"/>
        </w:rPr>
        <w:t> </w:t>
      </w:r>
      <w:r>
        <w:rPr/>
        <w:t>with</w:t>
      </w:r>
      <w:r>
        <w:rPr>
          <w:spacing w:val="-3"/>
        </w:rPr>
        <w:t> </w:t>
      </w:r>
      <w:r>
        <w:rPr/>
        <w:t>the</w:t>
      </w:r>
      <w:r>
        <w:rPr>
          <w:spacing w:val="-3"/>
        </w:rPr>
        <w:t> </w:t>
      </w:r>
      <w:r>
        <w:rPr/>
        <w:t>objective of protecting livestock and livestock production. In Victoria, 42% of respondents in a survey of 1080- and PAPP-endorsed ACUP holders reported using 1080 baiting as the primary control tool to control Dingoes and Wild Dogs, and 91% (n=203) of those that used it in the last 5 years, had done so in conjunction with other control methods (Quantum Market Research 2024).</w:t>
      </w:r>
    </w:p>
    <w:p>
      <w:pPr>
        <w:pStyle w:val="BodyText"/>
        <w:spacing w:before="121"/>
        <w:ind w:left="112" w:right="142"/>
      </w:pPr>
      <w:r>
        <w:rPr/>
        <w:t>There</w:t>
      </w:r>
      <w:r>
        <w:rPr>
          <w:spacing w:val="-3"/>
        </w:rPr>
        <w:t> </w:t>
      </w:r>
      <w:r>
        <w:rPr/>
        <w:t>are</w:t>
      </w:r>
      <w:r>
        <w:rPr>
          <w:spacing w:val="-1"/>
        </w:rPr>
        <w:t> </w:t>
      </w:r>
      <w:r>
        <w:rPr/>
        <w:t>four</w:t>
      </w:r>
      <w:r>
        <w:rPr>
          <w:spacing w:val="-2"/>
        </w:rPr>
        <w:t> </w:t>
      </w:r>
      <w:r>
        <w:rPr/>
        <w:t>types</w:t>
      </w:r>
      <w:r>
        <w:rPr>
          <w:spacing w:val="-2"/>
        </w:rPr>
        <w:t> </w:t>
      </w:r>
      <w:r>
        <w:rPr/>
        <w:t>of</w:t>
      </w:r>
      <w:r>
        <w:rPr>
          <w:spacing w:val="-1"/>
        </w:rPr>
        <w:t> </w:t>
      </w:r>
      <w:r>
        <w:rPr/>
        <w:t>1080</w:t>
      </w:r>
      <w:r>
        <w:rPr>
          <w:spacing w:val="-3"/>
        </w:rPr>
        <w:t> </w:t>
      </w:r>
      <w:r>
        <w:rPr/>
        <w:t>baits</w:t>
      </w:r>
      <w:r>
        <w:rPr>
          <w:spacing w:val="-2"/>
        </w:rPr>
        <w:t> </w:t>
      </w:r>
      <w:r>
        <w:rPr/>
        <w:t>registered</w:t>
      </w:r>
      <w:r>
        <w:rPr>
          <w:spacing w:val="-1"/>
        </w:rPr>
        <w:t> </w:t>
      </w:r>
      <w:r>
        <w:rPr/>
        <w:t>for</w:t>
      </w:r>
      <w:r>
        <w:rPr>
          <w:spacing w:val="-3"/>
        </w:rPr>
        <w:t> </w:t>
      </w:r>
      <w:r>
        <w:rPr/>
        <w:t>the</w:t>
      </w:r>
      <w:r>
        <w:rPr>
          <w:spacing w:val="-3"/>
        </w:rPr>
        <w:t> </w:t>
      </w:r>
      <w:r>
        <w:rPr/>
        <w:t>control</w:t>
      </w:r>
      <w:r>
        <w:rPr>
          <w:spacing w:val="-2"/>
        </w:rPr>
        <w:t> </w:t>
      </w:r>
      <w:r>
        <w:rPr/>
        <w:t>of Wild</w:t>
      </w:r>
      <w:r>
        <w:rPr>
          <w:spacing w:val="-3"/>
        </w:rPr>
        <w:t> </w:t>
      </w:r>
      <w:r>
        <w:rPr/>
        <w:t>Dogs</w:t>
      </w:r>
      <w:r>
        <w:rPr>
          <w:spacing w:val="-2"/>
        </w:rPr>
        <w:t> </w:t>
      </w:r>
      <w:r>
        <w:rPr/>
        <w:t>in</w:t>
      </w:r>
      <w:r>
        <w:rPr>
          <w:spacing w:val="-3"/>
        </w:rPr>
        <w:t> </w:t>
      </w:r>
      <w:r>
        <w:rPr/>
        <w:t>Victoria.</w:t>
      </w:r>
      <w:r>
        <w:rPr>
          <w:spacing w:val="-3"/>
        </w:rPr>
        <w:t> </w:t>
      </w:r>
      <w:r>
        <w:rPr/>
        <w:t>Three</w:t>
      </w:r>
      <w:r>
        <w:rPr>
          <w:spacing w:val="-1"/>
        </w:rPr>
        <w:t> </w:t>
      </w:r>
      <w:r>
        <w:rPr/>
        <w:t>of</w:t>
      </w:r>
      <w:r>
        <w:rPr>
          <w:spacing w:val="-3"/>
        </w:rPr>
        <w:t> </w:t>
      </w:r>
      <w:r>
        <w:rPr/>
        <w:t>them</w:t>
      </w:r>
      <w:r>
        <w:rPr>
          <w:spacing w:val="-1"/>
        </w:rPr>
        <w:t> </w:t>
      </w:r>
      <w:r>
        <w:rPr/>
        <w:t>are</w:t>
      </w:r>
      <w:r>
        <w:rPr>
          <w:spacing w:val="-3"/>
        </w:rPr>
        <w:t> </w:t>
      </w:r>
      <w:r>
        <w:rPr/>
        <w:t>shelf stable bait manufactured meat bait (DOGGONE®, ACTA 1080 Dried Meat Wild Dog Bait and De-K9 1080 Wild Dog bait). The fourth type is a fresh meat bait injected with aqueous 1080 solution and prepared and supplied by licenced manufacturers under an APVMA permit.</w:t>
      </w:r>
    </w:p>
    <w:p>
      <w:pPr>
        <w:pStyle w:val="BodyText"/>
        <w:spacing w:before="120"/>
        <w:ind w:left="112" w:right="126"/>
      </w:pPr>
      <w:r>
        <w:rPr/>
        <w:t>In</w:t>
      </w:r>
      <w:r>
        <w:rPr>
          <w:spacing w:val="-4"/>
        </w:rPr>
        <w:t> </w:t>
      </w:r>
      <w:r>
        <w:rPr/>
        <w:t>Victoria,</w:t>
      </w:r>
      <w:r>
        <w:rPr>
          <w:spacing w:val="-3"/>
        </w:rPr>
        <w:t> </w:t>
      </w:r>
      <w:r>
        <w:rPr/>
        <w:t>1080</w:t>
      </w:r>
      <w:r>
        <w:rPr>
          <w:spacing w:val="-1"/>
        </w:rPr>
        <w:t> </w:t>
      </w:r>
      <w:r>
        <w:rPr/>
        <w:t>baits</w:t>
      </w:r>
      <w:r>
        <w:rPr>
          <w:spacing w:val="-2"/>
        </w:rPr>
        <w:t> </w:t>
      </w:r>
      <w:r>
        <w:rPr/>
        <w:t>can</w:t>
      </w:r>
      <w:r>
        <w:rPr>
          <w:spacing w:val="-2"/>
        </w:rPr>
        <w:t> </w:t>
      </w:r>
      <w:r>
        <w:rPr/>
        <w:t>be</w:t>
      </w:r>
      <w:r>
        <w:rPr>
          <w:spacing w:val="-4"/>
        </w:rPr>
        <w:t> </w:t>
      </w:r>
      <w:r>
        <w:rPr/>
        <w:t>deployed</w:t>
      </w:r>
      <w:r>
        <w:rPr>
          <w:spacing w:val="-2"/>
        </w:rPr>
        <w:t> </w:t>
      </w:r>
      <w:r>
        <w:rPr/>
        <w:t>either</w:t>
      </w:r>
      <w:r>
        <w:rPr>
          <w:spacing w:val="-2"/>
        </w:rPr>
        <w:t> </w:t>
      </w:r>
      <w:r>
        <w:rPr/>
        <w:t>as</w:t>
      </w:r>
      <w:r>
        <w:rPr>
          <w:spacing w:val="-2"/>
        </w:rPr>
        <w:t> </w:t>
      </w:r>
      <w:r>
        <w:rPr/>
        <w:t>ground</w:t>
      </w:r>
      <w:r>
        <w:rPr>
          <w:spacing w:val="-4"/>
        </w:rPr>
        <w:t> </w:t>
      </w:r>
      <w:r>
        <w:rPr/>
        <w:t>laid,</w:t>
      </w:r>
      <w:r>
        <w:rPr>
          <w:spacing w:val="-3"/>
        </w:rPr>
        <w:t> </w:t>
      </w:r>
      <w:r>
        <w:rPr/>
        <w:t>buried</w:t>
      </w:r>
      <w:r>
        <w:rPr>
          <w:spacing w:val="-3"/>
        </w:rPr>
        <w:t> </w:t>
      </w:r>
      <w:r>
        <w:rPr/>
        <w:t>baits</w:t>
      </w:r>
      <w:r>
        <w:rPr>
          <w:spacing w:val="-2"/>
        </w:rPr>
        <w:t> </w:t>
      </w:r>
      <w:r>
        <w:rPr/>
        <w:t>or deployed by</w:t>
      </w:r>
      <w:r>
        <w:rPr>
          <w:spacing w:val="-2"/>
        </w:rPr>
        <w:t> </w:t>
      </w:r>
      <w:r>
        <w:rPr/>
        <w:t>air</w:t>
      </w:r>
      <w:r>
        <w:rPr>
          <w:spacing w:val="-1"/>
        </w:rPr>
        <w:t> </w:t>
      </w:r>
      <w:r>
        <w:rPr/>
        <w:t>(fresh</w:t>
      </w:r>
      <w:r>
        <w:rPr>
          <w:spacing w:val="-3"/>
        </w:rPr>
        <w:t> </w:t>
      </w:r>
      <w:r>
        <w:rPr/>
        <w:t>meat</w:t>
      </w:r>
      <w:r>
        <w:rPr>
          <w:spacing w:val="-1"/>
        </w:rPr>
        <w:t> </w:t>
      </w:r>
      <w:r>
        <w:rPr/>
        <w:t>bait) in certain, restricted locations by Government land managers under a permit issued by Agriculture Victoria.</w:t>
      </w:r>
    </w:p>
    <w:p>
      <w:pPr>
        <w:pStyle w:val="Heading5"/>
        <w:numPr>
          <w:ilvl w:val="2"/>
          <w:numId w:val="18"/>
        </w:numPr>
        <w:tabs>
          <w:tab w:pos="831" w:val="left" w:leader="none"/>
        </w:tabs>
        <w:spacing w:line="240" w:lineRule="auto" w:before="140" w:after="0"/>
        <w:ind w:left="831" w:right="0" w:hanging="719"/>
        <w:jc w:val="left"/>
      </w:pPr>
      <w:r>
        <w:rPr/>
        <w:t>Ground-based</w:t>
      </w:r>
      <w:r>
        <w:rPr>
          <w:spacing w:val="-8"/>
        </w:rPr>
        <w:t> </w:t>
      </w:r>
      <w:r>
        <w:rPr>
          <w:spacing w:val="-2"/>
        </w:rPr>
        <w:t>baiting</w:t>
      </w:r>
    </w:p>
    <w:p>
      <w:pPr>
        <w:pStyle w:val="BodyText"/>
        <w:spacing w:before="56"/>
        <w:ind w:left="112" w:right="191"/>
      </w:pPr>
      <w:r>
        <w:rPr/>
        <w:t>The</w:t>
      </w:r>
      <w:r>
        <w:rPr>
          <w:spacing w:val="-2"/>
        </w:rPr>
        <w:t> </w:t>
      </w:r>
      <w:r>
        <w:rPr/>
        <w:t>results of</w:t>
      </w:r>
      <w:r>
        <w:rPr>
          <w:spacing w:val="-2"/>
        </w:rPr>
        <w:t> </w:t>
      </w:r>
      <w:r>
        <w:rPr/>
        <w:t>ground-based</w:t>
      </w:r>
      <w:r>
        <w:rPr>
          <w:spacing w:val="-2"/>
        </w:rPr>
        <w:t> </w:t>
      </w:r>
      <w:r>
        <w:rPr/>
        <w:t>bating</w:t>
      </w:r>
      <w:r>
        <w:rPr>
          <w:spacing w:val="-1"/>
        </w:rPr>
        <w:t> </w:t>
      </w:r>
      <w:r>
        <w:rPr/>
        <w:t>operations for</w:t>
      </w:r>
      <w:r>
        <w:rPr>
          <w:spacing w:val="-2"/>
        </w:rPr>
        <w:t> </w:t>
      </w:r>
      <w:r>
        <w:rPr/>
        <w:t>the control</w:t>
      </w:r>
      <w:r>
        <w:rPr>
          <w:spacing w:val="-1"/>
        </w:rPr>
        <w:t> </w:t>
      </w:r>
      <w:r>
        <w:rPr/>
        <w:t>of</w:t>
      </w:r>
      <w:r>
        <w:rPr>
          <w:spacing w:val="-1"/>
        </w:rPr>
        <w:t> </w:t>
      </w:r>
      <w:r>
        <w:rPr/>
        <w:t>Dingo</w:t>
      </w:r>
      <w:r>
        <w:rPr>
          <w:spacing w:val="-2"/>
        </w:rPr>
        <w:t> </w:t>
      </w:r>
      <w:r>
        <w:rPr/>
        <w:t>and Wild</w:t>
      </w:r>
      <w:r>
        <w:rPr>
          <w:spacing w:val="-2"/>
        </w:rPr>
        <w:t> </w:t>
      </w:r>
      <w:r>
        <w:rPr/>
        <w:t>Dogs</w:t>
      </w:r>
      <w:r>
        <w:rPr>
          <w:spacing w:val="-1"/>
        </w:rPr>
        <w:t> </w:t>
      </w:r>
      <w:r>
        <w:rPr/>
        <w:t>have been</w:t>
      </w:r>
      <w:r>
        <w:rPr>
          <w:spacing w:val="-2"/>
        </w:rPr>
        <w:t> </w:t>
      </w:r>
      <w:r>
        <w:rPr/>
        <w:t>reported in several</w:t>
      </w:r>
      <w:r>
        <w:rPr>
          <w:spacing w:val="-5"/>
        </w:rPr>
        <w:t> </w:t>
      </w:r>
      <w:r>
        <w:rPr/>
        <w:t>research</w:t>
      </w:r>
      <w:r>
        <w:rPr>
          <w:spacing w:val="-2"/>
        </w:rPr>
        <w:t> </w:t>
      </w:r>
      <w:r>
        <w:rPr/>
        <w:t>papers</w:t>
      </w:r>
      <w:r>
        <w:rPr>
          <w:spacing w:val="-2"/>
        </w:rPr>
        <w:t> </w:t>
      </w:r>
      <w:r>
        <w:rPr/>
        <w:t>to</w:t>
      </w:r>
      <w:r>
        <w:rPr>
          <w:spacing w:val="-3"/>
        </w:rPr>
        <w:t> </w:t>
      </w:r>
      <w:r>
        <w:rPr/>
        <w:t>have</w:t>
      </w:r>
      <w:r>
        <w:rPr>
          <w:spacing w:val="-4"/>
        </w:rPr>
        <w:t> </w:t>
      </w:r>
      <w:r>
        <w:rPr/>
        <w:t>variable</w:t>
      </w:r>
      <w:r>
        <w:rPr>
          <w:spacing w:val="-4"/>
        </w:rPr>
        <w:t> </w:t>
      </w:r>
      <w:r>
        <w:rPr/>
        <w:t>effectiveness at</w:t>
      </w:r>
      <w:r>
        <w:rPr>
          <w:spacing w:val="-4"/>
        </w:rPr>
        <w:t> </w:t>
      </w:r>
      <w:r>
        <w:rPr/>
        <w:t>reducing</w:t>
      </w:r>
      <w:r>
        <w:rPr>
          <w:spacing w:val="-2"/>
        </w:rPr>
        <w:t> </w:t>
      </w:r>
      <w:r>
        <w:rPr/>
        <w:t>abundance.</w:t>
      </w:r>
      <w:r>
        <w:rPr>
          <w:spacing w:val="-2"/>
        </w:rPr>
        <w:t> </w:t>
      </w:r>
      <w:r>
        <w:rPr/>
        <w:t>After</w:t>
      </w:r>
      <w:r>
        <w:rPr>
          <w:spacing w:val="-4"/>
        </w:rPr>
        <w:t> </w:t>
      </w:r>
      <w:r>
        <w:rPr/>
        <w:t>a</w:t>
      </w:r>
      <w:r>
        <w:rPr>
          <w:spacing w:val="-4"/>
        </w:rPr>
        <w:t> </w:t>
      </w:r>
      <w:r>
        <w:rPr/>
        <w:t>ground-based</w:t>
      </w:r>
      <w:r>
        <w:rPr>
          <w:spacing w:val="-3"/>
        </w:rPr>
        <w:t> </w:t>
      </w:r>
      <w:r>
        <w:rPr/>
        <w:t>baiting campaign with small meat baits containing 20 mg of 1080 in central Australia, </w:t>
      </w:r>
      <w:r>
        <w:rPr>
          <w:color w:val="000000"/>
          <w:highlight w:val="lightGray"/>
        </w:rPr>
        <w:t>Best </w:t>
      </w:r>
      <w:r>
        <w:rPr>
          <w:color w:val="000000"/>
        </w:rPr>
        <w:t>et al.</w:t>
      </w:r>
      <w:r>
        <w:rPr>
          <w:color w:val="000000"/>
          <w:highlight w:val="lightGray"/>
        </w:rPr>
        <w:t> (1974)</w:t>
      </w:r>
      <w:r>
        <w:rPr>
          <w:color w:val="000000"/>
        </w:rPr>
        <w:t> achieved a 69% reduction in Dingo sign. Their programme was assessed by counting Dingo tracks around waterholes before and after baiting. A study by </w:t>
      </w:r>
      <w:r>
        <w:rPr>
          <w:color w:val="000000"/>
          <w:highlight w:val="lightGray"/>
        </w:rPr>
        <w:t>Bird (1994</w:t>
      </w:r>
      <w:r>
        <w:rPr>
          <w:color w:val="000000"/>
        </w:rPr>
        <w:t>) in the arid zone of South Australia used a single placement of 430 baits to achieve a reduction of 10–13% of 300–400 Dingoes that were watering at a single bore. In two trails conducted in Kosciusko National Park, NSW with a single application of fresh meat bait, 22% of radio-collared Dingoes (n = 9) were killed (McIlroy et al. 1986). In contrast, a bating programme using replacement baiting (baits removed were replaced each day) resulted in a mean reduction in abundance of 76.1% (Fleming 1996). In a trial in eastern Victoria at two sites, a combination of camera traps and trapping to attach tracking collars provided an estimate of the known population of Wild Dogs at each site. Poison baiting using standard operating procedures (SOPs) at both sites for seven weeks with predator meat baits containing 4.5 mg of 1080 killed 70% and 11% of the known population at each site (Robley 2008).</w:t>
      </w:r>
    </w:p>
    <w:p>
      <w:pPr>
        <w:pStyle w:val="BodyText"/>
        <w:spacing w:before="121"/>
        <w:ind w:left="112" w:right="142"/>
      </w:pPr>
      <w:r>
        <w:rPr/>
        <w:t>The</w:t>
      </w:r>
      <w:r>
        <w:rPr>
          <w:spacing w:val="-4"/>
        </w:rPr>
        <w:t> </w:t>
      </w:r>
      <w:r>
        <w:rPr/>
        <w:t>main</w:t>
      </w:r>
      <w:r>
        <w:rPr>
          <w:spacing w:val="-2"/>
        </w:rPr>
        <w:t> </w:t>
      </w:r>
      <w:r>
        <w:rPr/>
        <w:t>factors</w:t>
      </w:r>
      <w:r>
        <w:rPr>
          <w:spacing w:val="-1"/>
        </w:rPr>
        <w:t> </w:t>
      </w:r>
      <w:r>
        <w:rPr/>
        <w:t>that</w:t>
      </w:r>
      <w:r>
        <w:rPr>
          <w:spacing w:val="-4"/>
        </w:rPr>
        <w:t> </w:t>
      </w:r>
      <w:r>
        <w:rPr/>
        <w:t>reduce</w:t>
      </w:r>
      <w:r>
        <w:rPr>
          <w:spacing w:val="-4"/>
        </w:rPr>
        <w:t> </w:t>
      </w:r>
      <w:r>
        <w:rPr/>
        <w:t>the</w:t>
      </w:r>
      <w:r>
        <w:rPr>
          <w:spacing w:val="-2"/>
        </w:rPr>
        <w:t> </w:t>
      </w:r>
      <w:r>
        <w:rPr/>
        <w:t>success</w:t>
      </w:r>
      <w:r>
        <w:rPr>
          <w:spacing w:val="-3"/>
        </w:rPr>
        <w:t> </w:t>
      </w:r>
      <w:r>
        <w:rPr/>
        <w:t>of</w:t>
      </w:r>
      <w:r>
        <w:rPr>
          <w:spacing w:val="-2"/>
        </w:rPr>
        <w:t> </w:t>
      </w:r>
      <w:r>
        <w:rPr/>
        <w:t>a</w:t>
      </w:r>
      <w:r>
        <w:rPr>
          <w:spacing w:val="-4"/>
        </w:rPr>
        <w:t> </w:t>
      </w:r>
      <w:r>
        <w:rPr/>
        <w:t>poisoning</w:t>
      </w:r>
      <w:r>
        <w:rPr>
          <w:spacing w:val="-4"/>
        </w:rPr>
        <w:t> </w:t>
      </w:r>
      <w:r>
        <w:rPr/>
        <w:t>campaign</w:t>
      </w:r>
      <w:r>
        <w:rPr>
          <w:spacing w:val="-3"/>
        </w:rPr>
        <w:t> </w:t>
      </w:r>
      <w:r>
        <w:rPr/>
        <w:t>are</w:t>
      </w:r>
      <w:r>
        <w:rPr>
          <w:spacing w:val="-1"/>
        </w:rPr>
        <w:t> </w:t>
      </w:r>
      <w:r>
        <w:rPr/>
        <w:t>the</w:t>
      </w:r>
      <w:r>
        <w:rPr>
          <w:spacing w:val="-2"/>
        </w:rPr>
        <w:t> </w:t>
      </w:r>
      <w:r>
        <w:rPr/>
        <w:t>rapid</w:t>
      </w:r>
      <w:r>
        <w:rPr>
          <w:spacing w:val="-2"/>
        </w:rPr>
        <w:t> </w:t>
      </w:r>
      <w:r>
        <w:rPr/>
        <w:t>loss</w:t>
      </w:r>
      <w:r>
        <w:rPr>
          <w:spacing w:val="-3"/>
        </w:rPr>
        <w:t> </w:t>
      </w:r>
      <w:r>
        <w:rPr/>
        <w:t>of</w:t>
      </w:r>
      <w:r>
        <w:rPr>
          <w:spacing w:val="-4"/>
        </w:rPr>
        <w:t> </w:t>
      </w:r>
      <w:r>
        <w:rPr/>
        <w:t>toxicity</w:t>
      </w:r>
      <w:r>
        <w:rPr>
          <w:spacing w:val="-3"/>
        </w:rPr>
        <w:t> </w:t>
      </w:r>
      <w:r>
        <w:rPr/>
        <w:t>of</w:t>
      </w:r>
      <w:r>
        <w:rPr>
          <w:spacing w:val="-4"/>
        </w:rPr>
        <w:t> </w:t>
      </w:r>
      <w:r>
        <w:rPr/>
        <w:t>the</w:t>
      </w:r>
      <w:r>
        <w:rPr>
          <w:spacing w:val="-4"/>
        </w:rPr>
        <w:t> </w:t>
      </w:r>
      <w:r>
        <w:rPr/>
        <w:t>baits after their distribution, the rapid rate at which they are removed by other animals (particularly foxes and birds), and Dingo and Wild Dogs’ apparent preference for natural prey (McIlroy et al. 1986). In a study in Western Australia, Kreplins et al. (2018) monitored 337 baits. Young Wild Dogs (&lt;8 months old) removed only four. In warmer months, baits were largely consumed by varanids, and in cooler months, when baits were taken it was predominantly by corvids.</w:t>
      </w:r>
    </w:p>
    <w:p>
      <w:pPr>
        <w:pStyle w:val="Heading5"/>
        <w:numPr>
          <w:ilvl w:val="2"/>
          <w:numId w:val="18"/>
        </w:numPr>
        <w:tabs>
          <w:tab w:pos="831" w:val="left" w:leader="none"/>
        </w:tabs>
        <w:spacing w:line="240" w:lineRule="auto" w:before="141" w:after="0"/>
        <w:ind w:left="831" w:right="0" w:hanging="719"/>
        <w:jc w:val="left"/>
      </w:pPr>
      <w:r>
        <w:rPr/>
        <w:t>Aerial</w:t>
      </w:r>
      <w:r>
        <w:rPr>
          <w:spacing w:val="-4"/>
        </w:rPr>
        <w:t> </w:t>
      </w:r>
      <w:r>
        <w:rPr>
          <w:spacing w:val="-2"/>
        </w:rPr>
        <w:t>baiting</w:t>
      </w:r>
    </w:p>
    <w:p>
      <w:pPr>
        <w:pStyle w:val="BodyText"/>
        <w:spacing w:before="58"/>
        <w:ind w:left="112" w:right="117"/>
      </w:pPr>
      <w:r>
        <w:rPr/>
        <w:t>In</w:t>
      </w:r>
      <w:r>
        <w:rPr>
          <w:spacing w:val="-5"/>
        </w:rPr>
        <w:t> </w:t>
      </w:r>
      <w:r>
        <w:rPr/>
        <w:t>Victoria,</w:t>
      </w:r>
      <w:r>
        <w:rPr>
          <w:spacing w:val="-4"/>
        </w:rPr>
        <w:t> </w:t>
      </w:r>
      <w:r>
        <w:rPr/>
        <w:t>aerial</w:t>
      </w:r>
      <w:r>
        <w:rPr>
          <w:spacing w:val="-5"/>
        </w:rPr>
        <w:t> </w:t>
      </w:r>
      <w:r>
        <w:rPr/>
        <w:t>baiting</w:t>
      </w:r>
      <w:r>
        <w:rPr>
          <w:spacing w:val="-2"/>
        </w:rPr>
        <w:t> </w:t>
      </w:r>
      <w:r>
        <w:rPr/>
        <w:t>for</w:t>
      </w:r>
      <w:r>
        <w:rPr>
          <w:spacing w:val="-1"/>
        </w:rPr>
        <w:t> </w:t>
      </w:r>
      <w:r>
        <w:rPr/>
        <w:t>the</w:t>
      </w:r>
      <w:r>
        <w:rPr>
          <w:spacing w:val="-4"/>
        </w:rPr>
        <w:t> </w:t>
      </w:r>
      <w:r>
        <w:rPr/>
        <w:t>control</w:t>
      </w:r>
      <w:r>
        <w:rPr>
          <w:spacing w:val="-3"/>
        </w:rPr>
        <w:t> </w:t>
      </w:r>
      <w:r>
        <w:rPr/>
        <w:t>of Wild</w:t>
      </w:r>
      <w:r>
        <w:rPr>
          <w:spacing w:val="-4"/>
        </w:rPr>
        <w:t> </w:t>
      </w:r>
      <w:r>
        <w:rPr/>
        <w:t>Dogs</w:t>
      </w:r>
      <w:r>
        <w:rPr>
          <w:spacing w:val="-3"/>
        </w:rPr>
        <w:t> </w:t>
      </w:r>
      <w:r>
        <w:rPr/>
        <w:t>was</w:t>
      </w:r>
      <w:r>
        <w:rPr>
          <w:spacing w:val="-3"/>
        </w:rPr>
        <w:t> </w:t>
      </w:r>
      <w:r>
        <w:rPr/>
        <w:t>first</w:t>
      </w:r>
      <w:r>
        <w:rPr>
          <w:spacing w:val="-4"/>
        </w:rPr>
        <w:t> </w:t>
      </w:r>
      <w:r>
        <w:rPr/>
        <w:t>undertaken</w:t>
      </w:r>
      <w:r>
        <w:rPr>
          <w:spacing w:val="-4"/>
        </w:rPr>
        <w:t> </w:t>
      </w:r>
      <w:r>
        <w:rPr/>
        <w:t>in</w:t>
      </w:r>
      <w:r>
        <w:rPr>
          <w:spacing w:val="-4"/>
        </w:rPr>
        <w:t> </w:t>
      </w:r>
      <w:r>
        <w:rPr/>
        <w:t>1953</w:t>
      </w:r>
      <w:r>
        <w:rPr>
          <w:spacing w:val="-2"/>
        </w:rPr>
        <w:t> </w:t>
      </w:r>
      <w:r>
        <w:rPr/>
        <w:t>in</w:t>
      </w:r>
      <w:r>
        <w:rPr>
          <w:spacing w:val="-4"/>
        </w:rPr>
        <w:t> </w:t>
      </w:r>
      <w:r>
        <w:rPr/>
        <w:t>Gippsland</w:t>
      </w:r>
      <w:r>
        <w:rPr>
          <w:spacing w:val="-2"/>
        </w:rPr>
        <w:t> </w:t>
      </w:r>
      <w:r>
        <w:rPr/>
        <w:t>and</w:t>
      </w:r>
      <w:r>
        <w:rPr>
          <w:spacing w:val="-2"/>
        </w:rPr>
        <w:t> </w:t>
      </w:r>
      <w:r>
        <w:rPr/>
        <w:t>continued intermittently until 1969 (Corbett 1974). More recently, aerial baiting for Wild Dog control was designated a controlled action under the EPBC Act. Following an application that included ground monitoring data and information on the presence of Spot-tailed Quolls (</w:t>
      </w:r>
      <w:r>
        <w:rPr>
          <w:i/>
        </w:rPr>
        <w:t>Dasyurus maculatus</w:t>
      </w:r>
      <w:r>
        <w:rPr/>
        <w:t>) in baiting areas, the Australian Government granted conditional approval in 2014 to conduct aerial baiting at six remote sites in Gippsland and Northeast Victoria. The sites were selected following community consultation because they were,</w:t>
      </w:r>
    </w:p>
    <w:p>
      <w:pPr>
        <w:pStyle w:val="ListParagraph"/>
        <w:numPr>
          <w:ilvl w:val="3"/>
          <w:numId w:val="18"/>
        </w:numPr>
        <w:tabs>
          <w:tab w:pos="833" w:val="left" w:leader="none"/>
        </w:tabs>
        <w:spacing w:line="240" w:lineRule="auto" w:before="136" w:after="0"/>
        <w:ind w:left="833" w:right="0" w:hanging="360"/>
        <w:jc w:val="left"/>
        <w:rPr>
          <w:sz w:val="20"/>
        </w:rPr>
      </w:pPr>
      <w:r>
        <w:rPr>
          <w:sz w:val="20"/>
        </w:rPr>
        <w:t>inaccessible</w:t>
      </w:r>
      <w:r>
        <w:rPr>
          <w:spacing w:val="-11"/>
          <w:sz w:val="20"/>
        </w:rPr>
        <w:t> </w:t>
      </w:r>
      <w:r>
        <w:rPr>
          <w:sz w:val="20"/>
        </w:rPr>
        <w:t>to</w:t>
      </w:r>
      <w:r>
        <w:rPr>
          <w:spacing w:val="-10"/>
          <w:sz w:val="20"/>
        </w:rPr>
        <w:t> </w:t>
      </w:r>
      <w:r>
        <w:rPr>
          <w:sz w:val="20"/>
        </w:rPr>
        <w:t>conventional</w:t>
      </w:r>
      <w:r>
        <w:rPr>
          <w:spacing w:val="-11"/>
          <w:sz w:val="20"/>
        </w:rPr>
        <w:t> </w:t>
      </w:r>
      <w:r>
        <w:rPr>
          <w:sz w:val="20"/>
        </w:rPr>
        <w:t>control</w:t>
      </w:r>
      <w:r>
        <w:rPr>
          <w:spacing w:val="-11"/>
          <w:sz w:val="20"/>
        </w:rPr>
        <w:t> </w:t>
      </w:r>
      <w:r>
        <w:rPr>
          <w:spacing w:val="-2"/>
          <w:sz w:val="20"/>
        </w:rPr>
        <w:t>methods</w:t>
      </w:r>
    </w:p>
    <w:p>
      <w:pPr>
        <w:pStyle w:val="ListParagraph"/>
        <w:numPr>
          <w:ilvl w:val="3"/>
          <w:numId w:val="18"/>
        </w:numPr>
        <w:tabs>
          <w:tab w:pos="833" w:val="left" w:leader="none"/>
        </w:tabs>
        <w:spacing w:line="240" w:lineRule="auto" w:before="26" w:after="0"/>
        <w:ind w:left="833" w:right="0" w:hanging="360"/>
        <w:jc w:val="left"/>
        <w:rPr>
          <w:sz w:val="20"/>
        </w:rPr>
      </w:pPr>
      <w:r>
        <w:rPr>
          <w:sz w:val="20"/>
        </w:rPr>
        <w:t>are</w:t>
      </w:r>
      <w:r>
        <w:rPr>
          <w:spacing w:val="-8"/>
          <w:sz w:val="20"/>
        </w:rPr>
        <w:t> </w:t>
      </w:r>
      <w:r>
        <w:rPr>
          <w:sz w:val="20"/>
        </w:rPr>
        <w:t>known</w:t>
      </w:r>
      <w:r>
        <w:rPr>
          <w:spacing w:val="-7"/>
          <w:sz w:val="20"/>
        </w:rPr>
        <w:t> </w:t>
      </w:r>
      <w:r>
        <w:rPr>
          <w:sz w:val="20"/>
        </w:rPr>
        <w:t>pathways</w:t>
      </w:r>
      <w:r>
        <w:rPr>
          <w:spacing w:val="-7"/>
          <w:sz w:val="20"/>
        </w:rPr>
        <w:t> </w:t>
      </w:r>
      <w:r>
        <w:rPr>
          <w:sz w:val="20"/>
        </w:rPr>
        <w:t>for</w:t>
      </w:r>
      <w:r>
        <w:rPr>
          <w:spacing w:val="-6"/>
          <w:sz w:val="20"/>
        </w:rPr>
        <w:t> </w:t>
      </w:r>
      <w:r>
        <w:rPr>
          <w:spacing w:val="-2"/>
          <w:sz w:val="20"/>
        </w:rPr>
        <w:t>canids</w:t>
      </w:r>
    </w:p>
    <w:p>
      <w:pPr>
        <w:pStyle w:val="ListParagraph"/>
        <w:numPr>
          <w:ilvl w:val="3"/>
          <w:numId w:val="18"/>
        </w:numPr>
        <w:tabs>
          <w:tab w:pos="833" w:val="left" w:leader="none"/>
        </w:tabs>
        <w:spacing w:line="278" w:lineRule="auto" w:before="24" w:after="0"/>
        <w:ind w:left="833" w:right="801" w:hanging="360"/>
        <w:jc w:val="left"/>
        <w:rPr>
          <w:sz w:val="20"/>
        </w:rPr>
      </w:pPr>
      <w:r>
        <w:rPr>
          <w:sz w:val="20"/>
        </w:rPr>
        <w:t>have</w:t>
      </w:r>
      <w:r>
        <w:rPr>
          <w:spacing w:val="-4"/>
          <w:sz w:val="20"/>
        </w:rPr>
        <w:t> </w:t>
      </w:r>
      <w:r>
        <w:rPr>
          <w:sz w:val="20"/>
        </w:rPr>
        <w:t>proximity</w:t>
      </w:r>
      <w:r>
        <w:rPr>
          <w:spacing w:val="-3"/>
          <w:sz w:val="20"/>
        </w:rPr>
        <w:t> </w:t>
      </w:r>
      <w:r>
        <w:rPr>
          <w:sz w:val="20"/>
        </w:rPr>
        <w:t>to</w:t>
      </w:r>
      <w:r>
        <w:rPr>
          <w:spacing w:val="-5"/>
          <w:sz w:val="20"/>
        </w:rPr>
        <w:t> </w:t>
      </w:r>
      <w:r>
        <w:rPr>
          <w:sz w:val="20"/>
        </w:rPr>
        <w:t>private</w:t>
      </w:r>
      <w:r>
        <w:rPr>
          <w:spacing w:val="-3"/>
          <w:sz w:val="20"/>
        </w:rPr>
        <w:t> </w:t>
      </w:r>
      <w:r>
        <w:rPr>
          <w:sz w:val="20"/>
        </w:rPr>
        <w:t>land</w:t>
      </w:r>
      <w:r>
        <w:rPr>
          <w:spacing w:val="-5"/>
          <w:sz w:val="20"/>
        </w:rPr>
        <w:t> </w:t>
      </w:r>
      <w:r>
        <w:rPr>
          <w:sz w:val="20"/>
        </w:rPr>
        <w:t>where</w:t>
      </w:r>
      <w:r>
        <w:rPr>
          <w:spacing w:val="-3"/>
          <w:sz w:val="20"/>
        </w:rPr>
        <w:t> </w:t>
      </w:r>
      <w:r>
        <w:rPr>
          <w:sz w:val="20"/>
        </w:rPr>
        <w:t>impacts</w:t>
      </w:r>
      <w:r>
        <w:rPr>
          <w:spacing w:val="-3"/>
          <w:sz w:val="20"/>
        </w:rPr>
        <w:t> </w:t>
      </w:r>
      <w:r>
        <w:rPr>
          <w:sz w:val="20"/>
        </w:rPr>
        <w:t>on</w:t>
      </w:r>
      <w:r>
        <w:rPr>
          <w:spacing w:val="-3"/>
          <w:sz w:val="20"/>
        </w:rPr>
        <w:t> </w:t>
      </w:r>
      <w:r>
        <w:rPr>
          <w:sz w:val="20"/>
        </w:rPr>
        <w:t>livestock</w:t>
      </w:r>
      <w:r>
        <w:rPr>
          <w:spacing w:val="-4"/>
          <w:sz w:val="20"/>
        </w:rPr>
        <w:t> </w:t>
      </w:r>
      <w:r>
        <w:rPr>
          <w:sz w:val="20"/>
        </w:rPr>
        <w:t>and</w:t>
      </w:r>
      <w:r>
        <w:rPr>
          <w:spacing w:val="-3"/>
          <w:sz w:val="20"/>
        </w:rPr>
        <w:t> </w:t>
      </w:r>
      <w:r>
        <w:rPr>
          <w:sz w:val="20"/>
        </w:rPr>
        <w:t>livestock</w:t>
      </w:r>
      <w:r>
        <w:rPr>
          <w:spacing w:val="-3"/>
          <w:sz w:val="20"/>
        </w:rPr>
        <w:t> </w:t>
      </w:r>
      <w:r>
        <w:rPr>
          <w:sz w:val="20"/>
        </w:rPr>
        <w:t>production</w:t>
      </w:r>
      <w:r>
        <w:rPr>
          <w:spacing w:val="-4"/>
          <w:sz w:val="20"/>
        </w:rPr>
        <w:t> </w:t>
      </w:r>
      <w:r>
        <w:rPr>
          <w:sz w:val="20"/>
        </w:rPr>
        <w:t>have</w:t>
      </w:r>
      <w:r>
        <w:rPr>
          <w:spacing w:val="-3"/>
          <w:sz w:val="20"/>
        </w:rPr>
        <w:t> </w:t>
      </w:r>
      <w:r>
        <w:rPr>
          <w:sz w:val="20"/>
        </w:rPr>
        <w:t>been </w:t>
      </w:r>
      <w:r>
        <w:rPr>
          <w:spacing w:val="-2"/>
          <w:sz w:val="20"/>
        </w:rPr>
        <w:t>reported.</w:t>
      </w:r>
    </w:p>
    <w:p>
      <w:pPr>
        <w:tabs>
          <w:tab w:pos="9750" w:val="right" w:leader="none"/>
        </w:tabs>
        <w:spacing w:before="470"/>
        <w:ind w:left="5319"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58</w:t>
      </w:r>
    </w:p>
    <w:p>
      <w:pPr>
        <w:spacing w:after="0"/>
        <w:jc w:val="left"/>
        <w:rPr>
          <w:sz w:val="20"/>
        </w:rPr>
        <w:sectPr>
          <w:footerReference w:type="even" r:id="rId59"/>
          <w:pgSz w:w="11910" w:h="16850"/>
          <w:pgMar w:header="0" w:footer="0" w:top="1140" w:bottom="280" w:left="1020" w:right="1020"/>
        </w:sectPr>
      </w:pPr>
    </w:p>
    <w:p>
      <w:pPr>
        <w:pStyle w:val="BodyText"/>
        <w:spacing w:before="71"/>
        <w:ind w:left="112" w:right="142"/>
      </w:pPr>
      <w:r>
        <w:rPr/>
        <w:t>This</w:t>
      </w:r>
      <w:r>
        <w:rPr>
          <w:spacing w:val="-1"/>
        </w:rPr>
        <w:t> </w:t>
      </w:r>
      <w:r>
        <w:rPr/>
        <w:t>and</w:t>
      </w:r>
      <w:r>
        <w:rPr>
          <w:spacing w:val="-3"/>
        </w:rPr>
        <w:t> </w:t>
      </w:r>
      <w:r>
        <w:rPr/>
        <w:t>a</w:t>
      </w:r>
      <w:r>
        <w:rPr>
          <w:spacing w:val="-4"/>
        </w:rPr>
        <w:t> </w:t>
      </w:r>
      <w:r>
        <w:rPr/>
        <w:t>subsequent approval</w:t>
      </w:r>
      <w:r>
        <w:rPr>
          <w:spacing w:val="-4"/>
        </w:rPr>
        <w:t> </w:t>
      </w:r>
      <w:r>
        <w:rPr/>
        <w:t>allowed</w:t>
      </w:r>
      <w:r>
        <w:rPr>
          <w:spacing w:val="-1"/>
        </w:rPr>
        <w:t> </w:t>
      </w:r>
      <w:r>
        <w:rPr/>
        <w:t>baiting</w:t>
      </w:r>
      <w:r>
        <w:rPr>
          <w:spacing w:val="-2"/>
        </w:rPr>
        <w:t> </w:t>
      </w:r>
      <w:r>
        <w:rPr/>
        <w:t>operations</w:t>
      </w:r>
      <w:r>
        <w:rPr>
          <w:spacing w:val="-2"/>
        </w:rPr>
        <w:t> </w:t>
      </w:r>
      <w:r>
        <w:rPr/>
        <w:t>to</w:t>
      </w:r>
      <w:r>
        <w:rPr>
          <w:spacing w:val="-3"/>
        </w:rPr>
        <w:t> </w:t>
      </w:r>
      <w:r>
        <w:rPr/>
        <w:t>continue</w:t>
      </w:r>
      <w:r>
        <w:rPr>
          <w:spacing w:val="-3"/>
        </w:rPr>
        <w:t> </w:t>
      </w:r>
      <w:r>
        <w:rPr/>
        <w:t>until</w:t>
      </w:r>
      <w:r>
        <w:rPr>
          <w:spacing w:val="-4"/>
        </w:rPr>
        <w:t> </w:t>
      </w:r>
      <w:r>
        <w:rPr/>
        <w:t>31</w:t>
      </w:r>
      <w:r>
        <w:rPr>
          <w:position w:val="6"/>
          <w:sz w:val="13"/>
        </w:rPr>
        <w:t>st</w:t>
      </w:r>
      <w:r>
        <w:rPr>
          <w:spacing w:val="16"/>
          <w:position w:val="6"/>
          <w:sz w:val="13"/>
        </w:rPr>
        <w:t> </w:t>
      </w:r>
      <w:r>
        <w:rPr/>
        <w:t>December 2024.</w:t>
      </w:r>
      <w:r>
        <w:rPr>
          <w:spacing w:val="-1"/>
        </w:rPr>
        <w:t> </w:t>
      </w:r>
      <w:r>
        <w:rPr/>
        <w:t>At</w:t>
      </w:r>
      <w:r>
        <w:rPr>
          <w:spacing w:val="-3"/>
        </w:rPr>
        <w:t> </w:t>
      </w:r>
      <w:r>
        <w:rPr/>
        <w:t>the</w:t>
      </w:r>
      <w:r>
        <w:rPr>
          <w:spacing w:val="-4"/>
        </w:rPr>
        <w:t> </w:t>
      </w:r>
      <w:r>
        <w:rPr/>
        <w:t>time of</w:t>
      </w:r>
      <w:r>
        <w:rPr>
          <w:spacing w:val="-1"/>
        </w:rPr>
        <w:t> </w:t>
      </w:r>
      <w:r>
        <w:rPr/>
        <w:t>writing this report, no decisions were</w:t>
      </w:r>
      <w:r>
        <w:rPr>
          <w:spacing w:val="-1"/>
        </w:rPr>
        <w:t> </w:t>
      </w:r>
      <w:r>
        <w:rPr/>
        <w:t>made on its future</w:t>
      </w:r>
      <w:r>
        <w:rPr>
          <w:spacing w:val="-1"/>
        </w:rPr>
        <w:t> </w:t>
      </w:r>
      <w:r>
        <w:rPr/>
        <w:t>use. Aerial</w:t>
      </w:r>
      <w:r>
        <w:rPr>
          <w:spacing w:val="-2"/>
        </w:rPr>
        <w:t> </w:t>
      </w:r>
      <w:r>
        <w:rPr/>
        <w:t>baiting in Victoria has been conducted biannually, in autumn and spring, across six areas. Each operation has been taking place over two days per season, with baits laid at an approximate rate of 10 baits per linear kilometre, while not exceeding one bait per 10 hectares.</w:t>
      </w:r>
    </w:p>
    <w:p>
      <w:pPr>
        <w:pStyle w:val="BodyText"/>
        <w:spacing w:before="120"/>
        <w:ind w:left="112" w:right="142"/>
      </w:pPr>
      <w:r>
        <w:rPr/>
        <w:t>Most studies on aerial baiting have reported wild canid population reductions exceeding 80% shortly after baiting (Burrows et al. 2003; Fleming et al. 1996; Thomson</w:t>
      </w:r>
      <w:r>
        <w:rPr>
          <w:spacing w:val="-1"/>
        </w:rPr>
        <w:t> </w:t>
      </w:r>
      <w:r>
        <w:rPr/>
        <w:t>1986; Thomson et al. 2000). In trials comparing the</w:t>
      </w:r>
      <w:r>
        <w:rPr>
          <w:spacing w:val="-1"/>
        </w:rPr>
        <w:t> </w:t>
      </w:r>
      <w:r>
        <w:rPr/>
        <w:t>effectiveness of two baiting rates, Fleming and Ballard (2014) and Ballard et al. (2020) found</w:t>
      </w:r>
      <w:r>
        <w:rPr>
          <w:spacing w:val="-1"/>
        </w:rPr>
        <w:t> </w:t>
      </w:r>
      <w:r>
        <w:rPr/>
        <w:t>that using 10</w:t>
      </w:r>
      <w:r>
        <w:rPr>
          <w:spacing w:val="-3"/>
        </w:rPr>
        <w:t> </w:t>
      </w:r>
      <w:r>
        <w:rPr/>
        <w:t>baits</w:t>
      </w:r>
      <w:r>
        <w:rPr>
          <w:spacing w:val="-2"/>
        </w:rPr>
        <w:t> </w:t>
      </w:r>
      <w:r>
        <w:rPr/>
        <w:t>per</w:t>
      </w:r>
      <w:r>
        <w:rPr>
          <w:spacing w:val="-3"/>
        </w:rPr>
        <w:t> </w:t>
      </w:r>
      <w:r>
        <w:rPr/>
        <w:t>km</w:t>
      </w:r>
      <w:r>
        <w:rPr>
          <w:spacing w:val="-3"/>
        </w:rPr>
        <w:t> </w:t>
      </w:r>
      <w:r>
        <w:rPr/>
        <w:t>resulted</w:t>
      </w:r>
      <w:r>
        <w:rPr>
          <w:spacing w:val="-1"/>
        </w:rPr>
        <w:t> </w:t>
      </w:r>
      <w:r>
        <w:rPr/>
        <w:t>in a</w:t>
      </w:r>
      <w:r>
        <w:rPr>
          <w:spacing w:val="-3"/>
        </w:rPr>
        <w:t> </w:t>
      </w:r>
      <w:r>
        <w:rPr/>
        <w:t>55.3%</w:t>
      </w:r>
      <w:r>
        <w:rPr>
          <w:spacing w:val="-3"/>
        </w:rPr>
        <w:t> </w:t>
      </w:r>
      <w:r>
        <w:rPr/>
        <w:t>mortality</w:t>
      </w:r>
      <w:r>
        <w:rPr>
          <w:spacing w:val="-2"/>
        </w:rPr>
        <w:t> </w:t>
      </w:r>
      <w:r>
        <w:rPr/>
        <w:t>rate</w:t>
      </w:r>
      <w:r>
        <w:rPr>
          <w:spacing w:val="-3"/>
        </w:rPr>
        <w:t> </w:t>
      </w:r>
      <w:r>
        <w:rPr/>
        <w:t>among</w:t>
      </w:r>
      <w:r>
        <w:rPr>
          <w:spacing w:val="-4"/>
        </w:rPr>
        <w:t> </w:t>
      </w:r>
      <w:r>
        <w:rPr/>
        <w:t>collared</w:t>
      </w:r>
      <w:r>
        <w:rPr>
          <w:spacing w:val="-3"/>
        </w:rPr>
        <w:t> </w:t>
      </w:r>
      <w:r>
        <w:rPr/>
        <w:t>dogs</w:t>
      </w:r>
      <w:r>
        <w:rPr>
          <w:spacing w:val="-2"/>
        </w:rPr>
        <w:t> </w:t>
      </w:r>
      <w:r>
        <w:rPr/>
        <w:t>(n</w:t>
      </w:r>
      <w:r>
        <w:rPr>
          <w:spacing w:val="-3"/>
        </w:rPr>
        <w:t> </w:t>
      </w:r>
      <w:r>
        <w:rPr/>
        <w:t>=</w:t>
      </w:r>
      <w:r>
        <w:rPr>
          <w:spacing w:val="-2"/>
        </w:rPr>
        <w:t> </w:t>
      </w:r>
      <w:r>
        <w:rPr/>
        <w:t>38), while</w:t>
      </w:r>
      <w:r>
        <w:rPr>
          <w:spacing w:val="-1"/>
        </w:rPr>
        <w:t> </w:t>
      </w:r>
      <w:r>
        <w:rPr/>
        <w:t>increasing</w:t>
      </w:r>
      <w:r>
        <w:rPr>
          <w:spacing w:val="-4"/>
        </w:rPr>
        <w:t> </w:t>
      </w:r>
      <w:r>
        <w:rPr/>
        <w:t>the</w:t>
      </w:r>
      <w:r>
        <w:rPr>
          <w:spacing w:val="-4"/>
        </w:rPr>
        <w:t> </w:t>
      </w:r>
      <w:r>
        <w:rPr/>
        <w:t>rate</w:t>
      </w:r>
      <w:r>
        <w:rPr>
          <w:spacing w:val="-3"/>
        </w:rPr>
        <w:t> </w:t>
      </w:r>
      <w:r>
        <w:rPr/>
        <w:t>to 40 baits per km led to a 90.6% mortality rate (n = 32). In east Gippsland, Victoria, a study assessed the effectiveness of aerial baiting by deploying baits at 10 baits per linear kilometre, using 250 g meat baits injected</w:t>
      </w:r>
      <w:r>
        <w:rPr>
          <w:spacing w:val="-1"/>
        </w:rPr>
        <w:t> </w:t>
      </w:r>
      <w:r>
        <w:rPr/>
        <w:t>with</w:t>
      </w:r>
      <w:r>
        <w:rPr>
          <w:spacing w:val="-2"/>
        </w:rPr>
        <w:t> </w:t>
      </w:r>
      <w:r>
        <w:rPr/>
        <w:t>6 mg/kg of</w:t>
      </w:r>
      <w:r>
        <w:rPr>
          <w:spacing w:val="-2"/>
        </w:rPr>
        <w:t> </w:t>
      </w:r>
      <w:r>
        <w:rPr/>
        <w:t>1080.</w:t>
      </w:r>
      <w:r>
        <w:rPr>
          <w:spacing w:val="-2"/>
        </w:rPr>
        <w:t> </w:t>
      </w:r>
      <w:r>
        <w:rPr/>
        <w:t>The</w:t>
      </w:r>
      <w:r>
        <w:rPr>
          <w:spacing w:val="-2"/>
        </w:rPr>
        <w:t> </w:t>
      </w:r>
      <w:r>
        <w:rPr/>
        <w:t>results</w:t>
      </w:r>
      <w:r>
        <w:rPr>
          <w:spacing w:val="-1"/>
        </w:rPr>
        <w:t> </w:t>
      </w:r>
      <w:r>
        <w:rPr/>
        <w:t>showed</w:t>
      </w:r>
      <w:r>
        <w:rPr>
          <w:spacing w:val="-2"/>
        </w:rPr>
        <w:t> </w:t>
      </w:r>
      <w:r>
        <w:rPr/>
        <w:t>a</w:t>
      </w:r>
      <w:r>
        <w:rPr>
          <w:spacing w:val="-1"/>
        </w:rPr>
        <w:t> </w:t>
      </w:r>
      <w:r>
        <w:rPr/>
        <w:t>27%</w:t>
      </w:r>
      <w:r>
        <w:rPr>
          <w:spacing w:val="-2"/>
        </w:rPr>
        <w:t> </w:t>
      </w:r>
      <w:r>
        <w:rPr/>
        <w:t>decrease in abundance following the baiting, with numbers dropping from 48 to 36, and density declining from 0.026 to 0.019 dogs per km² (Robley et al.</w:t>
      </w:r>
    </w:p>
    <w:p>
      <w:pPr>
        <w:pStyle w:val="BodyText"/>
        <w:spacing w:before="1"/>
        <w:ind w:left="112" w:right="142"/>
      </w:pPr>
      <w:r>
        <w:rPr/>
        <w:t>2018). In comparison, Ramsey (2018) showed that properties within 0.5 km of an aerial baiting transect had an</w:t>
      </w:r>
      <w:r>
        <w:rPr>
          <w:spacing w:val="-4"/>
        </w:rPr>
        <w:t> </w:t>
      </w:r>
      <w:r>
        <w:rPr/>
        <w:t>expected</w:t>
      </w:r>
      <w:r>
        <w:rPr>
          <w:spacing w:val="-4"/>
        </w:rPr>
        <w:t> </w:t>
      </w:r>
      <w:r>
        <w:rPr/>
        <w:t>relative</w:t>
      </w:r>
      <w:r>
        <w:rPr>
          <w:spacing w:val="-3"/>
        </w:rPr>
        <w:t> </w:t>
      </w:r>
      <w:r>
        <w:rPr/>
        <w:t>reduction</w:t>
      </w:r>
      <w:r>
        <w:rPr>
          <w:spacing w:val="-4"/>
        </w:rPr>
        <w:t> </w:t>
      </w:r>
      <w:r>
        <w:rPr/>
        <w:t>in</w:t>
      </w:r>
      <w:r>
        <w:rPr>
          <w:spacing w:val="-3"/>
        </w:rPr>
        <w:t> </w:t>
      </w:r>
      <w:r>
        <w:rPr/>
        <w:t>the</w:t>
      </w:r>
      <w:r>
        <w:rPr>
          <w:spacing w:val="-3"/>
        </w:rPr>
        <w:t> </w:t>
      </w:r>
      <w:r>
        <w:rPr/>
        <w:t>incident of</w:t>
      </w:r>
      <w:r>
        <w:rPr>
          <w:spacing w:val="-3"/>
        </w:rPr>
        <w:t> </w:t>
      </w:r>
      <w:r>
        <w:rPr/>
        <w:t>livestock</w:t>
      </w:r>
      <w:r>
        <w:rPr>
          <w:spacing w:val="-2"/>
        </w:rPr>
        <w:t> </w:t>
      </w:r>
      <w:r>
        <w:rPr/>
        <w:t>attacks</w:t>
      </w:r>
      <w:r>
        <w:rPr>
          <w:spacing w:val="-1"/>
        </w:rPr>
        <w:t> </w:t>
      </w:r>
      <w:r>
        <w:rPr/>
        <w:t>of</w:t>
      </w:r>
      <w:r>
        <w:rPr>
          <w:spacing w:val="-3"/>
        </w:rPr>
        <w:t> </w:t>
      </w:r>
      <w:r>
        <w:rPr/>
        <w:t>79%</w:t>
      </w:r>
      <w:r>
        <w:rPr>
          <w:spacing w:val="-3"/>
        </w:rPr>
        <w:t> </w:t>
      </w:r>
      <w:r>
        <w:rPr/>
        <w:t>(95%</w:t>
      </w:r>
      <w:r>
        <w:rPr>
          <w:spacing w:val="-3"/>
        </w:rPr>
        <w:t> </w:t>
      </w:r>
      <w:r>
        <w:rPr/>
        <w:t>CI,</w:t>
      </w:r>
      <w:r>
        <w:rPr>
          <w:spacing w:val="-1"/>
        </w:rPr>
        <w:t> </w:t>
      </w:r>
      <w:r>
        <w:rPr/>
        <w:t>0.31–0.94)</w:t>
      </w:r>
      <w:r>
        <w:rPr>
          <w:spacing w:val="-2"/>
        </w:rPr>
        <w:t> </w:t>
      </w:r>
      <w:r>
        <w:rPr/>
        <w:t>in</w:t>
      </w:r>
      <w:r>
        <w:rPr>
          <w:spacing w:val="-3"/>
        </w:rPr>
        <w:t> </w:t>
      </w:r>
      <w:r>
        <w:rPr/>
        <w:t>the</w:t>
      </w:r>
      <w:r>
        <w:rPr>
          <w:spacing w:val="-3"/>
        </w:rPr>
        <w:t> </w:t>
      </w:r>
      <w:r>
        <w:rPr/>
        <w:t>following quarter. This reduced to a 10% (95% CI, 0.03–0.18) reduction for properties located 5 km from the nearest aerial baiting transect. Although, estimates could have been potentially affected by unmeasured effects of</w:t>
      </w:r>
    </w:p>
    <w:p>
      <w:pPr>
        <w:pStyle w:val="BodyText"/>
        <w:spacing w:before="3"/>
        <w:ind w:left="112"/>
      </w:pPr>
      <w:r>
        <w:rPr/>
        <w:t>on-farm</w:t>
      </w:r>
      <w:r>
        <w:rPr>
          <w:spacing w:val="-9"/>
        </w:rPr>
        <w:t> </w:t>
      </w:r>
      <w:r>
        <w:rPr/>
        <w:t>stock</w:t>
      </w:r>
      <w:r>
        <w:rPr>
          <w:spacing w:val="-7"/>
        </w:rPr>
        <w:t> </w:t>
      </w:r>
      <w:r>
        <w:rPr/>
        <w:t>related</w:t>
      </w:r>
      <w:r>
        <w:rPr>
          <w:spacing w:val="-8"/>
        </w:rPr>
        <w:t> </w:t>
      </w:r>
      <w:r>
        <w:rPr/>
        <w:t>management</w:t>
      </w:r>
      <w:r>
        <w:rPr>
          <w:spacing w:val="-8"/>
        </w:rPr>
        <w:t> </w:t>
      </w:r>
      <w:r>
        <w:rPr/>
        <w:t>causing</w:t>
      </w:r>
      <w:r>
        <w:rPr>
          <w:spacing w:val="-7"/>
        </w:rPr>
        <w:t> </w:t>
      </w:r>
      <w:r>
        <w:rPr/>
        <w:t>bias</w:t>
      </w:r>
      <w:r>
        <w:rPr>
          <w:spacing w:val="-7"/>
        </w:rPr>
        <w:t> </w:t>
      </w:r>
      <w:r>
        <w:rPr/>
        <w:t>in</w:t>
      </w:r>
      <w:r>
        <w:rPr>
          <w:spacing w:val="-6"/>
        </w:rPr>
        <w:t> </w:t>
      </w:r>
      <w:r>
        <w:rPr/>
        <w:t>the</w:t>
      </w:r>
      <w:r>
        <w:rPr>
          <w:spacing w:val="-5"/>
        </w:rPr>
        <w:t> </w:t>
      </w:r>
      <w:r>
        <w:rPr/>
        <w:t>estimated</w:t>
      </w:r>
      <w:r>
        <w:rPr>
          <w:spacing w:val="-7"/>
        </w:rPr>
        <w:t> </w:t>
      </w:r>
      <w:r>
        <w:rPr>
          <w:spacing w:val="-2"/>
        </w:rPr>
        <w:t>effects.</w:t>
      </w:r>
    </w:p>
    <w:p>
      <w:pPr>
        <w:pStyle w:val="BodyText"/>
        <w:spacing w:before="118"/>
        <w:ind w:left="112" w:right="154"/>
      </w:pPr>
      <w:r>
        <w:rPr/>
        <w:t>The published studies on long-term efficacy of aerial baiting suggest that aerial baiting can achieve</w:t>
      </w:r>
      <w:r>
        <w:rPr>
          <w:spacing w:val="40"/>
        </w:rPr>
        <w:t> </w:t>
      </w:r>
      <w:r>
        <w:rPr/>
        <w:t>sustained</w:t>
      </w:r>
      <w:r>
        <w:rPr>
          <w:spacing w:val="-4"/>
        </w:rPr>
        <w:t> </w:t>
      </w:r>
      <w:r>
        <w:rPr/>
        <w:t>reductions</w:t>
      </w:r>
      <w:r>
        <w:rPr>
          <w:spacing w:val="-3"/>
        </w:rPr>
        <w:t> </w:t>
      </w:r>
      <w:r>
        <w:rPr/>
        <w:t>in</w:t>
      </w:r>
      <w:r>
        <w:rPr>
          <w:spacing w:val="-2"/>
        </w:rPr>
        <w:t> </w:t>
      </w:r>
      <w:r>
        <w:rPr/>
        <w:t>wild</w:t>
      </w:r>
      <w:r>
        <w:rPr>
          <w:spacing w:val="-2"/>
        </w:rPr>
        <w:t> </w:t>
      </w:r>
      <w:r>
        <w:rPr/>
        <w:t>canid</w:t>
      </w:r>
      <w:r>
        <w:rPr>
          <w:spacing w:val="-2"/>
        </w:rPr>
        <w:t> </w:t>
      </w:r>
      <w:r>
        <w:rPr/>
        <w:t>populations</w:t>
      </w:r>
      <w:r>
        <w:rPr>
          <w:spacing w:val="-3"/>
        </w:rPr>
        <w:t> </w:t>
      </w:r>
      <w:r>
        <w:rPr/>
        <w:t>or</w:t>
      </w:r>
      <w:r>
        <w:rPr>
          <w:spacing w:val="-4"/>
        </w:rPr>
        <w:t> </w:t>
      </w:r>
      <w:r>
        <w:rPr/>
        <w:t>their</w:t>
      </w:r>
      <w:r>
        <w:rPr>
          <w:spacing w:val="-3"/>
        </w:rPr>
        <w:t> </w:t>
      </w:r>
      <w:r>
        <w:rPr/>
        <w:t>impacts,</w:t>
      </w:r>
      <w:r>
        <w:rPr>
          <w:spacing w:val="-4"/>
        </w:rPr>
        <w:t> </w:t>
      </w:r>
      <w:r>
        <w:rPr/>
        <w:t>when</w:t>
      </w:r>
      <w:r>
        <w:rPr>
          <w:spacing w:val="-5"/>
        </w:rPr>
        <w:t> </w:t>
      </w:r>
      <w:r>
        <w:rPr/>
        <w:t>conducted</w:t>
      </w:r>
      <w:r>
        <w:rPr>
          <w:spacing w:val="-5"/>
        </w:rPr>
        <w:t> </w:t>
      </w:r>
      <w:r>
        <w:rPr/>
        <w:t>over</w:t>
      </w:r>
      <w:r>
        <w:rPr>
          <w:spacing w:val="-4"/>
        </w:rPr>
        <w:t> </w:t>
      </w:r>
      <w:r>
        <w:rPr/>
        <w:t>large</w:t>
      </w:r>
      <w:r>
        <w:rPr>
          <w:spacing w:val="-2"/>
        </w:rPr>
        <w:t> </w:t>
      </w:r>
      <w:r>
        <w:rPr/>
        <w:t>areas (Burrows</w:t>
      </w:r>
      <w:r>
        <w:rPr>
          <w:spacing w:val="-3"/>
        </w:rPr>
        <w:t> </w:t>
      </w:r>
      <w:r>
        <w:rPr/>
        <w:t>et al. 2003; Thomson et al. 2000) or when applied frequently to counter dispersal and recruitment (Fleming et al. 1996; Moseby and Hill 2011; Priddel and Wheeler 1997).</w:t>
      </w:r>
    </w:p>
    <w:p>
      <w:pPr>
        <w:pStyle w:val="BodyText"/>
        <w:spacing w:before="119"/>
        <w:ind w:left="112" w:right="173"/>
      </w:pPr>
      <w:r>
        <w:rPr/>
        <w:t>Intrinsic</w:t>
      </w:r>
      <w:r>
        <w:rPr>
          <w:spacing w:val="-3"/>
        </w:rPr>
        <w:t> </w:t>
      </w:r>
      <w:r>
        <w:rPr/>
        <w:t>factors</w:t>
      </w:r>
      <w:r>
        <w:rPr>
          <w:spacing w:val="-2"/>
        </w:rPr>
        <w:t> </w:t>
      </w:r>
      <w:r>
        <w:rPr/>
        <w:t>that</w:t>
      </w:r>
      <w:r>
        <w:rPr>
          <w:spacing w:val="-4"/>
        </w:rPr>
        <w:t> </w:t>
      </w:r>
      <w:r>
        <w:rPr/>
        <w:t>are</w:t>
      </w:r>
      <w:r>
        <w:rPr>
          <w:spacing w:val="-4"/>
        </w:rPr>
        <w:t> </w:t>
      </w:r>
      <w:r>
        <w:rPr/>
        <w:t>considered</w:t>
      </w:r>
      <w:r>
        <w:rPr>
          <w:spacing w:val="-4"/>
        </w:rPr>
        <w:t> </w:t>
      </w:r>
      <w:r>
        <w:rPr/>
        <w:t>critical</w:t>
      </w:r>
      <w:r>
        <w:rPr>
          <w:spacing w:val="-5"/>
        </w:rPr>
        <w:t> </w:t>
      </w:r>
      <w:r>
        <w:rPr/>
        <w:t>to</w:t>
      </w:r>
      <w:r>
        <w:rPr>
          <w:spacing w:val="-4"/>
        </w:rPr>
        <w:t> </w:t>
      </w:r>
      <w:r>
        <w:rPr/>
        <w:t>the</w:t>
      </w:r>
      <w:r>
        <w:rPr>
          <w:spacing w:val="-4"/>
        </w:rPr>
        <w:t> </w:t>
      </w:r>
      <w:r>
        <w:rPr/>
        <w:t>success</w:t>
      </w:r>
      <w:r>
        <w:rPr>
          <w:spacing w:val="-3"/>
        </w:rPr>
        <w:t> </w:t>
      </w:r>
      <w:r>
        <w:rPr/>
        <w:t>of</w:t>
      </w:r>
      <w:r>
        <w:rPr>
          <w:spacing w:val="-4"/>
        </w:rPr>
        <w:t> </w:t>
      </w:r>
      <w:r>
        <w:rPr/>
        <w:t>aerial</w:t>
      </w:r>
      <w:r>
        <w:rPr>
          <w:spacing w:val="-3"/>
        </w:rPr>
        <w:t> </w:t>
      </w:r>
      <w:r>
        <w:rPr/>
        <w:t>baiting</w:t>
      </w:r>
      <w:r>
        <w:rPr>
          <w:spacing w:val="-3"/>
        </w:rPr>
        <w:t> </w:t>
      </w:r>
      <w:r>
        <w:rPr/>
        <w:t>include</w:t>
      </w:r>
      <w:r>
        <w:rPr>
          <w:spacing w:val="-2"/>
        </w:rPr>
        <w:t> </w:t>
      </w:r>
      <w:r>
        <w:rPr/>
        <w:t>the</w:t>
      </w:r>
      <w:r>
        <w:rPr>
          <w:spacing w:val="-4"/>
        </w:rPr>
        <w:t> </w:t>
      </w:r>
      <w:r>
        <w:rPr/>
        <w:t>type</w:t>
      </w:r>
      <w:r>
        <w:rPr>
          <w:spacing w:val="-4"/>
        </w:rPr>
        <w:t> </w:t>
      </w:r>
      <w:r>
        <w:rPr/>
        <w:t>of</w:t>
      </w:r>
      <w:r>
        <w:rPr>
          <w:spacing w:val="-2"/>
        </w:rPr>
        <w:t> </w:t>
      </w:r>
      <w:r>
        <w:rPr/>
        <w:t>bait</w:t>
      </w:r>
      <w:r>
        <w:rPr>
          <w:spacing w:val="-4"/>
        </w:rPr>
        <w:t> </w:t>
      </w:r>
      <w:r>
        <w:rPr/>
        <w:t>used (Allen et al. 1989), the longevity of the toxin within the baits (Allen et al. 1989; Fleming and Parker 1991; Twigg et al. 2000), and the patterns and densities of bait distribution in relation to the dispersion and density of the target population (Thomson 1986; Thomson and Marsack, 1992;Thomson et al. 2000). Key extrinsic factors likely</w:t>
      </w:r>
      <w:r>
        <w:rPr>
          <w:spacing w:val="-2"/>
        </w:rPr>
        <w:t> </w:t>
      </w:r>
      <w:r>
        <w:rPr/>
        <w:t>include</w:t>
      </w:r>
      <w:r>
        <w:rPr>
          <w:spacing w:val="-1"/>
        </w:rPr>
        <w:t> </w:t>
      </w:r>
      <w:r>
        <w:rPr/>
        <w:t>the</w:t>
      </w:r>
      <w:r>
        <w:rPr>
          <w:spacing w:val="-1"/>
        </w:rPr>
        <w:t> </w:t>
      </w:r>
      <w:r>
        <w:rPr/>
        <w:t>availability of</w:t>
      </w:r>
      <w:r>
        <w:rPr>
          <w:spacing w:val="-3"/>
        </w:rPr>
        <w:t> </w:t>
      </w:r>
      <w:r>
        <w:rPr/>
        <w:t>alternative</w:t>
      </w:r>
      <w:r>
        <w:rPr>
          <w:spacing w:val="-1"/>
        </w:rPr>
        <w:t> </w:t>
      </w:r>
      <w:r>
        <w:rPr/>
        <w:t>food</w:t>
      </w:r>
      <w:r>
        <w:rPr>
          <w:spacing w:val="-3"/>
        </w:rPr>
        <w:t> </w:t>
      </w:r>
      <w:r>
        <w:rPr/>
        <w:t>sources,</w:t>
      </w:r>
      <w:r>
        <w:rPr>
          <w:spacing w:val="-3"/>
        </w:rPr>
        <w:t> </w:t>
      </w:r>
      <w:r>
        <w:rPr/>
        <w:t>the</w:t>
      </w:r>
      <w:r>
        <w:rPr>
          <w:spacing w:val="-1"/>
        </w:rPr>
        <w:t> </w:t>
      </w:r>
      <w:r>
        <w:rPr/>
        <w:t>age and</w:t>
      </w:r>
      <w:r>
        <w:rPr>
          <w:spacing w:val="-3"/>
        </w:rPr>
        <w:t> </w:t>
      </w:r>
      <w:r>
        <w:rPr/>
        <w:t>social</w:t>
      </w:r>
      <w:r>
        <w:rPr>
          <w:spacing w:val="-4"/>
        </w:rPr>
        <w:t> </w:t>
      </w:r>
      <w:r>
        <w:rPr/>
        <w:t>structure</w:t>
      </w:r>
      <w:r>
        <w:rPr>
          <w:spacing w:val="-3"/>
        </w:rPr>
        <w:t> </w:t>
      </w:r>
      <w:r>
        <w:rPr/>
        <w:t>of</w:t>
      </w:r>
      <w:r>
        <w:rPr>
          <w:spacing w:val="-3"/>
        </w:rPr>
        <w:t> </w:t>
      </w:r>
      <w:r>
        <w:rPr/>
        <w:t>the</w:t>
      </w:r>
      <w:r>
        <w:rPr>
          <w:spacing w:val="-3"/>
        </w:rPr>
        <w:t> </w:t>
      </w:r>
      <w:r>
        <w:rPr/>
        <w:t>target</w:t>
      </w:r>
      <w:r>
        <w:rPr>
          <w:spacing w:val="-1"/>
        </w:rPr>
        <w:t> </w:t>
      </w:r>
      <w:r>
        <w:rPr/>
        <w:t>population, rainfall immediately following baiting, and the degree of bait uptake by non-target species (Allen et al. 1989; Fleming 1996; Thomson 1986; Thomson et al. 2000).</w:t>
      </w:r>
    </w:p>
    <w:p>
      <w:pPr>
        <w:pStyle w:val="BodyText"/>
        <w:spacing w:before="155"/>
      </w:pPr>
    </w:p>
    <w:p>
      <w:pPr>
        <w:pStyle w:val="Heading3"/>
        <w:numPr>
          <w:ilvl w:val="1"/>
          <w:numId w:val="19"/>
        </w:numPr>
        <w:tabs>
          <w:tab w:pos="686" w:val="left" w:leader="none"/>
        </w:tabs>
        <w:spacing w:line="240" w:lineRule="auto" w:before="0" w:after="0"/>
        <w:ind w:left="686" w:right="0" w:hanging="574"/>
        <w:jc w:val="left"/>
      </w:pPr>
      <w:r>
        <w:rPr>
          <w:color w:val="2D1E66"/>
        </w:rPr>
        <w:t>PAPP</w:t>
      </w:r>
      <w:r>
        <w:rPr>
          <w:color w:val="2D1E66"/>
          <w:spacing w:val="1"/>
        </w:rPr>
        <w:t> </w:t>
      </w:r>
      <w:r>
        <w:rPr>
          <w:color w:val="2D1E66"/>
          <w:spacing w:val="-2"/>
        </w:rPr>
        <w:t>(DOGABAIT/CPEs)</w:t>
      </w:r>
    </w:p>
    <w:p>
      <w:pPr>
        <w:pStyle w:val="BodyText"/>
        <w:spacing w:before="113"/>
        <w:ind w:left="112"/>
      </w:pPr>
      <w:r>
        <w:rPr/>
        <w:t>PAPP</w:t>
      </w:r>
      <w:r>
        <w:rPr>
          <w:spacing w:val="-2"/>
        </w:rPr>
        <w:t> </w:t>
      </w:r>
      <w:r>
        <w:rPr/>
        <w:t>was</w:t>
      </w:r>
      <w:r>
        <w:rPr>
          <w:spacing w:val="-3"/>
        </w:rPr>
        <w:t> </w:t>
      </w:r>
      <w:r>
        <w:rPr/>
        <w:t>registered</w:t>
      </w:r>
      <w:r>
        <w:rPr>
          <w:spacing w:val="-2"/>
        </w:rPr>
        <w:t> </w:t>
      </w:r>
      <w:r>
        <w:rPr/>
        <w:t>for</w:t>
      </w:r>
      <w:r>
        <w:rPr>
          <w:spacing w:val="-3"/>
        </w:rPr>
        <w:t> </w:t>
      </w:r>
      <w:r>
        <w:rPr/>
        <w:t>use</w:t>
      </w:r>
      <w:r>
        <w:rPr>
          <w:spacing w:val="-4"/>
        </w:rPr>
        <w:t> </w:t>
      </w:r>
      <w:r>
        <w:rPr/>
        <w:t>against Wild</w:t>
      </w:r>
      <w:r>
        <w:rPr>
          <w:spacing w:val="-2"/>
        </w:rPr>
        <w:t> </w:t>
      </w:r>
      <w:r>
        <w:rPr/>
        <w:t>Dogs</w:t>
      </w:r>
      <w:r>
        <w:rPr>
          <w:spacing w:val="-1"/>
        </w:rPr>
        <w:t> </w:t>
      </w:r>
      <w:r>
        <w:rPr/>
        <w:t>and</w:t>
      </w:r>
      <w:r>
        <w:rPr>
          <w:spacing w:val="-2"/>
        </w:rPr>
        <w:t> </w:t>
      </w:r>
      <w:r>
        <w:rPr/>
        <w:t>foxes</w:t>
      </w:r>
      <w:r>
        <w:rPr>
          <w:spacing w:val="-3"/>
        </w:rPr>
        <w:t> </w:t>
      </w:r>
      <w:r>
        <w:rPr/>
        <w:t>in</w:t>
      </w:r>
      <w:r>
        <w:rPr>
          <w:spacing w:val="-4"/>
        </w:rPr>
        <w:t> </w:t>
      </w:r>
      <w:r>
        <w:rPr/>
        <w:t>Australia</w:t>
      </w:r>
      <w:r>
        <w:rPr>
          <w:spacing w:val="-2"/>
        </w:rPr>
        <w:t> </w:t>
      </w:r>
      <w:r>
        <w:rPr/>
        <w:t>in</w:t>
      </w:r>
      <w:r>
        <w:rPr>
          <w:spacing w:val="-2"/>
        </w:rPr>
        <w:t> </w:t>
      </w:r>
      <w:r>
        <w:rPr/>
        <w:t>2016.</w:t>
      </w:r>
      <w:r>
        <w:rPr>
          <w:spacing w:val="-4"/>
        </w:rPr>
        <w:t> </w:t>
      </w:r>
      <w:r>
        <w:rPr/>
        <w:t>It</w:t>
      </w:r>
      <w:r>
        <w:rPr>
          <w:spacing w:val="-2"/>
        </w:rPr>
        <w:t> </w:t>
      </w:r>
      <w:r>
        <w:rPr/>
        <w:t>is</w:t>
      </w:r>
      <w:r>
        <w:rPr>
          <w:spacing w:val="-3"/>
        </w:rPr>
        <w:t> </w:t>
      </w:r>
      <w:r>
        <w:rPr/>
        <w:t>currently</w:t>
      </w:r>
      <w:r>
        <w:rPr>
          <w:spacing w:val="-3"/>
        </w:rPr>
        <w:t> </w:t>
      </w:r>
      <w:r>
        <w:rPr/>
        <w:t>available</w:t>
      </w:r>
      <w:r>
        <w:rPr>
          <w:spacing w:val="-4"/>
        </w:rPr>
        <w:t> </w:t>
      </w:r>
      <w:r>
        <w:rPr/>
        <w:t>in branded products such as DOGABAIT® and FOXECUTE and in capsules used in CPEs.</w:t>
      </w:r>
    </w:p>
    <w:p>
      <w:pPr>
        <w:pStyle w:val="BodyText"/>
        <w:spacing w:before="121"/>
        <w:ind w:left="112" w:right="117"/>
      </w:pPr>
      <w:r>
        <w:rPr/>
        <w:t>We</w:t>
      </w:r>
      <w:r>
        <w:rPr>
          <w:spacing w:val="-2"/>
        </w:rPr>
        <w:t> </w:t>
      </w:r>
      <w:r>
        <w:rPr/>
        <w:t>discovered</w:t>
      </w:r>
      <w:r>
        <w:rPr>
          <w:spacing w:val="-2"/>
        </w:rPr>
        <w:t> </w:t>
      </w:r>
      <w:r>
        <w:rPr/>
        <w:t>no</w:t>
      </w:r>
      <w:r>
        <w:rPr>
          <w:spacing w:val="-3"/>
        </w:rPr>
        <w:t> </w:t>
      </w:r>
      <w:r>
        <w:rPr/>
        <w:t>studies</w:t>
      </w:r>
      <w:r>
        <w:rPr>
          <w:spacing w:val="-3"/>
        </w:rPr>
        <w:t> </w:t>
      </w:r>
      <w:r>
        <w:rPr/>
        <w:t>assessing</w:t>
      </w:r>
      <w:r>
        <w:rPr>
          <w:spacing w:val="-5"/>
        </w:rPr>
        <w:t> </w:t>
      </w:r>
      <w:r>
        <w:rPr/>
        <w:t>the</w:t>
      </w:r>
      <w:r>
        <w:rPr>
          <w:spacing w:val="-4"/>
        </w:rPr>
        <w:t> </w:t>
      </w:r>
      <w:r>
        <w:rPr/>
        <w:t>effectiveness</w:t>
      </w:r>
      <w:r>
        <w:rPr>
          <w:spacing w:val="-3"/>
        </w:rPr>
        <w:t> </w:t>
      </w:r>
      <w:r>
        <w:rPr/>
        <w:t>of</w:t>
      </w:r>
      <w:r>
        <w:rPr>
          <w:spacing w:val="-4"/>
        </w:rPr>
        <w:t> </w:t>
      </w:r>
      <w:r>
        <w:rPr/>
        <w:t>PAPP</w:t>
      </w:r>
      <w:r>
        <w:rPr>
          <w:spacing w:val="-2"/>
        </w:rPr>
        <w:t> </w:t>
      </w:r>
      <w:r>
        <w:rPr/>
        <w:t>bait</w:t>
      </w:r>
      <w:r>
        <w:rPr>
          <w:spacing w:val="-4"/>
        </w:rPr>
        <w:t> </w:t>
      </w:r>
      <w:r>
        <w:rPr/>
        <w:t>for</w:t>
      </w:r>
      <w:r>
        <w:rPr>
          <w:spacing w:val="-3"/>
        </w:rPr>
        <w:t> </w:t>
      </w:r>
      <w:r>
        <w:rPr/>
        <w:t>controlling Dingoes</w:t>
      </w:r>
      <w:r>
        <w:rPr>
          <w:spacing w:val="-3"/>
        </w:rPr>
        <w:t> </w:t>
      </w:r>
      <w:r>
        <w:rPr/>
        <w:t>and</w:t>
      </w:r>
      <w:r>
        <w:rPr>
          <w:spacing w:val="-1"/>
        </w:rPr>
        <w:t> </w:t>
      </w:r>
      <w:r>
        <w:rPr/>
        <w:t>Wild</w:t>
      </w:r>
      <w:r>
        <w:rPr>
          <w:spacing w:val="-2"/>
        </w:rPr>
        <w:t> </w:t>
      </w:r>
      <w:r>
        <w:rPr/>
        <w:t>Dogs</w:t>
      </w:r>
      <w:r>
        <w:rPr>
          <w:spacing w:val="-1"/>
        </w:rPr>
        <w:t> </w:t>
      </w:r>
      <w:r>
        <w:rPr/>
        <w:t>in Australia, as measured by population reduction or a reduction in some relative index of abundance. While literature</w:t>
      </w:r>
      <w:r>
        <w:rPr>
          <w:spacing w:val="-1"/>
        </w:rPr>
        <w:t> </w:t>
      </w:r>
      <w:r>
        <w:rPr/>
        <w:t>searches did</w:t>
      </w:r>
      <w:r>
        <w:rPr>
          <w:spacing w:val="-1"/>
        </w:rPr>
        <w:t> </w:t>
      </w:r>
      <w:r>
        <w:rPr/>
        <w:t>not</w:t>
      </w:r>
      <w:r>
        <w:rPr>
          <w:spacing w:val="-1"/>
        </w:rPr>
        <w:t> </w:t>
      </w:r>
      <w:r>
        <w:rPr/>
        <w:t>return</w:t>
      </w:r>
      <w:r>
        <w:rPr>
          <w:spacing w:val="-1"/>
        </w:rPr>
        <w:t> </w:t>
      </w:r>
      <w:r>
        <w:rPr/>
        <w:t>papers directly addressing</w:t>
      </w:r>
      <w:r>
        <w:rPr>
          <w:spacing w:val="-2"/>
        </w:rPr>
        <w:t> </w:t>
      </w:r>
      <w:r>
        <w:rPr/>
        <w:t>the</w:t>
      </w:r>
      <w:r>
        <w:rPr>
          <w:spacing w:val="-1"/>
        </w:rPr>
        <w:t> </w:t>
      </w:r>
      <w:r>
        <w:rPr/>
        <w:t>efficacy of</w:t>
      </w:r>
      <w:r>
        <w:rPr>
          <w:spacing w:val="-1"/>
        </w:rPr>
        <w:t> </w:t>
      </w:r>
      <w:r>
        <w:rPr/>
        <w:t>DOGGONE® baits, a</w:t>
      </w:r>
      <w:r>
        <w:rPr>
          <w:spacing w:val="-1"/>
        </w:rPr>
        <w:t> </w:t>
      </w:r>
      <w:r>
        <w:rPr/>
        <w:t>few</w:t>
      </w:r>
      <w:r>
        <w:rPr>
          <w:spacing w:val="-1"/>
        </w:rPr>
        <w:t> </w:t>
      </w:r>
      <w:r>
        <w:rPr/>
        <w:t>studies have explored PAPP use in CPEs. In a Queensland trial, Allen (2019) found that 10 out of 11 (91%) Wild Dogs died within 3 hours after PAPP was administered via CPEs. In comparison, (Kreplins et al. 2021) investigated the effectiveness of CPEs to reduce Dingo populations in the southern rangelands of WA and reported reductions in density ranging between 5% and 46% (Table 9).</w:t>
      </w:r>
    </w:p>
    <w:p>
      <w:pPr>
        <w:pStyle w:val="BodyText"/>
        <w:spacing w:before="120"/>
        <w:ind w:left="112" w:right="222"/>
      </w:pPr>
      <w:r>
        <w:rPr/>
        <w:t>Other studies have focused on</w:t>
      </w:r>
      <w:r>
        <w:rPr>
          <w:spacing w:val="-1"/>
        </w:rPr>
        <w:t> </w:t>
      </w:r>
      <w:r>
        <w:rPr/>
        <w:t>the longevity of PAPP in baits. For example, Gentle et al. (2017) found</w:t>
      </w:r>
      <w:r>
        <w:rPr>
          <w:spacing w:val="-1"/>
        </w:rPr>
        <w:t> </w:t>
      </w:r>
      <w:r>
        <w:rPr/>
        <w:t>that PAPP</w:t>
      </w:r>
      <w:r>
        <w:rPr>
          <w:spacing w:val="-2"/>
        </w:rPr>
        <w:t> </w:t>
      </w:r>
      <w:r>
        <w:rPr/>
        <w:t>in</w:t>
      </w:r>
      <w:r>
        <w:rPr>
          <w:spacing w:val="-2"/>
        </w:rPr>
        <w:t> </w:t>
      </w:r>
      <w:r>
        <w:rPr/>
        <w:t>buried</w:t>
      </w:r>
      <w:r>
        <w:rPr>
          <w:spacing w:val="-1"/>
        </w:rPr>
        <w:t> </w:t>
      </w:r>
      <w:r>
        <w:rPr/>
        <w:t>Wild</w:t>
      </w:r>
      <w:r>
        <w:rPr>
          <w:spacing w:val="-2"/>
        </w:rPr>
        <w:t> </w:t>
      </w:r>
      <w:r>
        <w:rPr/>
        <w:t>Dog</w:t>
      </w:r>
      <w:r>
        <w:rPr>
          <w:spacing w:val="-2"/>
        </w:rPr>
        <w:t> </w:t>
      </w:r>
      <w:r>
        <w:rPr/>
        <w:t>baits</w:t>
      </w:r>
      <w:r>
        <w:rPr>
          <w:spacing w:val="-3"/>
        </w:rPr>
        <w:t> </w:t>
      </w:r>
      <w:r>
        <w:rPr/>
        <w:t>declined</w:t>
      </w:r>
      <w:r>
        <w:rPr>
          <w:spacing w:val="-2"/>
        </w:rPr>
        <w:t> </w:t>
      </w:r>
      <w:r>
        <w:rPr/>
        <w:t>more</w:t>
      </w:r>
      <w:r>
        <w:rPr>
          <w:spacing w:val="-4"/>
        </w:rPr>
        <w:t> </w:t>
      </w:r>
      <w:r>
        <w:rPr/>
        <w:t>rapidly</w:t>
      </w:r>
      <w:r>
        <w:rPr>
          <w:spacing w:val="-3"/>
        </w:rPr>
        <w:t> </w:t>
      </w:r>
      <w:r>
        <w:rPr/>
        <w:t>than</w:t>
      </w:r>
      <w:r>
        <w:rPr>
          <w:spacing w:val="-2"/>
        </w:rPr>
        <w:t> </w:t>
      </w:r>
      <w:r>
        <w:rPr/>
        <w:t>in</w:t>
      </w:r>
      <w:r>
        <w:rPr>
          <w:spacing w:val="-4"/>
        </w:rPr>
        <w:t> </w:t>
      </w:r>
      <w:r>
        <w:rPr/>
        <w:t>surface-laid</w:t>
      </w:r>
      <w:r>
        <w:rPr>
          <w:spacing w:val="-2"/>
        </w:rPr>
        <w:t> </w:t>
      </w:r>
      <w:r>
        <w:rPr/>
        <w:t>baits</w:t>
      </w:r>
      <w:r>
        <w:rPr>
          <w:spacing w:val="-3"/>
        </w:rPr>
        <w:t> </w:t>
      </w:r>
      <w:r>
        <w:rPr/>
        <w:t>under</w:t>
      </w:r>
      <w:r>
        <w:rPr>
          <w:spacing w:val="-3"/>
        </w:rPr>
        <w:t> </w:t>
      </w:r>
      <w:r>
        <w:rPr/>
        <w:t>typical</w:t>
      </w:r>
      <w:r>
        <w:rPr>
          <w:spacing w:val="-5"/>
        </w:rPr>
        <w:t> </w:t>
      </w:r>
      <w:r>
        <w:rPr/>
        <w:t>field</w:t>
      </w:r>
      <w:r>
        <w:rPr>
          <w:spacing w:val="-4"/>
        </w:rPr>
        <w:t> </w:t>
      </w:r>
      <w:r>
        <w:rPr/>
        <w:t>conditions in northeastern Australia, although both types retained lethal doses for Dingoes, Wild Dogs, and domestic dogs for 6–16 weeks.</w:t>
      </w:r>
    </w:p>
    <w:p>
      <w:pPr>
        <w:pStyle w:val="BodyText"/>
        <w:spacing w:before="120"/>
        <w:ind w:left="112" w:right="117"/>
      </w:pPr>
      <w:r>
        <w:rPr/>
        <w:t>Despite</w:t>
      </w:r>
      <w:r>
        <w:rPr>
          <w:spacing w:val="-2"/>
        </w:rPr>
        <w:t> </w:t>
      </w:r>
      <w:r>
        <w:rPr/>
        <w:t>the</w:t>
      </w:r>
      <w:r>
        <w:rPr>
          <w:spacing w:val="-2"/>
        </w:rPr>
        <w:t> </w:t>
      </w:r>
      <w:r>
        <w:rPr/>
        <w:t>advantages</w:t>
      </w:r>
      <w:r>
        <w:rPr>
          <w:spacing w:val="-1"/>
        </w:rPr>
        <w:t> </w:t>
      </w:r>
      <w:r>
        <w:rPr/>
        <w:t>of PAPP in terms</w:t>
      </w:r>
      <w:r>
        <w:rPr>
          <w:spacing w:val="-1"/>
        </w:rPr>
        <w:t> </w:t>
      </w:r>
      <w:r>
        <w:rPr/>
        <w:t>of</w:t>
      </w:r>
      <w:r>
        <w:rPr>
          <w:spacing w:val="-2"/>
        </w:rPr>
        <w:t> </w:t>
      </w:r>
      <w:r>
        <w:rPr/>
        <w:t>humaneness,</w:t>
      </w:r>
      <w:r>
        <w:rPr>
          <w:spacing w:val="-2"/>
        </w:rPr>
        <w:t> </w:t>
      </w:r>
      <w:r>
        <w:rPr/>
        <w:t>it</w:t>
      </w:r>
      <w:r>
        <w:rPr>
          <w:spacing w:val="-2"/>
        </w:rPr>
        <w:t> </w:t>
      </w:r>
      <w:r>
        <w:rPr/>
        <w:t>is</w:t>
      </w:r>
      <w:r>
        <w:rPr>
          <w:spacing w:val="-1"/>
        </w:rPr>
        <w:t> </w:t>
      </w:r>
      <w:r>
        <w:rPr/>
        <w:t>still</w:t>
      </w:r>
      <w:r>
        <w:rPr>
          <w:spacing w:val="-3"/>
        </w:rPr>
        <w:t> </w:t>
      </w:r>
      <w:r>
        <w:rPr/>
        <w:t>not</w:t>
      </w:r>
      <w:r>
        <w:rPr>
          <w:spacing w:val="-2"/>
        </w:rPr>
        <w:t> </w:t>
      </w:r>
      <w:r>
        <w:rPr/>
        <w:t>widely</w:t>
      </w:r>
      <w:r>
        <w:rPr>
          <w:spacing w:val="-1"/>
        </w:rPr>
        <w:t> </w:t>
      </w:r>
      <w:r>
        <w:rPr/>
        <w:t>used</w:t>
      </w:r>
      <w:r>
        <w:rPr>
          <w:spacing w:val="-2"/>
        </w:rPr>
        <w:t> </w:t>
      </w:r>
      <w:r>
        <w:rPr/>
        <w:t>in Victoria.</w:t>
      </w:r>
      <w:r>
        <w:rPr>
          <w:spacing w:val="-2"/>
        </w:rPr>
        <w:t> </w:t>
      </w:r>
      <w:r>
        <w:rPr/>
        <w:t>Its</w:t>
      </w:r>
      <w:r>
        <w:rPr>
          <w:spacing w:val="-1"/>
        </w:rPr>
        <w:t> </w:t>
      </w:r>
      <w:r>
        <w:rPr/>
        <w:t>higher</w:t>
      </w:r>
      <w:r>
        <w:rPr>
          <w:spacing w:val="-2"/>
        </w:rPr>
        <w:t> </w:t>
      </w:r>
      <w:r>
        <w:rPr/>
        <w:t>cost per bait likely contributes to its limited uptake by land managers. A recent survey of ACUP users in Victoria revealed that 32% of respondents would consider using PAPP if 1080 were unavailable, while only 9% had used</w:t>
      </w:r>
      <w:r>
        <w:rPr>
          <w:spacing w:val="-2"/>
        </w:rPr>
        <w:t> </w:t>
      </w:r>
      <w:r>
        <w:rPr/>
        <w:t>it</w:t>
      </w:r>
      <w:r>
        <w:rPr>
          <w:spacing w:val="-1"/>
        </w:rPr>
        <w:t> </w:t>
      </w:r>
      <w:r>
        <w:rPr/>
        <w:t>in</w:t>
      </w:r>
      <w:r>
        <w:rPr>
          <w:spacing w:val="-1"/>
        </w:rPr>
        <w:t> </w:t>
      </w:r>
      <w:r>
        <w:rPr/>
        <w:t>the</w:t>
      </w:r>
      <w:r>
        <w:rPr>
          <w:spacing w:val="-1"/>
        </w:rPr>
        <w:t> </w:t>
      </w:r>
      <w:r>
        <w:rPr/>
        <w:t>past five</w:t>
      </w:r>
      <w:r>
        <w:rPr>
          <w:spacing w:val="-1"/>
        </w:rPr>
        <w:t> </w:t>
      </w:r>
      <w:r>
        <w:rPr/>
        <w:t>years (Quantum Market Research</w:t>
      </w:r>
      <w:r>
        <w:rPr>
          <w:spacing w:val="-1"/>
        </w:rPr>
        <w:t> </w:t>
      </w:r>
      <w:r>
        <w:rPr/>
        <w:t>2024).</w:t>
      </w:r>
      <w:r>
        <w:rPr>
          <w:spacing w:val="-1"/>
        </w:rPr>
        <w:t> </w:t>
      </w:r>
      <w:r>
        <w:rPr/>
        <w:t>Southwell</w:t>
      </w:r>
      <w:r>
        <w:rPr>
          <w:spacing w:val="-1"/>
        </w:rPr>
        <w:t> </w:t>
      </w:r>
      <w:r>
        <w:rPr/>
        <w:t>et</w:t>
      </w:r>
      <w:r>
        <w:rPr>
          <w:spacing w:val="-1"/>
        </w:rPr>
        <w:t> </w:t>
      </w:r>
      <w:r>
        <w:rPr/>
        <w:t>al.</w:t>
      </w:r>
      <w:r>
        <w:rPr>
          <w:spacing w:val="-1"/>
        </w:rPr>
        <w:t> </w:t>
      </w:r>
      <w:r>
        <w:rPr/>
        <w:t>(2013) surveyed both</w:t>
      </w:r>
      <w:r>
        <w:rPr>
          <w:spacing w:val="-1"/>
        </w:rPr>
        <w:t> </w:t>
      </w:r>
      <w:r>
        <w:rPr/>
        <w:t>public and private land managers to gauge their perceptions of wild canid management and identify the social factors</w:t>
      </w:r>
      <w:r>
        <w:rPr>
          <w:spacing w:val="-2"/>
        </w:rPr>
        <w:t> </w:t>
      </w:r>
      <w:r>
        <w:rPr/>
        <w:t>influencing</w:t>
      </w:r>
      <w:r>
        <w:rPr>
          <w:spacing w:val="-4"/>
        </w:rPr>
        <w:t> </w:t>
      </w:r>
      <w:r>
        <w:rPr/>
        <w:t>the</w:t>
      </w:r>
      <w:r>
        <w:rPr>
          <w:spacing w:val="-4"/>
        </w:rPr>
        <w:t> </w:t>
      </w:r>
      <w:r>
        <w:rPr/>
        <w:t>adoption</w:t>
      </w:r>
      <w:r>
        <w:rPr>
          <w:spacing w:val="-2"/>
        </w:rPr>
        <w:t> </w:t>
      </w:r>
      <w:r>
        <w:rPr/>
        <w:t>of</w:t>
      </w:r>
      <w:r>
        <w:rPr>
          <w:spacing w:val="-2"/>
        </w:rPr>
        <w:t> </w:t>
      </w:r>
      <w:r>
        <w:rPr/>
        <w:t>PAPP.</w:t>
      </w:r>
      <w:r>
        <w:rPr>
          <w:spacing w:val="-4"/>
        </w:rPr>
        <w:t> </w:t>
      </w:r>
      <w:r>
        <w:rPr/>
        <w:t>They</w:t>
      </w:r>
      <w:r>
        <w:rPr>
          <w:spacing w:val="-3"/>
        </w:rPr>
        <w:t> </w:t>
      </w:r>
      <w:r>
        <w:rPr/>
        <w:t>found</w:t>
      </w:r>
      <w:r>
        <w:rPr>
          <w:spacing w:val="-4"/>
        </w:rPr>
        <w:t> </w:t>
      </w:r>
      <w:r>
        <w:rPr/>
        <w:t>that</w:t>
      </w:r>
      <w:r>
        <w:rPr>
          <w:spacing w:val="-4"/>
        </w:rPr>
        <w:t> </w:t>
      </w:r>
      <w:r>
        <w:rPr/>
        <w:t>decisions</w:t>
      </w:r>
      <w:r>
        <w:rPr>
          <w:spacing w:val="-3"/>
        </w:rPr>
        <w:t> </w:t>
      </w:r>
      <w:r>
        <w:rPr/>
        <w:t>to</w:t>
      </w:r>
      <w:r>
        <w:rPr>
          <w:spacing w:val="-3"/>
        </w:rPr>
        <w:t> </w:t>
      </w:r>
      <w:r>
        <w:rPr/>
        <w:t>adopt</w:t>
      </w:r>
      <w:r>
        <w:rPr>
          <w:spacing w:val="-2"/>
        </w:rPr>
        <w:t> </w:t>
      </w:r>
      <w:r>
        <w:rPr/>
        <w:t>PAPP</w:t>
      </w:r>
      <w:r>
        <w:rPr>
          <w:spacing w:val="-4"/>
        </w:rPr>
        <w:t> </w:t>
      </w:r>
      <w:r>
        <w:rPr/>
        <w:t>were</w:t>
      </w:r>
      <w:r>
        <w:rPr>
          <w:spacing w:val="-1"/>
        </w:rPr>
        <w:t> </w:t>
      </w:r>
      <w:r>
        <w:rPr/>
        <w:t>not</w:t>
      </w:r>
      <w:r>
        <w:rPr>
          <w:spacing w:val="-2"/>
        </w:rPr>
        <w:t> </w:t>
      </w:r>
      <w:r>
        <w:rPr/>
        <w:t>solely</w:t>
      </w:r>
      <w:r>
        <w:rPr>
          <w:spacing w:val="-3"/>
        </w:rPr>
        <w:t> </w:t>
      </w:r>
      <w:r>
        <w:rPr/>
        <w:t>based</w:t>
      </w:r>
      <w:r>
        <w:rPr>
          <w:spacing w:val="-4"/>
        </w:rPr>
        <w:t> </w:t>
      </w:r>
      <w:r>
        <w:rPr/>
        <w:t>on its benefits compared to 1080. Factors such as beliefs about the role of wild canids in the ecosystem, neighbour participation, and the coordination of management efforts also played a significant role.</w:t>
      </w:r>
    </w:p>
    <w:p>
      <w:pPr>
        <w:pStyle w:val="BodyText"/>
        <w:spacing w:before="156"/>
      </w:pPr>
    </w:p>
    <w:p>
      <w:pPr>
        <w:pStyle w:val="Heading3"/>
        <w:numPr>
          <w:ilvl w:val="1"/>
          <w:numId w:val="19"/>
        </w:numPr>
        <w:tabs>
          <w:tab w:pos="686" w:val="left" w:leader="none"/>
        </w:tabs>
        <w:spacing w:line="240" w:lineRule="auto" w:before="0" w:after="0"/>
        <w:ind w:left="686" w:right="0" w:hanging="574"/>
        <w:jc w:val="left"/>
      </w:pPr>
      <w:bookmarkStart w:name="_TOC_250031" w:id="79"/>
      <w:bookmarkEnd w:id="79"/>
      <w:r>
        <w:rPr>
          <w:color w:val="2D1E66"/>
          <w:spacing w:val="-2"/>
        </w:rPr>
        <w:t>Trapping</w:t>
      </w:r>
    </w:p>
    <w:p>
      <w:pPr>
        <w:pStyle w:val="BodyText"/>
        <w:spacing w:before="112"/>
        <w:ind w:left="112"/>
      </w:pPr>
      <w:r>
        <w:rPr/>
        <w:t>In</w:t>
      </w:r>
      <w:r>
        <w:rPr>
          <w:spacing w:val="-5"/>
        </w:rPr>
        <w:t> </w:t>
      </w:r>
      <w:r>
        <w:rPr/>
        <w:t>Victoria,</w:t>
      </w:r>
      <w:r>
        <w:rPr>
          <w:spacing w:val="-4"/>
        </w:rPr>
        <w:t> </w:t>
      </w:r>
      <w:r>
        <w:rPr/>
        <w:t>trapping</w:t>
      </w:r>
      <w:r>
        <w:rPr>
          <w:spacing w:val="-3"/>
        </w:rPr>
        <w:t> </w:t>
      </w:r>
      <w:r>
        <w:rPr/>
        <w:t>of</w:t>
      </w:r>
      <w:r>
        <w:rPr>
          <w:spacing w:val="-2"/>
        </w:rPr>
        <w:t> </w:t>
      </w:r>
      <w:r>
        <w:rPr/>
        <w:t>Dingoes</w:t>
      </w:r>
      <w:r>
        <w:rPr>
          <w:spacing w:val="-3"/>
        </w:rPr>
        <w:t> </w:t>
      </w:r>
      <w:r>
        <w:rPr/>
        <w:t>and</w:t>
      </w:r>
      <w:r>
        <w:rPr>
          <w:spacing w:val="-3"/>
        </w:rPr>
        <w:t> </w:t>
      </w:r>
      <w:r>
        <w:rPr/>
        <w:t>Wild</w:t>
      </w:r>
      <w:r>
        <w:rPr>
          <w:spacing w:val="-4"/>
        </w:rPr>
        <w:t> </w:t>
      </w:r>
      <w:r>
        <w:rPr/>
        <w:t>Dogs</w:t>
      </w:r>
      <w:r>
        <w:rPr>
          <w:spacing w:val="-3"/>
        </w:rPr>
        <w:t> </w:t>
      </w:r>
      <w:r>
        <w:rPr/>
        <w:t>is</w:t>
      </w:r>
      <w:r>
        <w:rPr>
          <w:spacing w:val="-3"/>
        </w:rPr>
        <w:t> </w:t>
      </w:r>
      <w:r>
        <w:rPr/>
        <w:t>a</w:t>
      </w:r>
      <w:r>
        <w:rPr>
          <w:spacing w:val="-5"/>
        </w:rPr>
        <w:t> </w:t>
      </w:r>
      <w:r>
        <w:rPr/>
        <w:t>key</w:t>
      </w:r>
      <w:r>
        <w:rPr>
          <w:spacing w:val="-1"/>
        </w:rPr>
        <w:t> </w:t>
      </w:r>
      <w:r>
        <w:rPr/>
        <w:t>component</w:t>
      </w:r>
      <w:r>
        <w:rPr>
          <w:spacing w:val="-2"/>
        </w:rPr>
        <w:t> </w:t>
      </w:r>
      <w:r>
        <w:rPr/>
        <w:t>of</w:t>
      </w:r>
      <w:r>
        <w:rPr>
          <w:spacing w:val="-2"/>
        </w:rPr>
        <w:t> </w:t>
      </w:r>
      <w:r>
        <w:rPr/>
        <w:t>an</w:t>
      </w:r>
      <w:r>
        <w:rPr>
          <w:spacing w:val="-3"/>
        </w:rPr>
        <w:t> </w:t>
      </w:r>
      <w:r>
        <w:rPr/>
        <w:t>integrated</w:t>
      </w:r>
      <w:r>
        <w:rPr>
          <w:spacing w:val="-4"/>
        </w:rPr>
        <w:t> </w:t>
      </w:r>
      <w:r>
        <w:rPr/>
        <w:t>management programme aimed at mitigating their impact on livestock. Trapping is also used in situations where poison baiting proves less efficient, such as in or around lambing paddocks where food is abundant, or where other methods, like</w:t>
      </w:r>
    </w:p>
    <w:p>
      <w:pPr>
        <w:spacing w:after="0"/>
        <w:sectPr>
          <w:footerReference w:type="default" r:id="rId60"/>
          <w:pgSz w:w="11910" w:h="16850"/>
          <w:pgMar w:header="0" w:footer="688" w:top="1060" w:bottom="880" w:left="1020" w:right="1020"/>
          <w:pgNumType w:start="59"/>
        </w:sectPr>
      </w:pPr>
    </w:p>
    <w:p>
      <w:pPr>
        <w:pStyle w:val="BodyText"/>
        <w:spacing w:before="71"/>
        <w:ind w:left="112" w:right="147"/>
      </w:pPr>
      <w:r>
        <w:rPr/>
        <w:t>shooting, cannot be used due to proximity to peri-urban or urban areas. Additionally, trapping serves as a follow-up</w:t>
      </w:r>
      <w:r>
        <w:rPr>
          <w:spacing w:val="-4"/>
        </w:rPr>
        <w:t> </w:t>
      </w:r>
      <w:r>
        <w:rPr/>
        <w:t>measure</w:t>
      </w:r>
      <w:r>
        <w:rPr>
          <w:spacing w:val="-4"/>
        </w:rPr>
        <w:t> </w:t>
      </w:r>
      <w:r>
        <w:rPr/>
        <w:t>after</w:t>
      </w:r>
      <w:r>
        <w:rPr>
          <w:spacing w:val="-3"/>
        </w:rPr>
        <w:t> </w:t>
      </w:r>
      <w:r>
        <w:rPr/>
        <w:t>1080</w:t>
      </w:r>
      <w:r>
        <w:rPr>
          <w:spacing w:val="-4"/>
        </w:rPr>
        <w:t> </w:t>
      </w:r>
      <w:r>
        <w:rPr/>
        <w:t>baiting programmes,</w:t>
      </w:r>
      <w:r>
        <w:rPr>
          <w:spacing w:val="-4"/>
        </w:rPr>
        <w:t> </w:t>
      </w:r>
      <w:r>
        <w:rPr/>
        <w:t>though</w:t>
      </w:r>
      <w:r>
        <w:rPr>
          <w:spacing w:val="-2"/>
        </w:rPr>
        <w:t> </w:t>
      </w:r>
      <w:r>
        <w:rPr/>
        <w:t>it</w:t>
      </w:r>
      <w:r>
        <w:rPr>
          <w:spacing w:val="-2"/>
        </w:rPr>
        <w:t> </w:t>
      </w:r>
      <w:r>
        <w:rPr/>
        <w:t>is</w:t>
      </w:r>
      <w:r>
        <w:rPr>
          <w:spacing w:val="-3"/>
        </w:rPr>
        <w:t> </w:t>
      </w:r>
      <w:r>
        <w:rPr/>
        <w:t>considered</w:t>
      </w:r>
      <w:r>
        <w:rPr>
          <w:spacing w:val="-2"/>
        </w:rPr>
        <w:t> </w:t>
      </w:r>
      <w:r>
        <w:rPr/>
        <w:t>an</w:t>
      </w:r>
      <w:r>
        <w:rPr>
          <w:spacing w:val="-3"/>
        </w:rPr>
        <w:t> </w:t>
      </w:r>
      <w:r>
        <w:rPr/>
        <w:t>inefficient</w:t>
      </w:r>
      <w:r>
        <w:rPr>
          <w:spacing w:val="-4"/>
        </w:rPr>
        <w:t> </w:t>
      </w:r>
      <w:r>
        <w:rPr/>
        <w:t>approach</w:t>
      </w:r>
      <w:r>
        <w:rPr>
          <w:spacing w:val="-2"/>
        </w:rPr>
        <w:t> </w:t>
      </w:r>
      <w:r>
        <w:rPr/>
        <w:t>for</w:t>
      </w:r>
      <w:r>
        <w:rPr>
          <w:spacing w:val="-4"/>
        </w:rPr>
        <w:t> </w:t>
      </w:r>
      <w:r>
        <w:rPr/>
        <w:t>general population</w:t>
      </w:r>
      <w:r>
        <w:rPr>
          <w:spacing w:val="-1"/>
        </w:rPr>
        <w:t> </w:t>
      </w:r>
      <w:r>
        <w:rPr/>
        <w:t>control (Sharp 2012e). In</w:t>
      </w:r>
      <w:r>
        <w:rPr>
          <w:spacing w:val="-2"/>
        </w:rPr>
        <w:t> </w:t>
      </w:r>
      <w:r>
        <w:rPr/>
        <w:t>recent</w:t>
      </w:r>
      <w:r>
        <w:rPr>
          <w:spacing w:val="-1"/>
        </w:rPr>
        <w:t> </w:t>
      </w:r>
      <w:r>
        <w:rPr/>
        <w:t>years,</w:t>
      </w:r>
      <w:r>
        <w:rPr>
          <w:spacing w:val="-1"/>
        </w:rPr>
        <w:t> </w:t>
      </w:r>
      <w:r>
        <w:rPr/>
        <w:t>the humaneness of leghold</w:t>
      </w:r>
      <w:r>
        <w:rPr>
          <w:spacing w:val="-1"/>
        </w:rPr>
        <w:t> </w:t>
      </w:r>
      <w:r>
        <w:rPr/>
        <w:t>traps has garnered increasing attention</w:t>
      </w:r>
      <w:r>
        <w:rPr>
          <w:spacing w:val="-3"/>
        </w:rPr>
        <w:t> </w:t>
      </w:r>
      <w:r>
        <w:rPr/>
        <w:t>from</w:t>
      </w:r>
      <w:r>
        <w:rPr>
          <w:spacing w:val="-3"/>
        </w:rPr>
        <w:t> </w:t>
      </w:r>
      <w:r>
        <w:rPr/>
        <w:t>animal</w:t>
      </w:r>
      <w:r>
        <w:rPr>
          <w:spacing w:val="-2"/>
        </w:rPr>
        <w:t> </w:t>
      </w:r>
      <w:r>
        <w:rPr/>
        <w:t>welfare</w:t>
      </w:r>
      <w:r>
        <w:rPr>
          <w:spacing w:val="-3"/>
        </w:rPr>
        <w:t> </w:t>
      </w:r>
      <w:r>
        <w:rPr/>
        <w:t>groups</w:t>
      </w:r>
      <w:r>
        <w:rPr>
          <w:spacing w:val="-1"/>
        </w:rPr>
        <w:t> </w:t>
      </w:r>
      <w:r>
        <w:rPr/>
        <w:t>and</w:t>
      </w:r>
      <w:r>
        <w:rPr>
          <w:spacing w:val="-1"/>
        </w:rPr>
        <w:t> </w:t>
      </w:r>
      <w:r>
        <w:rPr/>
        <w:t>anti-trapping</w:t>
      </w:r>
      <w:r>
        <w:rPr>
          <w:spacing w:val="-1"/>
        </w:rPr>
        <w:t> </w:t>
      </w:r>
      <w:r>
        <w:rPr/>
        <w:t>advocates,</w:t>
      </w:r>
      <w:r>
        <w:rPr>
          <w:spacing w:val="-1"/>
        </w:rPr>
        <w:t> </w:t>
      </w:r>
      <w:r>
        <w:rPr/>
        <w:t>driven</w:t>
      </w:r>
      <w:r>
        <w:rPr>
          <w:spacing w:val="-1"/>
        </w:rPr>
        <w:t> </w:t>
      </w:r>
      <w:r>
        <w:rPr/>
        <w:t>by</w:t>
      </w:r>
      <w:r>
        <w:rPr>
          <w:spacing w:val="-2"/>
        </w:rPr>
        <w:t> </w:t>
      </w:r>
      <w:r>
        <w:rPr/>
        <w:t>growing</w:t>
      </w:r>
      <w:r>
        <w:rPr>
          <w:spacing w:val="-4"/>
        </w:rPr>
        <w:t> </w:t>
      </w:r>
      <w:r>
        <w:rPr/>
        <w:t>societal</w:t>
      </w:r>
      <w:r>
        <w:rPr>
          <w:spacing w:val="-2"/>
        </w:rPr>
        <w:t> </w:t>
      </w:r>
      <w:r>
        <w:rPr/>
        <w:t>concerns</w:t>
      </w:r>
      <w:r>
        <w:rPr>
          <w:spacing w:val="-1"/>
        </w:rPr>
        <w:t> </w:t>
      </w:r>
      <w:r>
        <w:rPr/>
        <w:t>about the welfare of trapped animals (Allen et al. 2022) (see Section </w:t>
      </w:r>
      <w:hyperlink w:history="true" w:anchor="_bookmark22">
        <w:r>
          <w:rPr/>
          <w:t>15</w:t>
        </w:r>
      </w:hyperlink>
      <w:r>
        <w:rPr/>
        <w:t>). In Victoria, the use of trap alert systems (which send text messages altering operators of a trap closer) have decreased response times.</w:t>
      </w:r>
    </w:p>
    <w:p>
      <w:pPr>
        <w:pStyle w:val="BodyText"/>
        <w:spacing w:before="121"/>
        <w:ind w:left="112"/>
      </w:pPr>
      <w:r>
        <w:rPr/>
        <w:t>A recent survey of ACUP users in Victoria revealed that 23% use trapping as their primary control method, while</w:t>
      </w:r>
      <w:r>
        <w:rPr>
          <w:spacing w:val="-4"/>
        </w:rPr>
        <w:t> </w:t>
      </w:r>
      <w:r>
        <w:rPr/>
        <w:t>51%</w:t>
      </w:r>
      <w:r>
        <w:rPr>
          <w:spacing w:val="-4"/>
        </w:rPr>
        <w:t> </w:t>
      </w:r>
      <w:r>
        <w:rPr/>
        <w:t>have</w:t>
      </w:r>
      <w:r>
        <w:rPr>
          <w:spacing w:val="-4"/>
        </w:rPr>
        <w:t> </w:t>
      </w:r>
      <w:r>
        <w:rPr/>
        <w:t>employed</w:t>
      </w:r>
      <w:r>
        <w:rPr>
          <w:spacing w:val="-3"/>
        </w:rPr>
        <w:t> </w:t>
      </w:r>
      <w:r>
        <w:rPr/>
        <w:t>it</w:t>
      </w:r>
      <w:r>
        <w:rPr>
          <w:spacing w:val="-4"/>
        </w:rPr>
        <w:t> </w:t>
      </w:r>
      <w:r>
        <w:rPr/>
        <w:t>within</w:t>
      </w:r>
      <w:r>
        <w:rPr>
          <w:spacing w:val="-2"/>
        </w:rPr>
        <w:t> </w:t>
      </w:r>
      <w:r>
        <w:rPr/>
        <w:t>the</w:t>
      </w:r>
      <w:r>
        <w:rPr>
          <w:spacing w:val="-2"/>
        </w:rPr>
        <w:t> </w:t>
      </w:r>
      <w:r>
        <w:rPr/>
        <w:t>last</w:t>
      </w:r>
      <w:r>
        <w:rPr>
          <w:spacing w:val="-2"/>
        </w:rPr>
        <w:t> </w:t>
      </w:r>
      <w:r>
        <w:rPr/>
        <w:t>five</w:t>
      </w:r>
      <w:r>
        <w:rPr>
          <w:spacing w:val="-4"/>
        </w:rPr>
        <w:t> </w:t>
      </w:r>
      <w:r>
        <w:rPr/>
        <w:t>years.</w:t>
      </w:r>
      <w:r>
        <w:rPr>
          <w:spacing w:val="-4"/>
        </w:rPr>
        <w:t> </w:t>
      </w:r>
      <w:r>
        <w:rPr/>
        <w:t>Public</w:t>
      </w:r>
      <w:r>
        <w:rPr>
          <w:spacing w:val="-1"/>
        </w:rPr>
        <w:t> </w:t>
      </w:r>
      <w:r>
        <w:rPr/>
        <w:t>land</w:t>
      </w:r>
      <w:r>
        <w:rPr>
          <w:spacing w:val="-4"/>
        </w:rPr>
        <w:t> </w:t>
      </w:r>
      <w:r>
        <w:rPr/>
        <w:t>managers</w:t>
      </w:r>
      <w:r>
        <w:rPr>
          <w:spacing w:val="-3"/>
        </w:rPr>
        <w:t> </w:t>
      </w:r>
      <w:r>
        <w:rPr/>
        <w:t>were</w:t>
      </w:r>
      <w:r>
        <w:rPr>
          <w:spacing w:val="-1"/>
        </w:rPr>
        <w:t> </w:t>
      </w:r>
      <w:r>
        <w:rPr/>
        <w:t>more</w:t>
      </w:r>
      <w:r>
        <w:rPr>
          <w:spacing w:val="-2"/>
        </w:rPr>
        <w:t> </w:t>
      </w:r>
      <w:r>
        <w:rPr/>
        <w:t>likely</w:t>
      </w:r>
      <w:r>
        <w:rPr>
          <w:spacing w:val="-3"/>
        </w:rPr>
        <w:t> </w:t>
      </w:r>
      <w:r>
        <w:rPr/>
        <w:t>to</w:t>
      </w:r>
      <w:r>
        <w:rPr>
          <w:spacing w:val="-3"/>
        </w:rPr>
        <w:t> </w:t>
      </w:r>
      <w:r>
        <w:rPr/>
        <w:t>use</w:t>
      </w:r>
      <w:r>
        <w:rPr>
          <w:spacing w:val="-4"/>
        </w:rPr>
        <w:t> </w:t>
      </w:r>
      <w:r>
        <w:rPr/>
        <w:t>trapping (67%) than commercial or hobby farmers (Quantum Market Research 2024).</w:t>
      </w:r>
    </w:p>
    <w:p>
      <w:pPr>
        <w:pStyle w:val="BodyText"/>
        <w:spacing w:before="121"/>
        <w:ind w:left="112" w:right="173"/>
      </w:pPr>
      <w:r>
        <w:rPr/>
        <w:t>Although leghold</w:t>
      </w:r>
      <w:r>
        <w:rPr>
          <w:spacing w:val="-2"/>
        </w:rPr>
        <w:t> </w:t>
      </w:r>
      <w:r>
        <w:rPr/>
        <w:t>traps</w:t>
      </w:r>
      <w:r>
        <w:rPr>
          <w:spacing w:val="-1"/>
        </w:rPr>
        <w:t> </w:t>
      </w:r>
      <w:r>
        <w:rPr/>
        <w:t>have</w:t>
      </w:r>
      <w:r>
        <w:rPr>
          <w:spacing w:val="-2"/>
        </w:rPr>
        <w:t> </w:t>
      </w:r>
      <w:r>
        <w:rPr/>
        <w:t>been</w:t>
      </w:r>
      <w:r>
        <w:rPr>
          <w:spacing w:val="-3"/>
        </w:rPr>
        <w:t> </w:t>
      </w:r>
      <w:r>
        <w:rPr/>
        <w:t>used</w:t>
      </w:r>
      <w:r>
        <w:rPr>
          <w:spacing w:val="-2"/>
        </w:rPr>
        <w:t> </w:t>
      </w:r>
      <w:r>
        <w:rPr/>
        <w:t>to control Dingoes</w:t>
      </w:r>
      <w:r>
        <w:rPr>
          <w:spacing w:val="-1"/>
        </w:rPr>
        <w:t> </w:t>
      </w:r>
      <w:r>
        <w:rPr/>
        <w:t>and</w:t>
      </w:r>
      <w:r>
        <w:rPr>
          <w:spacing w:val="-2"/>
        </w:rPr>
        <w:t> </w:t>
      </w:r>
      <w:r>
        <w:rPr/>
        <w:t>Wild</w:t>
      </w:r>
      <w:r>
        <w:rPr>
          <w:spacing w:val="-2"/>
        </w:rPr>
        <w:t> </w:t>
      </w:r>
      <w:r>
        <w:rPr/>
        <w:t>Dogs</w:t>
      </w:r>
      <w:r>
        <w:rPr>
          <w:spacing w:val="-1"/>
        </w:rPr>
        <w:t> </w:t>
      </w:r>
      <w:r>
        <w:rPr/>
        <w:t>in Australia</w:t>
      </w:r>
      <w:r>
        <w:rPr>
          <w:spacing w:val="-2"/>
        </w:rPr>
        <w:t> </w:t>
      </w:r>
      <w:r>
        <w:rPr/>
        <w:t>since the introduction of Sheep by European settlers (Fleming et al. 1988; Harden and Robertshaw 2014), there is limited published</w:t>
      </w:r>
      <w:r>
        <w:rPr>
          <w:spacing w:val="-4"/>
        </w:rPr>
        <w:t> </w:t>
      </w:r>
      <w:r>
        <w:rPr/>
        <w:t>research</w:t>
      </w:r>
      <w:r>
        <w:rPr>
          <w:spacing w:val="-2"/>
        </w:rPr>
        <w:t> </w:t>
      </w:r>
      <w:r>
        <w:rPr/>
        <w:t>on</w:t>
      </w:r>
      <w:r>
        <w:rPr>
          <w:spacing w:val="-5"/>
        </w:rPr>
        <w:t> </w:t>
      </w:r>
      <w:r>
        <w:rPr/>
        <w:t>the</w:t>
      </w:r>
      <w:r>
        <w:rPr>
          <w:spacing w:val="-3"/>
        </w:rPr>
        <w:t> </w:t>
      </w:r>
      <w:r>
        <w:rPr/>
        <w:t>efficacy</w:t>
      </w:r>
      <w:r>
        <w:rPr>
          <w:spacing w:val="-3"/>
        </w:rPr>
        <w:t> </w:t>
      </w:r>
      <w:r>
        <w:rPr/>
        <w:t>of</w:t>
      </w:r>
      <w:r>
        <w:rPr>
          <w:spacing w:val="-2"/>
        </w:rPr>
        <w:t> </w:t>
      </w:r>
      <w:r>
        <w:rPr/>
        <w:t>trapping (but</w:t>
      </w:r>
      <w:r>
        <w:rPr>
          <w:spacing w:val="-4"/>
        </w:rPr>
        <w:t> </w:t>
      </w:r>
      <w:r>
        <w:rPr/>
        <w:t>see</w:t>
      </w:r>
      <w:r>
        <w:rPr>
          <w:spacing w:val="-3"/>
        </w:rPr>
        <w:t> </w:t>
      </w:r>
      <w:r>
        <w:rPr/>
        <w:t>notable</w:t>
      </w:r>
      <w:r>
        <w:rPr>
          <w:spacing w:val="-4"/>
        </w:rPr>
        <w:t> </w:t>
      </w:r>
      <w:r>
        <w:rPr/>
        <w:t>studies</w:t>
      </w:r>
      <w:r>
        <w:rPr>
          <w:spacing w:val="-1"/>
        </w:rPr>
        <w:t> </w:t>
      </w:r>
      <w:r>
        <w:rPr/>
        <w:t>by</w:t>
      </w:r>
      <w:r>
        <w:rPr>
          <w:spacing w:val="-1"/>
        </w:rPr>
        <w:t> </w:t>
      </w:r>
      <w:r>
        <w:rPr/>
        <w:t>Meek</w:t>
      </w:r>
      <w:r>
        <w:rPr>
          <w:spacing w:val="-3"/>
        </w:rPr>
        <w:t> </w:t>
      </w:r>
      <w:r>
        <w:rPr/>
        <w:t>et</w:t>
      </w:r>
      <w:r>
        <w:rPr>
          <w:spacing w:val="-4"/>
        </w:rPr>
        <w:t> </w:t>
      </w:r>
      <w:r>
        <w:rPr/>
        <w:t>al.</w:t>
      </w:r>
      <w:r>
        <w:rPr>
          <w:spacing w:val="-4"/>
        </w:rPr>
        <w:t> </w:t>
      </w:r>
      <w:r>
        <w:rPr/>
        <w:t>1995;</w:t>
      </w:r>
      <w:r>
        <w:rPr>
          <w:spacing w:val="-2"/>
        </w:rPr>
        <w:t> </w:t>
      </w:r>
      <w:r>
        <w:rPr/>
        <w:t>Newsome</w:t>
      </w:r>
      <w:r>
        <w:rPr>
          <w:spacing w:val="-2"/>
        </w:rPr>
        <w:t> </w:t>
      </w:r>
      <w:r>
        <w:rPr/>
        <w:t>et</w:t>
      </w:r>
      <w:r>
        <w:rPr>
          <w:spacing w:val="-4"/>
        </w:rPr>
        <w:t> </w:t>
      </w:r>
      <w:r>
        <w:rPr/>
        <w:t>al. 1983, and Pacioni et al. 2021), and even less research as it relates to a reduction in the population.</w:t>
      </w:r>
    </w:p>
    <w:p>
      <w:pPr>
        <w:pStyle w:val="BodyText"/>
        <w:spacing w:before="119"/>
        <w:ind w:left="112" w:right="193"/>
      </w:pPr>
      <w:r>
        <w:rPr/>
        <w:t>Capture efficacy (CE) is typically defined as the number of target animals captured per 100 trap-nights. Fleming et al. (1988) analysed data from nine sites across Australia, seven of which used leghold traps to target Wild Dogs.</w:t>
      </w:r>
      <w:r>
        <w:rPr>
          <w:spacing w:val="-2"/>
        </w:rPr>
        <w:t> </w:t>
      </w:r>
      <w:r>
        <w:rPr/>
        <w:t>They</w:t>
      </w:r>
      <w:r>
        <w:rPr>
          <w:spacing w:val="-1"/>
        </w:rPr>
        <w:t> </w:t>
      </w:r>
      <w:r>
        <w:rPr/>
        <w:t>reported</w:t>
      </w:r>
      <w:r>
        <w:rPr>
          <w:spacing w:val="-2"/>
        </w:rPr>
        <w:t> </w:t>
      </w:r>
      <w:r>
        <w:rPr/>
        <w:t>a</w:t>
      </w:r>
      <w:r>
        <w:rPr>
          <w:spacing w:val="-1"/>
        </w:rPr>
        <w:t> </w:t>
      </w:r>
      <w:r>
        <w:rPr/>
        <w:t>CE of 2.45 for</w:t>
      </w:r>
      <w:r>
        <w:rPr>
          <w:spacing w:val="-1"/>
        </w:rPr>
        <w:t> </w:t>
      </w:r>
      <w:r>
        <w:rPr/>
        <w:t>padded</w:t>
      </w:r>
      <w:r>
        <w:rPr>
          <w:spacing w:val="-3"/>
        </w:rPr>
        <w:t> </w:t>
      </w:r>
      <w:r>
        <w:rPr/>
        <w:t>Lane’s</w:t>
      </w:r>
      <w:r>
        <w:rPr>
          <w:spacing w:val="-1"/>
        </w:rPr>
        <w:t> </w:t>
      </w:r>
      <w:r>
        <w:rPr/>
        <w:t>traps</w:t>
      </w:r>
      <w:r>
        <w:rPr>
          <w:spacing w:val="-1"/>
        </w:rPr>
        <w:t> </w:t>
      </w:r>
      <w:r>
        <w:rPr/>
        <w:t>and</w:t>
      </w:r>
      <w:r>
        <w:rPr>
          <w:spacing w:val="-1"/>
        </w:rPr>
        <w:t> </w:t>
      </w:r>
      <w:r>
        <w:rPr/>
        <w:t>2.11 for</w:t>
      </w:r>
      <w:r>
        <w:rPr>
          <w:spacing w:val="-1"/>
        </w:rPr>
        <w:t> </w:t>
      </w:r>
      <w:r>
        <w:rPr/>
        <w:t>Victor Soft®</w:t>
      </w:r>
      <w:r>
        <w:rPr>
          <w:spacing w:val="-2"/>
        </w:rPr>
        <w:t> </w:t>
      </w:r>
      <w:r>
        <w:rPr/>
        <w:t>Catch</w:t>
      </w:r>
      <w:r>
        <w:rPr>
          <w:spacing w:val="-2"/>
        </w:rPr>
        <w:t> </w:t>
      </w:r>
      <w:r>
        <w:rPr/>
        <w:t>traps. McIlroy et al. (1986) used modified Oneida leghold traps to capture Wild Dogs in southeastern Australia, achieving</w:t>
      </w:r>
      <w:r>
        <w:rPr>
          <w:spacing w:val="-1"/>
        </w:rPr>
        <w:t> </w:t>
      </w:r>
      <w:r>
        <w:rPr/>
        <w:t>a</w:t>
      </w:r>
      <w:r>
        <w:rPr>
          <w:spacing w:val="-2"/>
        </w:rPr>
        <w:t> </w:t>
      </w:r>
      <w:r>
        <w:rPr/>
        <w:t>CE</w:t>
      </w:r>
      <w:r>
        <w:rPr>
          <w:spacing w:val="-2"/>
        </w:rPr>
        <w:t> </w:t>
      </w:r>
      <w:r>
        <w:rPr/>
        <w:t>of 1.56</w:t>
      </w:r>
      <w:r>
        <w:rPr>
          <w:spacing w:val="-2"/>
        </w:rPr>
        <w:t> </w:t>
      </w:r>
      <w:r>
        <w:rPr/>
        <w:t>(TN =</w:t>
      </w:r>
      <w:r>
        <w:rPr>
          <w:spacing w:val="-1"/>
        </w:rPr>
        <w:t> </w:t>
      </w:r>
      <w:r>
        <w:rPr/>
        <w:t>896)</w:t>
      </w:r>
      <w:r>
        <w:rPr>
          <w:spacing w:val="-2"/>
        </w:rPr>
        <w:t> </w:t>
      </w:r>
      <w:r>
        <w:rPr/>
        <w:t>and</w:t>
      </w:r>
      <w:r>
        <w:rPr>
          <w:spacing w:val="-3"/>
        </w:rPr>
        <w:t> </w:t>
      </w:r>
      <w:r>
        <w:rPr/>
        <w:t>a 56% reduction</w:t>
      </w:r>
      <w:r>
        <w:rPr>
          <w:spacing w:val="-2"/>
        </w:rPr>
        <w:t> </w:t>
      </w:r>
      <w:r>
        <w:rPr/>
        <w:t>in the population. Newsome</w:t>
      </w:r>
      <w:r>
        <w:rPr>
          <w:spacing w:val="-2"/>
        </w:rPr>
        <w:t> </w:t>
      </w:r>
      <w:r>
        <w:rPr/>
        <w:t>et al.</w:t>
      </w:r>
      <w:r>
        <w:rPr>
          <w:spacing w:val="-2"/>
        </w:rPr>
        <w:t> </w:t>
      </w:r>
      <w:r>
        <w:rPr/>
        <w:t>(1983) reported a CE of 1.72 using Oneida traps (TN = 2692) (Table 9). Estimates of trapping efficacy can vary depending on factors such as the trapper’s experience, target animal population density, non-target animal density, prior exposure of the target species to trapping, the sex and age distribution of the target population, and seasonal</w:t>
      </w:r>
      <w:r>
        <w:rPr>
          <w:spacing w:val="-5"/>
        </w:rPr>
        <w:t> </w:t>
      </w:r>
      <w:r>
        <w:rPr/>
        <w:t>and</w:t>
      </w:r>
      <w:r>
        <w:rPr>
          <w:spacing w:val="-4"/>
        </w:rPr>
        <w:t> </w:t>
      </w:r>
      <w:r>
        <w:rPr/>
        <w:t>site</w:t>
      </w:r>
      <w:r>
        <w:rPr>
          <w:spacing w:val="-4"/>
        </w:rPr>
        <w:t> </w:t>
      </w:r>
      <w:r>
        <w:rPr/>
        <w:t>conditions (Fleming</w:t>
      </w:r>
      <w:r>
        <w:rPr>
          <w:spacing w:val="-5"/>
        </w:rPr>
        <w:t> </w:t>
      </w:r>
      <w:r>
        <w:rPr/>
        <w:t>et</w:t>
      </w:r>
      <w:r>
        <w:rPr>
          <w:spacing w:val="-4"/>
        </w:rPr>
        <w:t> </w:t>
      </w:r>
      <w:r>
        <w:rPr/>
        <w:t>al.</w:t>
      </w:r>
      <w:r>
        <w:rPr>
          <w:spacing w:val="-4"/>
        </w:rPr>
        <w:t> </w:t>
      </w:r>
      <w:r>
        <w:rPr/>
        <w:t>1988).</w:t>
      </w:r>
      <w:r>
        <w:rPr>
          <w:spacing w:val="-2"/>
        </w:rPr>
        <w:t> </w:t>
      </w:r>
      <w:r>
        <w:rPr/>
        <w:t>In</w:t>
      </w:r>
      <w:r>
        <w:rPr>
          <w:spacing w:val="-5"/>
        </w:rPr>
        <w:t> </w:t>
      </w:r>
      <w:r>
        <w:rPr/>
        <w:t>a</w:t>
      </w:r>
      <w:r>
        <w:rPr>
          <w:spacing w:val="-2"/>
        </w:rPr>
        <w:t> </w:t>
      </w:r>
      <w:r>
        <w:rPr/>
        <w:t>study</w:t>
      </w:r>
      <w:r>
        <w:rPr>
          <w:spacing w:val="-3"/>
        </w:rPr>
        <w:t> </w:t>
      </w:r>
      <w:r>
        <w:rPr/>
        <w:t>on</w:t>
      </w:r>
      <w:r>
        <w:rPr>
          <w:spacing w:val="-3"/>
        </w:rPr>
        <w:t> </w:t>
      </w:r>
      <w:r>
        <w:rPr/>
        <w:t>trapping</w:t>
      </w:r>
      <w:r>
        <w:rPr>
          <w:spacing w:val="-2"/>
        </w:rPr>
        <w:t> </w:t>
      </w:r>
      <w:r>
        <w:rPr/>
        <w:t>Dingoes</w:t>
      </w:r>
      <w:r>
        <w:rPr>
          <w:spacing w:val="-1"/>
        </w:rPr>
        <w:t> </w:t>
      </w:r>
      <w:r>
        <w:rPr/>
        <w:t>and</w:t>
      </w:r>
      <w:r>
        <w:rPr>
          <w:spacing w:val="-1"/>
        </w:rPr>
        <w:t> </w:t>
      </w:r>
      <w:r>
        <w:rPr/>
        <w:t>Wild</w:t>
      </w:r>
      <w:r>
        <w:rPr>
          <w:spacing w:val="-2"/>
        </w:rPr>
        <w:t> </w:t>
      </w:r>
      <w:r>
        <w:rPr/>
        <w:t>Dogs</w:t>
      </w:r>
      <w:r>
        <w:rPr>
          <w:spacing w:val="-1"/>
        </w:rPr>
        <w:t> </w:t>
      </w:r>
      <w:r>
        <w:rPr/>
        <w:t>in</w:t>
      </w:r>
      <w:r>
        <w:rPr>
          <w:spacing w:val="-1"/>
        </w:rPr>
        <w:t> </w:t>
      </w:r>
      <w:r>
        <w:rPr/>
        <w:t>Victoria, Pacioni et al. (2021) found that the mean probability of trapping an individual dog was 8–10% with 15 traps or 15–20% with 30 traps over 28 days.</w:t>
      </w:r>
    </w:p>
    <w:p>
      <w:pPr>
        <w:pStyle w:val="BodyText"/>
        <w:spacing w:before="121"/>
        <w:ind w:left="112"/>
      </w:pPr>
      <w:r>
        <w:rPr/>
        <w:t>Confinement</w:t>
      </w:r>
      <w:r>
        <w:rPr>
          <w:spacing w:val="-6"/>
        </w:rPr>
        <w:t> </w:t>
      </w:r>
      <w:r>
        <w:rPr/>
        <w:t>traps</w:t>
      </w:r>
      <w:r>
        <w:rPr>
          <w:spacing w:val="-5"/>
        </w:rPr>
        <w:t> </w:t>
      </w:r>
      <w:r>
        <w:rPr/>
        <w:t>(cage</w:t>
      </w:r>
      <w:r>
        <w:rPr>
          <w:spacing w:val="-6"/>
        </w:rPr>
        <w:t> </w:t>
      </w:r>
      <w:r>
        <w:rPr/>
        <w:t>traps)</w:t>
      </w:r>
      <w:r>
        <w:rPr>
          <w:spacing w:val="-5"/>
        </w:rPr>
        <w:t> </w:t>
      </w:r>
      <w:r>
        <w:rPr/>
        <w:t>are</w:t>
      </w:r>
      <w:r>
        <w:rPr>
          <w:spacing w:val="-6"/>
        </w:rPr>
        <w:t> </w:t>
      </w:r>
      <w:r>
        <w:rPr/>
        <w:t>not</w:t>
      </w:r>
      <w:r>
        <w:rPr>
          <w:spacing w:val="-6"/>
        </w:rPr>
        <w:t> </w:t>
      </w:r>
      <w:r>
        <w:rPr/>
        <w:t>used</w:t>
      </w:r>
      <w:r>
        <w:rPr>
          <w:spacing w:val="-5"/>
        </w:rPr>
        <w:t> </w:t>
      </w:r>
      <w:r>
        <w:rPr/>
        <w:t>to</w:t>
      </w:r>
      <w:r>
        <w:rPr>
          <w:spacing w:val="-4"/>
        </w:rPr>
        <w:t> </w:t>
      </w:r>
      <w:r>
        <w:rPr/>
        <w:t>manage</w:t>
      </w:r>
      <w:r>
        <w:rPr>
          <w:spacing w:val="-2"/>
        </w:rPr>
        <w:t> </w:t>
      </w:r>
      <w:r>
        <w:rPr/>
        <w:t>Dingoes</w:t>
      </w:r>
      <w:r>
        <w:rPr>
          <w:spacing w:val="-5"/>
        </w:rPr>
        <w:t> </w:t>
      </w:r>
      <w:r>
        <w:rPr/>
        <w:t>or</w:t>
      </w:r>
      <w:r>
        <w:rPr>
          <w:spacing w:val="-5"/>
        </w:rPr>
        <w:t> </w:t>
      </w:r>
      <w:r>
        <w:rPr/>
        <w:t>Wild</w:t>
      </w:r>
      <w:r>
        <w:rPr>
          <w:spacing w:val="-5"/>
        </w:rPr>
        <w:t> </w:t>
      </w:r>
      <w:r>
        <w:rPr/>
        <w:t>Dogs</w:t>
      </w:r>
      <w:r>
        <w:rPr>
          <w:spacing w:val="-5"/>
        </w:rPr>
        <w:t> </w:t>
      </w:r>
      <w:r>
        <w:rPr/>
        <w:t>in</w:t>
      </w:r>
      <w:r>
        <w:rPr>
          <w:spacing w:val="-3"/>
        </w:rPr>
        <w:t> </w:t>
      </w:r>
      <w:r>
        <w:rPr>
          <w:spacing w:val="-2"/>
        </w:rPr>
        <w:t>Victoria.</w:t>
      </w:r>
    </w:p>
    <w:p>
      <w:pPr>
        <w:pStyle w:val="BodyText"/>
        <w:spacing w:before="155"/>
      </w:pPr>
    </w:p>
    <w:p>
      <w:pPr>
        <w:pStyle w:val="Heading3"/>
        <w:numPr>
          <w:ilvl w:val="1"/>
          <w:numId w:val="19"/>
        </w:numPr>
        <w:tabs>
          <w:tab w:pos="686" w:val="left" w:leader="none"/>
        </w:tabs>
        <w:spacing w:line="240" w:lineRule="auto" w:before="0" w:after="0"/>
        <w:ind w:left="686" w:right="0" w:hanging="574"/>
        <w:jc w:val="left"/>
      </w:pPr>
      <w:bookmarkStart w:name="_TOC_250030" w:id="80"/>
      <w:bookmarkEnd w:id="80"/>
      <w:r>
        <w:rPr>
          <w:color w:val="2D1E66"/>
          <w:spacing w:val="-2"/>
        </w:rPr>
        <w:t>Shooting</w:t>
      </w:r>
    </w:p>
    <w:p>
      <w:pPr>
        <w:pStyle w:val="BodyText"/>
        <w:spacing w:before="112"/>
        <w:ind w:left="112" w:right="173"/>
      </w:pPr>
      <w:r>
        <w:rPr/>
        <w:t>We found no studies investigating the efficacy of shooting as a control tool for reducing the abundance of Dingo or Wild Dog populations. In Victoria, shooting is employed as a supplementary measure within an integrated</w:t>
      </w:r>
      <w:r>
        <w:rPr>
          <w:spacing w:val="-3"/>
        </w:rPr>
        <w:t> </w:t>
      </w:r>
      <w:r>
        <w:rPr/>
        <w:t>strategy</w:t>
      </w:r>
      <w:r>
        <w:rPr>
          <w:spacing w:val="-2"/>
        </w:rPr>
        <w:t> </w:t>
      </w:r>
      <w:r>
        <w:rPr/>
        <w:t>to</w:t>
      </w:r>
      <w:r>
        <w:rPr>
          <w:spacing w:val="-2"/>
        </w:rPr>
        <w:t> </w:t>
      </w:r>
      <w:r>
        <w:rPr/>
        <w:t>mitigate</w:t>
      </w:r>
      <w:r>
        <w:rPr>
          <w:spacing w:val="-4"/>
        </w:rPr>
        <w:t> </w:t>
      </w:r>
      <w:r>
        <w:rPr/>
        <w:t>their impact</w:t>
      </w:r>
      <w:r>
        <w:rPr>
          <w:spacing w:val="-3"/>
        </w:rPr>
        <w:t> </w:t>
      </w:r>
      <w:r>
        <w:rPr/>
        <w:t>on</w:t>
      </w:r>
      <w:r>
        <w:rPr>
          <w:spacing w:val="-3"/>
        </w:rPr>
        <w:t> </w:t>
      </w:r>
      <w:r>
        <w:rPr/>
        <w:t>livestock.</w:t>
      </w:r>
      <w:r>
        <w:rPr>
          <w:spacing w:val="-3"/>
        </w:rPr>
        <w:t> </w:t>
      </w:r>
      <w:r>
        <w:rPr/>
        <w:t>Unlike</w:t>
      </w:r>
      <w:r>
        <w:rPr>
          <w:spacing w:val="-3"/>
        </w:rPr>
        <w:t> </w:t>
      </w:r>
      <w:r>
        <w:rPr/>
        <w:t>ground-based</w:t>
      </w:r>
      <w:r>
        <w:rPr>
          <w:spacing w:val="-4"/>
        </w:rPr>
        <w:t> </w:t>
      </w:r>
      <w:r>
        <w:rPr/>
        <w:t>shooting</w:t>
      </w:r>
      <w:r>
        <w:rPr>
          <w:spacing w:val="-3"/>
        </w:rPr>
        <w:t> </w:t>
      </w:r>
      <w:r>
        <w:rPr/>
        <w:t>for</w:t>
      </w:r>
      <w:r>
        <w:rPr>
          <w:spacing w:val="-3"/>
        </w:rPr>
        <w:t> </w:t>
      </w:r>
      <w:r>
        <w:rPr/>
        <w:t>foxes—which</w:t>
      </w:r>
      <w:r>
        <w:rPr>
          <w:spacing w:val="-3"/>
        </w:rPr>
        <w:t> </w:t>
      </w:r>
      <w:r>
        <w:rPr/>
        <w:t>can be effective when conducted by professional shooters across multiple properties in a coordinated effort (McLeod et al. 2011)—the shooting of Dingoes and Wild Dogs is typically ad hoc. It is often carried out by individual farmers or in response to reported incidents, with government trappers targeting animals sighted on affected properties.</w:t>
      </w:r>
    </w:p>
    <w:p>
      <w:pPr>
        <w:pStyle w:val="BodyText"/>
        <w:spacing w:before="121"/>
        <w:ind w:left="112"/>
      </w:pPr>
      <w:r>
        <w:rPr/>
        <w:t>In</w:t>
      </w:r>
      <w:r>
        <w:rPr>
          <w:spacing w:val="-5"/>
        </w:rPr>
        <w:t> </w:t>
      </w:r>
      <w:r>
        <w:rPr/>
        <w:t>a</w:t>
      </w:r>
      <w:r>
        <w:rPr>
          <w:spacing w:val="-4"/>
        </w:rPr>
        <w:t> </w:t>
      </w:r>
      <w:r>
        <w:rPr/>
        <w:t>recent</w:t>
      </w:r>
      <w:r>
        <w:rPr>
          <w:spacing w:val="-4"/>
        </w:rPr>
        <w:t> </w:t>
      </w:r>
      <w:r>
        <w:rPr/>
        <w:t>survey</w:t>
      </w:r>
      <w:r>
        <w:rPr>
          <w:spacing w:val="-3"/>
        </w:rPr>
        <w:t> </w:t>
      </w:r>
      <w:r>
        <w:rPr/>
        <w:t>of</w:t>
      </w:r>
      <w:r>
        <w:rPr>
          <w:spacing w:val="-2"/>
        </w:rPr>
        <w:t> </w:t>
      </w:r>
      <w:r>
        <w:rPr/>
        <w:t>ACUP</w:t>
      </w:r>
      <w:r>
        <w:rPr>
          <w:spacing w:val="-2"/>
        </w:rPr>
        <w:t> </w:t>
      </w:r>
      <w:r>
        <w:rPr/>
        <w:t>users</w:t>
      </w:r>
      <w:r>
        <w:rPr>
          <w:spacing w:val="-2"/>
        </w:rPr>
        <w:t> </w:t>
      </w:r>
      <w:r>
        <w:rPr/>
        <w:t>in</w:t>
      </w:r>
      <w:r>
        <w:rPr>
          <w:spacing w:val="-2"/>
        </w:rPr>
        <w:t> </w:t>
      </w:r>
      <w:r>
        <w:rPr/>
        <w:t>Victoria,</w:t>
      </w:r>
      <w:r>
        <w:rPr>
          <w:spacing w:val="-2"/>
        </w:rPr>
        <w:t> </w:t>
      </w:r>
      <w:r>
        <w:rPr/>
        <w:t>26%</w:t>
      </w:r>
      <w:r>
        <w:rPr>
          <w:spacing w:val="-1"/>
        </w:rPr>
        <w:t> </w:t>
      </w:r>
      <w:r>
        <w:rPr/>
        <w:t>of</w:t>
      </w:r>
      <w:r>
        <w:rPr>
          <w:spacing w:val="-4"/>
        </w:rPr>
        <w:t> </w:t>
      </w:r>
      <w:r>
        <w:rPr/>
        <w:t>respondents</w:t>
      </w:r>
      <w:r>
        <w:rPr>
          <w:spacing w:val="-3"/>
        </w:rPr>
        <w:t> </w:t>
      </w:r>
      <w:r>
        <w:rPr/>
        <w:t>identified</w:t>
      </w:r>
      <w:r>
        <w:rPr>
          <w:spacing w:val="-2"/>
        </w:rPr>
        <w:t> </w:t>
      </w:r>
      <w:r>
        <w:rPr/>
        <w:t>shooting</w:t>
      </w:r>
      <w:r>
        <w:rPr>
          <w:spacing w:val="-5"/>
        </w:rPr>
        <w:t> </w:t>
      </w:r>
      <w:r>
        <w:rPr/>
        <w:t>as</w:t>
      </w:r>
      <w:r>
        <w:rPr>
          <w:spacing w:val="-3"/>
        </w:rPr>
        <w:t> </w:t>
      </w:r>
      <w:r>
        <w:rPr/>
        <w:t>their</w:t>
      </w:r>
      <w:r>
        <w:rPr>
          <w:spacing w:val="-1"/>
        </w:rPr>
        <w:t> </w:t>
      </w:r>
      <w:r>
        <w:rPr/>
        <w:t>primary</w:t>
      </w:r>
      <w:r>
        <w:rPr>
          <w:spacing w:val="-2"/>
        </w:rPr>
        <w:t> </w:t>
      </w:r>
      <w:r>
        <w:rPr/>
        <w:t>control method, while 76% reported using shooting within the past five years. Hobby farmers were more likely to employ shooting (44%) than public or commercial land managers (Quantum Market Research 2024).</w:t>
      </w:r>
    </w:p>
    <w:p>
      <w:pPr>
        <w:pStyle w:val="BodyText"/>
        <w:spacing w:before="119"/>
        <w:ind w:left="112" w:right="142"/>
      </w:pPr>
      <w:r>
        <w:rPr/>
        <w:t>A bounty system for Wild Dogs operated in Victoria between 2011 and October 2024, during which 5,413 Wild</w:t>
      </w:r>
      <w:r>
        <w:rPr>
          <w:spacing w:val="-4"/>
        </w:rPr>
        <w:t> </w:t>
      </w:r>
      <w:r>
        <w:rPr/>
        <w:t>Dog</w:t>
      </w:r>
      <w:r>
        <w:rPr>
          <w:spacing w:val="-1"/>
        </w:rPr>
        <w:t> </w:t>
      </w:r>
      <w:r>
        <w:rPr/>
        <w:t>body</w:t>
      </w:r>
      <w:r>
        <w:rPr>
          <w:spacing w:val="-3"/>
        </w:rPr>
        <w:t> </w:t>
      </w:r>
      <w:r>
        <w:rPr/>
        <w:t>parts</w:t>
      </w:r>
      <w:r>
        <w:rPr>
          <w:spacing w:val="-2"/>
        </w:rPr>
        <w:t> </w:t>
      </w:r>
      <w:r>
        <w:rPr/>
        <w:t>were</w:t>
      </w:r>
      <w:r>
        <w:rPr>
          <w:spacing w:val="-4"/>
        </w:rPr>
        <w:t> </w:t>
      </w:r>
      <w:r>
        <w:rPr/>
        <w:t>submitted.</w:t>
      </w:r>
      <w:r>
        <w:rPr>
          <w:spacing w:val="-4"/>
        </w:rPr>
        <w:t> </w:t>
      </w:r>
      <w:r>
        <w:rPr/>
        <w:t>However,</w:t>
      </w:r>
      <w:r>
        <w:rPr>
          <w:spacing w:val="-1"/>
        </w:rPr>
        <w:t> </w:t>
      </w:r>
      <w:r>
        <w:rPr/>
        <w:t>it</w:t>
      </w:r>
      <w:r>
        <w:rPr>
          <w:spacing w:val="-4"/>
        </w:rPr>
        <w:t> </w:t>
      </w:r>
      <w:r>
        <w:rPr/>
        <w:t>is</w:t>
      </w:r>
      <w:r>
        <w:rPr>
          <w:spacing w:val="-3"/>
        </w:rPr>
        <w:t> </w:t>
      </w:r>
      <w:r>
        <w:rPr/>
        <w:t>widely</w:t>
      </w:r>
      <w:r>
        <w:rPr>
          <w:spacing w:val="-3"/>
        </w:rPr>
        <w:t> </w:t>
      </w:r>
      <w:r>
        <w:rPr/>
        <w:t>acknowledged</w:t>
      </w:r>
      <w:r>
        <w:rPr>
          <w:spacing w:val="-4"/>
        </w:rPr>
        <w:t> </w:t>
      </w:r>
      <w:r>
        <w:rPr/>
        <w:t>that</w:t>
      </w:r>
      <w:r>
        <w:rPr>
          <w:spacing w:val="-4"/>
        </w:rPr>
        <w:t> </w:t>
      </w:r>
      <w:r>
        <w:rPr/>
        <w:t>bounty</w:t>
      </w:r>
      <w:r>
        <w:rPr>
          <w:spacing w:val="-3"/>
        </w:rPr>
        <w:t> </w:t>
      </w:r>
      <w:r>
        <w:rPr/>
        <w:t>systems</w:t>
      </w:r>
      <w:r>
        <w:rPr>
          <w:spacing w:val="-3"/>
        </w:rPr>
        <w:t> </w:t>
      </w:r>
      <w:r>
        <w:rPr/>
        <w:t>are</w:t>
      </w:r>
      <w:r>
        <w:rPr>
          <w:spacing w:val="-4"/>
        </w:rPr>
        <w:t> </w:t>
      </w:r>
      <w:r>
        <w:rPr/>
        <w:t>ineffective for large-scale pest animal management (Hassal and Associates P/L 1998).</w:t>
      </w:r>
    </w:p>
    <w:p>
      <w:pPr>
        <w:pStyle w:val="BodyText"/>
        <w:spacing w:before="156"/>
      </w:pPr>
    </w:p>
    <w:p>
      <w:pPr>
        <w:pStyle w:val="Heading3"/>
        <w:numPr>
          <w:ilvl w:val="1"/>
          <w:numId w:val="19"/>
        </w:numPr>
        <w:tabs>
          <w:tab w:pos="686" w:val="left" w:leader="none"/>
        </w:tabs>
        <w:spacing w:line="240" w:lineRule="auto" w:before="0" w:after="0"/>
        <w:ind w:left="686" w:right="0" w:hanging="574"/>
        <w:jc w:val="left"/>
      </w:pPr>
      <w:bookmarkStart w:name="_TOC_250029" w:id="81"/>
      <w:bookmarkEnd w:id="81"/>
      <w:r>
        <w:rPr>
          <w:color w:val="2D1E66"/>
          <w:spacing w:val="-2"/>
        </w:rPr>
        <w:t>Cost-effectiveness</w:t>
      </w:r>
    </w:p>
    <w:p>
      <w:pPr>
        <w:pStyle w:val="BodyText"/>
        <w:spacing w:before="112"/>
        <w:ind w:left="112" w:right="188"/>
      </w:pPr>
      <w:r>
        <w:rPr/>
        <w:t>We found very limited information in the literature regarding the cost-effectiveness of Dingo and Wild Dog control in Victoria, or more broadly in Australia. While several studies report the effectiveness of various methods</w:t>
      </w:r>
      <w:r>
        <w:rPr>
          <w:spacing w:val="-2"/>
        </w:rPr>
        <w:t> </w:t>
      </w:r>
      <w:r>
        <w:rPr/>
        <w:t>at</w:t>
      </w:r>
      <w:r>
        <w:rPr>
          <w:spacing w:val="-2"/>
        </w:rPr>
        <w:t> </w:t>
      </w:r>
      <w:r>
        <w:rPr/>
        <w:t>reducing</w:t>
      </w:r>
      <w:r>
        <w:rPr>
          <w:spacing w:val="-2"/>
        </w:rPr>
        <w:t> </w:t>
      </w:r>
      <w:r>
        <w:rPr/>
        <w:t>abundance,</w:t>
      </w:r>
      <w:r>
        <w:rPr>
          <w:spacing w:val="-2"/>
        </w:rPr>
        <w:t> </w:t>
      </w:r>
      <w:r>
        <w:rPr/>
        <w:t>few</w:t>
      </w:r>
      <w:r>
        <w:rPr>
          <w:spacing w:val="-2"/>
        </w:rPr>
        <w:t> </w:t>
      </w:r>
      <w:r>
        <w:rPr/>
        <w:t>address</w:t>
      </w:r>
      <w:r>
        <w:rPr>
          <w:spacing w:val="-2"/>
        </w:rPr>
        <w:t> </w:t>
      </w:r>
      <w:r>
        <w:rPr/>
        <w:t>the</w:t>
      </w:r>
      <w:r>
        <w:rPr>
          <w:spacing w:val="-1"/>
        </w:rPr>
        <w:t> </w:t>
      </w:r>
      <w:r>
        <w:rPr/>
        <w:t>associated</w:t>
      </w:r>
      <w:r>
        <w:rPr>
          <w:spacing w:val="-1"/>
        </w:rPr>
        <w:t> </w:t>
      </w:r>
      <w:r>
        <w:rPr/>
        <w:t>costs (e.g.</w:t>
      </w:r>
      <w:r>
        <w:rPr>
          <w:spacing w:val="-2"/>
        </w:rPr>
        <w:t> </w:t>
      </w:r>
      <w:r>
        <w:rPr/>
        <w:t>Thompson</w:t>
      </w:r>
      <w:r>
        <w:rPr>
          <w:spacing w:val="-2"/>
        </w:rPr>
        <w:t> </w:t>
      </w:r>
      <w:r>
        <w:rPr/>
        <w:t>and</w:t>
      </w:r>
      <w:r>
        <w:rPr>
          <w:spacing w:val="-2"/>
        </w:rPr>
        <w:t> </w:t>
      </w:r>
      <w:r>
        <w:rPr/>
        <w:t>Fleming 1991),</w:t>
      </w:r>
      <w:r>
        <w:rPr>
          <w:spacing w:val="-2"/>
        </w:rPr>
        <w:t> </w:t>
      </w:r>
      <w:r>
        <w:rPr/>
        <w:t>and none</w:t>
      </w:r>
      <w:r>
        <w:rPr>
          <w:spacing w:val="-2"/>
        </w:rPr>
        <w:t> </w:t>
      </w:r>
      <w:r>
        <w:rPr/>
        <w:t>compare</w:t>
      </w:r>
      <w:r>
        <w:rPr>
          <w:spacing w:val="-4"/>
        </w:rPr>
        <w:t> </w:t>
      </w:r>
      <w:r>
        <w:rPr/>
        <w:t>the</w:t>
      </w:r>
      <w:r>
        <w:rPr>
          <w:spacing w:val="-4"/>
        </w:rPr>
        <w:t> </w:t>
      </w:r>
      <w:r>
        <w:rPr/>
        <w:t>cost-effectiveness</w:t>
      </w:r>
      <w:r>
        <w:rPr>
          <w:spacing w:val="-3"/>
        </w:rPr>
        <w:t> </w:t>
      </w:r>
      <w:r>
        <w:rPr/>
        <w:t>of</w:t>
      </w:r>
      <w:r>
        <w:rPr>
          <w:spacing w:val="-4"/>
        </w:rPr>
        <w:t> </w:t>
      </w:r>
      <w:r>
        <w:rPr/>
        <w:t>combinations</w:t>
      </w:r>
      <w:r>
        <w:rPr>
          <w:spacing w:val="-3"/>
        </w:rPr>
        <w:t> </w:t>
      </w:r>
      <w:r>
        <w:rPr/>
        <w:t>of</w:t>
      </w:r>
      <w:r>
        <w:rPr>
          <w:spacing w:val="-4"/>
        </w:rPr>
        <w:t> </w:t>
      </w:r>
      <w:r>
        <w:rPr/>
        <w:t>different</w:t>
      </w:r>
      <w:r>
        <w:rPr>
          <w:spacing w:val="-4"/>
        </w:rPr>
        <w:t> </w:t>
      </w:r>
      <w:r>
        <w:rPr/>
        <w:t>methods.</w:t>
      </w:r>
      <w:r>
        <w:rPr>
          <w:spacing w:val="-4"/>
        </w:rPr>
        <w:t> </w:t>
      </w:r>
      <w:r>
        <w:rPr/>
        <w:t>A</w:t>
      </w:r>
      <w:r>
        <w:rPr>
          <w:spacing w:val="-3"/>
        </w:rPr>
        <w:t> </w:t>
      </w:r>
      <w:r>
        <w:rPr/>
        <w:t>few</w:t>
      </w:r>
      <w:r>
        <w:rPr>
          <w:spacing w:val="-2"/>
        </w:rPr>
        <w:t> </w:t>
      </w:r>
      <w:r>
        <w:rPr/>
        <w:t>studies</w:t>
      </w:r>
      <w:r>
        <w:rPr>
          <w:spacing w:val="-1"/>
        </w:rPr>
        <w:t> </w:t>
      </w:r>
      <w:r>
        <w:rPr/>
        <w:t>have</w:t>
      </w:r>
      <w:r>
        <w:rPr>
          <w:spacing w:val="-4"/>
        </w:rPr>
        <w:t> </w:t>
      </w:r>
      <w:r>
        <w:rPr/>
        <w:t>assessed</w:t>
      </w:r>
      <w:r>
        <w:rPr>
          <w:spacing w:val="-5"/>
        </w:rPr>
        <w:t> </w:t>
      </w:r>
      <w:r>
        <w:rPr/>
        <w:t>the cost-benefits of reducing livestock losses (Lightfoot 2010; Wicks et al. 2014). Some studies report the costs of</w:t>
      </w:r>
      <w:r>
        <w:rPr>
          <w:spacing w:val="-3"/>
        </w:rPr>
        <w:t> </w:t>
      </w:r>
      <w:r>
        <w:rPr/>
        <w:t>conducting</w:t>
      </w:r>
      <w:r>
        <w:rPr>
          <w:spacing w:val="-3"/>
        </w:rPr>
        <w:t> </w:t>
      </w:r>
      <w:r>
        <w:rPr/>
        <w:t>operations</w:t>
      </w:r>
      <w:r>
        <w:rPr>
          <w:spacing w:val="-1"/>
        </w:rPr>
        <w:t> </w:t>
      </w:r>
      <w:r>
        <w:rPr/>
        <w:t>but</w:t>
      </w:r>
      <w:r>
        <w:rPr>
          <w:spacing w:val="-3"/>
        </w:rPr>
        <w:t> </w:t>
      </w:r>
      <w:r>
        <w:rPr/>
        <w:t>do</w:t>
      </w:r>
      <w:r>
        <w:rPr>
          <w:spacing w:val="-1"/>
        </w:rPr>
        <w:t> </w:t>
      </w:r>
      <w:r>
        <w:rPr/>
        <w:t>not</w:t>
      </w:r>
      <w:r>
        <w:rPr>
          <w:spacing w:val="-1"/>
        </w:rPr>
        <w:t> </w:t>
      </w:r>
      <w:r>
        <w:rPr/>
        <w:t>relate</w:t>
      </w:r>
      <w:r>
        <w:rPr>
          <w:spacing w:val="-4"/>
        </w:rPr>
        <w:t> </w:t>
      </w:r>
      <w:r>
        <w:rPr/>
        <w:t>these</w:t>
      </w:r>
      <w:r>
        <w:rPr>
          <w:spacing w:val="-3"/>
        </w:rPr>
        <w:t> </w:t>
      </w:r>
      <w:r>
        <w:rPr/>
        <w:t>costs to</w:t>
      </w:r>
      <w:r>
        <w:rPr>
          <w:spacing w:val="-4"/>
        </w:rPr>
        <w:t> </w:t>
      </w:r>
      <w:r>
        <w:rPr/>
        <w:t>achieving</w:t>
      </w:r>
      <w:r>
        <w:rPr>
          <w:spacing w:val="-4"/>
        </w:rPr>
        <w:t> </w:t>
      </w:r>
      <w:r>
        <w:rPr/>
        <w:t>specific</w:t>
      </w:r>
      <w:r>
        <w:rPr>
          <w:spacing w:val="-1"/>
        </w:rPr>
        <w:t> </w:t>
      </w:r>
      <w:r>
        <w:rPr/>
        <w:t>management</w:t>
      </w:r>
      <w:r>
        <w:rPr>
          <w:spacing w:val="-3"/>
        </w:rPr>
        <w:t> </w:t>
      </w:r>
      <w:r>
        <w:rPr/>
        <w:t>objectives,</w:t>
      </w:r>
      <w:r>
        <w:rPr>
          <w:spacing w:val="-3"/>
        </w:rPr>
        <w:t> </w:t>
      </w:r>
      <w:r>
        <w:rPr/>
        <w:t>such</w:t>
      </w:r>
      <w:r>
        <w:rPr>
          <w:spacing w:val="-1"/>
        </w:rPr>
        <w:t> </w:t>
      </w:r>
      <w:r>
        <w:rPr/>
        <w:t>as reducing the population by a certain amount or to a specified level or reducing stock loss or increasing productivity. Table 10 compares the efficacy, non-target impacts, and the advantages and disadvantages of methods used to manage Dingoes and Wild Dogs in Victoria.</w:t>
      </w:r>
    </w:p>
    <w:p>
      <w:pPr>
        <w:pStyle w:val="BodyText"/>
        <w:spacing w:before="120"/>
        <w:ind w:left="112" w:right="173"/>
      </w:pPr>
      <w:r>
        <w:rPr/>
        <w:t>Wicks</w:t>
      </w:r>
      <w:r>
        <w:rPr>
          <w:spacing w:val="-2"/>
        </w:rPr>
        <w:t> </w:t>
      </w:r>
      <w:r>
        <w:rPr/>
        <w:t>et</w:t>
      </w:r>
      <w:r>
        <w:rPr>
          <w:spacing w:val="-4"/>
        </w:rPr>
        <w:t> </w:t>
      </w:r>
      <w:r>
        <w:rPr/>
        <w:t>al.</w:t>
      </w:r>
      <w:r>
        <w:rPr>
          <w:spacing w:val="-4"/>
        </w:rPr>
        <w:t> </w:t>
      </w:r>
      <w:r>
        <w:rPr/>
        <w:t>(2014) assessed</w:t>
      </w:r>
      <w:r>
        <w:rPr>
          <w:spacing w:val="-4"/>
        </w:rPr>
        <w:t> </w:t>
      </w:r>
      <w:r>
        <w:rPr/>
        <w:t>the</w:t>
      </w:r>
      <w:r>
        <w:rPr>
          <w:spacing w:val="-2"/>
        </w:rPr>
        <w:t> </w:t>
      </w:r>
      <w:r>
        <w:rPr/>
        <w:t>cost-benefit</w:t>
      </w:r>
      <w:r>
        <w:rPr>
          <w:spacing w:val="-2"/>
        </w:rPr>
        <w:t> </w:t>
      </w:r>
      <w:r>
        <w:rPr/>
        <w:t>of</w:t>
      </w:r>
      <w:r>
        <w:rPr>
          <w:spacing w:val="-1"/>
        </w:rPr>
        <w:t> </w:t>
      </w:r>
      <w:r>
        <w:rPr/>
        <w:t>Wild</w:t>
      </w:r>
      <w:r>
        <w:rPr>
          <w:spacing w:val="-2"/>
        </w:rPr>
        <w:t> </w:t>
      </w:r>
      <w:r>
        <w:rPr/>
        <w:t>Dog</w:t>
      </w:r>
      <w:r>
        <w:rPr>
          <w:spacing w:val="-4"/>
        </w:rPr>
        <w:t> </w:t>
      </w:r>
      <w:r>
        <w:rPr/>
        <w:t>control</w:t>
      </w:r>
      <w:r>
        <w:rPr>
          <w:spacing w:val="-4"/>
        </w:rPr>
        <w:t> </w:t>
      </w:r>
      <w:r>
        <w:rPr/>
        <w:t>for</w:t>
      </w:r>
      <w:r>
        <w:rPr>
          <w:spacing w:val="-4"/>
        </w:rPr>
        <w:t> </w:t>
      </w:r>
      <w:r>
        <w:rPr/>
        <w:t>beef</w:t>
      </w:r>
      <w:r>
        <w:rPr>
          <w:spacing w:val="-4"/>
        </w:rPr>
        <w:t> </w:t>
      </w:r>
      <w:r>
        <w:rPr/>
        <w:t>and</w:t>
      </w:r>
      <w:r>
        <w:rPr>
          <w:spacing w:val="-3"/>
        </w:rPr>
        <w:t> </w:t>
      </w:r>
      <w:r>
        <w:rPr/>
        <w:t>lamb</w:t>
      </w:r>
      <w:r>
        <w:rPr>
          <w:spacing w:val="-4"/>
        </w:rPr>
        <w:t> </w:t>
      </w:r>
      <w:r>
        <w:rPr/>
        <w:t>enterprises</w:t>
      </w:r>
      <w:r>
        <w:rPr>
          <w:spacing w:val="-3"/>
        </w:rPr>
        <w:t> </w:t>
      </w:r>
      <w:r>
        <w:rPr/>
        <w:t>in</w:t>
      </w:r>
      <w:r>
        <w:rPr>
          <w:spacing w:val="-4"/>
        </w:rPr>
        <w:t> </w:t>
      </w:r>
      <w:r>
        <w:rPr/>
        <w:t>southwest Queensland. The estimated returns, in 2014 net present value</w:t>
      </w:r>
      <w:r>
        <w:rPr>
          <w:spacing w:val="-1"/>
        </w:rPr>
        <w:t> </w:t>
      </w:r>
      <w:r>
        <w:rPr/>
        <w:t>terms, from each dollar invested in Wild Dog control</w:t>
      </w:r>
      <w:r>
        <w:rPr>
          <w:spacing w:val="-1"/>
        </w:rPr>
        <w:t> </w:t>
      </w:r>
      <w:r>
        <w:rPr/>
        <w:t>in</w:t>
      </w:r>
      <w:r>
        <w:rPr>
          <w:spacing w:val="-2"/>
        </w:rPr>
        <w:t> </w:t>
      </w:r>
      <w:r>
        <w:rPr/>
        <w:t>southwestern</w:t>
      </w:r>
      <w:r>
        <w:rPr>
          <w:spacing w:val="-2"/>
        </w:rPr>
        <w:t> </w:t>
      </w:r>
      <w:r>
        <w:rPr/>
        <w:t>Queensland</w:t>
      </w:r>
      <w:r>
        <w:rPr>
          <w:spacing w:val="-2"/>
        </w:rPr>
        <w:t> </w:t>
      </w:r>
      <w:r>
        <w:rPr/>
        <w:t>ranged</w:t>
      </w:r>
      <w:r>
        <w:rPr>
          <w:spacing w:val="-3"/>
        </w:rPr>
        <w:t> </w:t>
      </w:r>
      <w:r>
        <w:rPr/>
        <w:t>from –$0.14</w:t>
      </w:r>
      <w:r>
        <w:rPr>
          <w:spacing w:val="-2"/>
        </w:rPr>
        <w:t> </w:t>
      </w:r>
      <w:r>
        <w:rPr/>
        <w:t>to $3.11, depending</w:t>
      </w:r>
      <w:r>
        <w:rPr>
          <w:spacing w:val="-2"/>
        </w:rPr>
        <w:t> </w:t>
      </w:r>
      <w:r>
        <w:rPr/>
        <w:t>on</w:t>
      </w:r>
      <w:r>
        <w:rPr>
          <w:spacing w:val="-2"/>
        </w:rPr>
        <w:t> </w:t>
      </w:r>
      <w:r>
        <w:rPr/>
        <w:t>the</w:t>
      </w:r>
      <w:r>
        <w:rPr>
          <w:spacing w:val="-3"/>
        </w:rPr>
        <w:t> </w:t>
      </w:r>
      <w:r>
        <w:rPr/>
        <w:t>rate of livestock</w:t>
      </w:r>
      <w:r>
        <w:rPr>
          <w:spacing w:val="-1"/>
        </w:rPr>
        <w:t> </w:t>
      </w:r>
      <w:r>
        <w:rPr/>
        <w:t>deaths in the absence of control. With 2% and 5% growth in attack rates, the returns from Wild Dog control were less than the cost of investment in controls. However, when attack rates were assumed to grow by 10% or</w:t>
      </w:r>
    </w:p>
    <w:p>
      <w:pPr>
        <w:pStyle w:val="BodyText"/>
        <w:rPr>
          <w:sz w:val="18"/>
        </w:rPr>
      </w:pPr>
    </w:p>
    <w:p>
      <w:pPr>
        <w:pStyle w:val="BodyText"/>
        <w:spacing w:before="53"/>
        <w:rPr>
          <w:sz w:val="18"/>
        </w:rPr>
      </w:pPr>
    </w:p>
    <w:p>
      <w:pPr>
        <w:tabs>
          <w:tab w:pos="833" w:val="left" w:leader="none"/>
        </w:tabs>
        <w:spacing w:before="0"/>
        <w:ind w:left="112" w:right="0" w:firstLine="0"/>
        <w:jc w:val="left"/>
        <w:rPr>
          <w:sz w:val="18"/>
        </w:rPr>
      </w:pPr>
      <w:r>
        <w:rPr>
          <w:spacing w:val="-5"/>
          <w:sz w:val="18"/>
        </w:rPr>
        <w:t>60</w:t>
      </w:r>
      <w:r>
        <w:rPr>
          <w:sz w:val="18"/>
        </w:rPr>
        <w:tab/>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w:t>
      </w:r>
      <w:r>
        <w:rPr>
          <w:spacing w:val="1"/>
          <w:sz w:val="18"/>
        </w:rPr>
        <w:t> </w:t>
      </w:r>
      <w:r>
        <w:rPr>
          <w:sz w:val="18"/>
        </w:rPr>
        <w:t>in</w:t>
      </w:r>
      <w:r>
        <w:rPr>
          <w:spacing w:val="-2"/>
          <w:sz w:val="18"/>
        </w:rPr>
        <w:t> Victoria</w:t>
      </w:r>
    </w:p>
    <w:p>
      <w:pPr>
        <w:pStyle w:val="Heading4"/>
        <w:spacing w:line="240" w:lineRule="auto" w:before="178"/>
        <w:ind w:left="625"/>
        <w:jc w:val="center"/>
      </w:pPr>
      <w:r>
        <w:rPr>
          <w:spacing w:val="-2"/>
        </w:rPr>
        <w:t>OFFICIAL</w:t>
      </w:r>
    </w:p>
    <w:p>
      <w:pPr>
        <w:spacing w:after="0" w:line="240" w:lineRule="auto"/>
        <w:jc w:val="center"/>
        <w:sectPr>
          <w:footerReference w:type="even" r:id="rId61"/>
          <w:pgSz w:w="11910" w:h="16850"/>
          <w:pgMar w:header="0" w:footer="0" w:top="1060" w:bottom="0" w:left="1020" w:right="1020"/>
        </w:sectPr>
      </w:pPr>
    </w:p>
    <w:p>
      <w:pPr>
        <w:pStyle w:val="BodyText"/>
        <w:spacing w:before="71"/>
        <w:ind w:left="112" w:right="142"/>
      </w:pPr>
      <w:r>
        <w:rPr/>
        <w:t>more without control, the benefits of control outweighed the costs, with a benefit–cost ratio greater than one. When the growth in Wild Dog attack rates in the absence of control was assumed to be 10%, the expected benefits</w:t>
      </w:r>
      <w:r>
        <w:rPr>
          <w:spacing w:val="-3"/>
        </w:rPr>
        <w:t> </w:t>
      </w:r>
      <w:r>
        <w:rPr/>
        <w:t>of</w:t>
      </w:r>
      <w:r>
        <w:rPr>
          <w:spacing w:val="-4"/>
        </w:rPr>
        <w:t> </w:t>
      </w:r>
      <w:r>
        <w:rPr/>
        <w:t>control</w:t>
      </w:r>
      <w:r>
        <w:rPr>
          <w:spacing w:val="-5"/>
        </w:rPr>
        <w:t> </w:t>
      </w:r>
      <w:r>
        <w:rPr/>
        <w:t>only</w:t>
      </w:r>
      <w:r>
        <w:rPr>
          <w:spacing w:val="-3"/>
        </w:rPr>
        <w:t> </w:t>
      </w:r>
      <w:r>
        <w:rPr/>
        <w:t>just</w:t>
      </w:r>
      <w:r>
        <w:rPr>
          <w:spacing w:val="-2"/>
        </w:rPr>
        <w:t> </w:t>
      </w:r>
      <w:r>
        <w:rPr/>
        <w:t>outweighed</w:t>
      </w:r>
      <w:r>
        <w:rPr>
          <w:spacing w:val="-2"/>
        </w:rPr>
        <w:t> </w:t>
      </w:r>
      <w:r>
        <w:rPr/>
        <w:t>the</w:t>
      </w:r>
      <w:r>
        <w:rPr>
          <w:spacing w:val="-3"/>
        </w:rPr>
        <w:t> </w:t>
      </w:r>
      <w:r>
        <w:rPr/>
        <w:t>estimated</w:t>
      </w:r>
      <w:r>
        <w:rPr>
          <w:spacing w:val="-4"/>
        </w:rPr>
        <w:t> </w:t>
      </w:r>
      <w:r>
        <w:rPr/>
        <w:t>costs.</w:t>
      </w:r>
      <w:r>
        <w:rPr>
          <w:spacing w:val="-4"/>
        </w:rPr>
        <w:t> </w:t>
      </w:r>
      <w:r>
        <w:rPr/>
        <w:t>For</w:t>
      </w:r>
      <w:r>
        <w:rPr>
          <w:spacing w:val="-3"/>
        </w:rPr>
        <w:t> </w:t>
      </w:r>
      <w:r>
        <w:rPr/>
        <w:t>the</w:t>
      </w:r>
      <w:r>
        <w:rPr>
          <w:spacing w:val="-4"/>
        </w:rPr>
        <w:t> </w:t>
      </w:r>
      <w:r>
        <w:rPr/>
        <w:t>control</w:t>
      </w:r>
      <w:r>
        <w:rPr>
          <w:spacing w:val="-3"/>
        </w:rPr>
        <w:t> </w:t>
      </w:r>
      <w:r>
        <w:rPr/>
        <w:t>to</w:t>
      </w:r>
      <w:r>
        <w:rPr>
          <w:spacing w:val="-3"/>
        </w:rPr>
        <w:t> </w:t>
      </w:r>
      <w:r>
        <w:rPr/>
        <w:t>generate</w:t>
      </w:r>
      <w:r>
        <w:rPr>
          <w:spacing w:val="-4"/>
        </w:rPr>
        <w:t> </w:t>
      </w:r>
      <w:r>
        <w:rPr/>
        <w:t>net</w:t>
      </w:r>
      <w:r>
        <w:rPr>
          <w:spacing w:val="-4"/>
        </w:rPr>
        <w:t> </w:t>
      </w:r>
      <w:r>
        <w:rPr/>
        <w:t>economic</w:t>
      </w:r>
      <w:r>
        <w:rPr>
          <w:spacing w:val="-3"/>
        </w:rPr>
        <w:t> </w:t>
      </w:r>
      <w:r>
        <w:rPr/>
        <w:t>returns in this scenario, its effectiveness would need to exceed 99%. If the growth in Wild Dog attack rates was assumed to be 20%, the expected benefits of Wild Dog control were significantly higher than the costs.</w:t>
      </w:r>
    </w:p>
    <w:p>
      <w:pPr>
        <w:spacing w:after="0"/>
        <w:sectPr>
          <w:footerReference w:type="default" r:id="rId62"/>
          <w:pgSz w:w="11910" w:h="16850"/>
          <w:pgMar w:header="0" w:footer="688" w:top="1060" w:bottom="880" w:left="1020" w:right="1020"/>
          <w:pgNumType w:start="61"/>
        </w:sectPr>
      </w:pPr>
    </w:p>
    <w:p>
      <w:pPr>
        <w:pStyle w:val="Heading7"/>
        <w:ind w:left="272"/>
      </w:pPr>
      <w:bookmarkStart w:name="_bookmark15" w:id="82"/>
      <w:bookmarkEnd w:id="82"/>
      <w:r>
        <w:rPr>
          <w:b w:val="0"/>
        </w:rPr>
      </w:r>
      <w:r>
        <w:rPr>
          <w:color w:val="1F1546"/>
        </w:rPr>
        <w:t>Table</w:t>
      </w:r>
      <w:r>
        <w:rPr>
          <w:color w:val="1F1546"/>
          <w:spacing w:val="-6"/>
        </w:rPr>
        <w:t> </w:t>
      </w:r>
      <w:r>
        <w:rPr>
          <w:color w:val="1F1546"/>
        </w:rPr>
        <w:t>9.</w:t>
      </w:r>
      <w:r>
        <w:rPr>
          <w:color w:val="1F1546"/>
          <w:spacing w:val="-5"/>
        </w:rPr>
        <w:t> </w:t>
      </w:r>
      <w:r>
        <w:rPr>
          <w:color w:val="1F1546"/>
        </w:rPr>
        <w:t>Comparisons</w:t>
      </w:r>
      <w:r>
        <w:rPr>
          <w:color w:val="1F1546"/>
          <w:spacing w:val="-6"/>
        </w:rPr>
        <w:t> </w:t>
      </w:r>
      <w:r>
        <w:rPr>
          <w:color w:val="1F1546"/>
        </w:rPr>
        <w:t>of</w:t>
      </w:r>
      <w:r>
        <w:rPr>
          <w:color w:val="1F1546"/>
          <w:spacing w:val="-5"/>
        </w:rPr>
        <w:t> </w:t>
      </w:r>
      <w:r>
        <w:rPr>
          <w:color w:val="1F1546"/>
        </w:rPr>
        <w:t>reported</w:t>
      </w:r>
      <w:r>
        <w:rPr>
          <w:color w:val="1F1546"/>
          <w:spacing w:val="-6"/>
        </w:rPr>
        <w:t> </w:t>
      </w:r>
      <w:r>
        <w:rPr>
          <w:color w:val="1F1546"/>
        </w:rPr>
        <w:t>changes</w:t>
      </w:r>
      <w:r>
        <w:rPr>
          <w:color w:val="1F1546"/>
          <w:spacing w:val="-6"/>
        </w:rPr>
        <w:t> </w:t>
      </w:r>
      <w:r>
        <w:rPr>
          <w:color w:val="1F1546"/>
        </w:rPr>
        <w:t>in</w:t>
      </w:r>
      <w:r>
        <w:rPr>
          <w:color w:val="1F1546"/>
          <w:spacing w:val="-6"/>
        </w:rPr>
        <w:t> </w:t>
      </w:r>
      <w:r>
        <w:rPr>
          <w:color w:val="1F1546"/>
        </w:rPr>
        <w:t>Dingo</w:t>
      </w:r>
      <w:r>
        <w:rPr>
          <w:color w:val="1F1546"/>
          <w:spacing w:val="-5"/>
        </w:rPr>
        <w:t> </w:t>
      </w:r>
      <w:r>
        <w:rPr>
          <w:color w:val="1F1546"/>
        </w:rPr>
        <w:t>and</w:t>
      </w:r>
      <w:r>
        <w:rPr>
          <w:color w:val="1F1546"/>
          <w:spacing w:val="-6"/>
        </w:rPr>
        <w:t> </w:t>
      </w:r>
      <w:r>
        <w:rPr>
          <w:color w:val="1F1546"/>
        </w:rPr>
        <w:t>Wild</w:t>
      </w:r>
      <w:r>
        <w:rPr>
          <w:color w:val="1F1546"/>
          <w:spacing w:val="-3"/>
        </w:rPr>
        <w:t> </w:t>
      </w:r>
      <w:r>
        <w:rPr>
          <w:color w:val="1F1546"/>
        </w:rPr>
        <w:t>Dog</w:t>
      </w:r>
      <w:r>
        <w:rPr>
          <w:color w:val="1F1546"/>
          <w:spacing w:val="-6"/>
        </w:rPr>
        <w:t> </w:t>
      </w:r>
      <w:r>
        <w:rPr>
          <w:color w:val="1F1546"/>
        </w:rPr>
        <w:t>abundance</w:t>
      </w:r>
      <w:r>
        <w:rPr>
          <w:color w:val="1F1546"/>
          <w:spacing w:val="-4"/>
        </w:rPr>
        <w:t> </w:t>
      </w:r>
      <w:r>
        <w:rPr>
          <w:color w:val="1F1546"/>
        </w:rPr>
        <w:t>using</w:t>
      </w:r>
      <w:r>
        <w:rPr>
          <w:color w:val="1F1546"/>
          <w:spacing w:val="-4"/>
        </w:rPr>
        <w:t> </w:t>
      </w:r>
      <w:r>
        <w:rPr>
          <w:color w:val="1F1546"/>
        </w:rPr>
        <w:t>different</w:t>
      </w:r>
      <w:r>
        <w:rPr>
          <w:color w:val="1F1546"/>
          <w:spacing w:val="-5"/>
        </w:rPr>
        <w:t> </w:t>
      </w:r>
      <w:r>
        <w:rPr>
          <w:color w:val="1F1546"/>
        </w:rPr>
        <w:t>lethal</w:t>
      </w:r>
      <w:r>
        <w:rPr>
          <w:color w:val="1F1546"/>
          <w:spacing w:val="-6"/>
        </w:rPr>
        <w:t> </w:t>
      </w:r>
      <w:r>
        <w:rPr>
          <w:color w:val="1F1546"/>
        </w:rPr>
        <w:t>control</w:t>
      </w:r>
      <w:r>
        <w:rPr>
          <w:color w:val="1F1546"/>
          <w:spacing w:val="-7"/>
        </w:rPr>
        <w:t> </w:t>
      </w:r>
      <w:r>
        <w:rPr>
          <w:color w:val="1F1546"/>
        </w:rPr>
        <w:t>methods</w:t>
      </w:r>
      <w:r>
        <w:rPr>
          <w:color w:val="1F1546"/>
          <w:spacing w:val="-5"/>
        </w:rPr>
        <w:t> </w:t>
      </w:r>
      <w:r>
        <w:rPr>
          <w:color w:val="1F1546"/>
        </w:rPr>
        <w:t>in</w:t>
      </w:r>
      <w:r>
        <w:rPr>
          <w:color w:val="1F1546"/>
          <w:spacing w:val="-6"/>
        </w:rPr>
        <w:t> </w:t>
      </w:r>
      <w:r>
        <w:rPr>
          <w:color w:val="1F1546"/>
          <w:spacing w:val="-2"/>
        </w:rPr>
        <w:t>Australia.</w:t>
      </w:r>
    </w:p>
    <w:p>
      <w:pPr>
        <w:pStyle w:val="BodyText"/>
        <w:spacing w:before="4"/>
        <w:rPr>
          <w:b/>
          <w:sz w:val="10"/>
        </w:rPr>
      </w:pP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0"/>
        <w:gridCol w:w="1988"/>
        <w:gridCol w:w="2976"/>
        <w:gridCol w:w="3687"/>
        <w:gridCol w:w="3435"/>
      </w:tblGrid>
      <w:tr>
        <w:trPr>
          <w:trHeight w:val="578" w:hRule="atLeast"/>
        </w:trPr>
        <w:tc>
          <w:tcPr>
            <w:tcW w:w="2660" w:type="dxa"/>
            <w:shd w:val="clear" w:color="auto" w:fill="004B96"/>
          </w:tcPr>
          <w:p>
            <w:pPr>
              <w:pStyle w:val="TableParagraph"/>
              <w:spacing w:before="59"/>
              <w:ind w:left="107"/>
              <w:rPr>
                <w:b/>
                <w:sz w:val="20"/>
              </w:rPr>
            </w:pPr>
            <w:r>
              <w:rPr>
                <w:b/>
                <w:color w:val="FFFFFF"/>
                <w:spacing w:val="-2"/>
                <w:sz w:val="20"/>
              </w:rPr>
              <w:t>Method</w:t>
            </w:r>
          </w:p>
        </w:tc>
        <w:tc>
          <w:tcPr>
            <w:tcW w:w="1988" w:type="dxa"/>
            <w:shd w:val="clear" w:color="auto" w:fill="004B96"/>
          </w:tcPr>
          <w:p>
            <w:pPr>
              <w:pStyle w:val="TableParagraph"/>
              <w:spacing w:before="57"/>
              <w:ind w:left="110" w:right="799"/>
              <w:rPr>
                <w:b/>
                <w:sz w:val="20"/>
              </w:rPr>
            </w:pPr>
            <w:r>
              <w:rPr>
                <w:b/>
                <w:color w:val="FFFFFF"/>
                <w:spacing w:val="-2"/>
                <w:sz w:val="20"/>
              </w:rPr>
              <w:t>Percentage reduction</w:t>
            </w:r>
          </w:p>
        </w:tc>
        <w:tc>
          <w:tcPr>
            <w:tcW w:w="2976" w:type="dxa"/>
            <w:shd w:val="clear" w:color="auto" w:fill="004B96"/>
          </w:tcPr>
          <w:p>
            <w:pPr>
              <w:pStyle w:val="TableParagraph"/>
              <w:spacing w:before="59"/>
              <w:ind w:left="107"/>
              <w:rPr>
                <w:b/>
                <w:sz w:val="20"/>
              </w:rPr>
            </w:pPr>
            <w:r>
              <w:rPr>
                <w:b/>
                <w:color w:val="FFFFFF"/>
                <w:spacing w:val="-2"/>
                <w:sz w:val="20"/>
              </w:rPr>
              <w:t>Region</w:t>
            </w:r>
          </w:p>
        </w:tc>
        <w:tc>
          <w:tcPr>
            <w:tcW w:w="3687" w:type="dxa"/>
            <w:shd w:val="clear" w:color="auto" w:fill="004B96"/>
          </w:tcPr>
          <w:p>
            <w:pPr>
              <w:pStyle w:val="TableParagraph"/>
              <w:spacing w:before="57"/>
              <w:ind w:left="107"/>
              <w:rPr>
                <w:b/>
                <w:sz w:val="20"/>
              </w:rPr>
            </w:pPr>
            <w:r>
              <w:rPr>
                <w:b/>
                <w:color w:val="FFFFFF"/>
                <w:sz w:val="20"/>
              </w:rPr>
              <w:t>Method</w:t>
            </w:r>
            <w:r>
              <w:rPr>
                <w:b/>
                <w:color w:val="FFFFFF"/>
                <w:spacing w:val="-9"/>
                <w:sz w:val="20"/>
              </w:rPr>
              <w:t> </w:t>
            </w:r>
            <w:r>
              <w:rPr>
                <w:b/>
                <w:color w:val="FFFFFF"/>
                <w:sz w:val="20"/>
              </w:rPr>
              <w:t>used</w:t>
            </w:r>
            <w:r>
              <w:rPr>
                <w:b/>
                <w:color w:val="FFFFFF"/>
                <w:spacing w:val="-9"/>
                <w:sz w:val="20"/>
              </w:rPr>
              <w:t> </w:t>
            </w:r>
            <w:r>
              <w:rPr>
                <w:b/>
                <w:color w:val="FFFFFF"/>
                <w:sz w:val="20"/>
              </w:rPr>
              <w:t>to</w:t>
            </w:r>
            <w:r>
              <w:rPr>
                <w:b/>
                <w:color w:val="FFFFFF"/>
                <w:spacing w:val="-9"/>
                <w:sz w:val="20"/>
              </w:rPr>
              <w:t> </w:t>
            </w:r>
            <w:r>
              <w:rPr>
                <w:b/>
                <w:color w:val="FFFFFF"/>
                <w:sz w:val="20"/>
              </w:rPr>
              <w:t>measure</w:t>
            </w:r>
            <w:r>
              <w:rPr>
                <w:b/>
                <w:color w:val="FFFFFF"/>
                <w:spacing w:val="-7"/>
                <w:sz w:val="20"/>
              </w:rPr>
              <w:t> </w:t>
            </w:r>
            <w:r>
              <w:rPr>
                <w:b/>
                <w:color w:val="FFFFFF"/>
                <w:sz w:val="20"/>
              </w:rPr>
              <w:t>change</w:t>
            </w:r>
            <w:r>
              <w:rPr>
                <w:b/>
                <w:color w:val="FFFFFF"/>
                <w:spacing w:val="-9"/>
                <w:sz w:val="20"/>
              </w:rPr>
              <w:t> </w:t>
            </w:r>
            <w:r>
              <w:rPr>
                <w:b/>
                <w:color w:val="FFFFFF"/>
                <w:sz w:val="20"/>
              </w:rPr>
              <w:t>in </w:t>
            </w:r>
            <w:r>
              <w:rPr>
                <w:b/>
                <w:color w:val="FFFFFF"/>
                <w:spacing w:val="-2"/>
                <w:sz w:val="20"/>
              </w:rPr>
              <w:t>abundance</w:t>
            </w:r>
          </w:p>
        </w:tc>
        <w:tc>
          <w:tcPr>
            <w:tcW w:w="3435" w:type="dxa"/>
            <w:shd w:val="clear" w:color="auto" w:fill="004B96"/>
          </w:tcPr>
          <w:p>
            <w:pPr>
              <w:pStyle w:val="TableParagraph"/>
              <w:spacing w:before="59"/>
              <w:ind w:left="107"/>
              <w:rPr>
                <w:b/>
                <w:sz w:val="20"/>
              </w:rPr>
            </w:pPr>
            <w:r>
              <w:rPr>
                <w:b/>
                <w:color w:val="FFFFFF"/>
                <w:spacing w:val="-2"/>
                <w:sz w:val="20"/>
              </w:rPr>
              <w:t>Reference</w:t>
            </w:r>
          </w:p>
        </w:tc>
      </w:tr>
      <w:tr>
        <w:trPr>
          <w:trHeight w:val="369" w:hRule="atLeast"/>
        </w:trPr>
        <w:tc>
          <w:tcPr>
            <w:tcW w:w="2660" w:type="dxa"/>
            <w:vMerge w:val="restart"/>
            <w:tcBorders>
              <w:bottom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5"/>
              <w:rPr>
                <w:b/>
                <w:sz w:val="20"/>
              </w:rPr>
            </w:pPr>
          </w:p>
          <w:p>
            <w:pPr>
              <w:pStyle w:val="TableParagraph"/>
              <w:ind w:left="107" w:right="100"/>
              <w:rPr>
                <w:sz w:val="20"/>
              </w:rPr>
            </w:pPr>
            <w:r>
              <w:rPr>
                <w:sz w:val="20"/>
              </w:rPr>
              <w:t>1080</w:t>
            </w:r>
            <w:r>
              <w:rPr>
                <w:spacing w:val="-14"/>
                <w:sz w:val="20"/>
              </w:rPr>
              <w:t> </w:t>
            </w:r>
            <w:r>
              <w:rPr>
                <w:sz w:val="20"/>
              </w:rPr>
              <w:t>baiting</w:t>
            </w:r>
            <w:r>
              <w:rPr>
                <w:spacing w:val="-14"/>
                <w:sz w:val="20"/>
              </w:rPr>
              <w:t> </w:t>
            </w:r>
            <w:r>
              <w:rPr>
                <w:sz w:val="20"/>
              </w:rPr>
              <w:t>(ground- </w:t>
            </w:r>
            <w:r>
              <w:rPr>
                <w:spacing w:val="-2"/>
                <w:sz w:val="20"/>
              </w:rPr>
              <w:t>based)</w:t>
            </w:r>
          </w:p>
        </w:tc>
        <w:tc>
          <w:tcPr>
            <w:tcW w:w="1988" w:type="dxa"/>
            <w:tcBorders>
              <w:bottom w:val="single" w:sz="4" w:space="0" w:color="000000"/>
            </w:tcBorders>
            <w:shd w:val="clear" w:color="auto" w:fill="CCDBEA"/>
          </w:tcPr>
          <w:p>
            <w:pPr>
              <w:pStyle w:val="TableParagraph"/>
              <w:spacing w:before="79"/>
              <w:ind w:left="1" w:right="2"/>
              <w:jc w:val="center"/>
              <w:rPr>
                <w:sz w:val="20"/>
              </w:rPr>
            </w:pPr>
            <w:r>
              <w:rPr>
                <w:spacing w:val="-4"/>
                <w:sz w:val="20"/>
              </w:rPr>
              <w:t>10–13</w:t>
            </w:r>
          </w:p>
        </w:tc>
        <w:tc>
          <w:tcPr>
            <w:tcW w:w="2976" w:type="dxa"/>
            <w:tcBorders>
              <w:bottom w:val="single" w:sz="4" w:space="0" w:color="000000"/>
            </w:tcBorders>
          </w:tcPr>
          <w:p>
            <w:pPr>
              <w:pStyle w:val="TableParagraph"/>
              <w:spacing w:before="79"/>
              <w:ind w:left="107"/>
              <w:rPr>
                <w:sz w:val="20"/>
              </w:rPr>
            </w:pPr>
            <w:r>
              <w:rPr>
                <w:sz w:val="20"/>
              </w:rPr>
              <w:t>Arid</w:t>
            </w:r>
            <w:r>
              <w:rPr>
                <w:spacing w:val="-8"/>
                <w:sz w:val="20"/>
              </w:rPr>
              <w:t> </w:t>
            </w:r>
            <w:r>
              <w:rPr>
                <w:sz w:val="20"/>
              </w:rPr>
              <w:t>region</w:t>
            </w:r>
            <w:r>
              <w:rPr>
                <w:spacing w:val="-7"/>
                <w:sz w:val="20"/>
              </w:rPr>
              <w:t> </w:t>
            </w:r>
            <w:r>
              <w:rPr>
                <w:spacing w:val="-5"/>
                <w:sz w:val="20"/>
              </w:rPr>
              <w:t>SA</w:t>
            </w:r>
          </w:p>
        </w:tc>
        <w:tc>
          <w:tcPr>
            <w:tcW w:w="3687" w:type="dxa"/>
            <w:tcBorders>
              <w:bottom w:val="single" w:sz="4" w:space="0" w:color="000000"/>
            </w:tcBorders>
            <w:shd w:val="clear" w:color="auto" w:fill="CCDBEA"/>
          </w:tcPr>
          <w:p>
            <w:pPr>
              <w:pStyle w:val="TableParagraph"/>
              <w:spacing w:before="79"/>
              <w:ind w:left="107"/>
              <w:rPr>
                <w:sz w:val="20"/>
              </w:rPr>
            </w:pPr>
            <w:r>
              <w:rPr>
                <w:sz w:val="20"/>
              </w:rPr>
              <w:t>Activity</w:t>
            </w:r>
            <w:r>
              <w:rPr>
                <w:spacing w:val="-5"/>
                <w:sz w:val="20"/>
              </w:rPr>
              <w:t> </w:t>
            </w:r>
            <w:r>
              <w:rPr>
                <w:sz w:val="20"/>
              </w:rPr>
              <w:t>index</w:t>
            </w:r>
            <w:r>
              <w:rPr>
                <w:spacing w:val="-6"/>
                <w:sz w:val="20"/>
              </w:rPr>
              <w:t> </w:t>
            </w:r>
            <w:r>
              <w:rPr>
                <w:sz w:val="20"/>
              </w:rPr>
              <w:t>at</w:t>
            </w:r>
            <w:r>
              <w:rPr>
                <w:spacing w:val="-7"/>
                <w:sz w:val="20"/>
              </w:rPr>
              <w:t> </w:t>
            </w:r>
            <w:r>
              <w:rPr>
                <w:sz w:val="20"/>
              </w:rPr>
              <w:t>water</w:t>
            </w:r>
            <w:r>
              <w:rPr>
                <w:spacing w:val="-6"/>
                <w:sz w:val="20"/>
              </w:rPr>
              <w:t> </w:t>
            </w:r>
            <w:r>
              <w:rPr>
                <w:spacing w:val="-2"/>
                <w:sz w:val="20"/>
              </w:rPr>
              <w:t>points</w:t>
            </w:r>
          </w:p>
        </w:tc>
        <w:tc>
          <w:tcPr>
            <w:tcW w:w="3435" w:type="dxa"/>
            <w:tcBorders>
              <w:bottom w:val="single" w:sz="4" w:space="0" w:color="000000"/>
            </w:tcBorders>
          </w:tcPr>
          <w:p>
            <w:pPr>
              <w:pStyle w:val="TableParagraph"/>
              <w:spacing w:before="79"/>
              <w:ind w:left="107"/>
              <w:rPr>
                <w:sz w:val="20"/>
              </w:rPr>
            </w:pPr>
            <w:r>
              <w:rPr>
                <w:sz w:val="20"/>
              </w:rPr>
              <w:t>Bird,</w:t>
            </w:r>
            <w:r>
              <w:rPr>
                <w:spacing w:val="-7"/>
                <w:sz w:val="20"/>
              </w:rPr>
              <w:t> </w:t>
            </w:r>
            <w:r>
              <w:rPr>
                <w:spacing w:val="-4"/>
                <w:sz w:val="20"/>
              </w:rPr>
              <w:t>1994</w:t>
            </w:r>
          </w:p>
        </w:tc>
      </w:tr>
      <w:tr>
        <w:trPr>
          <w:trHeight w:val="602" w:hRule="atLeast"/>
        </w:trPr>
        <w:tc>
          <w:tcPr>
            <w:tcW w:w="2660" w:type="dxa"/>
            <w:vMerge/>
            <w:tcBorders>
              <w:top w:val="nil"/>
              <w:bottom w:val="single" w:sz="4" w:space="0" w:color="000000"/>
            </w:tcBorders>
          </w:tcPr>
          <w:p>
            <w:pPr>
              <w:rPr>
                <w:sz w:val="2"/>
                <w:szCs w:val="2"/>
              </w:rPr>
            </w:pPr>
          </w:p>
        </w:tc>
        <w:tc>
          <w:tcPr>
            <w:tcW w:w="1988" w:type="dxa"/>
            <w:tcBorders>
              <w:top w:val="single" w:sz="4" w:space="0" w:color="000000"/>
              <w:bottom w:val="single" w:sz="4" w:space="0" w:color="000000"/>
            </w:tcBorders>
            <w:shd w:val="clear" w:color="auto" w:fill="CCDBEA"/>
          </w:tcPr>
          <w:p>
            <w:pPr>
              <w:pStyle w:val="TableParagraph"/>
              <w:spacing w:before="81"/>
              <w:ind w:left="1" w:right="2"/>
              <w:jc w:val="center"/>
              <w:rPr>
                <w:sz w:val="20"/>
              </w:rPr>
            </w:pPr>
            <w:r>
              <w:rPr>
                <w:spacing w:val="-4"/>
                <w:sz w:val="20"/>
              </w:rPr>
              <w:t>22–44</w:t>
            </w:r>
          </w:p>
        </w:tc>
        <w:tc>
          <w:tcPr>
            <w:tcW w:w="2976" w:type="dxa"/>
            <w:tcBorders>
              <w:top w:val="single" w:sz="4" w:space="0" w:color="000000"/>
              <w:bottom w:val="single" w:sz="4" w:space="0" w:color="000000"/>
            </w:tcBorders>
          </w:tcPr>
          <w:p>
            <w:pPr>
              <w:pStyle w:val="TableParagraph"/>
              <w:spacing w:before="81"/>
              <w:ind w:left="107"/>
              <w:rPr>
                <w:sz w:val="20"/>
              </w:rPr>
            </w:pPr>
            <w:r>
              <w:rPr>
                <w:sz w:val="20"/>
              </w:rPr>
              <w:t>Yarrangobilly</w:t>
            </w:r>
            <w:r>
              <w:rPr>
                <w:spacing w:val="-13"/>
                <w:sz w:val="20"/>
              </w:rPr>
              <w:t> </w:t>
            </w:r>
            <w:r>
              <w:rPr>
                <w:sz w:val="20"/>
              </w:rPr>
              <w:t>Village,</w:t>
            </w:r>
            <w:r>
              <w:rPr>
                <w:spacing w:val="-13"/>
                <w:sz w:val="20"/>
              </w:rPr>
              <w:t> </w:t>
            </w:r>
            <w:r>
              <w:rPr>
                <w:spacing w:val="-5"/>
                <w:sz w:val="20"/>
              </w:rPr>
              <w:t>NSW</w:t>
            </w:r>
          </w:p>
        </w:tc>
        <w:tc>
          <w:tcPr>
            <w:tcW w:w="3687" w:type="dxa"/>
            <w:tcBorders>
              <w:top w:val="single" w:sz="4" w:space="0" w:color="000000"/>
              <w:bottom w:val="single" w:sz="4" w:space="0" w:color="000000"/>
            </w:tcBorders>
            <w:shd w:val="clear" w:color="auto" w:fill="CCDBEA"/>
          </w:tcPr>
          <w:p>
            <w:pPr>
              <w:pStyle w:val="TableParagraph"/>
              <w:spacing w:before="81"/>
              <w:ind w:left="107" w:right="267"/>
              <w:rPr>
                <w:sz w:val="20"/>
              </w:rPr>
            </w:pPr>
            <w:r>
              <w:rPr>
                <w:sz w:val="20"/>
              </w:rPr>
              <w:t>Proportion</w:t>
            </w:r>
            <w:r>
              <w:rPr>
                <w:spacing w:val="-10"/>
                <w:sz w:val="20"/>
              </w:rPr>
              <w:t> </w:t>
            </w:r>
            <w:r>
              <w:rPr>
                <w:sz w:val="20"/>
              </w:rPr>
              <w:t>of</w:t>
            </w:r>
            <w:r>
              <w:rPr>
                <w:spacing w:val="-11"/>
                <w:sz w:val="20"/>
              </w:rPr>
              <w:t> </w:t>
            </w:r>
            <w:r>
              <w:rPr>
                <w:sz w:val="20"/>
              </w:rPr>
              <w:t>radio</w:t>
            </w:r>
            <w:r>
              <w:rPr>
                <w:spacing w:val="-11"/>
                <w:sz w:val="20"/>
              </w:rPr>
              <w:t> </w:t>
            </w:r>
            <w:r>
              <w:rPr>
                <w:sz w:val="20"/>
              </w:rPr>
              <w:t>collared</w:t>
            </w:r>
            <w:r>
              <w:rPr>
                <w:spacing w:val="-9"/>
                <w:sz w:val="20"/>
              </w:rPr>
              <w:t> </w:t>
            </w:r>
            <w:r>
              <w:rPr>
                <w:sz w:val="20"/>
              </w:rPr>
              <w:t>animals </w:t>
            </w:r>
            <w:r>
              <w:rPr>
                <w:spacing w:val="-2"/>
                <w:sz w:val="20"/>
              </w:rPr>
              <w:t>killed</w:t>
            </w:r>
          </w:p>
        </w:tc>
        <w:tc>
          <w:tcPr>
            <w:tcW w:w="3435" w:type="dxa"/>
            <w:tcBorders>
              <w:top w:val="single" w:sz="4" w:space="0" w:color="000000"/>
              <w:bottom w:val="single" w:sz="4" w:space="0" w:color="000000"/>
            </w:tcBorders>
          </w:tcPr>
          <w:p>
            <w:pPr>
              <w:pStyle w:val="TableParagraph"/>
              <w:spacing w:before="81"/>
              <w:ind w:left="107"/>
              <w:rPr>
                <w:sz w:val="20"/>
              </w:rPr>
            </w:pPr>
            <w:r>
              <w:rPr>
                <w:sz w:val="20"/>
              </w:rPr>
              <w:t>McIlroy</w:t>
            </w:r>
            <w:r>
              <w:rPr>
                <w:spacing w:val="-5"/>
                <w:sz w:val="20"/>
              </w:rPr>
              <w:t> </w:t>
            </w:r>
            <w:r>
              <w:rPr>
                <w:sz w:val="20"/>
              </w:rPr>
              <w:t>et</w:t>
            </w:r>
            <w:r>
              <w:rPr>
                <w:spacing w:val="-4"/>
                <w:sz w:val="20"/>
              </w:rPr>
              <w:t> </w:t>
            </w:r>
            <w:r>
              <w:rPr>
                <w:sz w:val="20"/>
              </w:rPr>
              <w:t>al.</w:t>
            </w:r>
            <w:r>
              <w:rPr>
                <w:spacing w:val="-4"/>
                <w:sz w:val="20"/>
              </w:rPr>
              <w:t> 1986</w:t>
            </w:r>
          </w:p>
        </w:tc>
      </w:tr>
      <w:tr>
        <w:trPr>
          <w:trHeight w:val="369" w:hRule="atLeast"/>
        </w:trPr>
        <w:tc>
          <w:tcPr>
            <w:tcW w:w="2660" w:type="dxa"/>
            <w:vMerge/>
            <w:tcBorders>
              <w:top w:val="nil"/>
              <w:bottom w:val="single" w:sz="4" w:space="0" w:color="000000"/>
            </w:tcBorders>
          </w:tcPr>
          <w:p>
            <w:pPr>
              <w:rPr>
                <w:sz w:val="2"/>
                <w:szCs w:val="2"/>
              </w:rPr>
            </w:pPr>
          </w:p>
        </w:tc>
        <w:tc>
          <w:tcPr>
            <w:tcW w:w="1988" w:type="dxa"/>
            <w:tcBorders>
              <w:top w:val="single" w:sz="4" w:space="0" w:color="000000"/>
              <w:bottom w:val="single" w:sz="4" w:space="0" w:color="000000"/>
            </w:tcBorders>
            <w:shd w:val="clear" w:color="auto" w:fill="CCDBEA"/>
          </w:tcPr>
          <w:p>
            <w:pPr>
              <w:pStyle w:val="TableParagraph"/>
              <w:spacing w:before="78"/>
              <w:ind w:left="1" w:right="2"/>
              <w:jc w:val="center"/>
              <w:rPr>
                <w:sz w:val="20"/>
              </w:rPr>
            </w:pPr>
            <w:r>
              <w:rPr>
                <w:spacing w:val="-5"/>
                <w:sz w:val="20"/>
              </w:rPr>
              <w:t>76</w:t>
            </w:r>
          </w:p>
        </w:tc>
        <w:tc>
          <w:tcPr>
            <w:tcW w:w="2976" w:type="dxa"/>
            <w:tcBorders>
              <w:top w:val="single" w:sz="4" w:space="0" w:color="000000"/>
              <w:bottom w:val="single" w:sz="4" w:space="0" w:color="000000"/>
            </w:tcBorders>
          </w:tcPr>
          <w:p>
            <w:pPr>
              <w:pStyle w:val="TableParagraph"/>
              <w:spacing w:before="78"/>
              <w:ind w:left="107"/>
              <w:rPr>
                <w:sz w:val="20"/>
              </w:rPr>
            </w:pPr>
            <w:r>
              <w:rPr>
                <w:spacing w:val="-5"/>
                <w:sz w:val="20"/>
              </w:rPr>
              <w:t>NSW</w:t>
            </w:r>
          </w:p>
        </w:tc>
        <w:tc>
          <w:tcPr>
            <w:tcW w:w="3687" w:type="dxa"/>
            <w:tcBorders>
              <w:top w:val="single" w:sz="4" w:space="0" w:color="000000"/>
              <w:bottom w:val="single" w:sz="4" w:space="0" w:color="000000"/>
            </w:tcBorders>
            <w:shd w:val="clear" w:color="auto" w:fill="CCDBEA"/>
          </w:tcPr>
          <w:p>
            <w:pPr>
              <w:pStyle w:val="TableParagraph"/>
              <w:spacing w:before="78"/>
              <w:ind w:left="107"/>
              <w:rPr>
                <w:sz w:val="20"/>
              </w:rPr>
            </w:pPr>
            <w:r>
              <w:rPr>
                <w:sz w:val="20"/>
              </w:rPr>
              <w:t>Pre-</w:t>
            </w:r>
            <w:r>
              <w:rPr>
                <w:spacing w:val="-6"/>
                <w:sz w:val="20"/>
              </w:rPr>
              <w:t> </w:t>
            </w:r>
            <w:r>
              <w:rPr>
                <w:sz w:val="20"/>
              </w:rPr>
              <w:t>and</w:t>
            </w:r>
            <w:r>
              <w:rPr>
                <w:spacing w:val="-7"/>
                <w:sz w:val="20"/>
              </w:rPr>
              <w:t> </w:t>
            </w:r>
            <w:r>
              <w:rPr>
                <w:sz w:val="20"/>
              </w:rPr>
              <w:t>post-baiting</w:t>
            </w:r>
            <w:r>
              <w:rPr>
                <w:spacing w:val="-7"/>
                <w:sz w:val="20"/>
              </w:rPr>
              <w:t> </w:t>
            </w:r>
            <w:r>
              <w:rPr>
                <w:sz w:val="20"/>
              </w:rPr>
              <w:t>bait</w:t>
            </w:r>
            <w:r>
              <w:rPr>
                <w:spacing w:val="-6"/>
                <w:sz w:val="20"/>
              </w:rPr>
              <w:t> </w:t>
            </w:r>
            <w:r>
              <w:rPr>
                <w:sz w:val="20"/>
              </w:rPr>
              <w:t>take</w:t>
            </w:r>
            <w:r>
              <w:rPr>
                <w:spacing w:val="-7"/>
                <w:sz w:val="20"/>
              </w:rPr>
              <w:t> </w:t>
            </w:r>
            <w:r>
              <w:rPr>
                <w:spacing w:val="-2"/>
                <w:sz w:val="20"/>
              </w:rPr>
              <w:t>indices</w:t>
            </w:r>
          </w:p>
        </w:tc>
        <w:tc>
          <w:tcPr>
            <w:tcW w:w="3435" w:type="dxa"/>
            <w:tcBorders>
              <w:top w:val="single" w:sz="4" w:space="0" w:color="000000"/>
              <w:bottom w:val="single" w:sz="4" w:space="0" w:color="000000"/>
            </w:tcBorders>
          </w:tcPr>
          <w:p>
            <w:pPr>
              <w:pStyle w:val="TableParagraph"/>
              <w:spacing w:before="78"/>
              <w:ind w:left="107"/>
              <w:rPr>
                <w:sz w:val="20"/>
              </w:rPr>
            </w:pPr>
            <w:r>
              <w:rPr>
                <w:sz w:val="20"/>
              </w:rPr>
              <w:t>Fleming</w:t>
            </w:r>
            <w:r>
              <w:rPr>
                <w:spacing w:val="-11"/>
                <w:sz w:val="20"/>
              </w:rPr>
              <w:t> </w:t>
            </w:r>
            <w:r>
              <w:rPr>
                <w:spacing w:val="-4"/>
                <w:sz w:val="20"/>
              </w:rPr>
              <w:t>1996</w:t>
            </w:r>
          </w:p>
        </w:tc>
      </w:tr>
      <w:tr>
        <w:trPr>
          <w:trHeight w:val="600" w:hRule="atLeast"/>
        </w:trPr>
        <w:tc>
          <w:tcPr>
            <w:tcW w:w="2660" w:type="dxa"/>
            <w:vMerge/>
            <w:tcBorders>
              <w:top w:val="nil"/>
              <w:bottom w:val="single" w:sz="4" w:space="0" w:color="000000"/>
            </w:tcBorders>
          </w:tcPr>
          <w:p>
            <w:pPr>
              <w:rPr>
                <w:sz w:val="2"/>
                <w:szCs w:val="2"/>
              </w:rPr>
            </w:pPr>
          </w:p>
        </w:tc>
        <w:tc>
          <w:tcPr>
            <w:tcW w:w="1988" w:type="dxa"/>
            <w:tcBorders>
              <w:top w:val="single" w:sz="4" w:space="0" w:color="000000"/>
              <w:bottom w:val="single" w:sz="4" w:space="0" w:color="000000"/>
            </w:tcBorders>
            <w:shd w:val="clear" w:color="auto" w:fill="CCDBEA"/>
          </w:tcPr>
          <w:p>
            <w:pPr>
              <w:pStyle w:val="TableParagraph"/>
              <w:spacing w:before="78"/>
              <w:ind w:left="1" w:right="2"/>
              <w:jc w:val="center"/>
              <w:rPr>
                <w:sz w:val="20"/>
              </w:rPr>
            </w:pPr>
            <w:r>
              <w:rPr>
                <w:spacing w:val="-4"/>
                <w:sz w:val="20"/>
              </w:rPr>
              <w:t>50–70</w:t>
            </w:r>
          </w:p>
        </w:tc>
        <w:tc>
          <w:tcPr>
            <w:tcW w:w="2976" w:type="dxa"/>
            <w:tcBorders>
              <w:top w:val="single" w:sz="4" w:space="0" w:color="000000"/>
              <w:bottom w:val="single" w:sz="4" w:space="0" w:color="000000"/>
            </w:tcBorders>
          </w:tcPr>
          <w:p>
            <w:pPr>
              <w:pStyle w:val="TableParagraph"/>
              <w:spacing w:before="78"/>
              <w:ind w:left="107"/>
              <w:rPr>
                <w:sz w:val="20"/>
              </w:rPr>
            </w:pPr>
            <w:r>
              <w:rPr>
                <w:sz w:val="20"/>
              </w:rPr>
              <w:t>Finke</w:t>
            </w:r>
            <w:r>
              <w:rPr>
                <w:spacing w:val="-7"/>
                <w:sz w:val="20"/>
              </w:rPr>
              <w:t> </w:t>
            </w:r>
            <w:r>
              <w:rPr>
                <w:sz w:val="20"/>
              </w:rPr>
              <w:t>Gorge</w:t>
            </w:r>
            <w:r>
              <w:rPr>
                <w:spacing w:val="-7"/>
                <w:sz w:val="20"/>
              </w:rPr>
              <w:t> </w:t>
            </w:r>
            <w:r>
              <w:rPr>
                <w:sz w:val="20"/>
              </w:rPr>
              <w:t>National</w:t>
            </w:r>
            <w:r>
              <w:rPr>
                <w:spacing w:val="-5"/>
                <w:sz w:val="20"/>
              </w:rPr>
              <w:t> </w:t>
            </w:r>
            <w:r>
              <w:rPr>
                <w:sz w:val="20"/>
              </w:rPr>
              <w:t>Park,</w:t>
            </w:r>
            <w:r>
              <w:rPr>
                <w:spacing w:val="-7"/>
                <w:sz w:val="20"/>
              </w:rPr>
              <w:t> </w:t>
            </w:r>
            <w:r>
              <w:rPr>
                <w:spacing w:val="-5"/>
                <w:sz w:val="20"/>
              </w:rPr>
              <w:t>NT</w:t>
            </w:r>
          </w:p>
        </w:tc>
        <w:tc>
          <w:tcPr>
            <w:tcW w:w="3687" w:type="dxa"/>
            <w:tcBorders>
              <w:top w:val="single" w:sz="4" w:space="0" w:color="000000"/>
              <w:bottom w:val="single" w:sz="4" w:space="0" w:color="000000"/>
            </w:tcBorders>
            <w:shd w:val="clear" w:color="auto" w:fill="CCDBEA"/>
          </w:tcPr>
          <w:p>
            <w:pPr>
              <w:pStyle w:val="TableParagraph"/>
              <w:spacing w:before="78"/>
              <w:ind w:left="107" w:right="267"/>
              <w:rPr>
                <w:sz w:val="20"/>
              </w:rPr>
            </w:pPr>
            <w:r>
              <w:rPr>
                <w:sz w:val="20"/>
              </w:rPr>
              <w:t>Pre-</w:t>
            </w:r>
            <w:r>
              <w:rPr>
                <w:spacing w:val="-13"/>
                <w:sz w:val="20"/>
              </w:rPr>
              <w:t> </w:t>
            </w:r>
            <w:r>
              <w:rPr>
                <w:sz w:val="20"/>
              </w:rPr>
              <w:t>and</w:t>
            </w:r>
            <w:r>
              <w:rPr>
                <w:spacing w:val="-14"/>
                <w:sz w:val="20"/>
              </w:rPr>
              <w:t> </w:t>
            </w:r>
            <w:r>
              <w:rPr>
                <w:sz w:val="20"/>
              </w:rPr>
              <w:t>post-baiting</w:t>
            </w:r>
            <w:r>
              <w:rPr>
                <w:spacing w:val="-14"/>
                <w:sz w:val="20"/>
              </w:rPr>
              <w:t> </w:t>
            </w:r>
            <w:r>
              <w:rPr>
                <w:sz w:val="20"/>
              </w:rPr>
              <w:t>track-based </w:t>
            </w:r>
            <w:r>
              <w:rPr>
                <w:spacing w:val="-2"/>
                <w:sz w:val="20"/>
              </w:rPr>
              <w:t>index</w:t>
            </w:r>
          </w:p>
        </w:tc>
        <w:tc>
          <w:tcPr>
            <w:tcW w:w="3435" w:type="dxa"/>
            <w:tcBorders>
              <w:top w:val="single" w:sz="4" w:space="0" w:color="000000"/>
              <w:bottom w:val="single" w:sz="4" w:space="0" w:color="000000"/>
            </w:tcBorders>
          </w:tcPr>
          <w:p>
            <w:pPr>
              <w:pStyle w:val="TableParagraph"/>
              <w:spacing w:before="78"/>
              <w:ind w:left="107"/>
              <w:rPr>
                <w:sz w:val="20"/>
              </w:rPr>
            </w:pPr>
            <w:r>
              <w:rPr>
                <w:sz w:val="20"/>
              </w:rPr>
              <w:t>Twigg</w:t>
            </w:r>
            <w:r>
              <w:rPr>
                <w:spacing w:val="-4"/>
                <w:sz w:val="20"/>
              </w:rPr>
              <w:t> </w:t>
            </w:r>
            <w:r>
              <w:rPr>
                <w:sz w:val="20"/>
              </w:rPr>
              <w:t>et</w:t>
            </w:r>
            <w:r>
              <w:rPr>
                <w:spacing w:val="-5"/>
                <w:sz w:val="20"/>
              </w:rPr>
              <w:t> </w:t>
            </w:r>
            <w:r>
              <w:rPr>
                <w:sz w:val="20"/>
              </w:rPr>
              <w:t>al.</w:t>
            </w:r>
            <w:r>
              <w:rPr>
                <w:spacing w:val="-3"/>
                <w:sz w:val="20"/>
              </w:rPr>
              <w:t> </w:t>
            </w:r>
            <w:r>
              <w:rPr>
                <w:spacing w:val="-4"/>
                <w:sz w:val="20"/>
              </w:rPr>
              <w:t>2000</w:t>
            </w:r>
          </w:p>
        </w:tc>
      </w:tr>
      <w:tr>
        <w:trPr>
          <w:trHeight w:val="599" w:hRule="atLeast"/>
        </w:trPr>
        <w:tc>
          <w:tcPr>
            <w:tcW w:w="2660" w:type="dxa"/>
            <w:vMerge/>
            <w:tcBorders>
              <w:top w:val="nil"/>
              <w:bottom w:val="single" w:sz="4" w:space="0" w:color="000000"/>
            </w:tcBorders>
          </w:tcPr>
          <w:p>
            <w:pPr>
              <w:rPr>
                <w:sz w:val="2"/>
                <w:szCs w:val="2"/>
              </w:rPr>
            </w:pPr>
          </w:p>
        </w:tc>
        <w:tc>
          <w:tcPr>
            <w:tcW w:w="1988" w:type="dxa"/>
            <w:tcBorders>
              <w:top w:val="single" w:sz="4" w:space="0" w:color="000000"/>
              <w:bottom w:val="single" w:sz="4" w:space="0" w:color="000000"/>
            </w:tcBorders>
            <w:shd w:val="clear" w:color="auto" w:fill="CCDBEA"/>
          </w:tcPr>
          <w:p>
            <w:pPr>
              <w:pStyle w:val="TableParagraph"/>
              <w:spacing w:before="78"/>
              <w:ind w:left="181" w:right="177" w:firstLine="350"/>
              <w:rPr>
                <w:sz w:val="20"/>
              </w:rPr>
            </w:pPr>
            <w:r>
              <w:rPr>
                <w:spacing w:val="-2"/>
                <w:sz w:val="20"/>
              </w:rPr>
              <w:t>Significant </w:t>
            </w:r>
            <w:r>
              <w:rPr>
                <w:sz w:val="20"/>
              </w:rPr>
              <w:t>reduction</w:t>
            </w:r>
            <w:r>
              <w:rPr>
                <w:spacing w:val="-14"/>
                <w:sz w:val="20"/>
              </w:rPr>
              <w:t> </w:t>
            </w:r>
            <w:r>
              <w:rPr>
                <w:sz w:val="20"/>
              </w:rPr>
              <w:t>reported</w:t>
            </w:r>
          </w:p>
        </w:tc>
        <w:tc>
          <w:tcPr>
            <w:tcW w:w="2976" w:type="dxa"/>
            <w:tcBorders>
              <w:top w:val="single" w:sz="4" w:space="0" w:color="000000"/>
              <w:bottom w:val="single" w:sz="4" w:space="0" w:color="000000"/>
            </w:tcBorders>
          </w:tcPr>
          <w:p>
            <w:pPr>
              <w:pStyle w:val="TableParagraph"/>
              <w:spacing w:before="78"/>
              <w:ind w:left="107"/>
              <w:rPr>
                <w:sz w:val="20"/>
              </w:rPr>
            </w:pPr>
            <w:r>
              <w:rPr>
                <w:sz w:val="20"/>
              </w:rPr>
              <w:t>Four</w:t>
            </w:r>
            <w:r>
              <w:rPr>
                <w:spacing w:val="-7"/>
                <w:sz w:val="20"/>
              </w:rPr>
              <w:t> </w:t>
            </w:r>
            <w:r>
              <w:rPr>
                <w:sz w:val="20"/>
              </w:rPr>
              <w:t>locations</w:t>
            </w:r>
            <w:r>
              <w:rPr>
                <w:spacing w:val="-7"/>
                <w:sz w:val="20"/>
              </w:rPr>
              <w:t> </w:t>
            </w:r>
            <w:r>
              <w:rPr>
                <w:sz w:val="20"/>
              </w:rPr>
              <w:t>in</w:t>
            </w:r>
            <w:r>
              <w:rPr>
                <w:spacing w:val="-6"/>
                <w:sz w:val="20"/>
              </w:rPr>
              <w:t> </w:t>
            </w:r>
            <w:r>
              <w:rPr>
                <w:spacing w:val="-5"/>
                <w:sz w:val="20"/>
              </w:rPr>
              <w:t>NT</w:t>
            </w:r>
          </w:p>
        </w:tc>
        <w:tc>
          <w:tcPr>
            <w:tcW w:w="3687" w:type="dxa"/>
            <w:tcBorders>
              <w:top w:val="single" w:sz="4" w:space="0" w:color="000000"/>
              <w:bottom w:val="single" w:sz="4" w:space="0" w:color="000000"/>
            </w:tcBorders>
            <w:shd w:val="clear" w:color="auto" w:fill="CCDBEA"/>
          </w:tcPr>
          <w:p>
            <w:pPr>
              <w:pStyle w:val="TableParagraph"/>
              <w:spacing w:before="78"/>
              <w:ind w:left="107"/>
              <w:rPr>
                <w:sz w:val="20"/>
              </w:rPr>
            </w:pPr>
            <w:r>
              <w:rPr>
                <w:sz w:val="20"/>
              </w:rPr>
              <w:t>Activity</w:t>
            </w:r>
            <w:r>
              <w:rPr>
                <w:spacing w:val="-5"/>
                <w:sz w:val="20"/>
              </w:rPr>
              <w:t> </w:t>
            </w:r>
            <w:r>
              <w:rPr>
                <w:sz w:val="20"/>
              </w:rPr>
              <w:t>index</w:t>
            </w:r>
            <w:r>
              <w:rPr>
                <w:spacing w:val="-6"/>
                <w:sz w:val="20"/>
              </w:rPr>
              <w:t> </w:t>
            </w:r>
            <w:r>
              <w:rPr>
                <w:sz w:val="20"/>
              </w:rPr>
              <w:t>at</w:t>
            </w:r>
            <w:r>
              <w:rPr>
                <w:spacing w:val="-7"/>
                <w:sz w:val="20"/>
              </w:rPr>
              <w:t> </w:t>
            </w:r>
            <w:r>
              <w:rPr>
                <w:sz w:val="20"/>
              </w:rPr>
              <w:t>water</w:t>
            </w:r>
            <w:r>
              <w:rPr>
                <w:spacing w:val="-6"/>
                <w:sz w:val="20"/>
              </w:rPr>
              <w:t> </w:t>
            </w:r>
            <w:r>
              <w:rPr>
                <w:spacing w:val="-2"/>
                <w:sz w:val="20"/>
              </w:rPr>
              <w:t>points</w:t>
            </w:r>
          </w:p>
        </w:tc>
        <w:tc>
          <w:tcPr>
            <w:tcW w:w="3435" w:type="dxa"/>
            <w:tcBorders>
              <w:top w:val="single" w:sz="4" w:space="0" w:color="000000"/>
              <w:bottom w:val="single" w:sz="4" w:space="0" w:color="000000"/>
            </w:tcBorders>
          </w:tcPr>
          <w:p>
            <w:pPr>
              <w:pStyle w:val="TableParagraph"/>
              <w:spacing w:before="78"/>
              <w:ind w:left="107"/>
              <w:rPr>
                <w:sz w:val="20"/>
              </w:rPr>
            </w:pPr>
            <w:r>
              <w:rPr>
                <w:sz w:val="20"/>
              </w:rPr>
              <w:t>Eldridge</w:t>
            </w:r>
            <w:r>
              <w:rPr>
                <w:spacing w:val="-6"/>
                <w:sz w:val="20"/>
              </w:rPr>
              <w:t> </w:t>
            </w:r>
            <w:r>
              <w:rPr>
                <w:sz w:val="20"/>
              </w:rPr>
              <w:t>et</w:t>
            </w:r>
            <w:r>
              <w:rPr>
                <w:spacing w:val="-5"/>
                <w:sz w:val="20"/>
              </w:rPr>
              <w:t> </w:t>
            </w:r>
            <w:r>
              <w:rPr>
                <w:sz w:val="20"/>
              </w:rPr>
              <w:t>al.</w:t>
            </w:r>
            <w:r>
              <w:rPr>
                <w:spacing w:val="-6"/>
                <w:sz w:val="20"/>
              </w:rPr>
              <w:t> </w:t>
            </w:r>
            <w:r>
              <w:rPr>
                <w:spacing w:val="-4"/>
                <w:sz w:val="20"/>
              </w:rPr>
              <w:t>2000</w:t>
            </w:r>
          </w:p>
        </w:tc>
      </w:tr>
      <w:tr>
        <w:trPr>
          <w:trHeight w:val="599" w:hRule="atLeast"/>
        </w:trPr>
        <w:tc>
          <w:tcPr>
            <w:tcW w:w="2660" w:type="dxa"/>
            <w:vMerge/>
            <w:tcBorders>
              <w:top w:val="nil"/>
              <w:bottom w:val="single" w:sz="4" w:space="0" w:color="000000"/>
            </w:tcBorders>
          </w:tcPr>
          <w:p>
            <w:pPr>
              <w:rPr>
                <w:sz w:val="2"/>
                <w:szCs w:val="2"/>
              </w:rPr>
            </w:pPr>
          </w:p>
        </w:tc>
        <w:tc>
          <w:tcPr>
            <w:tcW w:w="1988" w:type="dxa"/>
            <w:tcBorders>
              <w:top w:val="single" w:sz="4" w:space="0" w:color="000000"/>
              <w:bottom w:val="single" w:sz="4" w:space="0" w:color="000000"/>
            </w:tcBorders>
            <w:shd w:val="clear" w:color="auto" w:fill="CCDBEA"/>
          </w:tcPr>
          <w:p>
            <w:pPr>
              <w:pStyle w:val="TableParagraph"/>
              <w:spacing w:before="78"/>
              <w:ind w:left="1" w:right="2"/>
              <w:jc w:val="center"/>
              <w:rPr>
                <w:sz w:val="20"/>
              </w:rPr>
            </w:pPr>
            <w:r>
              <w:rPr>
                <w:spacing w:val="-4"/>
                <w:sz w:val="20"/>
              </w:rPr>
              <w:t>11–70</w:t>
            </w:r>
          </w:p>
        </w:tc>
        <w:tc>
          <w:tcPr>
            <w:tcW w:w="2976" w:type="dxa"/>
            <w:tcBorders>
              <w:top w:val="single" w:sz="4" w:space="0" w:color="000000"/>
              <w:bottom w:val="single" w:sz="4" w:space="0" w:color="000000"/>
            </w:tcBorders>
          </w:tcPr>
          <w:p>
            <w:pPr>
              <w:pStyle w:val="TableParagraph"/>
              <w:spacing w:before="78"/>
              <w:ind w:left="107"/>
              <w:rPr>
                <w:sz w:val="20"/>
              </w:rPr>
            </w:pPr>
            <w:r>
              <w:rPr>
                <w:sz w:val="20"/>
              </w:rPr>
              <w:t>Eastern</w:t>
            </w:r>
            <w:r>
              <w:rPr>
                <w:spacing w:val="-10"/>
                <w:sz w:val="20"/>
              </w:rPr>
              <w:t> </w:t>
            </w:r>
            <w:r>
              <w:rPr>
                <w:spacing w:val="-5"/>
                <w:sz w:val="20"/>
              </w:rPr>
              <w:t>Vic</w:t>
            </w:r>
          </w:p>
        </w:tc>
        <w:tc>
          <w:tcPr>
            <w:tcW w:w="3687" w:type="dxa"/>
            <w:tcBorders>
              <w:top w:val="single" w:sz="4" w:space="0" w:color="000000"/>
              <w:bottom w:val="single" w:sz="4" w:space="0" w:color="000000"/>
            </w:tcBorders>
            <w:shd w:val="clear" w:color="auto" w:fill="CCDBEA"/>
          </w:tcPr>
          <w:p>
            <w:pPr>
              <w:pStyle w:val="TableParagraph"/>
              <w:spacing w:line="242" w:lineRule="auto" w:before="78"/>
              <w:ind w:left="107"/>
              <w:rPr>
                <w:sz w:val="20"/>
              </w:rPr>
            </w:pPr>
            <w:r>
              <w:rPr>
                <w:sz w:val="20"/>
              </w:rPr>
              <w:t>Camera</w:t>
            </w:r>
            <w:r>
              <w:rPr>
                <w:spacing w:val="-8"/>
                <w:sz w:val="20"/>
              </w:rPr>
              <w:t> </w:t>
            </w:r>
            <w:r>
              <w:rPr>
                <w:sz w:val="20"/>
              </w:rPr>
              <w:t>trap</w:t>
            </w:r>
            <w:r>
              <w:rPr>
                <w:spacing w:val="-8"/>
                <w:sz w:val="20"/>
              </w:rPr>
              <w:t> </w:t>
            </w:r>
            <w:r>
              <w:rPr>
                <w:sz w:val="20"/>
              </w:rPr>
              <w:t>index</w:t>
            </w:r>
            <w:r>
              <w:rPr>
                <w:spacing w:val="-9"/>
                <w:sz w:val="20"/>
              </w:rPr>
              <w:t> </w:t>
            </w:r>
            <w:r>
              <w:rPr>
                <w:sz w:val="20"/>
              </w:rPr>
              <w:t>and</w:t>
            </w:r>
            <w:r>
              <w:rPr>
                <w:spacing w:val="-10"/>
                <w:sz w:val="20"/>
              </w:rPr>
              <w:t> </w:t>
            </w:r>
            <w:r>
              <w:rPr>
                <w:sz w:val="20"/>
              </w:rPr>
              <w:t>radio</w:t>
            </w:r>
            <w:r>
              <w:rPr>
                <w:spacing w:val="-10"/>
                <w:sz w:val="20"/>
              </w:rPr>
              <w:t> </w:t>
            </w:r>
            <w:r>
              <w:rPr>
                <w:sz w:val="20"/>
              </w:rPr>
              <w:t>collared </w:t>
            </w:r>
            <w:r>
              <w:rPr>
                <w:spacing w:val="-2"/>
                <w:sz w:val="20"/>
              </w:rPr>
              <w:t>individuals</w:t>
            </w:r>
          </w:p>
        </w:tc>
        <w:tc>
          <w:tcPr>
            <w:tcW w:w="3435" w:type="dxa"/>
            <w:tcBorders>
              <w:top w:val="single" w:sz="4" w:space="0" w:color="000000"/>
              <w:bottom w:val="single" w:sz="4" w:space="0" w:color="000000"/>
            </w:tcBorders>
          </w:tcPr>
          <w:p>
            <w:pPr>
              <w:pStyle w:val="TableParagraph"/>
              <w:spacing w:before="78"/>
              <w:ind w:left="107"/>
              <w:rPr>
                <w:sz w:val="20"/>
              </w:rPr>
            </w:pPr>
            <w:r>
              <w:rPr>
                <w:sz w:val="20"/>
              </w:rPr>
              <w:t>Robley</w:t>
            </w:r>
            <w:r>
              <w:rPr>
                <w:spacing w:val="-8"/>
                <w:sz w:val="20"/>
              </w:rPr>
              <w:t> </w:t>
            </w:r>
            <w:r>
              <w:rPr>
                <w:sz w:val="20"/>
              </w:rPr>
              <w:t>et</w:t>
            </w:r>
            <w:r>
              <w:rPr>
                <w:spacing w:val="-4"/>
                <w:sz w:val="20"/>
              </w:rPr>
              <w:t> </w:t>
            </w:r>
            <w:r>
              <w:rPr>
                <w:sz w:val="20"/>
              </w:rPr>
              <w:t>al.</w:t>
            </w:r>
            <w:r>
              <w:rPr>
                <w:spacing w:val="-3"/>
                <w:sz w:val="20"/>
              </w:rPr>
              <w:t> </w:t>
            </w:r>
            <w:r>
              <w:rPr>
                <w:spacing w:val="-4"/>
                <w:sz w:val="20"/>
              </w:rPr>
              <w:t>2008</w:t>
            </w:r>
          </w:p>
        </w:tc>
      </w:tr>
      <w:tr>
        <w:trPr>
          <w:trHeight w:val="601" w:hRule="atLeast"/>
        </w:trPr>
        <w:tc>
          <w:tcPr>
            <w:tcW w:w="2660" w:type="dxa"/>
            <w:vMerge/>
            <w:tcBorders>
              <w:top w:val="nil"/>
              <w:bottom w:val="single" w:sz="4" w:space="0" w:color="000000"/>
            </w:tcBorders>
          </w:tcPr>
          <w:p>
            <w:pPr>
              <w:rPr>
                <w:sz w:val="2"/>
                <w:szCs w:val="2"/>
              </w:rPr>
            </w:pPr>
          </w:p>
        </w:tc>
        <w:tc>
          <w:tcPr>
            <w:tcW w:w="1988" w:type="dxa"/>
            <w:tcBorders>
              <w:top w:val="single" w:sz="4" w:space="0" w:color="000000"/>
              <w:bottom w:val="single" w:sz="4" w:space="0" w:color="000000"/>
            </w:tcBorders>
            <w:shd w:val="clear" w:color="auto" w:fill="CCDBEA"/>
          </w:tcPr>
          <w:p>
            <w:pPr>
              <w:pStyle w:val="TableParagraph"/>
              <w:spacing w:before="81"/>
              <w:ind w:left="2" w:right="2"/>
              <w:jc w:val="center"/>
              <w:rPr>
                <w:sz w:val="20"/>
              </w:rPr>
            </w:pPr>
            <w:r>
              <w:rPr>
                <w:sz w:val="20"/>
              </w:rPr>
              <w:t>54</w:t>
            </w:r>
            <w:r>
              <w:rPr>
                <w:spacing w:val="-4"/>
                <w:sz w:val="20"/>
              </w:rPr>
              <w:t> </w:t>
            </w:r>
            <w:r>
              <w:rPr>
                <w:spacing w:val="-2"/>
                <w:sz w:val="20"/>
              </w:rPr>
              <w:t>(9–100)</w:t>
            </w:r>
          </w:p>
        </w:tc>
        <w:tc>
          <w:tcPr>
            <w:tcW w:w="2976" w:type="dxa"/>
            <w:tcBorders>
              <w:top w:val="single" w:sz="4" w:space="0" w:color="000000"/>
              <w:bottom w:val="single" w:sz="4" w:space="0" w:color="000000"/>
            </w:tcBorders>
          </w:tcPr>
          <w:p>
            <w:pPr>
              <w:pStyle w:val="TableParagraph"/>
              <w:spacing w:before="81"/>
              <w:ind w:left="107"/>
              <w:rPr>
                <w:sz w:val="20"/>
              </w:rPr>
            </w:pPr>
            <w:r>
              <w:rPr>
                <w:sz w:val="20"/>
              </w:rPr>
              <w:t>12</w:t>
            </w:r>
            <w:r>
              <w:rPr>
                <w:spacing w:val="-8"/>
                <w:sz w:val="20"/>
              </w:rPr>
              <w:t> </w:t>
            </w:r>
            <w:r>
              <w:rPr>
                <w:sz w:val="20"/>
              </w:rPr>
              <w:t>baiting</w:t>
            </w:r>
            <w:r>
              <w:rPr>
                <w:spacing w:val="-6"/>
                <w:sz w:val="20"/>
              </w:rPr>
              <w:t> </w:t>
            </w:r>
            <w:r>
              <w:rPr>
                <w:sz w:val="20"/>
              </w:rPr>
              <w:t>programmes</w:t>
            </w:r>
            <w:r>
              <w:rPr>
                <w:spacing w:val="-7"/>
                <w:sz w:val="20"/>
              </w:rPr>
              <w:t> </w:t>
            </w:r>
            <w:r>
              <w:rPr>
                <w:sz w:val="20"/>
              </w:rPr>
              <w:t>in</w:t>
            </w:r>
            <w:r>
              <w:rPr>
                <w:spacing w:val="-4"/>
                <w:sz w:val="20"/>
              </w:rPr>
              <w:t> </w:t>
            </w:r>
            <w:r>
              <w:rPr>
                <w:spacing w:val="-5"/>
                <w:sz w:val="20"/>
              </w:rPr>
              <w:t>QLD</w:t>
            </w:r>
          </w:p>
        </w:tc>
        <w:tc>
          <w:tcPr>
            <w:tcW w:w="3687" w:type="dxa"/>
            <w:tcBorders>
              <w:top w:val="single" w:sz="4" w:space="0" w:color="000000"/>
              <w:bottom w:val="single" w:sz="4" w:space="0" w:color="000000"/>
            </w:tcBorders>
            <w:shd w:val="clear" w:color="auto" w:fill="CCDBEA"/>
          </w:tcPr>
          <w:p>
            <w:pPr>
              <w:pStyle w:val="TableParagraph"/>
              <w:spacing w:before="81"/>
              <w:ind w:left="107"/>
              <w:rPr>
                <w:sz w:val="20"/>
              </w:rPr>
            </w:pPr>
            <w:r>
              <w:rPr>
                <w:sz w:val="20"/>
              </w:rPr>
              <w:t>Passive</w:t>
            </w:r>
            <w:r>
              <w:rPr>
                <w:spacing w:val="-9"/>
                <w:sz w:val="20"/>
              </w:rPr>
              <w:t> </w:t>
            </w:r>
            <w:r>
              <w:rPr>
                <w:sz w:val="20"/>
              </w:rPr>
              <w:t>tracking</w:t>
            </w:r>
            <w:r>
              <w:rPr>
                <w:spacing w:val="-9"/>
                <w:sz w:val="20"/>
              </w:rPr>
              <w:t> </w:t>
            </w:r>
            <w:r>
              <w:rPr>
                <w:sz w:val="20"/>
              </w:rPr>
              <w:t>index</w:t>
            </w:r>
            <w:r>
              <w:rPr>
                <w:spacing w:val="-7"/>
                <w:sz w:val="20"/>
              </w:rPr>
              <w:t> </w:t>
            </w:r>
            <w:r>
              <w:rPr>
                <w:sz w:val="20"/>
              </w:rPr>
              <w:t>before</w:t>
            </w:r>
            <w:r>
              <w:rPr>
                <w:spacing w:val="-10"/>
                <w:sz w:val="20"/>
              </w:rPr>
              <w:t> </w:t>
            </w:r>
            <w:r>
              <w:rPr>
                <w:sz w:val="20"/>
              </w:rPr>
              <w:t>and</w:t>
            </w:r>
            <w:r>
              <w:rPr>
                <w:spacing w:val="-9"/>
                <w:sz w:val="20"/>
              </w:rPr>
              <w:t> </w:t>
            </w:r>
            <w:r>
              <w:rPr>
                <w:sz w:val="20"/>
              </w:rPr>
              <w:t>after </w:t>
            </w:r>
            <w:r>
              <w:rPr>
                <w:spacing w:val="-2"/>
                <w:sz w:val="20"/>
              </w:rPr>
              <w:t>bating</w:t>
            </w:r>
          </w:p>
        </w:tc>
        <w:tc>
          <w:tcPr>
            <w:tcW w:w="3435" w:type="dxa"/>
            <w:tcBorders>
              <w:top w:val="single" w:sz="4" w:space="0" w:color="000000"/>
              <w:bottom w:val="single" w:sz="4" w:space="0" w:color="000000"/>
            </w:tcBorders>
          </w:tcPr>
          <w:p>
            <w:pPr>
              <w:pStyle w:val="TableParagraph"/>
              <w:spacing w:before="81"/>
              <w:ind w:left="107"/>
              <w:rPr>
                <w:sz w:val="20"/>
              </w:rPr>
            </w:pPr>
            <w:r>
              <w:rPr>
                <w:sz w:val="20"/>
              </w:rPr>
              <w:t>Allen</w:t>
            </w:r>
            <w:r>
              <w:rPr>
                <w:spacing w:val="-8"/>
                <w:sz w:val="20"/>
              </w:rPr>
              <w:t> </w:t>
            </w:r>
            <w:r>
              <w:rPr>
                <w:spacing w:val="-4"/>
                <w:sz w:val="20"/>
              </w:rPr>
              <w:t>2015</w:t>
            </w:r>
          </w:p>
        </w:tc>
      </w:tr>
      <w:tr>
        <w:trPr>
          <w:trHeight w:val="830" w:hRule="atLeast"/>
        </w:trPr>
        <w:tc>
          <w:tcPr>
            <w:tcW w:w="2660" w:type="dxa"/>
            <w:vMerge/>
            <w:tcBorders>
              <w:top w:val="nil"/>
              <w:bottom w:val="single" w:sz="4" w:space="0" w:color="000000"/>
            </w:tcBorders>
          </w:tcPr>
          <w:p>
            <w:pPr>
              <w:rPr>
                <w:sz w:val="2"/>
                <w:szCs w:val="2"/>
              </w:rPr>
            </w:pPr>
          </w:p>
        </w:tc>
        <w:tc>
          <w:tcPr>
            <w:tcW w:w="1988" w:type="dxa"/>
            <w:tcBorders>
              <w:top w:val="single" w:sz="4" w:space="0" w:color="000000"/>
              <w:bottom w:val="single" w:sz="4" w:space="0" w:color="000000"/>
            </w:tcBorders>
            <w:shd w:val="clear" w:color="auto" w:fill="CCDBEA"/>
          </w:tcPr>
          <w:p>
            <w:pPr>
              <w:pStyle w:val="TableParagraph"/>
              <w:spacing w:before="78"/>
              <w:ind w:left="1" w:right="2"/>
              <w:jc w:val="center"/>
              <w:rPr>
                <w:sz w:val="20"/>
              </w:rPr>
            </w:pPr>
            <w:r>
              <w:rPr>
                <w:spacing w:val="-4"/>
                <w:sz w:val="20"/>
              </w:rPr>
              <w:t>33–76</w:t>
            </w:r>
          </w:p>
        </w:tc>
        <w:tc>
          <w:tcPr>
            <w:tcW w:w="2976" w:type="dxa"/>
            <w:tcBorders>
              <w:top w:val="single" w:sz="4" w:space="0" w:color="000000"/>
              <w:bottom w:val="single" w:sz="4" w:space="0" w:color="000000"/>
            </w:tcBorders>
          </w:tcPr>
          <w:p>
            <w:pPr>
              <w:pStyle w:val="TableParagraph"/>
              <w:spacing w:before="78"/>
              <w:ind w:left="107"/>
              <w:rPr>
                <w:sz w:val="20"/>
              </w:rPr>
            </w:pPr>
            <w:r>
              <w:rPr>
                <w:sz w:val="20"/>
              </w:rPr>
              <w:t>Southern</w:t>
            </w:r>
            <w:r>
              <w:rPr>
                <w:spacing w:val="-11"/>
                <w:sz w:val="20"/>
              </w:rPr>
              <w:t> </w:t>
            </w:r>
            <w:r>
              <w:rPr>
                <w:spacing w:val="-5"/>
                <w:sz w:val="20"/>
              </w:rPr>
              <w:t>NT</w:t>
            </w:r>
          </w:p>
        </w:tc>
        <w:tc>
          <w:tcPr>
            <w:tcW w:w="3687" w:type="dxa"/>
            <w:tcBorders>
              <w:top w:val="single" w:sz="4" w:space="0" w:color="000000"/>
              <w:bottom w:val="single" w:sz="4" w:space="0" w:color="000000"/>
            </w:tcBorders>
            <w:shd w:val="clear" w:color="auto" w:fill="CCDBEA"/>
          </w:tcPr>
          <w:p>
            <w:pPr>
              <w:pStyle w:val="TableParagraph"/>
              <w:spacing w:before="78"/>
              <w:ind w:left="107" w:right="426"/>
              <w:jc w:val="both"/>
              <w:rPr>
                <w:sz w:val="20"/>
              </w:rPr>
            </w:pPr>
            <w:r>
              <w:rPr>
                <w:sz w:val="20"/>
              </w:rPr>
              <w:t>Track-based</w:t>
            </w:r>
            <w:r>
              <w:rPr>
                <w:spacing w:val="-2"/>
                <w:sz w:val="20"/>
              </w:rPr>
              <w:t> </w:t>
            </w:r>
            <w:r>
              <w:rPr>
                <w:sz w:val="20"/>
              </w:rPr>
              <w:t>index before and</w:t>
            </w:r>
            <w:r>
              <w:rPr>
                <w:spacing w:val="-2"/>
                <w:sz w:val="20"/>
              </w:rPr>
              <w:t> </w:t>
            </w:r>
            <w:r>
              <w:rPr>
                <w:sz w:val="20"/>
              </w:rPr>
              <w:t>after with</w:t>
            </w:r>
            <w:r>
              <w:rPr>
                <w:spacing w:val="-14"/>
                <w:sz w:val="20"/>
              </w:rPr>
              <w:t> </w:t>
            </w:r>
            <w:r>
              <w:rPr>
                <w:sz w:val="20"/>
              </w:rPr>
              <w:t>paired</w:t>
            </w:r>
            <w:r>
              <w:rPr>
                <w:spacing w:val="-14"/>
                <w:sz w:val="20"/>
              </w:rPr>
              <w:t> </w:t>
            </w:r>
            <w:r>
              <w:rPr>
                <w:sz w:val="20"/>
              </w:rPr>
              <w:t>treatment/non/treatment </w:t>
            </w:r>
            <w:r>
              <w:rPr>
                <w:spacing w:val="-2"/>
                <w:sz w:val="20"/>
              </w:rPr>
              <w:t>sites</w:t>
            </w:r>
          </w:p>
        </w:tc>
        <w:tc>
          <w:tcPr>
            <w:tcW w:w="3435" w:type="dxa"/>
            <w:tcBorders>
              <w:top w:val="single" w:sz="4" w:space="0" w:color="000000"/>
              <w:bottom w:val="single" w:sz="4" w:space="0" w:color="000000"/>
            </w:tcBorders>
          </w:tcPr>
          <w:p>
            <w:pPr>
              <w:pStyle w:val="TableParagraph"/>
              <w:spacing w:before="78"/>
              <w:ind w:left="107"/>
              <w:rPr>
                <w:sz w:val="20"/>
              </w:rPr>
            </w:pPr>
            <w:r>
              <w:rPr>
                <w:sz w:val="20"/>
              </w:rPr>
              <w:t>Edwards</w:t>
            </w:r>
            <w:r>
              <w:rPr>
                <w:spacing w:val="-4"/>
                <w:sz w:val="20"/>
              </w:rPr>
              <w:t> </w:t>
            </w:r>
            <w:r>
              <w:rPr>
                <w:sz w:val="20"/>
              </w:rPr>
              <w:t>et</w:t>
            </w:r>
            <w:r>
              <w:rPr>
                <w:spacing w:val="-5"/>
                <w:sz w:val="20"/>
              </w:rPr>
              <w:t> </w:t>
            </w:r>
            <w:r>
              <w:rPr>
                <w:sz w:val="20"/>
              </w:rPr>
              <w:t>al.</w:t>
            </w:r>
            <w:r>
              <w:rPr>
                <w:spacing w:val="-2"/>
                <w:sz w:val="20"/>
              </w:rPr>
              <w:t> </w:t>
            </w:r>
            <w:r>
              <w:rPr>
                <w:spacing w:val="-4"/>
                <w:sz w:val="20"/>
              </w:rPr>
              <w:t>2021</w:t>
            </w:r>
          </w:p>
        </w:tc>
      </w:tr>
      <w:tr>
        <w:trPr>
          <w:trHeight w:val="599" w:hRule="atLeast"/>
        </w:trPr>
        <w:tc>
          <w:tcPr>
            <w:tcW w:w="2660" w:type="dxa"/>
            <w:vMerge/>
            <w:tcBorders>
              <w:top w:val="nil"/>
              <w:bottom w:val="single" w:sz="4" w:space="0" w:color="000000"/>
            </w:tcBorders>
          </w:tcPr>
          <w:p>
            <w:pPr>
              <w:rPr>
                <w:sz w:val="2"/>
                <w:szCs w:val="2"/>
              </w:rPr>
            </w:pPr>
          </w:p>
        </w:tc>
        <w:tc>
          <w:tcPr>
            <w:tcW w:w="1988" w:type="dxa"/>
            <w:tcBorders>
              <w:top w:val="single" w:sz="4" w:space="0" w:color="000000"/>
              <w:bottom w:val="single" w:sz="4" w:space="0" w:color="000000"/>
            </w:tcBorders>
            <w:shd w:val="clear" w:color="auto" w:fill="CCDBEA"/>
          </w:tcPr>
          <w:p>
            <w:pPr>
              <w:pStyle w:val="TableParagraph"/>
              <w:spacing w:before="78"/>
              <w:ind w:right="2"/>
              <w:jc w:val="center"/>
              <w:rPr>
                <w:sz w:val="20"/>
              </w:rPr>
            </w:pPr>
            <w:r>
              <w:rPr>
                <w:sz w:val="20"/>
              </w:rPr>
              <w:t>-4</w:t>
            </w:r>
            <w:r>
              <w:rPr>
                <w:spacing w:val="-3"/>
                <w:sz w:val="20"/>
              </w:rPr>
              <w:t> </w:t>
            </w:r>
            <w:r>
              <w:rPr>
                <w:sz w:val="20"/>
              </w:rPr>
              <w:t>–</w:t>
            </w:r>
            <w:r>
              <w:rPr>
                <w:spacing w:val="-2"/>
                <w:sz w:val="20"/>
              </w:rPr>
              <w:t> </w:t>
            </w:r>
            <w:r>
              <w:rPr>
                <w:spacing w:val="-4"/>
                <w:sz w:val="20"/>
              </w:rPr>
              <w:t>+204</w:t>
            </w:r>
          </w:p>
        </w:tc>
        <w:tc>
          <w:tcPr>
            <w:tcW w:w="2976" w:type="dxa"/>
            <w:tcBorders>
              <w:top w:val="single" w:sz="4" w:space="0" w:color="000000"/>
              <w:bottom w:val="single" w:sz="4" w:space="0" w:color="000000"/>
            </w:tcBorders>
          </w:tcPr>
          <w:p>
            <w:pPr>
              <w:pStyle w:val="TableParagraph"/>
              <w:spacing w:before="78"/>
              <w:ind w:left="107" w:right="98"/>
              <w:rPr>
                <w:sz w:val="20"/>
              </w:rPr>
            </w:pPr>
            <w:r>
              <w:rPr>
                <w:sz w:val="20"/>
              </w:rPr>
              <w:t>Two properties in the Murchison</w:t>
            </w:r>
            <w:r>
              <w:rPr>
                <w:spacing w:val="-12"/>
                <w:sz w:val="20"/>
              </w:rPr>
              <w:t> </w:t>
            </w:r>
            <w:r>
              <w:rPr>
                <w:sz w:val="20"/>
              </w:rPr>
              <w:t>River</w:t>
            </w:r>
            <w:r>
              <w:rPr>
                <w:spacing w:val="-13"/>
                <w:sz w:val="20"/>
              </w:rPr>
              <w:t> </w:t>
            </w:r>
            <w:r>
              <w:rPr>
                <w:sz w:val="20"/>
              </w:rPr>
              <w:t>region,</w:t>
            </w:r>
            <w:r>
              <w:rPr>
                <w:spacing w:val="-12"/>
                <w:sz w:val="20"/>
              </w:rPr>
              <w:t> </w:t>
            </w:r>
            <w:r>
              <w:rPr>
                <w:sz w:val="20"/>
              </w:rPr>
              <w:t>WA</w:t>
            </w:r>
          </w:p>
        </w:tc>
        <w:tc>
          <w:tcPr>
            <w:tcW w:w="3687" w:type="dxa"/>
            <w:tcBorders>
              <w:top w:val="single" w:sz="4" w:space="0" w:color="000000"/>
              <w:bottom w:val="single" w:sz="4" w:space="0" w:color="000000"/>
            </w:tcBorders>
            <w:shd w:val="clear" w:color="auto" w:fill="CCDBEA"/>
          </w:tcPr>
          <w:p>
            <w:pPr>
              <w:pStyle w:val="TableParagraph"/>
              <w:spacing w:before="78"/>
              <w:ind w:left="107" w:right="267"/>
              <w:rPr>
                <w:sz w:val="20"/>
              </w:rPr>
            </w:pPr>
            <w:r>
              <w:rPr>
                <w:sz w:val="20"/>
              </w:rPr>
              <w:t>Change</w:t>
            </w:r>
            <w:r>
              <w:rPr>
                <w:spacing w:val="-9"/>
                <w:sz w:val="20"/>
              </w:rPr>
              <w:t> </w:t>
            </w:r>
            <w:r>
              <w:rPr>
                <w:sz w:val="20"/>
              </w:rPr>
              <w:t>in</w:t>
            </w:r>
            <w:r>
              <w:rPr>
                <w:spacing w:val="-10"/>
                <w:sz w:val="20"/>
              </w:rPr>
              <w:t> </w:t>
            </w:r>
            <w:r>
              <w:rPr>
                <w:sz w:val="20"/>
              </w:rPr>
              <w:t>density</w:t>
            </w:r>
            <w:r>
              <w:rPr>
                <w:spacing w:val="-7"/>
                <w:sz w:val="20"/>
              </w:rPr>
              <w:t> </w:t>
            </w:r>
            <w:r>
              <w:rPr>
                <w:sz w:val="20"/>
              </w:rPr>
              <w:t>estimates</w:t>
            </w:r>
            <w:r>
              <w:rPr>
                <w:spacing w:val="-9"/>
                <w:sz w:val="20"/>
              </w:rPr>
              <w:t> </w:t>
            </w:r>
            <w:r>
              <w:rPr>
                <w:sz w:val="20"/>
              </w:rPr>
              <w:t>pre-</w:t>
            </w:r>
            <w:r>
              <w:rPr>
                <w:spacing w:val="-9"/>
                <w:sz w:val="20"/>
              </w:rPr>
              <w:t> </w:t>
            </w:r>
            <w:r>
              <w:rPr>
                <w:sz w:val="20"/>
              </w:rPr>
              <w:t>and </w:t>
            </w:r>
            <w:r>
              <w:rPr>
                <w:spacing w:val="-2"/>
                <w:sz w:val="20"/>
              </w:rPr>
              <w:t>post-baiting</w:t>
            </w:r>
          </w:p>
        </w:tc>
        <w:tc>
          <w:tcPr>
            <w:tcW w:w="3435" w:type="dxa"/>
            <w:tcBorders>
              <w:top w:val="single" w:sz="4" w:space="0" w:color="000000"/>
              <w:bottom w:val="single" w:sz="4" w:space="0" w:color="000000"/>
            </w:tcBorders>
          </w:tcPr>
          <w:p>
            <w:pPr>
              <w:pStyle w:val="TableParagraph"/>
              <w:spacing w:before="78"/>
              <w:ind w:left="107"/>
              <w:rPr>
                <w:sz w:val="20"/>
              </w:rPr>
            </w:pPr>
            <w:r>
              <w:rPr>
                <w:sz w:val="20"/>
              </w:rPr>
              <w:t>Kennedy</w:t>
            </w:r>
            <w:r>
              <w:rPr>
                <w:spacing w:val="-3"/>
                <w:sz w:val="20"/>
              </w:rPr>
              <w:t> </w:t>
            </w:r>
            <w:r>
              <w:rPr>
                <w:sz w:val="20"/>
              </w:rPr>
              <w:t>et</w:t>
            </w:r>
            <w:r>
              <w:rPr>
                <w:spacing w:val="-6"/>
                <w:sz w:val="20"/>
              </w:rPr>
              <w:t> </w:t>
            </w:r>
            <w:r>
              <w:rPr>
                <w:sz w:val="20"/>
              </w:rPr>
              <w:t>al.</w:t>
            </w:r>
            <w:r>
              <w:rPr>
                <w:spacing w:val="-6"/>
                <w:sz w:val="20"/>
              </w:rPr>
              <w:t> </w:t>
            </w:r>
            <w:r>
              <w:rPr>
                <w:spacing w:val="-4"/>
                <w:sz w:val="20"/>
              </w:rPr>
              <w:t>2021</w:t>
            </w:r>
          </w:p>
        </w:tc>
      </w:tr>
      <w:tr>
        <w:trPr>
          <w:trHeight w:val="369" w:hRule="atLeast"/>
        </w:trPr>
        <w:tc>
          <w:tcPr>
            <w:tcW w:w="2660" w:type="dxa"/>
            <w:vMerge w:val="restart"/>
            <w:tcBorders>
              <w:top w:val="single" w:sz="4" w:space="0" w:color="000000"/>
              <w:bottom w:val="single" w:sz="4" w:space="0" w:color="000000"/>
            </w:tcBorders>
          </w:tcPr>
          <w:p>
            <w:pPr>
              <w:pStyle w:val="TableParagraph"/>
              <w:spacing w:before="227"/>
              <w:rPr>
                <w:b/>
                <w:sz w:val="20"/>
              </w:rPr>
            </w:pPr>
          </w:p>
          <w:p>
            <w:pPr>
              <w:pStyle w:val="TableParagraph"/>
              <w:spacing w:before="1"/>
              <w:ind w:left="107"/>
              <w:rPr>
                <w:sz w:val="20"/>
              </w:rPr>
            </w:pPr>
            <w:r>
              <w:rPr>
                <w:sz w:val="20"/>
              </w:rPr>
              <w:t>Aerial</w:t>
            </w:r>
            <w:r>
              <w:rPr>
                <w:spacing w:val="-11"/>
                <w:sz w:val="20"/>
              </w:rPr>
              <w:t> </w:t>
            </w:r>
            <w:r>
              <w:rPr>
                <w:sz w:val="20"/>
              </w:rPr>
              <w:t>baiting</w:t>
            </w:r>
            <w:r>
              <w:rPr>
                <w:spacing w:val="-9"/>
                <w:sz w:val="20"/>
              </w:rPr>
              <w:t> </w:t>
            </w:r>
            <w:r>
              <w:rPr>
                <w:spacing w:val="-2"/>
                <w:sz w:val="20"/>
              </w:rPr>
              <w:t>(1080)</w:t>
            </w:r>
          </w:p>
        </w:tc>
        <w:tc>
          <w:tcPr>
            <w:tcW w:w="1988" w:type="dxa"/>
            <w:tcBorders>
              <w:top w:val="single" w:sz="4" w:space="0" w:color="000000"/>
              <w:bottom w:val="single" w:sz="4" w:space="0" w:color="000000"/>
            </w:tcBorders>
            <w:shd w:val="clear" w:color="auto" w:fill="CCDBEA"/>
          </w:tcPr>
          <w:p>
            <w:pPr>
              <w:pStyle w:val="TableParagraph"/>
              <w:spacing w:before="78"/>
              <w:ind w:left="1" w:right="2"/>
              <w:jc w:val="center"/>
              <w:rPr>
                <w:sz w:val="20"/>
              </w:rPr>
            </w:pPr>
            <w:r>
              <w:rPr>
                <w:spacing w:val="-5"/>
                <w:sz w:val="20"/>
              </w:rPr>
              <w:t>55</w:t>
            </w:r>
          </w:p>
        </w:tc>
        <w:tc>
          <w:tcPr>
            <w:tcW w:w="2976" w:type="dxa"/>
            <w:tcBorders>
              <w:top w:val="single" w:sz="4" w:space="0" w:color="000000"/>
              <w:bottom w:val="single" w:sz="4" w:space="0" w:color="000000"/>
            </w:tcBorders>
          </w:tcPr>
          <w:p>
            <w:pPr>
              <w:pStyle w:val="TableParagraph"/>
              <w:spacing w:before="78"/>
              <w:ind w:left="107"/>
              <w:rPr>
                <w:sz w:val="20"/>
              </w:rPr>
            </w:pPr>
            <w:r>
              <w:rPr>
                <w:sz w:val="20"/>
              </w:rPr>
              <w:t>Southern</w:t>
            </w:r>
            <w:r>
              <w:rPr>
                <w:spacing w:val="-6"/>
                <w:sz w:val="20"/>
              </w:rPr>
              <w:t> </w:t>
            </w:r>
            <w:r>
              <w:rPr>
                <w:sz w:val="20"/>
              </w:rPr>
              <w:t>NSW</w:t>
            </w:r>
            <w:r>
              <w:rPr>
                <w:spacing w:val="-7"/>
                <w:sz w:val="20"/>
              </w:rPr>
              <w:t> </w:t>
            </w:r>
            <w:r>
              <w:rPr>
                <w:sz w:val="20"/>
              </w:rPr>
              <w:t>(10</w:t>
            </w:r>
            <w:r>
              <w:rPr>
                <w:spacing w:val="-6"/>
                <w:sz w:val="20"/>
              </w:rPr>
              <w:t> </w:t>
            </w:r>
            <w:r>
              <w:rPr>
                <w:sz w:val="20"/>
              </w:rPr>
              <w:t>baits</w:t>
            </w:r>
            <w:r>
              <w:rPr>
                <w:spacing w:val="-6"/>
                <w:sz w:val="20"/>
              </w:rPr>
              <w:t> </w:t>
            </w:r>
            <w:r>
              <w:rPr>
                <w:sz w:val="20"/>
              </w:rPr>
              <w:t>km</w:t>
            </w:r>
            <w:r>
              <w:rPr>
                <w:position w:val="6"/>
                <w:sz w:val="13"/>
              </w:rPr>
              <w:t>-</w:t>
            </w:r>
            <w:r>
              <w:rPr>
                <w:spacing w:val="-5"/>
                <w:position w:val="6"/>
                <w:sz w:val="13"/>
              </w:rPr>
              <w:t>1</w:t>
            </w:r>
            <w:r>
              <w:rPr>
                <w:spacing w:val="-5"/>
                <w:sz w:val="20"/>
              </w:rPr>
              <w:t>)</w:t>
            </w:r>
          </w:p>
        </w:tc>
        <w:tc>
          <w:tcPr>
            <w:tcW w:w="3687" w:type="dxa"/>
            <w:tcBorders>
              <w:top w:val="single" w:sz="4" w:space="0" w:color="000000"/>
              <w:bottom w:val="single" w:sz="4" w:space="0" w:color="000000"/>
            </w:tcBorders>
            <w:shd w:val="clear" w:color="auto" w:fill="CCDBEA"/>
          </w:tcPr>
          <w:p>
            <w:pPr>
              <w:pStyle w:val="TableParagraph"/>
              <w:spacing w:before="78"/>
              <w:ind w:left="107"/>
              <w:rPr>
                <w:sz w:val="20"/>
              </w:rPr>
            </w:pPr>
            <w:r>
              <w:rPr>
                <w:sz w:val="20"/>
              </w:rPr>
              <w:t>Mortality</w:t>
            </w:r>
            <w:r>
              <w:rPr>
                <w:spacing w:val="-11"/>
                <w:sz w:val="20"/>
              </w:rPr>
              <w:t> </w:t>
            </w:r>
            <w:r>
              <w:rPr>
                <w:sz w:val="20"/>
              </w:rPr>
              <w:t>rate</w:t>
            </w:r>
            <w:r>
              <w:rPr>
                <w:spacing w:val="-10"/>
                <w:sz w:val="20"/>
              </w:rPr>
              <w:t> </w:t>
            </w:r>
            <w:r>
              <w:rPr>
                <w:sz w:val="20"/>
              </w:rPr>
              <w:t>collared</w:t>
            </w:r>
            <w:r>
              <w:rPr>
                <w:spacing w:val="-9"/>
                <w:sz w:val="20"/>
              </w:rPr>
              <w:t> </w:t>
            </w:r>
            <w:r>
              <w:rPr>
                <w:spacing w:val="-2"/>
                <w:sz w:val="20"/>
              </w:rPr>
              <w:t>individuals</w:t>
            </w:r>
          </w:p>
        </w:tc>
        <w:tc>
          <w:tcPr>
            <w:tcW w:w="3435" w:type="dxa"/>
            <w:tcBorders>
              <w:top w:val="single" w:sz="4" w:space="0" w:color="000000"/>
              <w:bottom w:val="single" w:sz="4" w:space="0" w:color="000000"/>
            </w:tcBorders>
          </w:tcPr>
          <w:p>
            <w:pPr>
              <w:pStyle w:val="TableParagraph"/>
              <w:spacing w:before="78"/>
              <w:ind w:left="107"/>
              <w:rPr>
                <w:sz w:val="20"/>
              </w:rPr>
            </w:pPr>
            <w:r>
              <w:rPr>
                <w:sz w:val="20"/>
              </w:rPr>
              <w:t>Fleming</w:t>
            </w:r>
            <w:r>
              <w:rPr>
                <w:spacing w:val="-8"/>
                <w:sz w:val="20"/>
              </w:rPr>
              <w:t> </w:t>
            </w:r>
            <w:r>
              <w:rPr>
                <w:sz w:val="20"/>
              </w:rPr>
              <w:t>and</w:t>
            </w:r>
            <w:r>
              <w:rPr>
                <w:spacing w:val="-10"/>
                <w:sz w:val="20"/>
              </w:rPr>
              <w:t> </w:t>
            </w:r>
            <w:r>
              <w:rPr>
                <w:sz w:val="20"/>
              </w:rPr>
              <w:t>Ballard</w:t>
            </w:r>
            <w:r>
              <w:rPr>
                <w:spacing w:val="-7"/>
                <w:sz w:val="20"/>
              </w:rPr>
              <w:t> </w:t>
            </w:r>
            <w:r>
              <w:rPr>
                <w:spacing w:val="-4"/>
                <w:sz w:val="20"/>
              </w:rPr>
              <w:t>2014</w:t>
            </w:r>
          </w:p>
        </w:tc>
      </w:tr>
      <w:tr>
        <w:trPr>
          <w:trHeight w:val="369" w:hRule="atLeast"/>
        </w:trPr>
        <w:tc>
          <w:tcPr>
            <w:tcW w:w="2660" w:type="dxa"/>
            <w:vMerge/>
            <w:tcBorders>
              <w:top w:val="nil"/>
              <w:bottom w:val="single" w:sz="4" w:space="0" w:color="000000"/>
            </w:tcBorders>
          </w:tcPr>
          <w:p>
            <w:pPr>
              <w:rPr>
                <w:sz w:val="2"/>
                <w:szCs w:val="2"/>
              </w:rPr>
            </w:pPr>
          </w:p>
        </w:tc>
        <w:tc>
          <w:tcPr>
            <w:tcW w:w="1988" w:type="dxa"/>
            <w:tcBorders>
              <w:top w:val="single" w:sz="4" w:space="0" w:color="000000"/>
              <w:bottom w:val="single" w:sz="4" w:space="0" w:color="000000"/>
            </w:tcBorders>
            <w:shd w:val="clear" w:color="auto" w:fill="CCDBEA"/>
          </w:tcPr>
          <w:p>
            <w:pPr>
              <w:pStyle w:val="TableParagraph"/>
              <w:spacing w:before="78"/>
              <w:ind w:left="1" w:right="2"/>
              <w:jc w:val="center"/>
              <w:rPr>
                <w:sz w:val="20"/>
              </w:rPr>
            </w:pPr>
            <w:r>
              <w:rPr>
                <w:spacing w:val="-5"/>
                <w:sz w:val="20"/>
              </w:rPr>
              <w:t>27</w:t>
            </w:r>
          </w:p>
        </w:tc>
        <w:tc>
          <w:tcPr>
            <w:tcW w:w="2976" w:type="dxa"/>
            <w:tcBorders>
              <w:top w:val="single" w:sz="4" w:space="0" w:color="000000"/>
              <w:bottom w:val="single" w:sz="4" w:space="0" w:color="000000"/>
            </w:tcBorders>
          </w:tcPr>
          <w:p>
            <w:pPr>
              <w:pStyle w:val="TableParagraph"/>
              <w:spacing w:before="78"/>
              <w:ind w:left="107"/>
              <w:rPr>
                <w:sz w:val="20"/>
              </w:rPr>
            </w:pPr>
            <w:r>
              <w:rPr>
                <w:sz w:val="20"/>
              </w:rPr>
              <w:t>Eastern</w:t>
            </w:r>
            <w:r>
              <w:rPr>
                <w:spacing w:val="-6"/>
                <w:sz w:val="20"/>
              </w:rPr>
              <w:t> </w:t>
            </w:r>
            <w:r>
              <w:rPr>
                <w:sz w:val="20"/>
              </w:rPr>
              <w:t>Victoria</w:t>
            </w:r>
            <w:r>
              <w:rPr>
                <w:spacing w:val="-9"/>
                <w:sz w:val="20"/>
              </w:rPr>
              <w:t> </w:t>
            </w:r>
            <w:r>
              <w:rPr>
                <w:sz w:val="20"/>
              </w:rPr>
              <w:t>(10</w:t>
            </w:r>
            <w:r>
              <w:rPr>
                <w:spacing w:val="-8"/>
                <w:sz w:val="20"/>
              </w:rPr>
              <w:t> </w:t>
            </w:r>
            <w:r>
              <w:rPr>
                <w:sz w:val="20"/>
              </w:rPr>
              <w:t>baits</w:t>
            </w:r>
            <w:r>
              <w:rPr>
                <w:spacing w:val="-6"/>
                <w:sz w:val="20"/>
              </w:rPr>
              <w:t> </w:t>
            </w:r>
            <w:r>
              <w:rPr>
                <w:sz w:val="20"/>
              </w:rPr>
              <w:t>km</w:t>
            </w:r>
            <w:r>
              <w:rPr>
                <w:position w:val="6"/>
                <w:sz w:val="13"/>
              </w:rPr>
              <w:t>-</w:t>
            </w:r>
            <w:r>
              <w:rPr>
                <w:spacing w:val="-5"/>
                <w:position w:val="6"/>
                <w:sz w:val="13"/>
              </w:rPr>
              <w:t>1</w:t>
            </w:r>
            <w:r>
              <w:rPr>
                <w:spacing w:val="-5"/>
                <w:sz w:val="20"/>
              </w:rPr>
              <w:t>)</w:t>
            </w:r>
          </w:p>
        </w:tc>
        <w:tc>
          <w:tcPr>
            <w:tcW w:w="3687" w:type="dxa"/>
            <w:tcBorders>
              <w:top w:val="single" w:sz="4" w:space="0" w:color="000000"/>
              <w:bottom w:val="single" w:sz="4" w:space="0" w:color="000000"/>
            </w:tcBorders>
            <w:shd w:val="clear" w:color="auto" w:fill="CCDBEA"/>
          </w:tcPr>
          <w:p>
            <w:pPr>
              <w:pStyle w:val="TableParagraph"/>
              <w:spacing w:before="78"/>
              <w:ind w:left="107"/>
              <w:rPr>
                <w:sz w:val="20"/>
              </w:rPr>
            </w:pPr>
            <w:r>
              <w:rPr>
                <w:sz w:val="20"/>
              </w:rPr>
              <w:t>Pre-</w:t>
            </w:r>
            <w:r>
              <w:rPr>
                <w:spacing w:val="-7"/>
                <w:sz w:val="20"/>
              </w:rPr>
              <w:t> </w:t>
            </w:r>
            <w:r>
              <w:rPr>
                <w:sz w:val="20"/>
              </w:rPr>
              <w:t>and</w:t>
            </w:r>
            <w:r>
              <w:rPr>
                <w:spacing w:val="-8"/>
                <w:sz w:val="20"/>
              </w:rPr>
              <w:t> </w:t>
            </w:r>
            <w:r>
              <w:rPr>
                <w:sz w:val="20"/>
              </w:rPr>
              <w:t>post-baiting</w:t>
            </w:r>
            <w:r>
              <w:rPr>
                <w:spacing w:val="-8"/>
                <w:sz w:val="20"/>
              </w:rPr>
              <w:t> </w:t>
            </w:r>
            <w:r>
              <w:rPr>
                <w:sz w:val="20"/>
              </w:rPr>
              <w:t>density</w:t>
            </w:r>
            <w:r>
              <w:rPr>
                <w:spacing w:val="-6"/>
                <w:sz w:val="20"/>
              </w:rPr>
              <w:t> </w:t>
            </w:r>
            <w:r>
              <w:rPr>
                <w:spacing w:val="-2"/>
                <w:sz w:val="20"/>
              </w:rPr>
              <w:t>estimates</w:t>
            </w:r>
          </w:p>
        </w:tc>
        <w:tc>
          <w:tcPr>
            <w:tcW w:w="3435" w:type="dxa"/>
            <w:tcBorders>
              <w:top w:val="single" w:sz="4" w:space="0" w:color="000000"/>
              <w:bottom w:val="single" w:sz="4" w:space="0" w:color="000000"/>
            </w:tcBorders>
          </w:tcPr>
          <w:p>
            <w:pPr>
              <w:pStyle w:val="TableParagraph"/>
              <w:spacing w:before="78"/>
              <w:ind w:left="107"/>
              <w:rPr>
                <w:sz w:val="20"/>
              </w:rPr>
            </w:pPr>
            <w:r>
              <w:rPr>
                <w:sz w:val="20"/>
              </w:rPr>
              <w:t>Robley</w:t>
            </w:r>
            <w:r>
              <w:rPr>
                <w:spacing w:val="-8"/>
                <w:sz w:val="20"/>
              </w:rPr>
              <w:t> </w:t>
            </w:r>
            <w:r>
              <w:rPr>
                <w:sz w:val="20"/>
              </w:rPr>
              <w:t>et</w:t>
            </w:r>
            <w:r>
              <w:rPr>
                <w:spacing w:val="-4"/>
                <w:sz w:val="20"/>
              </w:rPr>
              <w:t> </w:t>
            </w:r>
            <w:r>
              <w:rPr>
                <w:sz w:val="20"/>
              </w:rPr>
              <w:t>al.</w:t>
            </w:r>
            <w:r>
              <w:rPr>
                <w:spacing w:val="-3"/>
                <w:sz w:val="20"/>
              </w:rPr>
              <w:t> </w:t>
            </w:r>
            <w:r>
              <w:rPr>
                <w:spacing w:val="-4"/>
                <w:sz w:val="20"/>
              </w:rPr>
              <w:t>2018</w:t>
            </w:r>
          </w:p>
        </w:tc>
      </w:tr>
      <w:tr>
        <w:trPr>
          <w:trHeight w:val="371" w:hRule="atLeast"/>
        </w:trPr>
        <w:tc>
          <w:tcPr>
            <w:tcW w:w="2660" w:type="dxa"/>
            <w:vMerge/>
            <w:tcBorders>
              <w:top w:val="nil"/>
              <w:bottom w:val="single" w:sz="4" w:space="0" w:color="000000"/>
            </w:tcBorders>
          </w:tcPr>
          <w:p>
            <w:pPr>
              <w:rPr>
                <w:sz w:val="2"/>
                <w:szCs w:val="2"/>
              </w:rPr>
            </w:pPr>
          </w:p>
        </w:tc>
        <w:tc>
          <w:tcPr>
            <w:tcW w:w="1988" w:type="dxa"/>
            <w:tcBorders>
              <w:top w:val="single" w:sz="4" w:space="0" w:color="000000"/>
              <w:bottom w:val="single" w:sz="4" w:space="0" w:color="000000"/>
            </w:tcBorders>
            <w:shd w:val="clear" w:color="auto" w:fill="CCDBEA"/>
          </w:tcPr>
          <w:p>
            <w:pPr>
              <w:pStyle w:val="TableParagraph"/>
              <w:spacing w:before="81"/>
              <w:ind w:left="1" w:right="2"/>
              <w:jc w:val="center"/>
              <w:rPr>
                <w:sz w:val="20"/>
              </w:rPr>
            </w:pPr>
            <w:r>
              <w:rPr>
                <w:spacing w:val="-5"/>
                <w:sz w:val="20"/>
              </w:rPr>
              <w:t>91</w:t>
            </w:r>
          </w:p>
        </w:tc>
        <w:tc>
          <w:tcPr>
            <w:tcW w:w="2976" w:type="dxa"/>
            <w:tcBorders>
              <w:top w:val="single" w:sz="4" w:space="0" w:color="000000"/>
              <w:bottom w:val="single" w:sz="4" w:space="0" w:color="000000"/>
            </w:tcBorders>
          </w:tcPr>
          <w:p>
            <w:pPr>
              <w:pStyle w:val="TableParagraph"/>
              <w:spacing w:before="81"/>
              <w:ind w:left="107"/>
              <w:rPr>
                <w:sz w:val="20"/>
              </w:rPr>
            </w:pPr>
            <w:r>
              <w:rPr>
                <w:sz w:val="20"/>
              </w:rPr>
              <w:t>Southern</w:t>
            </w:r>
            <w:r>
              <w:rPr>
                <w:spacing w:val="-6"/>
                <w:sz w:val="20"/>
              </w:rPr>
              <w:t> </w:t>
            </w:r>
            <w:r>
              <w:rPr>
                <w:sz w:val="20"/>
              </w:rPr>
              <w:t>NSW</w:t>
            </w:r>
            <w:r>
              <w:rPr>
                <w:spacing w:val="-8"/>
                <w:sz w:val="20"/>
              </w:rPr>
              <w:t> </w:t>
            </w:r>
            <w:r>
              <w:rPr>
                <w:sz w:val="20"/>
              </w:rPr>
              <w:t>(40</w:t>
            </w:r>
            <w:r>
              <w:rPr>
                <w:spacing w:val="-5"/>
                <w:sz w:val="20"/>
              </w:rPr>
              <w:t> </w:t>
            </w:r>
            <w:r>
              <w:rPr>
                <w:sz w:val="20"/>
              </w:rPr>
              <w:t>baits</w:t>
            </w:r>
            <w:r>
              <w:rPr>
                <w:spacing w:val="-7"/>
                <w:sz w:val="20"/>
              </w:rPr>
              <w:t> </w:t>
            </w:r>
            <w:r>
              <w:rPr>
                <w:sz w:val="20"/>
              </w:rPr>
              <w:t>km-</w:t>
            </w:r>
            <w:r>
              <w:rPr>
                <w:spacing w:val="-10"/>
                <w:sz w:val="20"/>
              </w:rPr>
              <w:t>1</w:t>
            </w:r>
          </w:p>
        </w:tc>
        <w:tc>
          <w:tcPr>
            <w:tcW w:w="3687" w:type="dxa"/>
            <w:tcBorders>
              <w:top w:val="single" w:sz="4" w:space="0" w:color="000000"/>
              <w:bottom w:val="single" w:sz="4" w:space="0" w:color="000000"/>
            </w:tcBorders>
            <w:shd w:val="clear" w:color="auto" w:fill="CCDBEA"/>
          </w:tcPr>
          <w:p>
            <w:pPr>
              <w:pStyle w:val="TableParagraph"/>
              <w:spacing w:before="81"/>
              <w:ind w:left="107"/>
              <w:rPr>
                <w:sz w:val="20"/>
              </w:rPr>
            </w:pPr>
            <w:r>
              <w:rPr>
                <w:sz w:val="20"/>
              </w:rPr>
              <w:t>Mortality</w:t>
            </w:r>
            <w:r>
              <w:rPr>
                <w:spacing w:val="-11"/>
                <w:sz w:val="20"/>
              </w:rPr>
              <w:t> </w:t>
            </w:r>
            <w:r>
              <w:rPr>
                <w:sz w:val="20"/>
              </w:rPr>
              <w:t>rate</w:t>
            </w:r>
            <w:r>
              <w:rPr>
                <w:spacing w:val="-10"/>
                <w:sz w:val="20"/>
              </w:rPr>
              <w:t> </w:t>
            </w:r>
            <w:r>
              <w:rPr>
                <w:sz w:val="20"/>
              </w:rPr>
              <w:t>collared</w:t>
            </w:r>
            <w:r>
              <w:rPr>
                <w:spacing w:val="-9"/>
                <w:sz w:val="20"/>
              </w:rPr>
              <w:t> </w:t>
            </w:r>
            <w:r>
              <w:rPr>
                <w:spacing w:val="-2"/>
                <w:sz w:val="20"/>
              </w:rPr>
              <w:t>individuals</w:t>
            </w:r>
          </w:p>
        </w:tc>
        <w:tc>
          <w:tcPr>
            <w:tcW w:w="3435" w:type="dxa"/>
            <w:tcBorders>
              <w:top w:val="single" w:sz="4" w:space="0" w:color="000000"/>
              <w:bottom w:val="single" w:sz="4" w:space="0" w:color="000000"/>
            </w:tcBorders>
          </w:tcPr>
          <w:p>
            <w:pPr>
              <w:pStyle w:val="TableParagraph"/>
              <w:spacing w:before="81"/>
              <w:ind w:left="107"/>
              <w:rPr>
                <w:sz w:val="20"/>
              </w:rPr>
            </w:pPr>
            <w:r>
              <w:rPr>
                <w:sz w:val="20"/>
              </w:rPr>
              <w:t>Ballard</w:t>
            </w:r>
            <w:r>
              <w:rPr>
                <w:spacing w:val="-11"/>
                <w:sz w:val="20"/>
              </w:rPr>
              <w:t> </w:t>
            </w:r>
            <w:r>
              <w:rPr>
                <w:spacing w:val="-4"/>
                <w:sz w:val="20"/>
              </w:rPr>
              <w:t>2020</w:t>
            </w:r>
          </w:p>
        </w:tc>
      </w:tr>
      <w:tr>
        <w:trPr>
          <w:trHeight w:val="599" w:hRule="atLeast"/>
        </w:trPr>
        <w:tc>
          <w:tcPr>
            <w:tcW w:w="2660" w:type="dxa"/>
            <w:vMerge w:val="restart"/>
            <w:tcBorders>
              <w:top w:val="single" w:sz="4" w:space="0" w:color="000000"/>
              <w:bottom w:val="single" w:sz="4" w:space="0" w:color="000000"/>
            </w:tcBorders>
          </w:tcPr>
          <w:p>
            <w:pPr>
              <w:pStyle w:val="TableParagraph"/>
              <w:rPr>
                <w:b/>
                <w:sz w:val="20"/>
              </w:rPr>
            </w:pPr>
          </w:p>
          <w:p>
            <w:pPr>
              <w:pStyle w:val="TableParagraph"/>
              <w:spacing w:before="38"/>
              <w:rPr>
                <w:b/>
                <w:sz w:val="20"/>
              </w:rPr>
            </w:pPr>
          </w:p>
          <w:p>
            <w:pPr>
              <w:pStyle w:val="TableParagraph"/>
              <w:ind w:left="107"/>
              <w:rPr>
                <w:sz w:val="20"/>
              </w:rPr>
            </w:pPr>
            <w:r>
              <w:rPr>
                <w:sz w:val="20"/>
              </w:rPr>
              <w:t>CPE</w:t>
            </w:r>
            <w:r>
              <w:rPr>
                <w:spacing w:val="-5"/>
                <w:sz w:val="20"/>
              </w:rPr>
              <w:t> </w:t>
            </w:r>
            <w:r>
              <w:rPr>
                <w:spacing w:val="-2"/>
                <w:sz w:val="20"/>
              </w:rPr>
              <w:t>(PAPP)</w:t>
            </w:r>
          </w:p>
        </w:tc>
        <w:tc>
          <w:tcPr>
            <w:tcW w:w="1988" w:type="dxa"/>
            <w:tcBorders>
              <w:top w:val="single" w:sz="4" w:space="0" w:color="000000"/>
              <w:bottom w:val="single" w:sz="4" w:space="0" w:color="000000"/>
            </w:tcBorders>
            <w:shd w:val="clear" w:color="auto" w:fill="CCDBEA"/>
          </w:tcPr>
          <w:p>
            <w:pPr>
              <w:pStyle w:val="TableParagraph"/>
              <w:spacing w:before="78"/>
              <w:ind w:left="1" w:right="2"/>
              <w:jc w:val="center"/>
              <w:rPr>
                <w:sz w:val="20"/>
              </w:rPr>
            </w:pPr>
            <w:r>
              <w:rPr>
                <w:spacing w:val="-5"/>
                <w:sz w:val="20"/>
              </w:rPr>
              <w:t>91</w:t>
            </w:r>
          </w:p>
        </w:tc>
        <w:tc>
          <w:tcPr>
            <w:tcW w:w="2976" w:type="dxa"/>
            <w:tcBorders>
              <w:top w:val="single" w:sz="4" w:space="0" w:color="000000"/>
              <w:bottom w:val="single" w:sz="4" w:space="0" w:color="000000"/>
            </w:tcBorders>
          </w:tcPr>
          <w:p>
            <w:pPr>
              <w:pStyle w:val="TableParagraph"/>
              <w:spacing w:before="78"/>
              <w:ind w:left="107"/>
              <w:rPr>
                <w:sz w:val="20"/>
              </w:rPr>
            </w:pPr>
            <w:r>
              <w:rPr>
                <w:sz w:val="20"/>
              </w:rPr>
              <w:t>Strzelecki</w:t>
            </w:r>
            <w:r>
              <w:rPr>
                <w:spacing w:val="-13"/>
                <w:sz w:val="20"/>
              </w:rPr>
              <w:t> </w:t>
            </w:r>
            <w:r>
              <w:rPr>
                <w:sz w:val="20"/>
              </w:rPr>
              <w:t>Desert</w:t>
            </w:r>
            <w:r>
              <w:rPr>
                <w:spacing w:val="-14"/>
                <w:sz w:val="20"/>
              </w:rPr>
              <w:t> </w:t>
            </w:r>
            <w:r>
              <w:rPr>
                <w:sz w:val="20"/>
              </w:rPr>
              <w:t>of</w:t>
            </w:r>
            <w:r>
              <w:rPr>
                <w:spacing w:val="-14"/>
                <w:sz w:val="20"/>
              </w:rPr>
              <w:t> </w:t>
            </w:r>
            <w:r>
              <w:rPr>
                <w:sz w:val="20"/>
              </w:rPr>
              <w:t>north- eastern South Australia</w:t>
            </w:r>
          </w:p>
        </w:tc>
        <w:tc>
          <w:tcPr>
            <w:tcW w:w="3687" w:type="dxa"/>
            <w:tcBorders>
              <w:top w:val="single" w:sz="4" w:space="0" w:color="000000"/>
              <w:bottom w:val="single" w:sz="4" w:space="0" w:color="000000"/>
            </w:tcBorders>
            <w:shd w:val="clear" w:color="auto" w:fill="CCDBEA"/>
          </w:tcPr>
          <w:p>
            <w:pPr>
              <w:pStyle w:val="TableParagraph"/>
              <w:spacing w:before="78"/>
              <w:ind w:left="107"/>
              <w:rPr>
                <w:sz w:val="20"/>
              </w:rPr>
            </w:pPr>
            <w:r>
              <w:rPr>
                <w:sz w:val="20"/>
              </w:rPr>
              <w:t>Number</w:t>
            </w:r>
            <w:r>
              <w:rPr>
                <w:spacing w:val="-11"/>
                <w:sz w:val="20"/>
              </w:rPr>
              <w:t> </w:t>
            </w:r>
            <w:r>
              <w:rPr>
                <w:sz w:val="20"/>
              </w:rPr>
              <w:t>of</w:t>
            </w:r>
            <w:r>
              <w:rPr>
                <w:spacing w:val="-10"/>
                <w:sz w:val="20"/>
              </w:rPr>
              <w:t> </w:t>
            </w:r>
            <w:r>
              <w:rPr>
                <w:sz w:val="20"/>
              </w:rPr>
              <w:t>observed</w:t>
            </w:r>
            <w:r>
              <w:rPr>
                <w:spacing w:val="-11"/>
                <w:sz w:val="20"/>
              </w:rPr>
              <w:t> </w:t>
            </w:r>
            <w:r>
              <w:rPr>
                <w:sz w:val="20"/>
              </w:rPr>
              <w:t>mortalities</w:t>
            </w:r>
            <w:r>
              <w:rPr>
                <w:spacing w:val="-11"/>
                <w:sz w:val="20"/>
              </w:rPr>
              <w:t> </w:t>
            </w:r>
            <w:r>
              <w:rPr>
                <w:sz w:val="20"/>
              </w:rPr>
              <w:t>of captured individuals</w:t>
            </w:r>
          </w:p>
        </w:tc>
        <w:tc>
          <w:tcPr>
            <w:tcW w:w="3435" w:type="dxa"/>
            <w:tcBorders>
              <w:top w:val="single" w:sz="4" w:space="0" w:color="000000"/>
              <w:bottom w:val="single" w:sz="4" w:space="0" w:color="000000"/>
            </w:tcBorders>
          </w:tcPr>
          <w:p>
            <w:pPr>
              <w:pStyle w:val="TableParagraph"/>
              <w:spacing w:before="78"/>
              <w:ind w:left="107"/>
              <w:rPr>
                <w:sz w:val="20"/>
              </w:rPr>
            </w:pPr>
            <w:r>
              <w:rPr>
                <w:sz w:val="20"/>
              </w:rPr>
              <w:t>Allen</w:t>
            </w:r>
            <w:r>
              <w:rPr>
                <w:spacing w:val="-8"/>
                <w:sz w:val="20"/>
              </w:rPr>
              <w:t> </w:t>
            </w:r>
            <w:r>
              <w:rPr>
                <w:spacing w:val="-4"/>
                <w:sz w:val="20"/>
              </w:rPr>
              <w:t>2019</w:t>
            </w:r>
          </w:p>
        </w:tc>
      </w:tr>
      <w:tr>
        <w:trPr>
          <w:trHeight w:val="600" w:hRule="atLeast"/>
        </w:trPr>
        <w:tc>
          <w:tcPr>
            <w:tcW w:w="2660" w:type="dxa"/>
            <w:vMerge/>
            <w:tcBorders>
              <w:top w:val="nil"/>
              <w:bottom w:val="single" w:sz="4" w:space="0" w:color="000000"/>
            </w:tcBorders>
          </w:tcPr>
          <w:p>
            <w:pPr>
              <w:rPr>
                <w:sz w:val="2"/>
                <w:szCs w:val="2"/>
              </w:rPr>
            </w:pPr>
          </w:p>
        </w:tc>
        <w:tc>
          <w:tcPr>
            <w:tcW w:w="1988" w:type="dxa"/>
            <w:tcBorders>
              <w:top w:val="single" w:sz="4" w:space="0" w:color="000000"/>
              <w:bottom w:val="single" w:sz="4" w:space="0" w:color="000000"/>
            </w:tcBorders>
            <w:shd w:val="clear" w:color="auto" w:fill="CCDBEA"/>
          </w:tcPr>
          <w:p>
            <w:pPr>
              <w:pStyle w:val="TableParagraph"/>
              <w:spacing w:before="79"/>
              <w:ind w:left="1" w:right="2"/>
              <w:jc w:val="center"/>
              <w:rPr>
                <w:sz w:val="20"/>
              </w:rPr>
            </w:pPr>
            <w:r>
              <w:rPr>
                <w:spacing w:val="-4"/>
                <w:sz w:val="20"/>
              </w:rPr>
              <w:t>5–46</w:t>
            </w:r>
          </w:p>
        </w:tc>
        <w:tc>
          <w:tcPr>
            <w:tcW w:w="2976" w:type="dxa"/>
            <w:tcBorders>
              <w:top w:val="single" w:sz="4" w:space="0" w:color="000000"/>
              <w:bottom w:val="single" w:sz="4" w:space="0" w:color="000000"/>
            </w:tcBorders>
          </w:tcPr>
          <w:p>
            <w:pPr>
              <w:pStyle w:val="TableParagraph"/>
              <w:spacing w:before="79"/>
              <w:ind w:left="107"/>
              <w:rPr>
                <w:sz w:val="20"/>
              </w:rPr>
            </w:pPr>
            <w:r>
              <w:rPr>
                <w:sz w:val="20"/>
              </w:rPr>
              <w:t>Southern</w:t>
            </w:r>
            <w:r>
              <w:rPr>
                <w:spacing w:val="-13"/>
                <w:sz w:val="20"/>
              </w:rPr>
              <w:t> </w:t>
            </w:r>
            <w:r>
              <w:rPr>
                <w:sz w:val="20"/>
              </w:rPr>
              <w:t>rangelands</w:t>
            </w:r>
            <w:r>
              <w:rPr>
                <w:spacing w:val="-11"/>
                <w:sz w:val="20"/>
              </w:rPr>
              <w:t> </w:t>
            </w:r>
            <w:r>
              <w:rPr>
                <w:spacing w:val="-5"/>
                <w:sz w:val="20"/>
              </w:rPr>
              <w:t>WA</w:t>
            </w:r>
          </w:p>
        </w:tc>
        <w:tc>
          <w:tcPr>
            <w:tcW w:w="3687" w:type="dxa"/>
            <w:tcBorders>
              <w:top w:val="single" w:sz="4" w:space="0" w:color="000000"/>
              <w:bottom w:val="single" w:sz="4" w:space="0" w:color="000000"/>
            </w:tcBorders>
            <w:shd w:val="clear" w:color="auto" w:fill="CCDBEA"/>
          </w:tcPr>
          <w:p>
            <w:pPr>
              <w:pStyle w:val="TableParagraph"/>
              <w:spacing w:before="79"/>
              <w:ind w:left="107" w:right="267"/>
              <w:rPr>
                <w:sz w:val="20"/>
              </w:rPr>
            </w:pPr>
            <w:r>
              <w:rPr>
                <w:sz w:val="20"/>
              </w:rPr>
              <w:t>Change</w:t>
            </w:r>
            <w:r>
              <w:rPr>
                <w:spacing w:val="-9"/>
                <w:sz w:val="20"/>
              </w:rPr>
              <w:t> </w:t>
            </w:r>
            <w:r>
              <w:rPr>
                <w:sz w:val="20"/>
              </w:rPr>
              <w:t>in</w:t>
            </w:r>
            <w:r>
              <w:rPr>
                <w:spacing w:val="-10"/>
                <w:sz w:val="20"/>
              </w:rPr>
              <w:t> </w:t>
            </w:r>
            <w:r>
              <w:rPr>
                <w:sz w:val="20"/>
              </w:rPr>
              <w:t>density</w:t>
            </w:r>
            <w:r>
              <w:rPr>
                <w:spacing w:val="-7"/>
                <w:sz w:val="20"/>
              </w:rPr>
              <w:t> </w:t>
            </w:r>
            <w:r>
              <w:rPr>
                <w:sz w:val="20"/>
              </w:rPr>
              <w:t>estimates</w:t>
            </w:r>
            <w:r>
              <w:rPr>
                <w:spacing w:val="-9"/>
                <w:sz w:val="20"/>
              </w:rPr>
              <w:t> </w:t>
            </w:r>
            <w:r>
              <w:rPr>
                <w:sz w:val="20"/>
              </w:rPr>
              <w:t>pre-</w:t>
            </w:r>
            <w:r>
              <w:rPr>
                <w:spacing w:val="-9"/>
                <w:sz w:val="20"/>
              </w:rPr>
              <w:t> </w:t>
            </w:r>
            <w:r>
              <w:rPr>
                <w:sz w:val="20"/>
              </w:rPr>
              <w:t>and </w:t>
            </w:r>
            <w:r>
              <w:rPr>
                <w:spacing w:val="-2"/>
                <w:sz w:val="20"/>
              </w:rPr>
              <w:t>post-baiting</w:t>
            </w:r>
          </w:p>
        </w:tc>
        <w:tc>
          <w:tcPr>
            <w:tcW w:w="3435" w:type="dxa"/>
            <w:tcBorders>
              <w:top w:val="single" w:sz="4" w:space="0" w:color="000000"/>
              <w:bottom w:val="single" w:sz="4" w:space="0" w:color="000000"/>
            </w:tcBorders>
          </w:tcPr>
          <w:p>
            <w:pPr>
              <w:pStyle w:val="TableParagraph"/>
              <w:spacing w:before="79"/>
              <w:ind w:left="107"/>
              <w:rPr>
                <w:sz w:val="20"/>
              </w:rPr>
            </w:pPr>
            <w:r>
              <w:rPr>
                <w:sz w:val="20"/>
              </w:rPr>
              <w:t>Kreplins</w:t>
            </w:r>
            <w:r>
              <w:rPr>
                <w:spacing w:val="-5"/>
                <w:sz w:val="20"/>
              </w:rPr>
              <w:t> </w:t>
            </w:r>
            <w:r>
              <w:rPr>
                <w:sz w:val="20"/>
              </w:rPr>
              <w:t>et</w:t>
            </w:r>
            <w:r>
              <w:rPr>
                <w:spacing w:val="-7"/>
                <w:sz w:val="20"/>
              </w:rPr>
              <w:t> </w:t>
            </w:r>
            <w:r>
              <w:rPr>
                <w:sz w:val="20"/>
              </w:rPr>
              <w:t>al.</w:t>
            </w:r>
            <w:r>
              <w:rPr>
                <w:spacing w:val="-6"/>
                <w:sz w:val="20"/>
              </w:rPr>
              <w:t> </w:t>
            </w:r>
            <w:r>
              <w:rPr>
                <w:spacing w:val="-4"/>
                <w:sz w:val="20"/>
              </w:rPr>
              <w:t>2021</w:t>
            </w:r>
          </w:p>
        </w:tc>
      </w:tr>
      <w:tr>
        <w:trPr>
          <w:trHeight w:val="369" w:hRule="atLeast"/>
        </w:trPr>
        <w:tc>
          <w:tcPr>
            <w:tcW w:w="2660" w:type="dxa"/>
            <w:tcBorders>
              <w:top w:val="single" w:sz="4" w:space="0" w:color="000000"/>
            </w:tcBorders>
          </w:tcPr>
          <w:p>
            <w:pPr>
              <w:pStyle w:val="TableParagraph"/>
              <w:spacing w:before="78"/>
              <w:ind w:left="107"/>
              <w:rPr>
                <w:sz w:val="20"/>
              </w:rPr>
            </w:pPr>
            <w:r>
              <w:rPr>
                <w:sz w:val="20"/>
              </w:rPr>
              <w:t>Trapping</w:t>
            </w:r>
            <w:r>
              <w:rPr>
                <w:spacing w:val="-13"/>
                <w:sz w:val="20"/>
              </w:rPr>
              <w:t> </w:t>
            </w:r>
            <w:r>
              <w:rPr>
                <w:sz w:val="20"/>
              </w:rPr>
              <w:t>(leghold</w:t>
            </w:r>
            <w:r>
              <w:rPr>
                <w:spacing w:val="-10"/>
                <w:sz w:val="20"/>
              </w:rPr>
              <w:t> </w:t>
            </w:r>
            <w:r>
              <w:rPr>
                <w:spacing w:val="-2"/>
                <w:sz w:val="20"/>
              </w:rPr>
              <w:t>traps)</w:t>
            </w:r>
          </w:p>
        </w:tc>
        <w:tc>
          <w:tcPr>
            <w:tcW w:w="1988" w:type="dxa"/>
            <w:tcBorders>
              <w:top w:val="single" w:sz="4" w:space="0" w:color="000000"/>
              <w:bottom w:val="single" w:sz="4" w:space="0" w:color="000000"/>
            </w:tcBorders>
            <w:shd w:val="clear" w:color="auto" w:fill="CCDBEA"/>
          </w:tcPr>
          <w:p>
            <w:pPr>
              <w:pStyle w:val="TableParagraph"/>
              <w:spacing w:before="78"/>
              <w:ind w:left="1" w:right="2"/>
              <w:jc w:val="center"/>
              <w:rPr>
                <w:sz w:val="20"/>
              </w:rPr>
            </w:pPr>
            <w:r>
              <w:rPr>
                <w:spacing w:val="-5"/>
                <w:sz w:val="20"/>
              </w:rPr>
              <w:t>56</w:t>
            </w:r>
          </w:p>
        </w:tc>
        <w:tc>
          <w:tcPr>
            <w:tcW w:w="2976" w:type="dxa"/>
            <w:tcBorders>
              <w:top w:val="single" w:sz="4" w:space="0" w:color="000000"/>
              <w:bottom w:val="single" w:sz="4" w:space="0" w:color="000000"/>
            </w:tcBorders>
          </w:tcPr>
          <w:p>
            <w:pPr>
              <w:pStyle w:val="TableParagraph"/>
              <w:spacing w:before="78"/>
              <w:ind w:left="107"/>
              <w:rPr>
                <w:sz w:val="20"/>
              </w:rPr>
            </w:pPr>
            <w:r>
              <w:rPr>
                <w:spacing w:val="-2"/>
                <w:sz w:val="20"/>
              </w:rPr>
              <w:t>Southeastern</w:t>
            </w:r>
            <w:r>
              <w:rPr>
                <w:spacing w:val="10"/>
                <w:sz w:val="20"/>
              </w:rPr>
              <w:t> </w:t>
            </w:r>
            <w:r>
              <w:rPr>
                <w:spacing w:val="-2"/>
                <w:sz w:val="20"/>
              </w:rPr>
              <w:t>Australia</w:t>
            </w:r>
          </w:p>
        </w:tc>
        <w:tc>
          <w:tcPr>
            <w:tcW w:w="3687" w:type="dxa"/>
            <w:tcBorders>
              <w:top w:val="single" w:sz="4" w:space="0" w:color="000000"/>
              <w:bottom w:val="single" w:sz="4" w:space="0" w:color="000000"/>
            </w:tcBorders>
            <w:shd w:val="clear" w:color="auto" w:fill="CCDBEA"/>
          </w:tcPr>
          <w:p>
            <w:pPr>
              <w:pStyle w:val="TableParagraph"/>
              <w:rPr>
                <w:rFonts w:ascii="Times New Roman"/>
                <w:sz w:val="18"/>
              </w:rPr>
            </w:pPr>
          </w:p>
        </w:tc>
        <w:tc>
          <w:tcPr>
            <w:tcW w:w="3435" w:type="dxa"/>
            <w:tcBorders>
              <w:top w:val="single" w:sz="4" w:space="0" w:color="000000"/>
              <w:bottom w:val="single" w:sz="4" w:space="0" w:color="000000"/>
            </w:tcBorders>
          </w:tcPr>
          <w:p>
            <w:pPr>
              <w:pStyle w:val="TableParagraph"/>
              <w:spacing w:before="78"/>
              <w:ind w:left="107"/>
              <w:rPr>
                <w:sz w:val="20"/>
              </w:rPr>
            </w:pPr>
            <w:r>
              <w:rPr>
                <w:sz w:val="20"/>
              </w:rPr>
              <w:t>McIlroy</w:t>
            </w:r>
            <w:r>
              <w:rPr>
                <w:spacing w:val="-5"/>
                <w:sz w:val="20"/>
              </w:rPr>
              <w:t> </w:t>
            </w:r>
            <w:r>
              <w:rPr>
                <w:sz w:val="20"/>
              </w:rPr>
              <w:t>et</w:t>
            </w:r>
            <w:r>
              <w:rPr>
                <w:spacing w:val="-4"/>
                <w:sz w:val="20"/>
              </w:rPr>
              <w:t> </w:t>
            </w:r>
            <w:r>
              <w:rPr>
                <w:sz w:val="20"/>
              </w:rPr>
              <w:t>al.</w:t>
            </w:r>
            <w:r>
              <w:rPr>
                <w:spacing w:val="-4"/>
                <w:sz w:val="20"/>
              </w:rPr>
              <w:t> 1986</w:t>
            </w:r>
          </w:p>
        </w:tc>
      </w:tr>
    </w:tbl>
    <w:p>
      <w:pPr>
        <w:pStyle w:val="BodyText"/>
        <w:rPr>
          <w:b/>
        </w:rPr>
      </w:pPr>
    </w:p>
    <w:p>
      <w:pPr>
        <w:pStyle w:val="BodyText"/>
        <w:spacing w:before="47"/>
        <w:rPr>
          <w:b/>
        </w:rPr>
      </w:pPr>
    </w:p>
    <w:p>
      <w:pPr>
        <w:tabs>
          <w:tab w:pos="14845" w:val="right" w:leader="none"/>
        </w:tabs>
        <w:spacing w:before="0"/>
        <w:ind w:left="10414"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62</w:t>
      </w:r>
    </w:p>
    <w:p>
      <w:pPr>
        <w:spacing w:after="0"/>
        <w:jc w:val="left"/>
        <w:rPr>
          <w:sz w:val="20"/>
        </w:rPr>
        <w:sectPr>
          <w:footerReference w:type="even" r:id="rId63"/>
          <w:pgSz w:w="16850" w:h="11910" w:orient="landscape"/>
          <w:pgMar w:header="0" w:footer="0" w:top="1140" w:bottom="280" w:left="860" w:right="1000"/>
        </w:sectPr>
      </w:pP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1"/>
        <w:gridCol w:w="1987"/>
        <w:gridCol w:w="2977"/>
        <w:gridCol w:w="3688"/>
        <w:gridCol w:w="3436"/>
      </w:tblGrid>
      <w:tr>
        <w:trPr>
          <w:trHeight w:val="581" w:hRule="atLeast"/>
        </w:trPr>
        <w:tc>
          <w:tcPr>
            <w:tcW w:w="2661" w:type="dxa"/>
            <w:shd w:val="clear" w:color="auto" w:fill="004B96"/>
          </w:tcPr>
          <w:p>
            <w:pPr>
              <w:pStyle w:val="TableParagraph"/>
              <w:spacing w:before="60"/>
              <w:ind w:left="107"/>
              <w:rPr>
                <w:b/>
                <w:sz w:val="20"/>
              </w:rPr>
            </w:pPr>
            <w:r>
              <w:rPr>
                <w:b/>
                <w:color w:val="FFFFFF"/>
                <w:spacing w:val="-2"/>
                <w:sz w:val="20"/>
              </w:rPr>
              <w:t>Method</w:t>
            </w:r>
          </w:p>
        </w:tc>
        <w:tc>
          <w:tcPr>
            <w:tcW w:w="1987" w:type="dxa"/>
            <w:tcBorders>
              <w:bottom w:val="single" w:sz="4" w:space="0" w:color="000000"/>
            </w:tcBorders>
            <w:shd w:val="clear" w:color="auto" w:fill="004B96"/>
          </w:tcPr>
          <w:p>
            <w:pPr>
              <w:pStyle w:val="TableParagraph"/>
              <w:spacing w:before="60"/>
              <w:ind w:left="108" w:right="800"/>
              <w:rPr>
                <w:b/>
                <w:sz w:val="20"/>
              </w:rPr>
            </w:pPr>
            <w:r>
              <w:rPr>
                <w:b/>
                <w:color w:val="FFFFFF"/>
                <w:spacing w:val="-2"/>
                <w:sz w:val="20"/>
              </w:rPr>
              <w:t>Percentage reduction</w:t>
            </w:r>
          </w:p>
        </w:tc>
        <w:tc>
          <w:tcPr>
            <w:tcW w:w="2977" w:type="dxa"/>
            <w:tcBorders>
              <w:bottom w:val="single" w:sz="4" w:space="0" w:color="000000"/>
            </w:tcBorders>
            <w:shd w:val="clear" w:color="auto" w:fill="004B96"/>
          </w:tcPr>
          <w:p>
            <w:pPr>
              <w:pStyle w:val="TableParagraph"/>
              <w:spacing w:before="60"/>
              <w:ind w:left="107"/>
              <w:rPr>
                <w:b/>
                <w:sz w:val="20"/>
              </w:rPr>
            </w:pPr>
            <w:r>
              <w:rPr>
                <w:b/>
                <w:color w:val="FFFFFF"/>
                <w:spacing w:val="-2"/>
                <w:sz w:val="20"/>
              </w:rPr>
              <w:t>Region</w:t>
            </w:r>
          </w:p>
        </w:tc>
        <w:tc>
          <w:tcPr>
            <w:tcW w:w="3688" w:type="dxa"/>
            <w:tcBorders>
              <w:bottom w:val="single" w:sz="4" w:space="0" w:color="000000"/>
            </w:tcBorders>
            <w:shd w:val="clear" w:color="auto" w:fill="004B96"/>
          </w:tcPr>
          <w:p>
            <w:pPr>
              <w:pStyle w:val="TableParagraph"/>
              <w:spacing w:before="60"/>
              <w:ind w:left="106" w:right="122"/>
              <w:rPr>
                <w:b/>
                <w:sz w:val="20"/>
              </w:rPr>
            </w:pPr>
            <w:r>
              <w:rPr>
                <w:b/>
                <w:color w:val="FFFFFF"/>
                <w:sz w:val="20"/>
              </w:rPr>
              <w:t>Method</w:t>
            </w:r>
            <w:r>
              <w:rPr>
                <w:b/>
                <w:color w:val="FFFFFF"/>
                <w:spacing w:val="-9"/>
                <w:sz w:val="20"/>
              </w:rPr>
              <w:t> </w:t>
            </w:r>
            <w:r>
              <w:rPr>
                <w:b/>
                <w:color w:val="FFFFFF"/>
                <w:sz w:val="20"/>
              </w:rPr>
              <w:t>used</w:t>
            </w:r>
            <w:r>
              <w:rPr>
                <w:b/>
                <w:color w:val="FFFFFF"/>
                <w:spacing w:val="-9"/>
                <w:sz w:val="20"/>
              </w:rPr>
              <w:t> </w:t>
            </w:r>
            <w:r>
              <w:rPr>
                <w:b/>
                <w:color w:val="FFFFFF"/>
                <w:sz w:val="20"/>
              </w:rPr>
              <w:t>to</w:t>
            </w:r>
            <w:r>
              <w:rPr>
                <w:b/>
                <w:color w:val="FFFFFF"/>
                <w:spacing w:val="-9"/>
                <w:sz w:val="20"/>
              </w:rPr>
              <w:t> </w:t>
            </w:r>
            <w:r>
              <w:rPr>
                <w:b/>
                <w:color w:val="FFFFFF"/>
                <w:sz w:val="20"/>
              </w:rPr>
              <w:t>measure</w:t>
            </w:r>
            <w:r>
              <w:rPr>
                <w:b/>
                <w:color w:val="FFFFFF"/>
                <w:spacing w:val="-7"/>
                <w:sz w:val="20"/>
              </w:rPr>
              <w:t> </w:t>
            </w:r>
            <w:r>
              <w:rPr>
                <w:b/>
                <w:color w:val="FFFFFF"/>
                <w:sz w:val="20"/>
              </w:rPr>
              <w:t>change</w:t>
            </w:r>
            <w:r>
              <w:rPr>
                <w:b/>
                <w:color w:val="FFFFFF"/>
                <w:spacing w:val="-9"/>
                <w:sz w:val="20"/>
              </w:rPr>
              <w:t> </w:t>
            </w:r>
            <w:r>
              <w:rPr>
                <w:b/>
                <w:color w:val="FFFFFF"/>
                <w:sz w:val="20"/>
              </w:rPr>
              <w:t>in </w:t>
            </w:r>
            <w:r>
              <w:rPr>
                <w:b/>
                <w:color w:val="FFFFFF"/>
                <w:spacing w:val="-2"/>
                <w:sz w:val="20"/>
              </w:rPr>
              <w:t>abundance</w:t>
            </w:r>
          </w:p>
        </w:tc>
        <w:tc>
          <w:tcPr>
            <w:tcW w:w="3436" w:type="dxa"/>
            <w:tcBorders>
              <w:bottom w:val="single" w:sz="4" w:space="0" w:color="000000"/>
            </w:tcBorders>
            <w:shd w:val="clear" w:color="auto" w:fill="004B96"/>
          </w:tcPr>
          <w:p>
            <w:pPr>
              <w:pStyle w:val="TableParagraph"/>
              <w:spacing w:before="60"/>
              <w:ind w:left="105"/>
              <w:rPr>
                <w:b/>
                <w:sz w:val="20"/>
              </w:rPr>
            </w:pPr>
            <w:r>
              <w:rPr>
                <w:b/>
                <w:color w:val="FFFFFF"/>
                <w:spacing w:val="-2"/>
                <w:sz w:val="20"/>
              </w:rPr>
              <w:t>Reference</w:t>
            </w:r>
          </w:p>
        </w:tc>
      </w:tr>
      <w:tr>
        <w:trPr>
          <w:trHeight w:val="599" w:hRule="atLeast"/>
        </w:trPr>
        <w:tc>
          <w:tcPr>
            <w:tcW w:w="2661" w:type="dxa"/>
            <w:vMerge w:val="restart"/>
            <w:tcBorders>
              <w:bottom w:val="single" w:sz="4" w:space="0" w:color="000000"/>
            </w:tcBorders>
          </w:tcPr>
          <w:p>
            <w:pPr>
              <w:pStyle w:val="TableParagraph"/>
              <w:rPr>
                <w:rFonts w:ascii="Times New Roman"/>
                <w:sz w:val="18"/>
              </w:rPr>
            </w:pPr>
          </w:p>
        </w:tc>
        <w:tc>
          <w:tcPr>
            <w:tcW w:w="1987" w:type="dxa"/>
            <w:tcBorders>
              <w:top w:val="single" w:sz="4" w:space="0" w:color="000000"/>
              <w:bottom w:val="single" w:sz="4" w:space="0" w:color="000000"/>
            </w:tcBorders>
            <w:shd w:val="clear" w:color="auto" w:fill="CCDBEA"/>
          </w:tcPr>
          <w:p>
            <w:pPr>
              <w:pStyle w:val="TableParagraph"/>
              <w:spacing w:before="78"/>
              <w:ind w:right="3"/>
              <w:jc w:val="center"/>
              <w:rPr>
                <w:sz w:val="20"/>
              </w:rPr>
            </w:pPr>
            <w:r>
              <w:rPr>
                <w:spacing w:val="-4"/>
                <w:sz w:val="20"/>
              </w:rPr>
              <w:t>2.11</w:t>
            </w:r>
          </w:p>
        </w:tc>
        <w:tc>
          <w:tcPr>
            <w:tcW w:w="2977" w:type="dxa"/>
            <w:tcBorders>
              <w:top w:val="single" w:sz="4" w:space="0" w:color="000000"/>
              <w:bottom w:val="single" w:sz="4" w:space="0" w:color="000000"/>
            </w:tcBorders>
          </w:tcPr>
          <w:p>
            <w:pPr>
              <w:pStyle w:val="TableParagraph"/>
              <w:spacing w:before="78"/>
              <w:ind w:left="107"/>
              <w:rPr>
                <w:sz w:val="20"/>
              </w:rPr>
            </w:pPr>
            <w:r>
              <w:rPr>
                <w:spacing w:val="-2"/>
                <w:sz w:val="20"/>
              </w:rPr>
              <w:t>Southeastern</w:t>
            </w:r>
            <w:r>
              <w:rPr>
                <w:spacing w:val="10"/>
                <w:sz w:val="20"/>
              </w:rPr>
              <w:t> </w:t>
            </w:r>
            <w:r>
              <w:rPr>
                <w:spacing w:val="-2"/>
                <w:sz w:val="20"/>
              </w:rPr>
              <w:t>Australia</w:t>
            </w:r>
          </w:p>
        </w:tc>
        <w:tc>
          <w:tcPr>
            <w:tcW w:w="3688" w:type="dxa"/>
            <w:tcBorders>
              <w:top w:val="single" w:sz="4" w:space="0" w:color="000000"/>
              <w:bottom w:val="single" w:sz="4" w:space="0" w:color="000000"/>
            </w:tcBorders>
            <w:shd w:val="clear" w:color="auto" w:fill="CCDBEA"/>
          </w:tcPr>
          <w:p>
            <w:pPr>
              <w:pStyle w:val="TableParagraph"/>
              <w:spacing w:before="78"/>
              <w:ind w:left="106" w:right="122"/>
              <w:rPr>
                <w:sz w:val="20"/>
              </w:rPr>
            </w:pPr>
            <w:r>
              <w:rPr>
                <w:sz w:val="20"/>
              </w:rPr>
              <w:t>Capture efficiency (no. of target animals</w:t>
            </w:r>
            <w:r>
              <w:rPr>
                <w:spacing w:val="-10"/>
                <w:sz w:val="20"/>
              </w:rPr>
              <w:t> </w:t>
            </w:r>
            <w:r>
              <w:rPr>
                <w:sz w:val="20"/>
              </w:rPr>
              <w:t>captured</w:t>
            </w:r>
            <w:r>
              <w:rPr>
                <w:spacing w:val="-11"/>
                <w:sz w:val="20"/>
              </w:rPr>
              <w:t> </w:t>
            </w:r>
            <w:r>
              <w:rPr>
                <w:sz w:val="20"/>
              </w:rPr>
              <w:t>per</w:t>
            </w:r>
            <w:r>
              <w:rPr>
                <w:spacing w:val="-11"/>
                <w:sz w:val="20"/>
              </w:rPr>
              <w:t> </w:t>
            </w:r>
            <w:r>
              <w:rPr>
                <w:sz w:val="20"/>
              </w:rPr>
              <w:t>100</w:t>
            </w:r>
            <w:r>
              <w:rPr>
                <w:spacing w:val="-9"/>
                <w:sz w:val="20"/>
              </w:rPr>
              <w:t> </w:t>
            </w:r>
            <w:r>
              <w:rPr>
                <w:sz w:val="20"/>
              </w:rPr>
              <w:t>trap-nights)</w:t>
            </w:r>
          </w:p>
        </w:tc>
        <w:tc>
          <w:tcPr>
            <w:tcW w:w="3436" w:type="dxa"/>
            <w:tcBorders>
              <w:top w:val="single" w:sz="4" w:space="0" w:color="000000"/>
              <w:bottom w:val="single" w:sz="4" w:space="0" w:color="000000"/>
            </w:tcBorders>
          </w:tcPr>
          <w:p>
            <w:pPr>
              <w:pStyle w:val="TableParagraph"/>
              <w:spacing w:before="78"/>
              <w:ind w:left="105"/>
              <w:rPr>
                <w:sz w:val="20"/>
              </w:rPr>
            </w:pPr>
            <w:r>
              <w:rPr>
                <w:sz w:val="20"/>
              </w:rPr>
              <w:t>Fleming</w:t>
            </w:r>
            <w:r>
              <w:rPr>
                <w:spacing w:val="-5"/>
                <w:sz w:val="20"/>
              </w:rPr>
              <w:t> </w:t>
            </w:r>
            <w:r>
              <w:rPr>
                <w:sz w:val="20"/>
              </w:rPr>
              <w:t>et</w:t>
            </w:r>
            <w:r>
              <w:rPr>
                <w:spacing w:val="-5"/>
                <w:sz w:val="20"/>
              </w:rPr>
              <w:t> </w:t>
            </w:r>
            <w:r>
              <w:rPr>
                <w:sz w:val="20"/>
              </w:rPr>
              <w:t>al.</w:t>
            </w:r>
            <w:r>
              <w:rPr>
                <w:spacing w:val="-4"/>
                <w:sz w:val="20"/>
              </w:rPr>
              <w:t> 1988</w:t>
            </w:r>
          </w:p>
        </w:tc>
      </w:tr>
      <w:tr>
        <w:trPr>
          <w:trHeight w:val="599" w:hRule="atLeast"/>
        </w:trPr>
        <w:tc>
          <w:tcPr>
            <w:tcW w:w="2661" w:type="dxa"/>
            <w:vMerge/>
            <w:tcBorders>
              <w:top w:val="nil"/>
              <w:bottom w:val="single" w:sz="4" w:space="0" w:color="000000"/>
            </w:tcBorders>
          </w:tcPr>
          <w:p>
            <w:pPr>
              <w:rPr>
                <w:sz w:val="2"/>
                <w:szCs w:val="2"/>
              </w:rPr>
            </w:pPr>
          </w:p>
        </w:tc>
        <w:tc>
          <w:tcPr>
            <w:tcW w:w="1987" w:type="dxa"/>
            <w:tcBorders>
              <w:top w:val="single" w:sz="4" w:space="0" w:color="000000"/>
              <w:bottom w:val="single" w:sz="4" w:space="0" w:color="000000"/>
            </w:tcBorders>
            <w:shd w:val="clear" w:color="auto" w:fill="CCDBEA"/>
          </w:tcPr>
          <w:p>
            <w:pPr>
              <w:pStyle w:val="TableParagraph"/>
              <w:spacing w:before="78"/>
              <w:ind w:right="3"/>
              <w:jc w:val="center"/>
              <w:rPr>
                <w:sz w:val="20"/>
              </w:rPr>
            </w:pPr>
            <w:r>
              <w:rPr>
                <w:spacing w:val="-4"/>
                <w:sz w:val="20"/>
              </w:rPr>
              <w:t>1.72</w:t>
            </w:r>
          </w:p>
        </w:tc>
        <w:tc>
          <w:tcPr>
            <w:tcW w:w="2977" w:type="dxa"/>
            <w:tcBorders>
              <w:top w:val="single" w:sz="4" w:space="0" w:color="000000"/>
              <w:bottom w:val="single" w:sz="4" w:space="0" w:color="000000"/>
            </w:tcBorders>
          </w:tcPr>
          <w:p>
            <w:pPr>
              <w:pStyle w:val="TableParagraph"/>
              <w:rPr>
                <w:rFonts w:ascii="Times New Roman"/>
                <w:sz w:val="18"/>
              </w:rPr>
            </w:pPr>
          </w:p>
        </w:tc>
        <w:tc>
          <w:tcPr>
            <w:tcW w:w="3688" w:type="dxa"/>
            <w:tcBorders>
              <w:top w:val="single" w:sz="4" w:space="0" w:color="000000"/>
              <w:bottom w:val="single" w:sz="4" w:space="0" w:color="000000"/>
            </w:tcBorders>
            <w:shd w:val="clear" w:color="auto" w:fill="CCDBEA"/>
          </w:tcPr>
          <w:p>
            <w:pPr>
              <w:pStyle w:val="TableParagraph"/>
              <w:spacing w:line="242" w:lineRule="auto" w:before="78"/>
              <w:ind w:left="106" w:right="122"/>
              <w:rPr>
                <w:sz w:val="20"/>
              </w:rPr>
            </w:pPr>
            <w:r>
              <w:rPr>
                <w:sz w:val="20"/>
              </w:rPr>
              <w:t>Capture efficiency (no. of target animals</w:t>
            </w:r>
            <w:r>
              <w:rPr>
                <w:spacing w:val="-10"/>
                <w:sz w:val="20"/>
              </w:rPr>
              <w:t> </w:t>
            </w:r>
            <w:r>
              <w:rPr>
                <w:sz w:val="20"/>
              </w:rPr>
              <w:t>captured</w:t>
            </w:r>
            <w:r>
              <w:rPr>
                <w:spacing w:val="-11"/>
                <w:sz w:val="20"/>
              </w:rPr>
              <w:t> </w:t>
            </w:r>
            <w:r>
              <w:rPr>
                <w:sz w:val="20"/>
              </w:rPr>
              <w:t>per</w:t>
            </w:r>
            <w:r>
              <w:rPr>
                <w:spacing w:val="-11"/>
                <w:sz w:val="20"/>
              </w:rPr>
              <w:t> </w:t>
            </w:r>
            <w:r>
              <w:rPr>
                <w:sz w:val="20"/>
              </w:rPr>
              <w:t>100</w:t>
            </w:r>
            <w:r>
              <w:rPr>
                <w:spacing w:val="-9"/>
                <w:sz w:val="20"/>
              </w:rPr>
              <w:t> </w:t>
            </w:r>
            <w:r>
              <w:rPr>
                <w:sz w:val="20"/>
              </w:rPr>
              <w:t>trap-nights)</w:t>
            </w:r>
          </w:p>
        </w:tc>
        <w:tc>
          <w:tcPr>
            <w:tcW w:w="3436" w:type="dxa"/>
            <w:tcBorders>
              <w:top w:val="single" w:sz="4" w:space="0" w:color="000000"/>
              <w:bottom w:val="single" w:sz="4" w:space="0" w:color="000000"/>
            </w:tcBorders>
          </w:tcPr>
          <w:p>
            <w:pPr>
              <w:pStyle w:val="TableParagraph"/>
              <w:spacing w:before="78"/>
              <w:ind w:left="105"/>
              <w:rPr>
                <w:sz w:val="20"/>
              </w:rPr>
            </w:pPr>
            <w:r>
              <w:rPr>
                <w:sz w:val="20"/>
              </w:rPr>
              <w:t>Newsome</w:t>
            </w:r>
            <w:r>
              <w:rPr>
                <w:spacing w:val="-6"/>
                <w:sz w:val="20"/>
              </w:rPr>
              <w:t> </w:t>
            </w:r>
            <w:r>
              <w:rPr>
                <w:sz w:val="20"/>
              </w:rPr>
              <w:t>et</w:t>
            </w:r>
            <w:r>
              <w:rPr>
                <w:spacing w:val="-3"/>
                <w:sz w:val="20"/>
              </w:rPr>
              <w:t> </w:t>
            </w:r>
            <w:r>
              <w:rPr>
                <w:sz w:val="20"/>
              </w:rPr>
              <w:t>al.</w:t>
            </w:r>
            <w:r>
              <w:rPr>
                <w:spacing w:val="-3"/>
                <w:sz w:val="20"/>
              </w:rPr>
              <w:t> </w:t>
            </w:r>
            <w:r>
              <w:rPr>
                <w:spacing w:val="-4"/>
                <w:sz w:val="20"/>
              </w:rPr>
              <w:t>1983</w:t>
            </w:r>
          </w:p>
        </w:tc>
      </w:tr>
      <w:tr>
        <w:trPr>
          <w:trHeight w:val="371" w:hRule="atLeast"/>
        </w:trPr>
        <w:tc>
          <w:tcPr>
            <w:tcW w:w="2661" w:type="dxa"/>
            <w:tcBorders>
              <w:top w:val="single" w:sz="4" w:space="0" w:color="000000"/>
              <w:bottom w:val="single" w:sz="4" w:space="0" w:color="000000"/>
            </w:tcBorders>
          </w:tcPr>
          <w:p>
            <w:pPr>
              <w:pStyle w:val="TableParagraph"/>
              <w:spacing w:before="81"/>
              <w:ind w:left="107"/>
              <w:rPr>
                <w:sz w:val="20"/>
              </w:rPr>
            </w:pPr>
            <w:r>
              <w:rPr>
                <w:spacing w:val="-2"/>
                <w:sz w:val="20"/>
              </w:rPr>
              <w:t>Shooting</w:t>
            </w:r>
          </w:p>
        </w:tc>
        <w:tc>
          <w:tcPr>
            <w:tcW w:w="12088" w:type="dxa"/>
            <w:gridSpan w:val="4"/>
            <w:tcBorders>
              <w:top w:val="single" w:sz="4" w:space="0" w:color="000000"/>
              <w:bottom w:val="single" w:sz="4" w:space="0" w:color="000000"/>
            </w:tcBorders>
            <w:shd w:val="clear" w:color="auto" w:fill="CCDBEA"/>
          </w:tcPr>
          <w:p>
            <w:pPr>
              <w:pStyle w:val="TableParagraph"/>
              <w:spacing w:before="81"/>
              <w:ind w:left="108"/>
              <w:rPr>
                <w:sz w:val="20"/>
              </w:rPr>
            </w:pPr>
            <w:r>
              <w:rPr>
                <w:sz w:val="20"/>
              </w:rPr>
              <w:t>We</w:t>
            </w:r>
            <w:r>
              <w:rPr>
                <w:spacing w:val="-8"/>
                <w:sz w:val="20"/>
              </w:rPr>
              <w:t> </w:t>
            </w:r>
            <w:r>
              <w:rPr>
                <w:sz w:val="20"/>
              </w:rPr>
              <w:t>found</w:t>
            </w:r>
            <w:r>
              <w:rPr>
                <w:spacing w:val="-7"/>
                <w:sz w:val="20"/>
              </w:rPr>
              <w:t> </w:t>
            </w:r>
            <w:r>
              <w:rPr>
                <w:sz w:val="20"/>
              </w:rPr>
              <w:t>no</w:t>
            </w:r>
            <w:r>
              <w:rPr>
                <w:spacing w:val="-7"/>
                <w:sz w:val="20"/>
              </w:rPr>
              <w:t> </w:t>
            </w:r>
            <w:r>
              <w:rPr>
                <w:sz w:val="20"/>
              </w:rPr>
              <w:t>studies</w:t>
            </w:r>
            <w:r>
              <w:rPr>
                <w:spacing w:val="-7"/>
                <w:sz w:val="20"/>
              </w:rPr>
              <w:t> </w:t>
            </w:r>
            <w:r>
              <w:rPr>
                <w:sz w:val="20"/>
              </w:rPr>
              <w:t>reporting</w:t>
            </w:r>
            <w:r>
              <w:rPr>
                <w:spacing w:val="-8"/>
                <w:sz w:val="20"/>
              </w:rPr>
              <w:t> </w:t>
            </w:r>
            <w:r>
              <w:rPr>
                <w:sz w:val="20"/>
              </w:rPr>
              <w:t>changes</w:t>
            </w:r>
            <w:r>
              <w:rPr>
                <w:spacing w:val="-4"/>
                <w:sz w:val="20"/>
              </w:rPr>
              <w:t> </w:t>
            </w:r>
            <w:r>
              <w:rPr>
                <w:sz w:val="20"/>
              </w:rPr>
              <w:t>in</w:t>
            </w:r>
            <w:r>
              <w:rPr>
                <w:spacing w:val="-7"/>
                <w:sz w:val="20"/>
              </w:rPr>
              <w:t> </w:t>
            </w:r>
            <w:r>
              <w:rPr>
                <w:sz w:val="20"/>
              </w:rPr>
              <w:t>abundance</w:t>
            </w:r>
            <w:r>
              <w:rPr>
                <w:spacing w:val="-8"/>
                <w:sz w:val="20"/>
              </w:rPr>
              <w:t> </w:t>
            </w:r>
            <w:r>
              <w:rPr>
                <w:sz w:val="20"/>
              </w:rPr>
              <w:t>from</w:t>
            </w:r>
            <w:r>
              <w:rPr>
                <w:spacing w:val="-7"/>
                <w:sz w:val="20"/>
              </w:rPr>
              <w:t> </w:t>
            </w:r>
            <w:r>
              <w:rPr>
                <w:spacing w:val="-2"/>
                <w:sz w:val="20"/>
              </w:rPr>
              <w:t>shooting</w:t>
            </w:r>
          </w:p>
        </w:tc>
      </w:tr>
    </w:tbl>
    <w:p>
      <w:pPr>
        <w:spacing w:after="0"/>
        <w:rPr>
          <w:sz w:val="20"/>
        </w:rPr>
        <w:sectPr>
          <w:footerReference w:type="default" r:id="rId64"/>
          <w:pgSz w:w="16850" w:h="11910" w:orient="landscape"/>
          <w:pgMar w:header="0" w:footer="686" w:top="1100" w:bottom="880" w:left="860" w:right="1000"/>
          <w:pgNumType w:start="63"/>
        </w:sectPr>
      </w:pPr>
    </w:p>
    <w:p>
      <w:pPr>
        <w:pStyle w:val="Heading7"/>
        <w:spacing w:before="66"/>
        <w:ind w:left="272"/>
      </w:pPr>
      <w:bookmarkStart w:name="_bookmark16" w:id="83"/>
      <w:bookmarkEnd w:id="83"/>
      <w:r>
        <w:rPr>
          <w:b w:val="0"/>
        </w:rPr>
      </w:r>
      <w:r>
        <w:rPr>
          <w:color w:val="1F1546"/>
        </w:rPr>
        <w:t>Table</w:t>
      </w:r>
      <w:r>
        <w:rPr>
          <w:color w:val="1F1546"/>
          <w:spacing w:val="-2"/>
        </w:rPr>
        <w:t> </w:t>
      </w:r>
      <w:r>
        <w:rPr>
          <w:color w:val="1F1546"/>
        </w:rPr>
        <w:t>10.</w:t>
      </w:r>
      <w:r>
        <w:rPr>
          <w:color w:val="1F1546"/>
          <w:spacing w:val="-3"/>
        </w:rPr>
        <w:t> </w:t>
      </w:r>
      <w:r>
        <w:rPr>
          <w:color w:val="1F1546"/>
        </w:rPr>
        <w:t>Summary</w:t>
      </w:r>
      <w:r>
        <w:rPr>
          <w:color w:val="1F1546"/>
          <w:spacing w:val="-3"/>
        </w:rPr>
        <w:t> </w:t>
      </w:r>
      <w:r>
        <w:rPr>
          <w:color w:val="1F1546"/>
        </w:rPr>
        <w:t>of</w:t>
      </w:r>
      <w:r>
        <w:rPr>
          <w:color w:val="1F1546"/>
          <w:spacing w:val="-2"/>
        </w:rPr>
        <w:t> </w:t>
      </w:r>
      <w:r>
        <w:rPr>
          <w:color w:val="1F1546"/>
        </w:rPr>
        <w:t>efficacy,</w:t>
      </w:r>
      <w:r>
        <w:rPr>
          <w:color w:val="1F1546"/>
          <w:spacing w:val="-3"/>
        </w:rPr>
        <w:t> </w:t>
      </w:r>
      <w:r>
        <w:rPr>
          <w:color w:val="1F1546"/>
        </w:rPr>
        <w:t>cost-effectiveness,</w:t>
      </w:r>
      <w:r>
        <w:rPr>
          <w:color w:val="1F1546"/>
          <w:spacing w:val="-1"/>
        </w:rPr>
        <w:t> </w:t>
      </w:r>
      <w:r>
        <w:rPr>
          <w:color w:val="1F1546"/>
        </w:rPr>
        <w:t>target</w:t>
      </w:r>
      <w:r>
        <w:rPr>
          <w:color w:val="1F1546"/>
          <w:spacing w:val="-3"/>
        </w:rPr>
        <w:t> </w:t>
      </w:r>
      <w:r>
        <w:rPr>
          <w:color w:val="1F1546"/>
        </w:rPr>
        <w:t>specificity, and</w:t>
      </w:r>
      <w:r>
        <w:rPr>
          <w:color w:val="1F1546"/>
          <w:spacing w:val="-2"/>
        </w:rPr>
        <w:t> </w:t>
      </w:r>
      <w:r>
        <w:rPr>
          <w:color w:val="1F1546"/>
        </w:rPr>
        <w:t>advantages</w:t>
      </w:r>
      <w:r>
        <w:rPr>
          <w:color w:val="1F1546"/>
          <w:spacing w:val="-1"/>
        </w:rPr>
        <w:t> </w:t>
      </w:r>
      <w:r>
        <w:rPr>
          <w:color w:val="1F1546"/>
        </w:rPr>
        <w:t>and</w:t>
      </w:r>
      <w:r>
        <w:rPr>
          <w:color w:val="1F1546"/>
          <w:spacing w:val="-2"/>
        </w:rPr>
        <w:t> </w:t>
      </w:r>
      <w:r>
        <w:rPr>
          <w:color w:val="1F1546"/>
        </w:rPr>
        <w:t>disadvantages</w:t>
      </w:r>
      <w:r>
        <w:rPr>
          <w:color w:val="1F1546"/>
          <w:spacing w:val="-4"/>
        </w:rPr>
        <w:t> </w:t>
      </w:r>
      <w:r>
        <w:rPr>
          <w:color w:val="1F1546"/>
        </w:rPr>
        <w:t>of lethal</w:t>
      </w:r>
      <w:r>
        <w:rPr>
          <w:color w:val="1F1546"/>
          <w:spacing w:val="-1"/>
        </w:rPr>
        <w:t> </w:t>
      </w:r>
      <w:r>
        <w:rPr>
          <w:color w:val="1F1546"/>
        </w:rPr>
        <w:t>control</w:t>
      </w:r>
      <w:r>
        <w:rPr>
          <w:color w:val="1F1546"/>
          <w:spacing w:val="-3"/>
        </w:rPr>
        <w:t> </w:t>
      </w:r>
      <w:r>
        <w:rPr>
          <w:color w:val="1F1546"/>
        </w:rPr>
        <w:t>methods</w:t>
      </w:r>
      <w:r>
        <w:rPr>
          <w:color w:val="1F1546"/>
          <w:spacing w:val="-3"/>
        </w:rPr>
        <w:t> </w:t>
      </w:r>
      <w:r>
        <w:rPr>
          <w:color w:val="1F1546"/>
        </w:rPr>
        <w:t>for</w:t>
      </w:r>
      <w:r>
        <w:rPr>
          <w:color w:val="1F1546"/>
          <w:spacing w:val="-1"/>
        </w:rPr>
        <w:t> </w:t>
      </w:r>
      <w:r>
        <w:rPr>
          <w:color w:val="1F1546"/>
        </w:rPr>
        <w:t>Dingoes</w:t>
      </w:r>
      <w:r>
        <w:rPr>
          <w:color w:val="1F1546"/>
          <w:spacing w:val="-1"/>
        </w:rPr>
        <w:t> </w:t>
      </w:r>
      <w:r>
        <w:rPr>
          <w:color w:val="1F1546"/>
        </w:rPr>
        <w:t>and</w:t>
      </w:r>
      <w:r>
        <w:rPr>
          <w:color w:val="1F1546"/>
          <w:spacing w:val="-2"/>
        </w:rPr>
        <w:t> </w:t>
      </w:r>
      <w:r>
        <w:rPr>
          <w:color w:val="1F1546"/>
        </w:rPr>
        <w:t>Wild Dogs used in Victoria. Adapted from the State and National Codes of Practices and updated using outcomes from the literature review.</w:t>
      </w:r>
    </w:p>
    <w:p>
      <w:pPr>
        <w:pStyle w:val="BodyText"/>
        <w:spacing w:before="1" w:after="1"/>
        <w:rPr>
          <w:b/>
          <w:sz w:val="10"/>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9"/>
        <w:gridCol w:w="2318"/>
        <w:gridCol w:w="3488"/>
        <w:gridCol w:w="3560"/>
        <w:gridCol w:w="3267"/>
      </w:tblGrid>
      <w:tr>
        <w:trPr>
          <w:trHeight w:val="580" w:hRule="atLeast"/>
        </w:trPr>
        <w:tc>
          <w:tcPr>
            <w:tcW w:w="1849" w:type="dxa"/>
            <w:shd w:val="clear" w:color="auto" w:fill="004B96"/>
          </w:tcPr>
          <w:p>
            <w:pPr>
              <w:pStyle w:val="TableParagraph"/>
              <w:spacing w:before="59"/>
              <w:ind w:left="122" w:right="780"/>
              <w:rPr>
                <w:b/>
                <w:sz w:val="20"/>
              </w:rPr>
            </w:pPr>
            <w:r>
              <w:rPr>
                <w:b/>
                <w:color w:val="FFFFFF"/>
                <w:spacing w:val="-2"/>
                <w:sz w:val="20"/>
              </w:rPr>
              <w:t>Control technique</w:t>
            </w:r>
          </w:p>
        </w:tc>
        <w:tc>
          <w:tcPr>
            <w:tcW w:w="2318" w:type="dxa"/>
            <w:shd w:val="clear" w:color="auto" w:fill="004B96"/>
          </w:tcPr>
          <w:p>
            <w:pPr>
              <w:pStyle w:val="TableParagraph"/>
              <w:spacing w:before="59"/>
              <w:ind w:left="116"/>
              <w:rPr>
                <w:b/>
                <w:sz w:val="20"/>
              </w:rPr>
            </w:pPr>
            <w:r>
              <w:rPr>
                <w:b/>
                <w:color w:val="FFFFFF"/>
                <w:spacing w:val="-2"/>
                <w:sz w:val="20"/>
              </w:rPr>
              <w:t>Cost-effectiveness</w:t>
            </w:r>
          </w:p>
        </w:tc>
        <w:tc>
          <w:tcPr>
            <w:tcW w:w="3488" w:type="dxa"/>
            <w:shd w:val="clear" w:color="auto" w:fill="004B96"/>
          </w:tcPr>
          <w:p>
            <w:pPr>
              <w:pStyle w:val="TableParagraph"/>
              <w:spacing w:before="59"/>
              <w:ind w:left="125" w:right="125"/>
              <w:rPr>
                <w:b/>
                <w:sz w:val="20"/>
              </w:rPr>
            </w:pPr>
            <w:r>
              <w:rPr>
                <w:b/>
                <w:color w:val="FFFFFF"/>
                <w:sz w:val="20"/>
              </w:rPr>
              <w:t>Target</w:t>
            </w:r>
            <w:r>
              <w:rPr>
                <w:b/>
                <w:color w:val="FFFFFF"/>
                <w:spacing w:val="-14"/>
                <w:sz w:val="20"/>
              </w:rPr>
              <w:t> </w:t>
            </w:r>
            <w:r>
              <w:rPr>
                <w:b/>
                <w:color w:val="FFFFFF"/>
                <w:sz w:val="20"/>
              </w:rPr>
              <w:t>specificity</w:t>
            </w:r>
            <w:r>
              <w:rPr>
                <w:b/>
                <w:color w:val="FFFFFF"/>
                <w:spacing w:val="-13"/>
                <w:sz w:val="20"/>
              </w:rPr>
              <w:t> </w:t>
            </w:r>
            <w:r>
              <w:rPr>
                <w:b/>
                <w:color w:val="FFFFFF"/>
                <w:sz w:val="20"/>
              </w:rPr>
              <w:t>and</w:t>
            </w:r>
            <w:r>
              <w:rPr>
                <w:b/>
                <w:color w:val="FFFFFF"/>
                <w:spacing w:val="-14"/>
                <w:sz w:val="20"/>
              </w:rPr>
              <w:t> </w:t>
            </w:r>
            <w:r>
              <w:rPr>
                <w:b/>
                <w:color w:val="FFFFFF"/>
                <w:sz w:val="20"/>
              </w:rPr>
              <w:t>non-target </w:t>
            </w:r>
            <w:r>
              <w:rPr>
                <w:b/>
                <w:color w:val="FFFFFF"/>
                <w:spacing w:val="-2"/>
                <w:sz w:val="20"/>
              </w:rPr>
              <w:t>impacts</w:t>
            </w:r>
          </w:p>
        </w:tc>
        <w:tc>
          <w:tcPr>
            <w:tcW w:w="3560" w:type="dxa"/>
            <w:shd w:val="clear" w:color="auto" w:fill="004B96"/>
          </w:tcPr>
          <w:p>
            <w:pPr>
              <w:pStyle w:val="TableParagraph"/>
              <w:spacing w:before="59"/>
              <w:ind w:left="150"/>
              <w:rPr>
                <w:b/>
                <w:sz w:val="20"/>
              </w:rPr>
            </w:pPr>
            <w:r>
              <w:rPr>
                <w:b/>
                <w:color w:val="FFFFFF"/>
                <w:spacing w:val="-2"/>
                <w:sz w:val="20"/>
              </w:rPr>
              <w:t>Advantages</w:t>
            </w:r>
          </w:p>
        </w:tc>
        <w:tc>
          <w:tcPr>
            <w:tcW w:w="3267" w:type="dxa"/>
            <w:shd w:val="clear" w:color="auto" w:fill="004B96"/>
          </w:tcPr>
          <w:p>
            <w:pPr>
              <w:pStyle w:val="TableParagraph"/>
              <w:spacing w:before="59"/>
              <w:ind w:left="107"/>
              <w:rPr>
                <w:b/>
                <w:sz w:val="20"/>
              </w:rPr>
            </w:pPr>
            <w:r>
              <w:rPr>
                <w:b/>
                <w:color w:val="FFFFFF"/>
                <w:spacing w:val="-2"/>
                <w:sz w:val="20"/>
              </w:rPr>
              <w:t>Disadvantages</w:t>
            </w:r>
          </w:p>
        </w:tc>
      </w:tr>
      <w:tr>
        <w:trPr>
          <w:trHeight w:val="1518" w:hRule="atLeast"/>
        </w:trPr>
        <w:tc>
          <w:tcPr>
            <w:tcW w:w="1849" w:type="dxa"/>
            <w:tcBorders>
              <w:bottom w:val="single" w:sz="4" w:space="0" w:color="000000"/>
            </w:tcBorders>
          </w:tcPr>
          <w:p>
            <w:pPr>
              <w:pStyle w:val="TableParagraph"/>
              <w:spacing w:before="79"/>
              <w:ind w:left="122" w:right="408"/>
              <w:rPr>
                <w:sz w:val="20"/>
              </w:rPr>
            </w:pPr>
            <w:r>
              <w:rPr>
                <w:sz w:val="20"/>
              </w:rPr>
              <w:t>Ground</w:t>
            </w:r>
            <w:r>
              <w:rPr>
                <w:spacing w:val="-14"/>
                <w:sz w:val="20"/>
              </w:rPr>
              <w:t> </w:t>
            </w:r>
            <w:r>
              <w:rPr>
                <w:sz w:val="20"/>
              </w:rPr>
              <w:t>baiting with 1080</w:t>
            </w:r>
          </w:p>
        </w:tc>
        <w:tc>
          <w:tcPr>
            <w:tcW w:w="2318" w:type="dxa"/>
            <w:tcBorders>
              <w:bottom w:val="single" w:sz="4" w:space="0" w:color="000000"/>
            </w:tcBorders>
          </w:tcPr>
          <w:p>
            <w:pPr>
              <w:pStyle w:val="TableParagraph"/>
              <w:spacing w:before="79"/>
              <w:ind w:left="116"/>
              <w:rPr>
                <w:sz w:val="20"/>
              </w:rPr>
            </w:pPr>
            <w:r>
              <w:rPr>
                <w:sz w:val="20"/>
              </w:rPr>
              <w:t>No</w:t>
            </w:r>
            <w:r>
              <w:rPr>
                <w:spacing w:val="-14"/>
                <w:sz w:val="20"/>
              </w:rPr>
              <w:t> </w:t>
            </w:r>
            <w:r>
              <w:rPr>
                <w:sz w:val="20"/>
              </w:rPr>
              <w:t>literature</w:t>
            </w:r>
            <w:r>
              <w:rPr>
                <w:spacing w:val="-14"/>
                <w:sz w:val="20"/>
              </w:rPr>
              <w:t> </w:t>
            </w:r>
            <w:r>
              <w:rPr>
                <w:sz w:val="20"/>
              </w:rPr>
              <w:t>assessing cost effectiveness.</w:t>
            </w:r>
          </w:p>
          <w:p>
            <w:pPr>
              <w:pStyle w:val="TableParagraph"/>
              <w:ind w:left="116"/>
              <w:rPr>
                <w:sz w:val="20"/>
              </w:rPr>
            </w:pPr>
            <w:r>
              <w:rPr>
                <w:spacing w:val="-2"/>
                <w:sz w:val="20"/>
              </w:rPr>
              <w:t>Probably</w:t>
            </w:r>
            <w:r>
              <w:rPr>
                <w:spacing w:val="9"/>
                <w:sz w:val="20"/>
              </w:rPr>
              <w:t> </w:t>
            </w:r>
            <w:r>
              <w:rPr>
                <w:spacing w:val="-2"/>
                <w:sz w:val="20"/>
              </w:rPr>
              <w:t>cost-effective.</w:t>
            </w:r>
          </w:p>
        </w:tc>
        <w:tc>
          <w:tcPr>
            <w:tcW w:w="3488" w:type="dxa"/>
            <w:tcBorders>
              <w:bottom w:val="single" w:sz="4" w:space="0" w:color="000000"/>
            </w:tcBorders>
          </w:tcPr>
          <w:p>
            <w:pPr>
              <w:pStyle w:val="TableParagraph"/>
              <w:spacing w:before="79"/>
              <w:ind w:left="125" w:right="125"/>
              <w:rPr>
                <w:sz w:val="20"/>
              </w:rPr>
            </w:pPr>
            <w:r>
              <w:rPr>
                <w:sz w:val="20"/>
              </w:rPr>
              <w:t>There is a risk of poisoning non- target animals. Strategic ground baiting, where baits are buried, reduces risk to non-target species. Uneaten</w:t>
            </w:r>
            <w:r>
              <w:rPr>
                <w:spacing w:val="-8"/>
                <w:sz w:val="20"/>
              </w:rPr>
              <w:t> </w:t>
            </w:r>
            <w:r>
              <w:rPr>
                <w:sz w:val="20"/>
              </w:rPr>
              <w:t>baits</w:t>
            </w:r>
            <w:r>
              <w:rPr>
                <w:spacing w:val="-8"/>
                <w:sz w:val="20"/>
              </w:rPr>
              <w:t> </w:t>
            </w:r>
            <w:r>
              <w:rPr>
                <w:sz w:val="20"/>
              </w:rPr>
              <w:t>can</w:t>
            </w:r>
            <w:r>
              <w:rPr>
                <w:spacing w:val="-10"/>
                <w:sz w:val="20"/>
              </w:rPr>
              <w:t> </w:t>
            </w:r>
            <w:r>
              <w:rPr>
                <w:sz w:val="20"/>
              </w:rPr>
              <w:t>be</w:t>
            </w:r>
            <w:r>
              <w:rPr>
                <w:spacing w:val="-9"/>
                <w:sz w:val="20"/>
              </w:rPr>
              <w:t> </w:t>
            </w:r>
            <w:r>
              <w:rPr>
                <w:sz w:val="20"/>
              </w:rPr>
              <w:t>collected</w:t>
            </w:r>
            <w:r>
              <w:rPr>
                <w:spacing w:val="-10"/>
                <w:sz w:val="20"/>
              </w:rPr>
              <w:t> </w:t>
            </w:r>
            <w:r>
              <w:rPr>
                <w:sz w:val="20"/>
              </w:rPr>
              <w:t>and </w:t>
            </w:r>
            <w:r>
              <w:rPr>
                <w:spacing w:val="-2"/>
                <w:sz w:val="20"/>
              </w:rPr>
              <w:t>destroyed.</w:t>
            </w:r>
          </w:p>
        </w:tc>
        <w:tc>
          <w:tcPr>
            <w:tcW w:w="3560" w:type="dxa"/>
            <w:tcBorders>
              <w:bottom w:val="single" w:sz="4" w:space="0" w:color="000000"/>
            </w:tcBorders>
          </w:tcPr>
          <w:p>
            <w:pPr>
              <w:pStyle w:val="TableParagraph"/>
              <w:spacing w:before="79"/>
              <w:ind w:left="150"/>
              <w:rPr>
                <w:sz w:val="20"/>
              </w:rPr>
            </w:pPr>
            <w:r>
              <w:rPr>
                <w:sz w:val="20"/>
              </w:rPr>
              <w:t>Currently</w:t>
            </w:r>
            <w:r>
              <w:rPr>
                <w:spacing w:val="-13"/>
                <w:sz w:val="20"/>
              </w:rPr>
              <w:t> </w:t>
            </w:r>
            <w:r>
              <w:rPr>
                <w:sz w:val="20"/>
              </w:rPr>
              <w:t>the</w:t>
            </w:r>
            <w:r>
              <w:rPr>
                <w:spacing w:val="-13"/>
                <w:sz w:val="20"/>
              </w:rPr>
              <w:t> </w:t>
            </w:r>
            <w:r>
              <w:rPr>
                <w:sz w:val="20"/>
              </w:rPr>
              <w:t>most</w:t>
            </w:r>
            <w:r>
              <w:rPr>
                <w:spacing w:val="-14"/>
                <w:sz w:val="20"/>
              </w:rPr>
              <w:t> </w:t>
            </w:r>
            <w:r>
              <w:rPr>
                <w:sz w:val="20"/>
              </w:rPr>
              <w:t>cost-effective technique available. 1080.</w:t>
            </w:r>
          </w:p>
        </w:tc>
        <w:tc>
          <w:tcPr>
            <w:tcW w:w="3267" w:type="dxa"/>
            <w:tcBorders>
              <w:bottom w:val="single" w:sz="4" w:space="0" w:color="000000"/>
            </w:tcBorders>
            <w:shd w:val="clear" w:color="auto" w:fill="CCDBEA"/>
          </w:tcPr>
          <w:p>
            <w:pPr>
              <w:pStyle w:val="TableParagraph"/>
              <w:spacing w:before="79"/>
              <w:ind w:left="107" w:right="249"/>
              <w:jc w:val="both"/>
              <w:rPr>
                <w:sz w:val="20"/>
              </w:rPr>
            </w:pPr>
            <w:r>
              <w:rPr>
                <w:sz w:val="20"/>
              </w:rPr>
              <w:t>Ingestion</w:t>
            </w:r>
            <w:r>
              <w:rPr>
                <w:spacing w:val="-1"/>
                <w:sz w:val="20"/>
              </w:rPr>
              <w:t> </w:t>
            </w:r>
            <w:r>
              <w:rPr>
                <w:sz w:val="20"/>
              </w:rPr>
              <w:t>can also kill non-target animals</w:t>
            </w:r>
            <w:r>
              <w:rPr>
                <w:spacing w:val="-14"/>
                <w:sz w:val="20"/>
              </w:rPr>
              <w:t> </w:t>
            </w:r>
            <w:r>
              <w:rPr>
                <w:sz w:val="20"/>
              </w:rPr>
              <w:t>including</w:t>
            </w:r>
            <w:r>
              <w:rPr>
                <w:spacing w:val="-14"/>
                <w:sz w:val="20"/>
              </w:rPr>
              <w:t> </w:t>
            </w:r>
            <w:r>
              <w:rPr>
                <w:sz w:val="20"/>
              </w:rPr>
              <w:t>native</w:t>
            </w:r>
            <w:r>
              <w:rPr>
                <w:spacing w:val="-14"/>
                <w:sz w:val="20"/>
              </w:rPr>
              <w:t> </w:t>
            </w:r>
            <w:r>
              <w:rPr>
                <w:sz w:val="20"/>
              </w:rPr>
              <w:t>species, cats,</w:t>
            </w:r>
            <w:r>
              <w:rPr>
                <w:spacing w:val="-3"/>
                <w:sz w:val="20"/>
              </w:rPr>
              <w:t> </w:t>
            </w:r>
            <w:r>
              <w:rPr>
                <w:sz w:val="20"/>
              </w:rPr>
              <w:t>dogs</w:t>
            </w:r>
            <w:r>
              <w:rPr>
                <w:spacing w:val="-2"/>
                <w:sz w:val="20"/>
              </w:rPr>
              <w:t> </w:t>
            </w:r>
            <w:r>
              <w:rPr>
                <w:sz w:val="20"/>
              </w:rPr>
              <w:t>and</w:t>
            </w:r>
            <w:r>
              <w:rPr>
                <w:spacing w:val="-2"/>
                <w:sz w:val="20"/>
              </w:rPr>
              <w:t> </w:t>
            </w:r>
            <w:r>
              <w:rPr>
                <w:sz w:val="20"/>
              </w:rPr>
              <w:t>livestock.</w:t>
            </w:r>
            <w:r>
              <w:rPr>
                <w:spacing w:val="-3"/>
                <w:sz w:val="20"/>
              </w:rPr>
              <w:t> </w:t>
            </w:r>
            <w:r>
              <w:rPr>
                <w:sz w:val="20"/>
              </w:rPr>
              <w:t>1080</w:t>
            </w:r>
            <w:r>
              <w:rPr>
                <w:spacing w:val="-1"/>
                <w:sz w:val="20"/>
              </w:rPr>
              <w:t> </w:t>
            </w:r>
            <w:r>
              <w:rPr>
                <w:sz w:val="20"/>
              </w:rPr>
              <w:t>is toxic to humans; operators need to take precautions to safeguard against exposure.</w:t>
            </w:r>
          </w:p>
        </w:tc>
      </w:tr>
      <w:tr>
        <w:trPr>
          <w:trHeight w:val="2981" w:hRule="atLeast"/>
        </w:trPr>
        <w:tc>
          <w:tcPr>
            <w:tcW w:w="1849" w:type="dxa"/>
            <w:tcBorders>
              <w:top w:val="single" w:sz="4" w:space="0" w:color="000000"/>
              <w:bottom w:val="single" w:sz="4" w:space="0" w:color="000000"/>
            </w:tcBorders>
          </w:tcPr>
          <w:p>
            <w:pPr>
              <w:pStyle w:val="TableParagraph"/>
              <w:spacing w:before="79"/>
              <w:ind w:left="122" w:right="408"/>
              <w:rPr>
                <w:sz w:val="20"/>
              </w:rPr>
            </w:pPr>
            <w:r>
              <w:rPr>
                <w:sz w:val="20"/>
              </w:rPr>
              <w:t>Ground</w:t>
            </w:r>
            <w:r>
              <w:rPr>
                <w:spacing w:val="-14"/>
                <w:sz w:val="20"/>
              </w:rPr>
              <w:t> </w:t>
            </w:r>
            <w:r>
              <w:rPr>
                <w:sz w:val="20"/>
              </w:rPr>
              <w:t>baiting with PAPP</w:t>
            </w:r>
          </w:p>
        </w:tc>
        <w:tc>
          <w:tcPr>
            <w:tcW w:w="2318" w:type="dxa"/>
            <w:tcBorders>
              <w:top w:val="single" w:sz="4" w:space="0" w:color="000000"/>
              <w:bottom w:val="single" w:sz="4" w:space="0" w:color="000000"/>
            </w:tcBorders>
          </w:tcPr>
          <w:p>
            <w:pPr>
              <w:pStyle w:val="TableParagraph"/>
              <w:spacing w:before="79"/>
              <w:ind w:left="116"/>
              <w:rPr>
                <w:sz w:val="20"/>
              </w:rPr>
            </w:pPr>
            <w:r>
              <w:rPr>
                <w:sz w:val="20"/>
              </w:rPr>
              <w:t>No</w:t>
            </w:r>
            <w:r>
              <w:rPr>
                <w:spacing w:val="-14"/>
                <w:sz w:val="20"/>
              </w:rPr>
              <w:t> </w:t>
            </w:r>
            <w:r>
              <w:rPr>
                <w:sz w:val="20"/>
              </w:rPr>
              <w:t>literature</w:t>
            </w:r>
            <w:r>
              <w:rPr>
                <w:spacing w:val="-14"/>
                <w:sz w:val="20"/>
              </w:rPr>
              <w:t> </w:t>
            </w:r>
            <w:r>
              <w:rPr>
                <w:sz w:val="20"/>
              </w:rPr>
              <w:t>assessing cost effectiveness.</w:t>
            </w:r>
          </w:p>
          <w:p>
            <w:pPr>
              <w:pStyle w:val="TableParagraph"/>
              <w:spacing w:before="1"/>
              <w:ind w:left="116"/>
              <w:rPr>
                <w:sz w:val="20"/>
              </w:rPr>
            </w:pPr>
            <w:r>
              <w:rPr>
                <w:spacing w:val="-2"/>
                <w:sz w:val="20"/>
              </w:rPr>
              <w:t>Probably</w:t>
            </w:r>
            <w:r>
              <w:rPr>
                <w:spacing w:val="9"/>
                <w:sz w:val="20"/>
              </w:rPr>
              <w:t> </w:t>
            </w:r>
            <w:r>
              <w:rPr>
                <w:spacing w:val="-2"/>
                <w:sz w:val="20"/>
              </w:rPr>
              <w:t>cost-effective.</w:t>
            </w:r>
          </w:p>
        </w:tc>
        <w:tc>
          <w:tcPr>
            <w:tcW w:w="3488" w:type="dxa"/>
            <w:tcBorders>
              <w:top w:val="single" w:sz="4" w:space="0" w:color="000000"/>
              <w:bottom w:val="single" w:sz="4" w:space="0" w:color="000000"/>
            </w:tcBorders>
          </w:tcPr>
          <w:p>
            <w:pPr>
              <w:pStyle w:val="TableParagraph"/>
              <w:spacing w:before="79"/>
              <w:ind w:left="125" w:right="125"/>
              <w:rPr>
                <w:sz w:val="20"/>
              </w:rPr>
            </w:pPr>
            <w:r>
              <w:rPr>
                <w:sz w:val="20"/>
              </w:rPr>
              <w:t>There is a risk of poisoning non- target animals. Strategic ground baiting, where baits are buried, reduces risk to non-target species. Uneaten</w:t>
            </w:r>
            <w:r>
              <w:rPr>
                <w:spacing w:val="-8"/>
                <w:sz w:val="20"/>
              </w:rPr>
              <w:t> </w:t>
            </w:r>
            <w:r>
              <w:rPr>
                <w:sz w:val="20"/>
              </w:rPr>
              <w:t>baits</w:t>
            </w:r>
            <w:r>
              <w:rPr>
                <w:spacing w:val="-8"/>
                <w:sz w:val="20"/>
              </w:rPr>
              <w:t> </w:t>
            </w:r>
            <w:r>
              <w:rPr>
                <w:sz w:val="20"/>
              </w:rPr>
              <w:t>can</w:t>
            </w:r>
            <w:r>
              <w:rPr>
                <w:spacing w:val="-10"/>
                <w:sz w:val="20"/>
              </w:rPr>
              <w:t> </w:t>
            </w:r>
            <w:r>
              <w:rPr>
                <w:sz w:val="20"/>
              </w:rPr>
              <w:t>be</w:t>
            </w:r>
            <w:r>
              <w:rPr>
                <w:spacing w:val="-9"/>
                <w:sz w:val="20"/>
              </w:rPr>
              <w:t> </w:t>
            </w:r>
            <w:r>
              <w:rPr>
                <w:sz w:val="20"/>
              </w:rPr>
              <w:t>collected</w:t>
            </w:r>
            <w:r>
              <w:rPr>
                <w:spacing w:val="-10"/>
                <w:sz w:val="20"/>
              </w:rPr>
              <w:t> </w:t>
            </w:r>
            <w:r>
              <w:rPr>
                <w:sz w:val="20"/>
              </w:rPr>
              <w:t>and </w:t>
            </w:r>
            <w:r>
              <w:rPr>
                <w:spacing w:val="-2"/>
                <w:sz w:val="20"/>
              </w:rPr>
              <w:t>destroyed.</w:t>
            </w:r>
          </w:p>
          <w:p>
            <w:pPr>
              <w:pStyle w:val="TableParagraph"/>
              <w:spacing w:before="82"/>
              <w:ind w:left="125" w:right="125"/>
              <w:rPr>
                <w:sz w:val="20"/>
              </w:rPr>
            </w:pPr>
            <w:r>
              <w:rPr>
                <w:sz w:val="20"/>
              </w:rPr>
              <w:t>Some species are more susceptible to PAPP, e.g., quolls, southern brown bandicoot, varanids, while others are less susceptible compared</w:t>
            </w:r>
            <w:r>
              <w:rPr>
                <w:spacing w:val="-11"/>
                <w:sz w:val="20"/>
              </w:rPr>
              <w:t> </w:t>
            </w:r>
            <w:r>
              <w:rPr>
                <w:sz w:val="20"/>
              </w:rPr>
              <w:t>to</w:t>
            </w:r>
            <w:r>
              <w:rPr>
                <w:spacing w:val="-9"/>
                <w:sz w:val="20"/>
              </w:rPr>
              <w:t> </w:t>
            </w:r>
            <w:r>
              <w:rPr>
                <w:sz w:val="20"/>
              </w:rPr>
              <w:t>1080,</w:t>
            </w:r>
            <w:r>
              <w:rPr>
                <w:spacing w:val="-11"/>
                <w:sz w:val="20"/>
              </w:rPr>
              <w:t> </w:t>
            </w:r>
            <w:r>
              <w:rPr>
                <w:sz w:val="20"/>
              </w:rPr>
              <w:t>e.g.,</w:t>
            </w:r>
            <w:r>
              <w:rPr>
                <w:spacing w:val="-9"/>
                <w:sz w:val="20"/>
              </w:rPr>
              <w:t> </w:t>
            </w:r>
            <w:r>
              <w:rPr>
                <w:sz w:val="20"/>
              </w:rPr>
              <w:t>brush-tailed possums, some bird species</w:t>
            </w:r>
          </w:p>
        </w:tc>
        <w:tc>
          <w:tcPr>
            <w:tcW w:w="3560" w:type="dxa"/>
            <w:tcBorders>
              <w:top w:val="single" w:sz="4" w:space="0" w:color="000000"/>
              <w:bottom w:val="single" w:sz="4" w:space="0" w:color="000000"/>
            </w:tcBorders>
          </w:tcPr>
          <w:p>
            <w:pPr>
              <w:pStyle w:val="TableParagraph"/>
              <w:spacing w:before="79"/>
              <w:ind w:left="150" w:right="161"/>
              <w:rPr>
                <w:sz w:val="20"/>
              </w:rPr>
            </w:pPr>
            <w:r>
              <w:rPr>
                <w:sz w:val="20"/>
              </w:rPr>
              <w:t>Currently the most humane poisoning</w:t>
            </w:r>
            <w:r>
              <w:rPr>
                <w:spacing w:val="-14"/>
                <w:sz w:val="20"/>
              </w:rPr>
              <w:t> </w:t>
            </w:r>
            <w:r>
              <w:rPr>
                <w:sz w:val="20"/>
              </w:rPr>
              <w:t>technique</w:t>
            </w:r>
            <w:r>
              <w:rPr>
                <w:spacing w:val="-14"/>
                <w:sz w:val="20"/>
              </w:rPr>
              <w:t> </w:t>
            </w:r>
            <w:r>
              <w:rPr>
                <w:sz w:val="20"/>
              </w:rPr>
              <w:t>available.</w:t>
            </w:r>
          </w:p>
          <w:p>
            <w:pPr>
              <w:pStyle w:val="TableParagraph"/>
              <w:spacing w:before="80"/>
              <w:ind w:left="150"/>
              <w:rPr>
                <w:sz w:val="20"/>
              </w:rPr>
            </w:pPr>
            <w:r>
              <w:rPr>
                <w:sz w:val="20"/>
              </w:rPr>
              <w:t>Antidote</w:t>
            </w:r>
            <w:r>
              <w:rPr>
                <w:spacing w:val="-9"/>
                <w:sz w:val="20"/>
              </w:rPr>
              <w:t> </w:t>
            </w:r>
            <w:r>
              <w:rPr>
                <w:sz w:val="20"/>
              </w:rPr>
              <w:t>is</w:t>
            </w:r>
            <w:r>
              <w:rPr>
                <w:spacing w:val="-6"/>
                <w:sz w:val="20"/>
              </w:rPr>
              <w:t> </w:t>
            </w:r>
            <w:r>
              <w:rPr>
                <w:sz w:val="20"/>
              </w:rPr>
              <w:t>available</w:t>
            </w:r>
            <w:r>
              <w:rPr>
                <w:spacing w:val="-5"/>
                <w:sz w:val="20"/>
              </w:rPr>
              <w:t> </w:t>
            </w:r>
            <w:r>
              <w:rPr>
                <w:sz w:val="20"/>
              </w:rPr>
              <w:t>but</w:t>
            </w:r>
            <w:r>
              <w:rPr>
                <w:spacing w:val="-7"/>
                <w:sz w:val="20"/>
              </w:rPr>
              <w:t> </w:t>
            </w:r>
            <w:r>
              <w:rPr>
                <w:sz w:val="20"/>
              </w:rPr>
              <w:t>needs</w:t>
            </w:r>
            <w:r>
              <w:rPr>
                <w:spacing w:val="-8"/>
                <w:sz w:val="20"/>
              </w:rPr>
              <w:t> </w:t>
            </w:r>
            <w:r>
              <w:rPr>
                <w:sz w:val="20"/>
              </w:rPr>
              <w:t>to</w:t>
            </w:r>
            <w:r>
              <w:rPr>
                <w:spacing w:val="-7"/>
                <w:sz w:val="20"/>
              </w:rPr>
              <w:t> </w:t>
            </w:r>
            <w:r>
              <w:rPr>
                <w:sz w:val="20"/>
              </w:rPr>
              <w:t>be administered within 20 minutes.</w:t>
            </w:r>
          </w:p>
        </w:tc>
        <w:tc>
          <w:tcPr>
            <w:tcW w:w="3267" w:type="dxa"/>
            <w:tcBorders>
              <w:top w:val="single" w:sz="4" w:space="0" w:color="000000"/>
              <w:bottom w:val="single" w:sz="4" w:space="0" w:color="000000"/>
            </w:tcBorders>
            <w:shd w:val="clear" w:color="auto" w:fill="CCDBEA"/>
          </w:tcPr>
          <w:p>
            <w:pPr>
              <w:pStyle w:val="TableParagraph"/>
              <w:spacing w:before="79"/>
              <w:ind w:left="107" w:right="144"/>
              <w:rPr>
                <w:sz w:val="20"/>
              </w:rPr>
            </w:pPr>
            <w:r>
              <w:rPr>
                <w:sz w:val="20"/>
              </w:rPr>
              <w:t>PAPP ingestion</w:t>
            </w:r>
            <w:r>
              <w:rPr>
                <w:spacing w:val="-3"/>
                <w:sz w:val="20"/>
              </w:rPr>
              <w:t> </w:t>
            </w:r>
            <w:r>
              <w:rPr>
                <w:sz w:val="20"/>
              </w:rPr>
              <w:t>can</w:t>
            </w:r>
            <w:r>
              <w:rPr>
                <w:spacing w:val="-2"/>
                <w:sz w:val="20"/>
              </w:rPr>
              <w:t> </w:t>
            </w:r>
            <w:r>
              <w:rPr>
                <w:sz w:val="20"/>
              </w:rPr>
              <w:t>also</w:t>
            </w:r>
            <w:r>
              <w:rPr>
                <w:spacing w:val="-2"/>
                <w:sz w:val="20"/>
              </w:rPr>
              <w:t> </w:t>
            </w:r>
            <w:r>
              <w:rPr>
                <w:sz w:val="20"/>
              </w:rPr>
              <w:t>kill</w:t>
            </w:r>
            <w:r>
              <w:rPr>
                <w:spacing w:val="-3"/>
                <w:sz w:val="20"/>
              </w:rPr>
              <w:t> </w:t>
            </w:r>
            <w:r>
              <w:rPr>
                <w:sz w:val="20"/>
              </w:rPr>
              <w:t>non- target animals including native species,</w:t>
            </w:r>
            <w:r>
              <w:rPr>
                <w:spacing w:val="-11"/>
                <w:sz w:val="20"/>
              </w:rPr>
              <w:t> </w:t>
            </w:r>
            <w:r>
              <w:rPr>
                <w:sz w:val="20"/>
              </w:rPr>
              <w:t>cats,</w:t>
            </w:r>
            <w:r>
              <w:rPr>
                <w:spacing w:val="-11"/>
                <w:sz w:val="20"/>
              </w:rPr>
              <w:t> </w:t>
            </w:r>
            <w:r>
              <w:rPr>
                <w:sz w:val="20"/>
              </w:rPr>
              <w:t>dogs</w:t>
            </w:r>
            <w:r>
              <w:rPr>
                <w:spacing w:val="-10"/>
                <w:sz w:val="20"/>
              </w:rPr>
              <w:t> </w:t>
            </w:r>
            <w:r>
              <w:rPr>
                <w:sz w:val="20"/>
              </w:rPr>
              <w:t>and</w:t>
            </w:r>
            <w:r>
              <w:rPr>
                <w:spacing w:val="-10"/>
                <w:sz w:val="20"/>
              </w:rPr>
              <w:t> </w:t>
            </w:r>
            <w:r>
              <w:rPr>
                <w:sz w:val="20"/>
              </w:rPr>
              <w:t>livestock. PAPP is toxic to humans; operators need to take precautions to safeguard against </w:t>
            </w:r>
            <w:r>
              <w:rPr>
                <w:spacing w:val="-2"/>
                <w:sz w:val="20"/>
              </w:rPr>
              <w:t>exposure.</w:t>
            </w:r>
          </w:p>
        </w:tc>
      </w:tr>
      <w:tr>
        <w:trPr>
          <w:trHeight w:val="2219" w:hRule="atLeast"/>
        </w:trPr>
        <w:tc>
          <w:tcPr>
            <w:tcW w:w="1849" w:type="dxa"/>
            <w:tcBorders>
              <w:top w:val="single" w:sz="4" w:space="0" w:color="000000"/>
              <w:bottom w:val="single" w:sz="4" w:space="0" w:color="000000"/>
            </w:tcBorders>
          </w:tcPr>
          <w:p>
            <w:pPr>
              <w:pStyle w:val="TableParagraph"/>
              <w:spacing w:before="78"/>
              <w:ind w:left="122"/>
              <w:rPr>
                <w:sz w:val="20"/>
              </w:rPr>
            </w:pPr>
            <w:r>
              <w:rPr>
                <w:sz w:val="20"/>
              </w:rPr>
              <w:t>Canid</w:t>
            </w:r>
            <w:r>
              <w:rPr>
                <w:spacing w:val="-14"/>
                <w:sz w:val="20"/>
              </w:rPr>
              <w:t> </w:t>
            </w:r>
            <w:r>
              <w:rPr>
                <w:sz w:val="20"/>
              </w:rPr>
              <w:t>pest</w:t>
            </w:r>
            <w:r>
              <w:rPr>
                <w:spacing w:val="-14"/>
                <w:sz w:val="20"/>
              </w:rPr>
              <w:t> </w:t>
            </w:r>
            <w:r>
              <w:rPr>
                <w:sz w:val="20"/>
              </w:rPr>
              <w:t>ejector </w:t>
            </w:r>
            <w:r>
              <w:rPr>
                <w:spacing w:val="-2"/>
                <w:sz w:val="20"/>
              </w:rPr>
              <w:t>(1080/PAPP)</w:t>
            </w:r>
          </w:p>
        </w:tc>
        <w:tc>
          <w:tcPr>
            <w:tcW w:w="2318" w:type="dxa"/>
            <w:tcBorders>
              <w:top w:val="single" w:sz="4" w:space="0" w:color="000000"/>
              <w:bottom w:val="single" w:sz="4" w:space="0" w:color="000000"/>
            </w:tcBorders>
          </w:tcPr>
          <w:p>
            <w:pPr>
              <w:pStyle w:val="TableParagraph"/>
              <w:spacing w:before="78"/>
              <w:ind w:left="116"/>
              <w:rPr>
                <w:sz w:val="20"/>
              </w:rPr>
            </w:pPr>
            <w:r>
              <w:rPr>
                <w:sz w:val="20"/>
              </w:rPr>
              <w:t>No</w:t>
            </w:r>
            <w:r>
              <w:rPr>
                <w:spacing w:val="-14"/>
                <w:sz w:val="20"/>
              </w:rPr>
              <w:t> </w:t>
            </w:r>
            <w:r>
              <w:rPr>
                <w:sz w:val="20"/>
              </w:rPr>
              <w:t>literature</w:t>
            </w:r>
            <w:r>
              <w:rPr>
                <w:spacing w:val="-14"/>
                <w:sz w:val="20"/>
              </w:rPr>
              <w:t> </w:t>
            </w:r>
            <w:r>
              <w:rPr>
                <w:sz w:val="20"/>
              </w:rPr>
              <w:t>assessing cost effectiveness.</w:t>
            </w:r>
          </w:p>
          <w:p>
            <w:pPr>
              <w:pStyle w:val="TableParagraph"/>
              <w:spacing w:before="1"/>
              <w:ind w:left="116"/>
              <w:rPr>
                <w:sz w:val="20"/>
              </w:rPr>
            </w:pPr>
            <w:r>
              <w:rPr>
                <w:spacing w:val="-2"/>
                <w:sz w:val="20"/>
              </w:rPr>
              <w:t>Probably</w:t>
            </w:r>
            <w:r>
              <w:rPr>
                <w:spacing w:val="9"/>
                <w:sz w:val="20"/>
              </w:rPr>
              <w:t> </w:t>
            </w:r>
            <w:r>
              <w:rPr>
                <w:spacing w:val="-2"/>
                <w:sz w:val="20"/>
              </w:rPr>
              <w:t>cost-effective.</w:t>
            </w:r>
          </w:p>
          <w:p>
            <w:pPr>
              <w:pStyle w:val="TableParagraph"/>
              <w:spacing w:before="80"/>
              <w:ind w:left="116" w:right="6"/>
              <w:rPr>
                <w:sz w:val="20"/>
              </w:rPr>
            </w:pPr>
            <w:r>
              <w:rPr>
                <w:sz w:val="20"/>
              </w:rPr>
              <w:t>Can</w:t>
            </w:r>
            <w:r>
              <w:rPr>
                <w:spacing w:val="-14"/>
                <w:sz w:val="20"/>
              </w:rPr>
              <w:t> </w:t>
            </w:r>
            <w:r>
              <w:rPr>
                <w:sz w:val="20"/>
              </w:rPr>
              <w:t>be</w:t>
            </w:r>
            <w:r>
              <w:rPr>
                <w:spacing w:val="-14"/>
                <w:sz w:val="20"/>
              </w:rPr>
              <w:t> </w:t>
            </w:r>
            <w:r>
              <w:rPr>
                <w:sz w:val="20"/>
              </w:rPr>
              <w:t>effective</w:t>
            </w:r>
            <w:r>
              <w:rPr>
                <w:spacing w:val="-13"/>
                <w:sz w:val="20"/>
              </w:rPr>
              <w:t> </w:t>
            </w:r>
            <w:r>
              <w:rPr>
                <w:sz w:val="20"/>
              </w:rPr>
              <w:t>in certain situations.</w:t>
            </w:r>
          </w:p>
        </w:tc>
        <w:tc>
          <w:tcPr>
            <w:tcW w:w="3488" w:type="dxa"/>
            <w:tcBorders>
              <w:top w:val="single" w:sz="4" w:space="0" w:color="000000"/>
              <w:bottom w:val="single" w:sz="4" w:space="0" w:color="000000"/>
            </w:tcBorders>
          </w:tcPr>
          <w:p>
            <w:pPr>
              <w:pStyle w:val="TableParagraph"/>
              <w:spacing w:before="78"/>
              <w:ind w:left="125"/>
              <w:rPr>
                <w:sz w:val="20"/>
              </w:rPr>
            </w:pPr>
            <w:r>
              <w:rPr>
                <w:sz w:val="20"/>
              </w:rPr>
              <w:t>Target</w:t>
            </w:r>
            <w:r>
              <w:rPr>
                <w:spacing w:val="-7"/>
                <w:sz w:val="20"/>
              </w:rPr>
              <w:t> </w:t>
            </w:r>
            <w:r>
              <w:rPr>
                <w:spacing w:val="-2"/>
                <w:sz w:val="20"/>
              </w:rPr>
              <w:t>specific.</w:t>
            </w:r>
          </w:p>
        </w:tc>
        <w:tc>
          <w:tcPr>
            <w:tcW w:w="3560" w:type="dxa"/>
            <w:tcBorders>
              <w:top w:val="single" w:sz="4" w:space="0" w:color="000000"/>
              <w:bottom w:val="single" w:sz="4" w:space="0" w:color="000000"/>
            </w:tcBorders>
          </w:tcPr>
          <w:p>
            <w:pPr>
              <w:pStyle w:val="TableParagraph"/>
              <w:spacing w:before="78"/>
              <w:ind w:left="150" w:right="161"/>
              <w:rPr>
                <w:sz w:val="20"/>
              </w:rPr>
            </w:pPr>
            <w:r>
              <w:rPr>
                <w:sz w:val="20"/>
              </w:rPr>
              <w:t>Unspent</w:t>
            </w:r>
            <w:r>
              <w:rPr>
                <w:spacing w:val="-10"/>
                <w:sz w:val="20"/>
              </w:rPr>
              <w:t> </w:t>
            </w:r>
            <w:r>
              <w:rPr>
                <w:sz w:val="20"/>
              </w:rPr>
              <w:t>capsules</w:t>
            </w:r>
            <w:r>
              <w:rPr>
                <w:spacing w:val="-11"/>
                <w:sz w:val="20"/>
              </w:rPr>
              <w:t> </w:t>
            </w:r>
            <w:r>
              <w:rPr>
                <w:sz w:val="20"/>
              </w:rPr>
              <w:t>can</w:t>
            </w:r>
            <w:r>
              <w:rPr>
                <w:spacing w:val="-11"/>
                <w:sz w:val="20"/>
              </w:rPr>
              <w:t> </w:t>
            </w:r>
            <w:r>
              <w:rPr>
                <w:sz w:val="20"/>
              </w:rPr>
              <w:t>be</w:t>
            </w:r>
            <w:r>
              <w:rPr>
                <w:spacing w:val="-12"/>
                <w:sz w:val="20"/>
              </w:rPr>
              <w:t> </w:t>
            </w:r>
            <w:r>
              <w:rPr>
                <w:sz w:val="20"/>
              </w:rPr>
              <w:t>collected and destroyed.</w:t>
            </w:r>
          </w:p>
          <w:p>
            <w:pPr>
              <w:pStyle w:val="TableParagraph"/>
              <w:spacing w:before="80"/>
              <w:ind w:left="150" w:right="161"/>
              <w:rPr>
                <w:sz w:val="20"/>
              </w:rPr>
            </w:pPr>
            <w:r>
              <w:rPr>
                <w:sz w:val="20"/>
              </w:rPr>
              <w:t>Can</w:t>
            </w:r>
            <w:r>
              <w:rPr>
                <w:spacing w:val="-8"/>
                <w:sz w:val="20"/>
              </w:rPr>
              <w:t> </w:t>
            </w:r>
            <w:r>
              <w:rPr>
                <w:sz w:val="20"/>
              </w:rPr>
              <w:t>be</w:t>
            </w:r>
            <w:r>
              <w:rPr>
                <w:spacing w:val="-7"/>
                <w:sz w:val="20"/>
              </w:rPr>
              <w:t> </w:t>
            </w:r>
            <w:r>
              <w:rPr>
                <w:sz w:val="20"/>
              </w:rPr>
              <w:t>used</w:t>
            </w:r>
            <w:r>
              <w:rPr>
                <w:spacing w:val="-7"/>
                <w:sz w:val="20"/>
              </w:rPr>
              <w:t> </w:t>
            </w:r>
            <w:r>
              <w:rPr>
                <w:sz w:val="20"/>
              </w:rPr>
              <w:t>with</w:t>
            </w:r>
            <w:r>
              <w:rPr>
                <w:spacing w:val="-8"/>
                <w:sz w:val="20"/>
              </w:rPr>
              <w:t> </w:t>
            </w:r>
            <w:r>
              <w:rPr>
                <w:sz w:val="20"/>
              </w:rPr>
              <w:t>either</w:t>
            </w:r>
            <w:r>
              <w:rPr>
                <w:spacing w:val="-7"/>
                <w:sz w:val="20"/>
              </w:rPr>
              <w:t> </w:t>
            </w:r>
            <w:r>
              <w:rPr>
                <w:sz w:val="20"/>
              </w:rPr>
              <w:t>1080,</w:t>
            </w:r>
            <w:r>
              <w:rPr>
                <w:spacing w:val="-7"/>
                <w:sz w:val="20"/>
              </w:rPr>
              <w:t> </w:t>
            </w:r>
            <w:r>
              <w:rPr>
                <w:sz w:val="20"/>
              </w:rPr>
              <w:t>or </w:t>
            </w:r>
            <w:r>
              <w:rPr>
                <w:spacing w:val="-2"/>
                <w:sz w:val="20"/>
              </w:rPr>
              <w:t>PAPP.</w:t>
            </w:r>
          </w:p>
          <w:p>
            <w:pPr>
              <w:pStyle w:val="TableParagraph"/>
              <w:spacing w:before="80"/>
              <w:ind w:left="150"/>
              <w:rPr>
                <w:sz w:val="20"/>
              </w:rPr>
            </w:pPr>
            <w:r>
              <w:rPr>
                <w:sz w:val="20"/>
              </w:rPr>
              <w:t>Requires</w:t>
            </w:r>
            <w:r>
              <w:rPr>
                <w:spacing w:val="-11"/>
                <w:sz w:val="20"/>
              </w:rPr>
              <w:t> </w:t>
            </w:r>
            <w:r>
              <w:rPr>
                <w:sz w:val="20"/>
              </w:rPr>
              <w:t>relatively</w:t>
            </w:r>
            <w:r>
              <w:rPr>
                <w:spacing w:val="-11"/>
                <w:sz w:val="20"/>
              </w:rPr>
              <w:t> </w:t>
            </w:r>
            <w:r>
              <w:rPr>
                <w:sz w:val="20"/>
              </w:rPr>
              <w:t>little</w:t>
            </w:r>
            <w:r>
              <w:rPr>
                <w:spacing w:val="-11"/>
                <w:sz w:val="20"/>
              </w:rPr>
              <w:t> </w:t>
            </w:r>
            <w:r>
              <w:rPr>
                <w:sz w:val="20"/>
              </w:rPr>
              <w:t>time</w:t>
            </w:r>
            <w:r>
              <w:rPr>
                <w:spacing w:val="-11"/>
                <w:sz w:val="20"/>
              </w:rPr>
              <w:t> </w:t>
            </w:r>
            <w:r>
              <w:rPr>
                <w:sz w:val="20"/>
              </w:rPr>
              <w:t>to </w:t>
            </w:r>
            <w:r>
              <w:rPr>
                <w:spacing w:val="-2"/>
                <w:sz w:val="20"/>
              </w:rPr>
              <w:t>establish.</w:t>
            </w:r>
          </w:p>
          <w:p>
            <w:pPr>
              <w:pStyle w:val="TableParagraph"/>
              <w:spacing w:before="80"/>
              <w:ind w:left="150"/>
              <w:rPr>
                <w:sz w:val="20"/>
              </w:rPr>
            </w:pPr>
            <w:r>
              <w:rPr>
                <w:sz w:val="20"/>
              </w:rPr>
              <w:t>Can</w:t>
            </w:r>
            <w:r>
              <w:rPr>
                <w:spacing w:val="-9"/>
                <w:sz w:val="20"/>
              </w:rPr>
              <w:t> </w:t>
            </w:r>
            <w:r>
              <w:rPr>
                <w:sz w:val="20"/>
              </w:rPr>
              <w:t>be</w:t>
            </w:r>
            <w:r>
              <w:rPr>
                <w:spacing w:val="-8"/>
                <w:sz w:val="20"/>
              </w:rPr>
              <w:t> </w:t>
            </w:r>
            <w:r>
              <w:rPr>
                <w:sz w:val="20"/>
              </w:rPr>
              <w:t>deployed</w:t>
            </w:r>
            <w:r>
              <w:rPr>
                <w:spacing w:val="-9"/>
                <w:sz w:val="20"/>
              </w:rPr>
              <w:t> </w:t>
            </w:r>
            <w:r>
              <w:rPr>
                <w:sz w:val="20"/>
              </w:rPr>
              <w:t>for</w:t>
            </w:r>
            <w:r>
              <w:rPr>
                <w:spacing w:val="-8"/>
                <w:sz w:val="20"/>
              </w:rPr>
              <w:t> </w:t>
            </w:r>
            <w:r>
              <w:rPr>
                <w:sz w:val="20"/>
              </w:rPr>
              <w:t>longer</w:t>
            </w:r>
            <w:r>
              <w:rPr>
                <w:spacing w:val="-8"/>
                <w:sz w:val="20"/>
              </w:rPr>
              <w:t> </w:t>
            </w:r>
            <w:r>
              <w:rPr>
                <w:sz w:val="20"/>
              </w:rPr>
              <w:t>periods than baits.</w:t>
            </w:r>
          </w:p>
        </w:tc>
        <w:tc>
          <w:tcPr>
            <w:tcW w:w="3267" w:type="dxa"/>
            <w:tcBorders>
              <w:top w:val="single" w:sz="4" w:space="0" w:color="000000"/>
              <w:bottom w:val="single" w:sz="4" w:space="0" w:color="000000"/>
            </w:tcBorders>
            <w:shd w:val="clear" w:color="auto" w:fill="CCDBEA"/>
          </w:tcPr>
          <w:p>
            <w:pPr>
              <w:pStyle w:val="TableParagraph"/>
              <w:spacing w:before="78"/>
              <w:ind w:left="107" w:right="144"/>
              <w:rPr>
                <w:sz w:val="20"/>
              </w:rPr>
            </w:pPr>
            <w:r>
              <w:rPr>
                <w:sz w:val="20"/>
              </w:rPr>
              <w:t>Slightly more expensive than baiting. 1080 is toxic to humans; operators need to take precautions</w:t>
            </w:r>
            <w:r>
              <w:rPr>
                <w:spacing w:val="-14"/>
                <w:sz w:val="20"/>
              </w:rPr>
              <w:t> </w:t>
            </w:r>
            <w:r>
              <w:rPr>
                <w:sz w:val="20"/>
              </w:rPr>
              <w:t>to</w:t>
            </w:r>
            <w:r>
              <w:rPr>
                <w:spacing w:val="-14"/>
                <w:sz w:val="20"/>
              </w:rPr>
              <w:t> </w:t>
            </w:r>
            <w:r>
              <w:rPr>
                <w:sz w:val="20"/>
              </w:rPr>
              <w:t>safeguard</w:t>
            </w:r>
            <w:r>
              <w:rPr>
                <w:spacing w:val="-13"/>
                <w:sz w:val="20"/>
              </w:rPr>
              <w:t> </w:t>
            </w:r>
            <w:r>
              <w:rPr>
                <w:sz w:val="20"/>
              </w:rPr>
              <w:t>against </w:t>
            </w:r>
            <w:r>
              <w:rPr>
                <w:spacing w:val="-2"/>
                <w:sz w:val="20"/>
              </w:rPr>
              <w:t>exposure.</w:t>
            </w:r>
          </w:p>
          <w:p>
            <w:pPr>
              <w:pStyle w:val="TableParagraph"/>
              <w:spacing w:before="79"/>
              <w:ind w:left="107"/>
              <w:rPr>
                <w:sz w:val="20"/>
              </w:rPr>
            </w:pPr>
            <w:r>
              <w:rPr>
                <w:sz w:val="20"/>
              </w:rPr>
              <w:t>Requires</w:t>
            </w:r>
            <w:r>
              <w:rPr>
                <w:spacing w:val="-11"/>
                <w:sz w:val="20"/>
              </w:rPr>
              <w:t> </w:t>
            </w:r>
            <w:r>
              <w:rPr>
                <w:sz w:val="20"/>
              </w:rPr>
              <w:t>a</w:t>
            </w:r>
            <w:r>
              <w:rPr>
                <w:spacing w:val="-10"/>
                <w:sz w:val="20"/>
              </w:rPr>
              <w:t> </w:t>
            </w:r>
            <w:r>
              <w:rPr>
                <w:sz w:val="20"/>
              </w:rPr>
              <w:t>moderate</w:t>
            </w:r>
            <w:r>
              <w:rPr>
                <w:spacing w:val="-10"/>
                <w:sz w:val="20"/>
              </w:rPr>
              <w:t> </w:t>
            </w:r>
            <w:r>
              <w:rPr>
                <w:sz w:val="20"/>
              </w:rPr>
              <w:t>level</w:t>
            </w:r>
            <w:r>
              <w:rPr>
                <w:spacing w:val="-11"/>
                <w:sz w:val="20"/>
              </w:rPr>
              <w:t> </w:t>
            </w:r>
            <w:r>
              <w:rPr>
                <w:sz w:val="20"/>
              </w:rPr>
              <w:t>of technical ability and local </w:t>
            </w:r>
            <w:r>
              <w:rPr>
                <w:spacing w:val="-2"/>
                <w:sz w:val="20"/>
              </w:rPr>
              <w:t>knowledge.</w:t>
            </w:r>
          </w:p>
        </w:tc>
      </w:tr>
      <w:tr>
        <w:trPr>
          <w:trHeight w:val="538" w:hRule="atLeast"/>
        </w:trPr>
        <w:tc>
          <w:tcPr>
            <w:tcW w:w="1849" w:type="dxa"/>
            <w:tcBorders>
              <w:top w:val="single" w:sz="4" w:space="0" w:color="000000"/>
            </w:tcBorders>
          </w:tcPr>
          <w:p>
            <w:pPr>
              <w:pStyle w:val="TableParagraph"/>
              <w:rPr>
                <w:rFonts w:ascii="Times New Roman"/>
                <w:sz w:val="18"/>
              </w:rPr>
            </w:pPr>
          </w:p>
        </w:tc>
        <w:tc>
          <w:tcPr>
            <w:tcW w:w="2318" w:type="dxa"/>
            <w:vMerge w:val="restart"/>
            <w:tcBorders>
              <w:top w:val="single" w:sz="4" w:space="0" w:color="000000"/>
              <w:bottom w:val="single" w:sz="4" w:space="0" w:color="000000"/>
            </w:tcBorders>
          </w:tcPr>
          <w:p>
            <w:pPr>
              <w:pStyle w:val="TableParagraph"/>
              <w:spacing w:before="79"/>
              <w:ind w:left="116"/>
              <w:rPr>
                <w:sz w:val="20"/>
              </w:rPr>
            </w:pPr>
            <w:r>
              <w:rPr>
                <w:sz w:val="20"/>
              </w:rPr>
              <w:t>No</w:t>
            </w:r>
            <w:r>
              <w:rPr>
                <w:spacing w:val="-14"/>
                <w:sz w:val="20"/>
              </w:rPr>
              <w:t> </w:t>
            </w:r>
            <w:r>
              <w:rPr>
                <w:sz w:val="20"/>
              </w:rPr>
              <w:t>literature</w:t>
            </w:r>
            <w:r>
              <w:rPr>
                <w:spacing w:val="-14"/>
                <w:sz w:val="20"/>
              </w:rPr>
              <w:t> </w:t>
            </w:r>
            <w:r>
              <w:rPr>
                <w:sz w:val="20"/>
              </w:rPr>
              <w:t>assessing cost effectiveness.</w:t>
            </w:r>
          </w:p>
          <w:p>
            <w:pPr>
              <w:pStyle w:val="TableParagraph"/>
              <w:spacing w:before="1"/>
              <w:ind w:left="116"/>
              <w:rPr>
                <w:sz w:val="20"/>
              </w:rPr>
            </w:pPr>
            <w:r>
              <w:rPr>
                <w:spacing w:val="-2"/>
                <w:sz w:val="20"/>
              </w:rPr>
              <w:t>Probably</w:t>
            </w:r>
            <w:r>
              <w:rPr>
                <w:spacing w:val="9"/>
                <w:sz w:val="20"/>
              </w:rPr>
              <w:t> </w:t>
            </w:r>
            <w:r>
              <w:rPr>
                <w:spacing w:val="-2"/>
                <w:sz w:val="20"/>
              </w:rPr>
              <w:t>cost-effective.</w:t>
            </w:r>
          </w:p>
        </w:tc>
        <w:tc>
          <w:tcPr>
            <w:tcW w:w="3488" w:type="dxa"/>
            <w:tcBorders>
              <w:top w:val="single" w:sz="4" w:space="0" w:color="000000"/>
            </w:tcBorders>
          </w:tcPr>
          <w:p>
            <w:pPr>
              <w:pStyle w:val="TableParagraph"/>
              <w:spacing w:line="230" w:lineRule="atLeast" w:before="58"/>
              <w:ind w:left="125" w:right="125"/>
              <w:rPr>
                <w:sz w:val="20"/>
              </w:rPr>
            </w:pPr>
            <w:r>
              <w:rPr>
                <w:sz w:val="20"/>
              </w:rPr>
              <w:t>There</w:t>
            </w:r>
            <w:r>
              <w:rPr>
                <w:spacing w:val="-8"/>
                <w:sz w:val="20"/>
              </w:rPr>
              <w:t> </w:t>
            </w:r>
            <w:r>
              <w:rPr>
                <w:sz w:val="20"/>
              </w:rPr>
              <w:t>is</w:t>
            </w:r>
            <w:r>
              <w:rPr>
                <w:spacing w:val="-5"/>
                <w:sz w:val="20"/>
              </w:rPr>
              <w:t> </w:t>
            </w:r>
            <w:r>
              <w:rPr>
                <w:sz w:val="20"/>
              </w:rPr>
              <w:t>a</w:t>
            </w:r>
            <w:r>
              <w:rPr>
                <w:spacing w:val="-8"/>
                <w:sz w:val="20"/>
              </w:rPr>
              <w:t> </w:t>
            </w:r>
            <w:r>
              <w:rPr>
                <w:sz w:val="20"/>
              </w:rPr>
              <w:t>risk</w:t>
            </w:r>
            <w:r>
              <w:rPr>
                <w:spacing w:val="-7"/>
                <w:sz w:val="20"/>
              </w:rPr>
              <w:t> </w:t>
            </w:r>
            <w:r>
              <w:rPr>
                <w:sz w:val="20"/>
              </w:rPr>
              <w:t>of</w:t>
            </w:r>
            <w:r>
              <w:rPr>
                <w:spacing w:val="-8"/>
                <w:sz w:val="20"/>
              </w:rPr>
              <w:t> </w:t>
            </w:r>
            <w:r>
              <w:rPr>
                <w:sz w:val="20"/>
              </w:rPr>
              <w:t>poisoning</w:t>
            </w:r>
            <w:r>
              <w:rPr>
                <w:spacing w:val="-7"/>
                <w:sz w:val="20"/>
              </w:rPr>
              <w:t> </w:t>
            </w:r>
            <w:r>
              <w:rPr>
                <w:sz w:val="20"/>
              </w:rPr>
              <w:t>non- target animals.</w:t>
            </w:r>
          </w:p>
        </w:tc>
        <w:tc>
          <w:tcPr>
            <w:tcW w:w="3560" w:type="dxa"/>
            <w:tcBorders>
              <w:top w:val="single" w:sz="4" w:space="0" w:color="000000"/>
            </w:tcBorders>
          </w:tcPr>
          <w:p>
            <w:pPr>
              <w:pStyle w:val="TableParagraph"/>
              <w:spacing w:before="79"/>
              <w:ind w:left="150"/>
              <w:rPr>
                <w:sz w:val="20"/>
              </w:rPr>
            </w:pPr>
            <w:r>
              <w:rPr>
                <w:sz w:val="20"/>
              </w:rPr>
              <w:t>Can</w:t>
            </w:r>
            <w:r>
              <w:rPr>
                <w:spacing w:val="-6"/>
                <w:sz w:val="20"/>
              </w:rPr>
              <w:t> </w:t>
            </w:r>
            <w:r>
              <w:rPr>
                <w:sz w:val="20"/>
              </w:rPr>
              <w:t>be</w:t>
            </w:r>
            <w:r>
              <w:rPr>
                <w:spacing w:val="-6"/>
                <w:sz w:val="20"/>
              </w:rPr>
              <w:t> </w:t>
            </w:r>
            <w:r>
              <w:rPr>
                <w:sz w:val="20"/>
              </w:rPr>
              <w:t>used</w:t>
            </w:r>
            <w:r>
              <w:rPr>
                <w:spacing w:val="-5"/>
                <w:sz w:val="20"/>
              </w:rPr>
              <w:t> </w:t>
            </w:r>
            <w:r>
              <w:rPr>
                <w:sz w:val="20"/>
              </w:rPr>
              <w:t>cover</w:t>
            </w:r>
            <w:r>
              <w:rPr>
                <w:spacing w:val="-5"/>
                <w:sz w:val="20"/>
              </w:rPr>
              <w:t> </w:t>
            </w:r>
            <w:r>
              <w:rPr>
                <w:sz w:val="20"/>
              </w:rPr>
              <w:t>lager</w:t>
            </w:r>
            <w:r>
              <w:rPr>
                <w:spacing w:val="-2"/>
                <w:sz w:val="20"/>
              </w:rPr>
              <w:t> areas</w:t>
            </w:r>
          </w:p>
        </w:tc>
        <w:tc>
          <w:tcPr>
            <w:tcW w:w="3267" w:type="dxa"/>
            <w:vMerge w:val="restart"/>
            <w:tcBorders>
              <w:top w:val="single" w:sz="4" w:space="0" w:color="000000"/>
              <w:bottom w:val="single" w:sz="4" w:space="0" w:color="000000"/>
            </w:tcBorders>
            <w:shd w:val="clear" w:color="auto" w:fill="CCDBEA"/>
          </w:tcPr>
          <w:p>
            <w:pPr>
              <w:pStyle w:val="TableParagraph"/>
              <w:spacing w:before="79"/>
              <w:ind w:left="107" w:right="249"/>
              <w:jc w:val="both"/>
              <w:rPr>
                <w:sz w:val="20"/>
              </w:rPr>
            </w:pPr>
            <w:r>
              <w:rPr>
                <w:sz w:val="20"/>
              </w:rPr>
              <w:t>Ingestion</w:t>
            </w:r>
            <w:r>
              <w:rPr>
                <w:spacing w:val="-1"/>
                <w:sz w:val="20"/>
              </w:rPr>
              <w:t> </w:t>
            </w:r>
            <w:r>
              <w:rPr>
                <w:sz w:val="20"/>
              </w:rPr>
              <w:t>can also kill non-target animals</w:t>
            </w:r>
            <w:r>
              <w:rPr>
                <w:spacing w:val="-14"/>
                <w:sz w:val="20"/>
              </w:rPr>
              <w:t> </w:t>
            </w:r>
            <w:r>
              <w:rPr>
                <w:sz w:val="20"/>
              </w:rPr>
              <w:t>including</w:t>
            </w:r>
            <w:r>
              <w:rPr>
                <w:spacing w:val="-14"/>
                <w:sz w:val="20"/>
              </w:rPr>
              <w:t> </w:t>
            </w:r>
            <w:r>
              <w:rPr>
                <w:sz w:val="20"/>
              </w:rPr>
              <w:t>native</w:t>
            </w:r>
            <w:r>
              <w:rPr>
                <w:spacing w:val="-14"/>
                <w:sz w:val="20"/>
              </w:rPr>
              <w:t> </w:t>
            </w:r>
            <w:r>
              <w:rPr>
                <w:sz w:val="20"/>
              </w:rPr>
              <w:t>species, cats,</w:t>
            </w:r>
            <w:r>
              <w:rPr>
                <w:spacing w:val="-3"/>
                <w:sz w:val="20"/>
              </w:rPr>
              <w:t> </w:t>
            </w:r>
            <w:r>
              <w:rPr>
                <w:sz w:val="20"/>
              </w:rPr>
              <w:t>dogs</w:t>
            </w:r>
            <w:r>
              <w:rPr>
                <w:spacing w:val="-2"/>
                <w:sz w:val="20"/>
              </w:rPr>
              <w:t> </w:t>
            </w:r>
            <w:r>
              <w:rPr>
                <w:sz w:val="20"/>
              </w:rPr>
              <w:t>and</w:t>
            </w:r>
            <w:r>
              <w:rPr>
                <w:spacing w:val="-2"/>
                <w:sz w:val="20"/>
              </w:rPr>
              <w:t> </w:t>
            </w:r>
            <w:r>
              <w:rPr>
                <w:sz w:val="20"/>
              </w:rPr>
              <w:t>livestock.</w:t>
            </w:r>
            <w:r>
              <w:rPr>
                <w:spacing w:val="-3"/>
                <w:sz w:val="20"/>
              </w:rPr>
              <w:t> </w:t>
            </w:r>
            <w:r>
              <w:rPr>
                <w:sz w:val="20"/>
              </w:rPr>
              <w:t>1080</w:t>
            </w:r>
            <w:r>
              <w:rPr>
                <w:spacing w:val="-1"/>
                <w:sz w:val="20"/>
              </w:rPr>
              <w:t> </w:t>
            </w:r>
            <w:r>
              <w:rPr>
                <w:sz w:val="20"/>
              </w:rPr>
              <w:t>is toxic to humans; operators need to take precautions to safeguard against exposure.</w:t>
            </w:r>
          </w:p>
        </w:tc>
      </w:tr>
      <w:tr>
        <w:trPr>
          <w:trHeight w:val="973" w:hRule="atLeast"/>
        </w:trPr>
        <w:tc>
          <w:tcPr>
            <w:tcW w:w="1849" w:type="dxa"/>
            <w:tcBorders>
              <w:bottom w:val="single" w:sz="4" w:space="0" w:color="000000"/>
            </w:tcBorders>
          </w:tcPr>
          <w:p>
            <w:pPr>
              <w:pStyle w:val="TableParagraph"/>
              <w:ind w:left="122" w:right="564"/>
              <w:rPr>
                <w:sz w:val="20"/>
              </w:rPr>
            </w:pPr>
            <w:r>
              <w:rPr>
                <w:sz w:val="20"/>
              </w:rPr>
              <w:t>Aerial</w:t>
            </w:r>
            <w:r>
              <w:rPr>
                <w:spacing w:val="-14"/>
                <w:sz w:val="20"/>
              </w:rPr>
              <w:t> </w:t>
            </w:r>
            <w:r>
              <w:rPr>
                <w:sz w:val="20"/>
              </w:rPr>
              <w:t>baiting </w:t>
            </w:r>
            <w:r>
              <w:rPr>
                <w:spacing w:val="-2"/>
                <w:sz w:val="20"/>
              </w:rPr>
              <w:t>(1080)</w:t>
            </w:r>
          </w:p>
        </w:tc>
        <w:tc>
          <w:tcPr>
            <w:tcW w:w="2318" w:type="dxa"/>
            <w:vMerge/>
            <w:tcBorders>
              <w:top w:val="nil"/>
              <w:bottom w:val="single" w:sz="4" w:space="0" w:color="000000"/>
            </w:tcBorders>
          </w:tcPr>
          <w:p>
            <w:pPr>
              <w:rPr>
                <w:sz w:val="2"/>
                <w:szCs w:val="2"/>
              </w:rPr>
            </w:pPr>
          </w:p>
        </w:tc>
        <w:tc>
          <w:tcPr>
            <w:tcW w:w="3488" w:type="dxa"/>
            <w:tcBorders>
              <w:bottom w:val="single" w:sz="4" w:space="0" w:color="000000"/>
            </w:tcBorders>
          </w:tcPr>
          <w:p>
            <w:pPr>
              <w:pStyle w:val="TableParagraph"/>
              <w:rPr>
                <w:rFonts w:ascii="Times New Roman"/>
                <w:sz w:val="18"/>
              </w:rPr>
            </w:pPr>
          </w:p>
        </w:tc>
        <w:tc>
          <w:tcPr>
            <w:tcW w:w="3560" w:type="dxa"/>
            <w:tcBorders>
              <w:bottom w:val="single" w:sz="4" w:space="0" w:color="000000"/>
            </w:tcBorders>
          </w:tcPr>
          <w:p>
            <w:pPr>
              <w:pStyle w:val="TableParagraph"/>
              <w:rPr>
                <w:rFonts w:ascii="Times New Roman"/>
                <w:sz w:val="18"/>
              </w:rPr>
            </w:pPr>
          </w:p>
        </w:tc>
        <w:tc>
          <w:tcPr>
            <w:tcW w:w="3267" w:type="dxa"/>
            <w:vMerge/>
            <w:tcBorders>
              <w:top w:val="nil"/>
              <w:bottom w:val="single" w:sz="4" w:space="0" w:color="000000"/>
            </w:tcBorders>
            <w:shd w:val="clear" w:color="auto" w:fill="CCDBEA"/>
          </w:tcPr>
          <w:p>
            <w:pPr>
              <w:rPr>
                <w:sz w:val="2"/>
                <w:szCs w:val="2"/>
              </w:rPr>
            </w:pPr>
          </w:p>
        </w:tc>
      </w:tr>
    </w:tbl>
    <w:p>
      <w:pPr>
        <w:pStyle w:val="BodyText"/>
        <w:spacing w:before="216"/>
        <w:rPr>
          <w:b/>
        </w:rPr>
      </w:pPr>
    </w:p>
    <w:p>
      <w:pPr>
        <w:tabs>
          <w:tab w:pos="993" w:val="left" w:leader="none"/>
        </w:tabs>
        <w:spacing w:before="0"/>
        <w:ind w:left="272" w:right="0" w:firstLine="0"/>
        <w:jc w:val="left"/>
        <w:rPr>
          <w:sz w:val="18"/>
        </w:rPr>
      </w:pPr>
      <w:r>
        <w:rPr>
          <w:spacing w:val="-5"/>
          <w:sz w:val="18"/>
        </w:rPr>
        <w:t>64</w:t>
      </w:r>
      <w:r>
        <w:rPr>
          <w:sz w:val="18"/>
        </w:rPr>
        <w:tab/>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p>
      <w:pPr>
        <w:spacing w:after="0"/>
        <w:jc w:val="left"/>
        <w:rPr>
          <w:sz w:val="18"/>
        </w:rPr>
        <w:sectPr>
          <w:footerReference w:type="even" r:id="rId65"/>
          <w:pgSz w:w="16850" w:h="11910" w:orient="landscape"/>
          <w:pgMar w:header="0" w:footer="0" w:top="1060" w:bottom="280" w:left="860" w:right="1000"/>
        </w:sectPr>
      </w:pPr>
    </w:p>
    <w:tbl>
      <w:tblPr>
        <w:tblW w:w="0" w:type="auto"/>
        <w:jc w:val="left"/>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8"/>
        <w:gridCol w:w="2336"/>
        <w:gridCol w:w="3433"/>
        <w:gridCol w:w="3617"/>
        <w:gridCol w:w="3269"/>
      </w:tblGrid>
      <w:tr>
        <w:trPr>
          <w:trHeight w:val="581" w:hRule="atLeast"/>
        </w:trPr>
        <w:tc>
          <w:tcPr>
            <w:tcW w:w="1818" w:type="dxa"/>
            <w:tcBorders>
              <w:bottom w:val="single" w:sz="4" w:space="0" w:color="000000"/>
            </w:tcBorders>
            <w:shd w:val="clear" w:color="auto" w:fill="004B96"/>
          </w:tcPr>
          <w:p>
            <w:pPr>
              <w:pStyle w:val="TableParagraph"/>
              <w:spacing w:before="60"/>
              <w:ind w:left="107" w:right="764"/>
              <w:rPr>
                <w:b/>
                <w:sz w:val="20"/>
              </w:rPr>
            </w:pPr>
            <w:r>
              <w:rPr>
                <w:b/>
                <w:color w:val="FFFFFF"/>
                <w:spacing w:val="-2"/>
                <w:sz w:val="20"/>
              </w:rPr>
              <w:t>Control technique</w:t>
            </w:r>
          </w:p>
        </w:tc>
        <w:tc>
          <w:tcPr>
            <w:tcW w:w="2336" w:type="dxa"/>
            <w:tcBorders>
              <w:bottom w:val="single" w:sz="4" w:space="0" w:color="000000"/>
            </w:tcBorders>
            <w:shd w:val="clear" w:color="auto" w:fill="004B96"/>
          </w:tcPr>
          <w:p>
            <w:pPr>
              <w:pStyle w:val="TableParagraph"/>
              <w:spacing w:before="60"/>
              <w:ind w:left="133"/>
              <w:rPr>
                <w:b/>
                <w:sz w:val="20"/>
              </w:rPr>
            </w:pPr>
            <w:r>
              <w:rPr>
                <w:b/>
                <w:color w:val="FFFFFF"/>
                <w:spacing w:val="-2"/>
                <w:sz w:val="20"/>
              </w:rPr>
              <w:t>Cost-effectiveness</w:t>
            </w:r>
          </w:p>
        </w:tc>
        <w:tc>
          <w:tcPr>
            <w:tcW w:w="3433" w:type="dxa"/>
            <w:tcBorders>
              <w:bottom w:val="single" w:sz="4" w:space="0" w:color="000000"/>
            </w:tcBorders>
            <w:shd w:val="clear" w:color="auto" w:fill="004B96"/>
          </w:tcPr>
          <w:p>
            <w:pPr>
              <w:pStyle w:val="TableParagraph"/>
              <w:spacing w:before="60"/>
              <w:ind w:left="123"/>
              <w:rPr>
                <w:b/>
                <w:sz w:val="20"/>
              </w:rPr>
            </w:pPr>
            <w:r>
              <w:rPr>
                <w:b/>
                <w:color w:val="FFFFFF"/>
                <w:sz w:val="20"/>
              </w:rPr>
              <w:t>Target</w:t>
            </w:r>
            <w:r>
              <w:rPr>
                <w:b/>
                <w:color w:val="FFFFFF"/>
                <w:spacing w:val="-14"/>
                <w:sz w:val="20"/>
              </w:rPr>
              <w:t> </w:t>
            </w:r>
            <w:r>
              <w:rPr>
                <w:b/>
                <w:color w:val="FFFFFF"/>
                <w:sz w:val="20"/>
              </w:rPr>
              <w:t>specificity</w:t>
            </w:r>
            <w:r>
              <w:rPr>
                <w:b/>
                <w:color w:val="FFFFFF"/>
                <w:spacing w:val="-12"/>
                <w:sz w:val="20"/>
              </w:rPr>
              <w:t> </w:t>
            </w:r>
            <w:r>
              <w:rPr>
                <w:b/>
                <w:color w:val="FFFFFF"/>
                <w:sz w:val="20"/>
              </w:rPr>
              <w:t>and</w:t>
            </w:r>
            <w:r>
              <w:rPr>
                <w:b/>
                <w:color w:val="FFFFFF"/>
                <w:spacing w:val="-14"/>
                <w:sz w:val="20"/>
              </w:rPr>
              <w:t> </w:t>
            </w:r>
            <w:r>
              <w:rPr>
                <w:b/>
                <w:color w:val="FFFFFF"/>
                <w:sz w:val="20"/>
              </w:rPr>
              <w:t>non-target </w:t>
            </w:r>
            <w:r>
              <w:rPr>
                <w:b/>
                <w:color w:val="FFFFFF"/>
                <w:spacing w:val="-2"/>
                <w:sz w:val="20"/>
              </w:rPr>
              <w:t>impacts</w:t>
            </w:r>
          </w:p>
        </w:tc>
        <w:tc>
          <w:tcPr>
            <w:tcW w:w="3617" w:type="dxa"/>
            <w:tcBorders>
              <w:bottom w:val="single" w:sz="4" w:space="0" w:color="000000"/>
            </w:tcBorders>
            <w:shd w:val="clear" w:color="auto" w:fill="004B96"/>
          </w:tcPr>
          <w:p>
            <w:pPr>
              <w:pStyle w:val="TableParagraph"/>
              <w:spacing w:before="60"/>
              <w:ind w:left="204"/>
              <w:rPr>
                <w:b/>
                <w:sz w:val="20"/>
              </w:rPr>
            </w:pPr>
            <w:r>
              <w:rPr>
                <w:b/>
                <w:color w:val="FFFFFF"/>
                <w:spacing w:val="-2"/>
                <w:sz w:val="20"/>
              </w:rPr>
              <w:t>Advantages</w:t>
            </w:r>
          </w:p>
        </w:tc>
        <w:tc>
          <w:tcPr>
            <w:tcW w:w="3269" w:type="dxa"/>
            <w:tcBorders>
              <w:bottom w:val="single" w:sz="4" w:space="0" w:color="000000"/>
            </w:tcBorders>
            <w:shd w:val="clear" w:color="auto" w:fill="004B96"/>
          </w:tcPr>
          <w:p>
            <w:pPr>
              <w:pStyle w:val="TableParagraph"/>
              <w:spacing w:before="60"/>
              <w:ind w:left="103"/>
              <w:rPr>
                <w:b/>
                <w:sz w:val="20"/>
              </w:rPr>
            </w:pPr>
            <w:r>
              <w:rPr>
                <w:b/>
                <w:color w:val="FFFFFF"/>
                <w:spacing w:val="-2"/>
                <w:sz w:val="20"/>
              </w:rPr>
              <w:t>Disadvantages</w:t>
            </w:r>
          </w:p>
        </w:tc>
      </w:tr>
      <w:tr>
        <w:trPr>
          <w:trHeight w:val="1369" w:hRule="atLeast"/>
        </w:trPr>
        <w:tc>
          <w:tcPr>
            <w:tcW w:w="1818" w:type="dxa"/>
            <w:tcBorders>
              <w:top w:val="single" w:sz="4" w:space="0" w:color="000000"/>
              <w:bottom w:val="single" w:sz="4" w:space="0" w:color="000000"/>
            </w:tcBorders>
          </w:tcPr>
          <w:p>
            <w:pPr>
              <w:pStyle w:val="TableParagraph"/>
              <w:spacing w:before="78"/>
              <w:ind w:left="107"/>
              <w:rPr>
                <w:sz w:val="20"/>
              </w:rPr>
            </w:pPr>
            <w:r>
              <w:rPr>
                <w:sz w:val="20"/>
              </w:rPr>
              <w:t>Ground</w:t>
            </w:r>
            <w:r>
              <w:rPr>
                <w:spacing w:val="-12"/>
                <w:sz w:val="20"/>
              </w:rPr>
              <w:t> </w:t>
            </w:r>
            <w:r>
              <w:rPr>
                <w:spacing w:val="-2"/>
                <w:sz w:val="20"/>
              </w:rPr>
              <w:t>shooting</w:t>
            </w:r>
          </w:p>
        </w:tc>
        <w:tc>
          <w:tcPr>
            <w:tcW w:w="2336" w:type="dxa"/>
            <w:tcBorders>
              <w:top w:val="single" w:sz="4" w:space="0" w:color="000000"/>
              <w:bottom w:val="single" w:sz="4" w:space="0" w:color="000000"/>
            </w:tcBorders>
          </w:tcPr>
          <w:p>
            <w:pPr>
              <w:pStyle w:val="TableParagraph"/>
              <w:spacing w:before="78"/>
              <w:ind w:left="133"/>
              <w:rPr>
                <w:sz w:val="20"/>
              </w:rPr>
            </w:pPr>
            <w:r>
              <w:rPr>
                <w:sz w:val="20"/>
              </w:rPr>
              <w:t>No</w:t>
            </w:r>
            <w:r>
              <w:rPr>
                <w:spacing w:val="-14"/>
                <w:sz w:val="20"/>
              </w:rPr>
              <w:t> </w:t>
            </w:r>
            <w:r>
              <w:rPr>
                <w:sz w:val="20"/>
              </w:rPr>
              <w:t>literature</w:t>
            </w:r>
            <w:r>
              <w:rPr>
                <w:spacing w:val="-14"/>
                <w:sz w:val="20"/>
              </w:rPr>
              <w:t> </w:t>
            </w:r>
            <w:r>
              <w:rPr>
                <w:sz w:val="20"/>
              </w:rPr>
              <w:t>assessing cost effectiveness.</w:t>
            </w:r>
          </w:p>
          <w:p>
            <w:pPr>
              <w:pStyle w:val="TableParagraph"/>
              <w:spacing w:before="1"/>
              <w:ind w:left="133"/>
              <w:rPr>
                <w:sz w:val="20"/>
              </w:rPr>
            </w:pPr>
            <w:r>
              <w:rPr>
                <w:spacing w:val="-2"/>
                <w:sz w:val="20"/>
              </w:rPr>
              <w:t>Probably</w:t>
            </w:r>
            <w:r>
              <w:rPr>
                <w:spacing w:val="9"/>
                <w:sz w:val="20"/>
              </w:rPr>
              <w:t> </w:t>
            </w:r>
            <w:r>
              <w:rPr>
                <w:spacing w:val="-2"/>
                <w:sz w:val="20"/>
              </w:rPr>
              <w:t>cost-effective</w:t>
            </w:r>
          </w:p>
          <w:p>
            <w:pPr>
              <w:pStyle w:val="TableParagraph"/>
              <w:spacing w:before="80"/>
              <w:ind w:left="133"/>
              <w:rPr>
                <w:sz w:val="20"/>
              </w:rPr>
            </w:pPr>
            <w:r>
              <w:rPr>
                <w:sz w:val="20"/>
              </w:rPr>
              <w:t>Probably</w:t>
            </w:r>
            <w:r>
              <w:rPr>
                <w:spacing w:val="-14"/>
                <w:sz w:val="20"/>
              </w:rPr>
              <w:t> </w:t>
            </w:r>
            <w:r>
              <w:rPr>
                <w:sz w:val="20"/>
              </w:rPr>
              <w:t>not</w:t>
            </w:r>
            <w:r>
              <w:rPr>
                <w:spacing w:val="-14"/>
                <w:sz w:val="20"/>
              </w:rPr>
              <w:t> </w:t>
            </w:r>
            <w:r>
              <w:rPr>
                <w:sz w:val="20"/>
              </w:rPr>
              <w:t>cost- </w:t>
            </w:r>
            <w:r>
              <w:rPr>
                <w:spacing w:val="-2"/>
                <w:sz w:val="20"/>
              </w:rPr>
              <w:t>effective.</w:t>
            </w:r>
          </w:p>
        </w:tc>
        <w:tc>
          <w:tcPr>
            <w:tcW w:w="3433" w:type="dxa"/>
            <w:tcBorders>
              <w:top w:val="single" w:sz="4" w:space="0" w:color="000000"/>
              <w:bottom w:val="single" w:sz="4" w:space="0" w:color="000000"/>
            </w:tcBorders>
          </w:tcPr>
          <w:p>
            <w:pPr>
              <w:pStyle w:val="TableParagraph"/>
              <w:spacing w:before="78"/>
              <w:ind w:left="123" w:right="674"/>
              <w:rPr>
                <w:sz w:val="20"/>
              </w:rPr>
            </w:pPr>
            <w:r>
              <w:rPr>
                <w:sz w:val="20"/>
              </w:rPr>
              <w:t>Target</w:t>
            </w:r>
            <w:r>
              <w:rPr>
                <w:spacing w:val="-13"/>
                <w:sz w:val="20"/>
              </w:rPr>
              <w:t> </w:t>
            </w:r>
            <w:r>
              <w:rPr>
                <w:sz w:val="20"/>
              </w:rPr>
              <w:t>specific.</w:t>
            </w:r>
            <w:r>
              <w:rPr>
                <w:spacing w:val="-13"/>
                <w:sz w:val="20"/>
              </w:rPr>
              <w:t> </w:t>
            </w:r>
            <w:r>
              <w:rPr>
                <w:sz w:val="20"/>
              </w:rPr>
              <w:t>No</w:t>
            </w:r>
            <w:r>
              <w:rPr>
                <w:spacing w:val="-13"/>
                <w:sz w:val="20"/>
              </w:rPr>
              <w:t> </w:t>
            </w:r>
            <w:r>
              <w:rPr>
                <w:sz w:val="20"/>
              </w:rPr>
              <w:t>non-target </w:t>
            </w:r>
            <w:r>
              <w:rPr>
                <w:spacing w:val="-2"/>
                <w:sz w:val="20"/>
              </w:rPr>
              <w:t>impacts.</w:t>
            </w:r>
          </w:p>
        </w:tc>
        <w:tc>
          <w:tcPr>
            <w:tcW w:w="3617" w:type="dxa"/>
            <w:tcBorders>
              <w:top w:val="single" w:sz="4" w:space="0" w:color="000000"/>
              <w:bottom w:val="single" w:sz="4" w:space="0" w:color="000000"/>
            </w:tcBorders>
          </w:tcPr>
          <w:p>
            <w:pPr>
              <w:pStyle w:val="TableParagraph"/>
              <w:spacing w:before="78"/>
              <w:ind w:left="204"/>
              <w:rPr>
                <w:sz w:val="20"/>
              </w:rPr>
            </w:pPr>
            <w:r>
              <w:rPr>
                <w:sz w:val="20"/>
              </w:rPr>
              <w:t>Is</w:t>
            </w:r>
            <w:r>
              <w:rPr>
                <w:spacing w:val="-5"/>
                <w:sz w:val="20"/>
              </w:rPr>
              <w:t> </w:t>
            </w:r>
            <w:r>
              <w:rPr>
                <w:sz w:val="20"/>
              </w:rPr>
              <w:t>very</w:t>
            </w:r>
            <w:r>
              <w:rPr>
                <w:spacing w:val="-4"/>
                <w:sz w:val="20"/>
              </w:rPr>
              <w:t> </w:t>
            </w:r>
            <w:r>
              <w:rPr>
                <w:sz w:val="20"/>
              </w:rPr>
              <w:t>target</w:t>
            </w:r>
            <w:r>
              <w:rPr>
                <w:spacing w:val="-6"/>
                <w:sz w:val="20"/>
              </w:rPr>
              <w:t> </w:t>
            </w:r>
            <w:r>
              <w:rPr>
                <w:spacing w:val="-2"/>
                <w:sz w:val="20"/>
              </w:rPr>
              <w:t>specific</w:t>
            </w:r>
          </w:p>
        </w:tc>
        <w:tc>
          <w:tcPr>
            <w:tcW w:w="3269" w:type="dxa"/>
            <w:tcBorders>
              <w:top w:val="single" w:sz="4" w:space="0" w:color="000000"/>
              <w:bottom w:val="single" w:sz="4" w:space="0" w:color="000000"/>
            </w:tcBorders>
            <w:shd w:val="clear" w:color="auto" w:fill="CCDBEA"/>
          </w:tcPr>
          <w:p>
            <w:pPr>
              <w:pStyle w:val="TableParagraph"/>
              <w:spacing w:before="78"/>
              <w:ind w:left="103"/>
              <w:rPr>
                <w:sz w:val="20"/>
              </w:rPr>
            </w:pPr>
            <w:r>
              <w:rPr>
                <w:sz w:val="20"/>
              </w:rPr>
              <w:t>Labour</w:t>
            </w:r>
            <w:r>
              <w:rPr>
                <w:spacing w:val="-11"/>
                <w:sz w:val="20"/>
              </w:rPr>
              <w:t> </w:t>
            </w:r>
            <w:r>
              <w:rPr>
                <w:sz w:val="20"/>
              </w:rPr>
              <w:t>intensive,</w:t>
            </w:r>
            <w:r>
              <w:rPr>
                <w:spacing w:val="-11"/>
                <w:sz w:val="20"/>
              </w:rPr>
              <w:t> </w:t>
            </w:r>
            <w:r>
              <w:rPr>
                <w:sz w:val="20"/>
              </w:rPr>
              <w:t>only</w:t>
            </w:r>
            <w:r>
              <w:rPr>
                <w:spacing w:val="-10"/>
                <w:sz w:val="20"/>
              </w:rPr>
              <w:t> </w:t>
            </w:r>
            <w:r>
              <w:rPr>
                <w:sz w:val="20"/>
              </w:rPr>
              <w:t>suitable</w:t>
            </w:r>
            <w:r>
              <w:rPr>
                <w:spacing w:val="-10"/>
                <w:sz w:val="20"/>
              </w:rPr>
              <w:t> </w:t>
            </w:r>
            <w:r>
              <w:rPr>
                <w:sz w:val="20"/>
              </w:rPr>
              <w:t>for smaller scale operations.</w:t>
            </w:r>
          </w:p>
        </w:tc>
      </w:tr>
      <w:tr>
        <w:trPr>
          <w:trHeight w:val="1370" w:hRule="atLeast"/>
        </w:trPr>
        <w:tc>
          <w:tcPr>
            <w:tcW w:w="1818" w:type="dxa"/>
            <w:tcBorders>
              <w:top w:val="single" w:sz="4" w:space="0" w:color="000000"/>
              <w:bottom w:val="single" w:sz="4" w:space="0" w:color="000000"/>
            </w:tcBorders>
          </w:tcPr>
          <w:p>
            <w:pPr>
              <w:pStyle w:val="TableParagraph"/>
              <w:spacing w:before="78"/>
              <w:ind w:left="107" w:right="132"/>
              <w:rPr>
                <w:sz w:val="20"/>
              </w:rPr>
            </w:pPr>
            <w:r>
              <w:rPr>
                <w:sz w:val="20"/>
              </w:rPr>
              <w:t>Trapping</w:t>
            </w:r>
            <w:r>
              <w:rPr>
                <w:spacing w:val="-14"/>
                <w:sz w:val="20"/>
              </w:rPr>
              <w:t> </w:t>
            </w:r>
            <w:r>
              <w:rPr>
                <w:sz w:val="20"/>
              </w:rPr>
              <w:t>(padded foot-hold traps)</w:t>
            </w:r>
          </w:p>
        </w:tc>
        <w:tc>
          <w:tcPr>
            <w:tcW w:w="2336" w:type="dxa"/>
            <w:tcBorders>
              <w:top w:val="single" w:sz="4" w:space="0" w:color="000000"/>
              <w:bottom w:val="single" w:sz="4" w:space="0" w:color="000000"/>
            </w:tcBorders>
          </w:tcPr>
          <w:p>
            <w:pPr>
              <w:pStyle w:val="TableParagraph"/>
              <w:spacing w:before="78"/>
              <w:ind w:left="133"/>
              <w:rPr>
                <w:sz w:val="20"/>
              </w:rPr>
            </w:pPr>
            <w:r>
              <w:rPr>
                <w:sz w:val="20"/>
              </w:rPr>
              <w:t>No</w:t>
            </w:r>
            <w:r>
              <w:rPr>
                <w:spacing w:val="-14"/>
                <w:sz w:val="20"/>
              </w:rPr>
              <w:t> </w:t>
            </w:r>
            <w:r>
              <w:rPr>
                <w:sz w:val="20"/>
              </w:rPr>
              <w:t>literature</w:t>
            </w:r>
            <w:r>
              <w:rPr>
                <w:spacing w:val="-14"/>
                <w:sz w:val="20"/>
              </w:rPr>
              <w:t> </w:t>
            </w:r>
            <w:r>
              <w:rPr>
                <w:sz w:val="20"/>
              </w:rPr>
              <w:t>assessing cost effectiveness.</w:t>
            </w:r>
          </w:p>
          <w:p>
            <w:pPr>
              <w:pStyle w:val="TableParagraph"/>
              <w:spacing w:before="1"/>
              <w:ind w:left="133"/>
              <w:rPr>
                <w:sz w:val="20"/>
              </w:rPr>
            </w:pPr>
            <w:r>
              <w:rPr>
                <w:spacing w:val="-2"/>
                <w:sz w:val="20"/>
              </w:rPr>
              <w:t>Probably</w:t>
            </w:r>
            <w:r>
              <w:rPr>
                <w:spacing w:val="9"/>
                <w:sz w:val="20"/>
              </w:rPr>
              <w:t> </w:t>
            </w:r>
            <w:r>
              <w:rPr>
                <w:spacing w:val="-2"/>
                <w:sz w:val="20"/>
              </w:rPr>
              <w:t>cost-effective.</w:t>
            </w:r>
          </w:p>
          <w:p>
            <w:pPr>
              <w:pStyle w:val="TableParagraph"/>
              <w:spacing w:before="80"/>
              <w:ind w:left="133" w:right="547"/>
              <w:rPr>
                <w:sz w:val="20"/>
              </w:rPr>
            </w:pPr>
            <w:r>
              <w:rPr>
                <w:sz w:val="20"/>
              </w:rPr>
              <w:t>Can</w:t>
            </w:r>
            <w:r>
              <w:rPr>
                <w:spacing w:val="-14"/>
                <w:sz w:val="20"/>
              </w:rPr>
              <w:t> </w:t>
            </w:r>
            <w:r>
              <w:rPr>
                <w:sz w:val="20"/>
              </w:rPr>
              <w:t>be</w:t>
            </w:r>
            <w:r>
              <w:rPr>
                <w:spacing w:val="-14"/>
                <w:sz w:val="20"/>
              </w:rPr>
              <w:t> </w:t>
            </w:r>
            <w:r>
              <w:rPr>
                <w:sz w:val="20"/>
              </w:rPr>
              <w:t>effective</w:t>
            </w:r>
            <w:r>
              <w:rPr>
                <w:spacing w:val="-13"/>
                <w:sz w:val="20"/>
              </w:rPr>
              <w:t> </w:t>
            </w:r>
            <w:r>
              <w:rPr>
                <w:sz w:val="20"/>
              </w:rPr>
              <w:t>in certain situations.</w:t>
            </w:r>
          </w:p>
        </w:tc>
        <w:tc>
          <w:tcPr>
            <w:tcW w:w="3433" w:type="dxa"/>
            <w:tcBorders>
              <w:top w:val="single" w:sz="4" w:space="0" w:color="000000"/>
              <w:bottom w:val="single" w:sz="4" w:space="0" w:color="000000"/>
            </w:tcBorders>
          </w:tcPr>
          <w:p>
            <w:pPr>
              <w:pStyle w:val="TableParagraph"/>
              <w:spacing w:before="78"/>
              <w:ind w:left="123" w:right="319"/>
              <w:rPr>
                <w:sz w:val="20"/>
              </w:rPr>
            </w:pPr>
            <w:r>
              <w:rPr>
                <w:sz w:val="20"/>
              </w:rPr>
              <w:t>May</w:t>
            </w:r>
            <w:r>
              <w:rPr>
                <w:spacing w:val="-10"/>
                <w:sz w:val="20"/>
              </w:rPr>
              <w:t> </w:t>
            </w:r>
            <w:r>
              <w:rPr>
                <w:sz w:val="20"/>
              </w:rPr>
              <w:t>catch</w:t>
            </w:r>
            <w:r>
              <w:rPr>
                <w:spacing w:val="-11"/>
                <w:sz w:val="20"/>
              </w:rPr>
              <w:t> </w:t>
            </w:r>
            <w:r>
              <w:rPr>
                <w:sz w:val="20"/>
              </w:rPr>
              <w:t>non-target</w:t>
            </w:r>
            <w:r>
              <w:rPr>
                <w:spacing w:val="-11"/>
                <w:sz w:val="20"/>
              </w:rPr>
              <w:t> </w:t>
            </w:r>
            <w:r>
              <w:rPr>
                <w:sz w:val="20"/>
              </w:rPr>
              <w:t>animals.</w:t>
            </w:r>
            <w:r>
              <w:rPr>
                <w:spacing w:val="-11"/>
                <w:sz w:val="20"/>
              </w:rPr>
              <w:t> </w:t>
            </w:r>
            <w:r>
              <w:rPr>
                <w:sz w:val="20"/>
              </w:rPr>
              <w:t>No non-target impacts.</w:t>
            </w:r>
          </w:p>
        </w:tc>
        <w:tc>
          <w:tcPr>
            <w:tcW w:w="3617" w:type="dxa"/>
            <w:tcBorders>
              <w:top w:val="single" w:sz="4" w:space="0" w:color="000000"/>
              <w:bottom w:val="single" w:sz="4" w:space="0" w:color="000000"/>
            </w:tcBorders>
          </w:tcPr>
          <w:p>
            <w:pPr>
              <w:pStyle w:val="TableParagraph"/>
              <w:spacing w:before="78"/>
              <w:ind w:left="204" w:right="175"/>
              <w:rPr>
                <w:sz w:val="20"/>
              </w:rPr>
            </w:pPr>
            <w:r>
              <w:rPr>
                <w:sz w:val="20"/>
              </w:rPr>
              <w:t>Important</w:t>
            </w:r>
            <w:r>
              <w:rPr>
                <w:spacing w:val="-12"/>
                <w:sz w:val="20"/>
              </w:rPr>
              <w:t> </w:t>
            </w:r>
            <w:r>
              <w:rPr>
                <w:sz w:val="20"/>
              </w:rPr>
              <w:t>control</w:t>
            </w:r>
            <w:r>
              <w:rPr>
                <w:spacing w:val="-11"/>
                <w:sz w:val="20"/>
              </w:rPr>
              <w:t> </w:t>
            </w:r>
            <w:r>
              <w:rPr>
                <w:sz w:val="20"/>
              </w:rPr>
              <w:t>technique</w:t>
            </w:r>
            <w:r>
              <w:rPr>
                <w:spacing w:val="-10"/>
                <w:sz w:val="20"/>
              </w:rPr>
              <w:t> </w:t>
            </w:r>
            <w:r>
              <w:rPr>
                <w:sz w:val="20"/>
              </w:rPr>
              <w:t>in</w:t>
            </w:r>
            <w:r>
              <w:rPr>
                <w:spacing w:val="-10"/>
                <w:sz w:val="20"/>
              </w:rPr>
              <w:t> </w:t>
            </w:r>
            <w:r>
              <w:rPr>
                <w:sz w:val="20"/>
              </w:rPr>
              <w:t>areas where baiting or aerial shooting is not possible.</w:t>
            </w:r>
          </w:p>
        </w:tc>
        <w:tc>
          <w:tcPr>
            <w:tcW w:w="3269" w:type="dxa"/>
            <w:tcBorders>
              <w:top w:val="single" w:sz="4" w:space="0" w:color="000000"/>
              <w:bottom w:val="single" w:sz="4" w:space="0" w:color="000000"/>
            </w:tcBorders>
            <w:shd w:val="clear" w:color="auto" w:fill="CCDBEA"/>
          </w:tcPr>
          <w:p>
            <w:pPr>
              <w:pStyle w:val="TableParagraph"/>
              <w:spacing w:before="78"/>
              <w:ind w:left="103" w:right="151"/>
              <w:rPr>
                <w:sz w:val="20"/>
              </w:rPr>
            </w:pPr>
            <w:r>
              <w:rPr>
                <w:sz w:val="20"/>
              </w:rPr>
              <w:t>Not</w:t>
            </w:r>
            <w:r>
              <w:rPr>
                <w:spacing w:val="-13"/>
                <w:sz w:val="20"/>
              </w:rPr>
              <w:t> </w:t>
            </w:r>
            <w:r>
              <w:rPr>
                <w:sz w:val="20"/>
              </w:rPr>
              <w:t>practical</w:t>
            </w:r>
            <w:r>
              <w:rPr>
                <w:spacing w:val="-14"/>
                <w:sz w:val="20"/>
              </w:rPr>
              <w:t> </w:t>
            </w:r>
            <w:r>
              <w:rPr>
                <w:sz w:val="20"/>
              </w:rPr>
              <w:t>for</w:t>
            </w:r>
            <w:r>
              <w:rPr>
                <w:spacing w:val="-13"/>
                <w:sz w:val="20"/>
              </w:rPr>
              <w:t> </w:t>
            </w:r>
            <w:r>
              <w:rPr>
                <w:sz w:val="20"/>
              </w:rPr>
              <w:t>large-scale </w:t>
            </w:r>
            <w:r>
              <w:rPr>
                <w:spacing w:val="-2"/>
                <w:sz w:val="20"/>
              </w:rPr>
              <w:t>control.</w:t>
            </w:r>
          </w:p>
        </w:tc>
      </w:tr>
    </w:tbl>
    <w:p>
      <w:pPr>
        <w:spacing w:after="0"/>
        <w:rPr>
          <w:sz w:val="20"/>
        </w:rPr>
        <w:sectPr>
          <w:footerReference w:type="default" r:id="rId66"/>
          <w:pgSz w:w="16850" w:h="11910" w:orient="landscape"/>
          <w:pgMar w:header="0" w:footer="686" w:top="1100" w:bottom="880" w:left="860" w:right="1000"/>
          <w:pgNumType w:start="65"/>
        </w:sectPr>
      </w:pPr>
    </w:p>
    <w:p>
      <w:pPr>
        <w:pStyle w:val="Heading2"/>
        <w:numPr>
          <w:ilvl w:val="0"/>
          <w:numId w:val="14"/>
        </w:numPr>
        <w:tabs>
          <w:tab w:pos="679" w:val="left" w:leader="none"/>
        </w:tabs>
        <w:spacing w:line="300" w:lineRule="auto" w:before="61" w:after="0"/>
        <w:ind w:left="679" w:right="312" w:hanging="567"/>
        <w:jc w:val="left"/>
      </w:pPr>
      <w:bookmarkStart w:name="_TOC_250028" w:id="84"/>
      <w:bookmarkStart w:name="_bookmark17" w:id="85"/>
      <w:r>
        <w:rPr>
          <w:b w:val="0"/>
        </w:rPr>
      </w:r>
      <w:r>
        <w:rPr>
          <w:color w:val="001F5F"/>
        </w:rPr>
        <w:t>Non-lethal</w:t>
      </w:r>
      <w:r>
        <w:rPr>
          <w:color w:val="001F5F"/>
          <w:spacing w:val="-7"/>
        </w:rPr>
        <w:t> </w:t>
      </w:r>
      <w:r>
        <w:rPr>
          <w:color w:val="001F5F"/>
        </w:rPr>
        <w:t>methods</w:t>
      </w:r>
      <w:r>
        <w:rPr>
          <w:color w:val="001F5F"/>
          <w:spacing w:val="-4"/>
        </w:rPr>
        <w:t> </w:t>
      </w:r>
      <w:r>
        <w:rPr>
          <w:color w:val="001F5F"/>
        </w:rPr>
        <w:t>for</w:t>
      </w:r>
      <w:r>
        <w:rPr>
          <w:color w:val="001F5F"/>
          <w:spacing w:val="-6"/>
        </w:rPr>
        <w:t> </w:t>
      </w:r>
      <w:r>
        <w:rPr>
          <w:color w:val="001F5F"/>
        </w:rPr>
        <w:t>managing</w:t>
      </w:r>
      <w:r>
        <w:rPr>
          <w:color w:val="001F5F"/>
          <w:spacing w:val="-6"/>
        </w:rPr>
        <w:t> </w:t>
      </w:r>
      <w:r>
        <w:rPr>
          <w:color w:val="001F5F"/>
        </w:rPr>
        <w:t>European</w:t>
      </w:r>
      <w:r>
        <w:rPr>
          <w:color w:val="001F5F"/>
          <w:spacing w:val="-7"/>
        </w:rPr>
        <w:t> </w:t>
      </w:r>
      <w:r>
        <w:rPr>
          <w:color w:val="001F5F"/>
        </w:rPr>
        <w:t>Rabbits,</w:t>
      </w:r>
      <w:r>
        <w:rPr>
          <w:color w:val="001F5F"/>
          <w:spacing w:val="-5"/>
        </w:rPr>
        <w:t> </w:t>
      </w:r>
      <w:bookmarkEnd w:id="84"/>
      <w:r>
        <w:rPr>
          <w:color w:val="001F5F"/>
        </w:rPr>
        <w:t>Feral Pigs, Red Foxes, and Dingoes and Wild Dogs</w:t>
      </w:r>
    </w:p>
    <w:p>
      <w:pPr>
        <w:pStyle w:val="BodyText"/>
        <w:spacing w:before="164"/>
        <w:rPr>
          <w:b/>
          <w:sz w:val="32"/>
        </w:rPr>
      </w:pPr>
    </w:p>
    <w:p>
      <w:pPr>
        <w:pStyle w:val="BodyText"/>
        <w:ind w:left="112" w:right="155"/>
      </w:pPr>
      <w:r>
        <w:rPr/>
        <w:t>Concerns</w:t>
      </w:r>
      <w:r>
        <w:rPr>
          <w:spacing w:val="-2"/>
        </w:rPr>
        <w:t> </w:t>
      </w:r>
      <w:r>
        <w:rPr/>
        <w:t>regarding</w:t>
      </w:r>
      <w:r>
        <w:rPr>
          <w:spacing w:val="-4"/>
        </w:rPr>
        <w:t> </w:t>
      </w:r>
      <w:r>
        <w:rPr/>
        <w:t>the</w:t>
      </w:r>
      <w:r>
        <w:rPr>
          <w:spacing w:val="-4"/>
        </w:rPr>
        <w:t> </w:t>
      </w:r>
      <w:r>
        <w:rPr/>
        <w:t>use</w:t>
      </w:r>
      <w:r>
        <w:rPr>
          <w:spacing w:val="-3"/>
        </w:rPr>
        <w:t> </w:t>
      </w:r>
      <w:r>
        <w:rPr/>
        <w:t>of</w:t>
      </w:r>
      <w:r>
        <w:rPr>
          <w:spacing w:val="-2"/>
        </w:rPr>
        <w:t> </w:t>
      </w:r>
      <w:r>
        <w:rPr/>
        <w:t>lethal</w:t>
      </w:r>
      <w:r>
        <w:rPr>
          <w:spacing w:val="-3"/>
        </w:rPr>
        <w:t> </w:t>
      </w:r>
      <w:r>
        <w:rPr/>
        <w:t>control</w:t>
      </w:r>
      <w:r>
        <w:rPr>
          <w:spacing w:val="-4"/>
        </w:rPr>
        <w:t> </w:t>
      </w:r>
      <w:r>
        <w:rPr/>
        <w:t>methods,</w:t>
      </w:r>
      <w:r>
        <w:rPr>
          <w:spacing w:val="-2"/>
        </w:rPr>
        <w:t> </w:t>
      </w:r>
      <w:r>
        <w:rPr/>
        <w:t>including</w:t>
      </w:r>
      <w:r>
        <w:rPr>
          <w:spacing w:val="-3"/>
        </w:rPr>
        <w:t> </w:t>
      </w:r>
      <w:r>
        <w:rPr/>
        <w:t>1080, have</w:t>
      </w:r>
      <w:r>
        <w:rPr>
          <w:spacing w:val="-3"/>
        </w:rPr>
        <w:t> </w:t>
      </w:r>
      <w:r>
        <w:rPr/>
        <w:t>spurred</w:t>
      </w:r>
      <w:r>
        <w:rPr>
          <w:spacing w:val="-4"/>
        </w:rPr>
        <w:t> </w:t>
      </w:r>
      <w:r>
        <w:rPr/>
        <w:t>the</w:t>
      </w:r>
      <w:r>
        <w:rPr>
          <w:spacing w:val="-3"/>
        </w:rPr>
        <w:t> </w:t>
      </w:r>
      <w:r>
        <w:rPr/>
        <w:t>development</w:t>
      </w:r>
      <w:r>
        <w:rPr>
          <w:spacing w:val="-2"/>
        </w:rPr>
        <w:t> </w:t>
      </w:r>
      <w:r>
        <w:rPr/>
        <w:t>of</w:t>
      </w:r>
      <w:r>
        <w:rPr>
          <w:spacing w:val="-1"/>
        </w:rPr>
        <w:t> </w:t>
      </w:r>
      <w:r>
        <w:rPr/>
        <w:t>non- lethal methods, including fertility control, fencing, repellents, diversionary feeding, and translocation (Massei et al. 2011). Several reviews have examined non-lethal alternatives for managing predators and their</w:t>
      </w:r>
      <w:r>
        <w:rPr/>
        <w:t> impacts on livestock in Australia (Boronyak and Jacobs 2023; Boronyak and Quartermain 2022; van Eeden et al. 2018a; van Eeden et al. 2018b; van Eeden et al. 2021). However, there has been limited research on non-lethal methods for managing rabbits and Feral Pigs.</w:t>
      </w:r>
    </w:p>
    <w:p>
      <w:pPr>
        <w:pStyle w:val="BodyText"/>
        <w:spacing w:before="121"/>
        <w:ind w:left="112" w:right="126"/>
      </w:pPr>
      <w:r>
        <w:rPr/>
        <w:t>Existing reviews primarily summarise surveys and interviews with land managers about alternative approaches and attitudes towards non-lethal controls, with minimal quantitative data on outcomes. For example, van Eeden et al. (2018a) reviewed 114 studies spanning over 40 years and found a lack of quantitative</w:t>
      </w:r>
      <w:r>
        <w:rPr>
          <w:spacing w:val="-2"/>
        </w:rPr>
        <w:t> </w:t>
      </w:r>
      <w:r>
        <w:rPr/>
        <w:t>comparisons</w:t>
      </w:r>
      <w:r>
        <w:rPr>
          <w:spacing w:val="-1"/>
        </w:rPr>
        <w:t> </w:t>
      </w:r>
      <w:r>
        <w:rPr/>
        <w:t>or experimental</w:t>
      </w:r>
      <w:r>
        <w:rPr>
          <w:spacing w:val="-3"/>
        </w:rPr>
        <w:t> </w:t>
      </w:r>
      <w:r>
        <w:rPr/>
        <w:t>controls,</w:t>
      </w:r>
      <w:r>
        <w:rPr>
          <w:spacing w:val="-2"/>
        </w:rPr>
        <w:t> </w:t>
      </w:r>
      <w:r>
        <w:rPr/>
        <w:t>limiting</w:t>
      </w:r>
      <w:r>
        <w:rPr>
          <w:spacing w:val="-1"/>
        </w:rPr>
        <w:t> </w:t>
      </w:r>
      <w:r>
        <w:rPr/>
        <w:t>the</w:t>
      </w:r>
      <w:r>
        <w:rPr>
          <w:spacing w:val="-1"/>
        </w:rPr>
        <w:t> </w:t>
      </w:r>
      <w:r>
        <w:rPr/>
        <w:t>ability</w:t>
      </w:r>
      <w:r>
        <w:rPr>
          <w:spacing w:val="-1"/>
        </w:rPr>
        <w:t> </w:t>
      </w:r>
      <w:r>
        <w:rPr/>
        <w:t>to</w:t>
      </w:r>
      <w:r>
        <w:rPr>
          <w:spacing w:val="-1"/>
        </w:rPr>
        <w:t> </w:t>
      </w:r>
      <w:r>
        <w:rPr/>
        <w:t>assess</w:t>
      </w:r>
      <w:r>
        <w:rPr>
          <w:spacing w:val="-1"/>
        </w:rPr>
        <w:t> </w:t>
      </w:r>
      <w:r>
        <w:rPr/>
        <w:t>method effectiveness. Similar conclusions</w:t>
      </w:r>
      <w:r>
        <w:rPr>
          <w:spacing w:val="-3"/>
        </w:rPr>
        <w:t> </w:t>
      </w:r>
      <w:r>
        <w:rPr/>
        <w:t>were</w:t>
      </w:r>
      <w:r>
        <w:rPr>
          <w:spacing w:val="-2"/>
        </w:rPr>
        <w:t> </w:t>
      </w:r>
      <w:r>
        <w:rPr/>
        <w:t>drawn</w:t>
      </w:r>
      <w:r>
        <w:rPr>
          <w:spacing w:val="-2"/>
        </w:rPr>
        <w:t> </w:t>
      </w:r>
      <w:r>
        <w:rPr/>
        <w:t>by Miller</w:t>
      </w:r>
      <w:r>
        <w:rPr>
          <w:spacing w:val="-1"/>
        </w:rPr>
        <w:t> </w:t>
      </w:r>
      <w:r>
        <w:rPr/>
        <w:t>et</w:t>
      </w:r>
      <w:r>
        <w:rPr>
          <w:spacing w:val="-4"/>
        </w:rPr>
        <w:t> </w:t>
      </w:r>
      <w:r>
        <w:rPr/>
        <w:t>al.</w:t>
      </w:r>
      <w:r>
        <w:rPr>
          <w:spacing w:val="-3"/>
        </w:rPr>
        <w:t> </w:t>
      </w:r>
      <w:r>
        <w:rPr/>
        <w:t>(2016),</w:t>
      </w:r>
      <w:r>
        <w:rPr>
          <w:spacing w:val="-4"/>
        </w:rPr>
        <w:t> </w:t>
      </w:r>
      <w:r>
        <w:rPr/>
        <w:t>Treveset</w:t>
      </w:r>
      <w:r>
        <w:rPr>
          <w:spacing w:val="-4"/>
        </w:rPr>
        <w:t> </w:t>
      </w:r>
      <w:r>
        <w:rPr/>
        <w:t>al.</w:t>
      </w:r>
      <w:r>
        <w:rPr>
          <w:spacing w:val="-4"/>
        </w:rPr>
        <w:t> </w:t>
      </w:r>
      <w:r>
        <w:rPr/>
        <w:t>2016),</w:t>
      </w:r>
      <w:r>
        <w:rPr>
          <w:spacing w:val="-2"/>
        </w:rPr>
        <w:t> </w:t>
      </w:r>
      <w:r>
        <w:rPr/>
        <w:t>and</w:t>
      </w:r>
      <w:r>
        <w:rPr>
          <w:spacing w:val="-2"/>
        </w:rPr>
        <w:t> </w:t>
      </w:r>
      <w:r>
        <w:rPr/>
        <w:t>Eklund</w:t>
      </w:r>
      <w:r>
        <w:rPr>
          <w:spacing w:val="-2"/>
        </w:rPr>
        <w:t> </w:t>
      </w:r>
      <w:r>
        <w:rPr/>
        <w:t>et</w:t>
      </w:r>
      <w:r>
        <w:rPr>
          <w:spacing w:val="-2"/>
        </w:rPr>
        <w:t> </w:t>
      </w:r>
      <w:r>
        <w:rPr/>
        <w:t>al.</w:t>
      </w:r>
      <w:r>
        <w:rPr>
          <w:spacing w:val="-3"/>
        </w:rPr>
        <w:t> </w:t>
      </w:r>
      <w:r>
        <w:rPr/>
        <w:t>(2017)</w:t>
      </w:r>
      <w:r>
        <w:rPr>
          <w:spacing w:val="-1"/>
        </w:rPr>
        <w:t> </w:t>
      </w:r>
      <w:r>
        <w:rPr/>
        <w:t>in</w:t>
      </w:r>
      <w:r>
        <w:rPr>
          <w:spacing w:val="-4"/>
        </w:rPr>
        <w:t> </w:t>
      </w:r>
      <w:r>
        <w:rPr/>
        <w:t>their</w:t>
      </w:r>
      <w:r>
        <w:rPr>
          <w:spacing w:val="-3"/>
        </w:rPr>
        <w:t> </w:t>
      </w:r>
      <w:r>
        <w:rPr/>
        <w:t>reviews</w:t>
      </w:r>
      <w:r>
        <w:rPr>
          <w:spacing w:val="-1"/>
        </w:rPr>
        <w:t> </w:t>
      </w:r>
      <w:r>
        <w:rPr/>
        <w:t>of predator control methods.</w:t>
      </w:r>
    </w:p>
    <w:p>
      <w:pPr>
        <w:pStyle w:val="BodyText"/>
        <w:spacing w:before="120"/>
        <w:ind w:left="112" w:right="173"/>
      </w:pPr>
      <w:r>
        <w:rPr/>
        <w:t>Out of the 114 studies reviewed by van Eeden et al. (2018a), only eight were conducted in Australia, focusing on Dingoes (seven studies) and foxes (one study). Four of these examined non-lethal methods: three</w:t>
      </w:r>
      <w:r>
        <w:rPr>
          <w:spacing w:val="-3"/>
        </w:rPr>
        <w:t> </w:t>
      </w:r>
      <w:r>
        <w:rPr/>
        <w:t>on</w:t>
      </w:r>
      <w:r>
        <w:rPr>
          <w:spacing w:val="-3"/>
        </w:rPr>
        <w:t> </w:t>
      </w:r>
      <w:r>
        <w:rPr/>
        <w:t>LGDs</w:t>
      </w:r>
      <w:r>
        <w:rPr>
          <w:spacing w:val="-1"/>
        </w:rPr>
        <w:t> </w:t>
      </w:r>
      <w:r>
        <w:rPr/>
        <w:t>and</w:t>
      </w:r>
      <w:r>
        <w:rPr>
          <w:spacing w:val="-2"/>
        </w:rPr>
        <w:t> </w:t>
      </w:r>
      <w:r>
        <w:rPr/>
        <w:t>one</w:t>
      </w:r>
      <w:r>
        <w:rPr>
          <w:spacing w:val="-1"/>
        </w:rPr>
        <w:t> </w:t>
      </w:r>
      <w:r>
        <w:rPr/>
        <w:t>on</w:t>
      </w:r>
      <w:r>
        <w:rPr>
          <w:spacing w:val="-2"/>
        </w:rPr>
        <w:t> </w:t>
      </w:r>
      <w:r>
        <w:rPr/>
        <w:t>deterrents. Khorozyan</w:t>
      </w:r>
      <w:r>
        <w:rPr>
          <w:spacing w:val="-4"/>
        </w:rPr>
        <w:t> </w:t>
      </w:r>
      <w:r>
        <w:rPr/>
        <w:t>and</w:t>
      </w:r>
      <w:r>
        <w:rPr>
          <w:spacing w:val="-2"/>
        </w:rPr>
        <w:t> </w:t>
      </w:r>
      <w:r>
        <w:rPr/>
        <w:t>Waltert</w:t>
      </w:r>
      <w:r>
        <w:rPr>
          <w:spacing w:val="-1"/>
        </w:rPr>
        <w:t> </w:t>
      </w:r>
      <w:r>
        <w:rPr/>
        <w:t>(2019)</w:t>
      </w:r>
      <w:r>
        <w:rPr>
          <w:spacing w:val="-2"/>
        </w:rPr>
        <w:t> </w:t>
      </w:r>
      <w:r>
        <w:rPr/>
        <w:t>analysed</w:t>
      </w:r>
      <w:r>
        <w:rPr>
          <w:spacing w:val="-4"/>
        </w:rPr>
        <w:t> </w:t>
      </w:r>
      <w:r>
        <w:rPr/>
        <w:t>117</w:t>
      </w:r>
      <w:r>
        <w:rPr>
          <w:spacing w:val="-3"/>
        </w:rPr>
        <w:t> </w:t>
      </w:r>
      <w:r>
        <w:rPr/>
        <w:t>cases</w:t>
      </w:r>
      <w:r>
        <w:rPr>
          <w:spacing w:val="-2"/>
        </w:rPr>
        <w:t> </w:t>
      </w:r>
      <w:r>
        <w:rPr/>
        <w:t>from</w:t>
      </w:r>
      <w:r>
        <w:rPr>
          <w:spacing w:val="-1"/>
        </w:rPr>
        <w:t> </w:t>
      </w:r>
      <w:r>
        <w:rPr/>
        <w:t>23</w:t>
      </w:r>
      <w:r>
        <w:rPr>
          <w:spacing w:val="-3"/>
        </w:rPr>
        <w:t> </w:t>
      </w:r>
      <w:r>
        <w:rPr/>
        <w:t>countries, assessing 12 interventions for protecting human assets from predators. Their findings indicated that electric fences,</w:t>
      </w:r>
      <w:r>
        <w:rPr>
          <w:spacing w:val="-4"/>
        </w:rPr>
        <w:t> </w:t>
      </w:r>
      <w:r>
        <w:rPr/>
        <w:t>guardian</w:t>
      </w:r>
      <w:r>
        <w:rPr>
          <w:spacing w:val="-3"/>
        </w:rPr>
        <w:t> </w:t>
      </w:r>
      <w:r>
        <w:rPr/>
        <w:t>animals,</w:t>
      </w:r>
      <w:r>
        <w:rPr>
          <w:spacing w:val="-4"/>
        </w:rPr>
        <w:t> </w:t>
      </w:r>
      <w:r>
        <w:rPr/>
        <w:t>calving</w:t>
      </w:r>
      <w:r>
        <w:rPr>
          <w:spacing w:val="-4"/>
        </w:rPr>
        <w:t> </w:t>
      </w:r>
      <w:r>
        <w:rPr/>
        <w:t>control,</w:t>
      </w:r>
      <w:r>
        <w:rPr>
          <w:spacing w:val="-2"/>
        </w:rPr>
        <w:t> </w:t>
      </w:r>
      <w:r>
        <w:rPr/>
        <w:t>and</w:t>
      </w:r>
      <w:r>
        <w:rPr>
          <w:spacing w:val="-2"/>
        </w:rPr>
        <w:t> </w:t>
      </w:r>
      <w:r>
        <w:rPr/>
        <w:t>physical</w:t>
      </w:r>
      <w:r>
        <w:rPr>
          <w:spacing w:val="-3"/>
        </w:rPr>
        <w:t> </w:t>
      </w:r>
      <w:r>
        <w:rPr/>
        <w:t>deterrents</w:t>
      </w:r>
      <w:r>
        <w:rPr>
          <w:spacing w:val="-3"/>
        </w:rPr>
        <w:t> </w:t>
      </w:r>
      <w:r>
        <w:rPr/>
        <w:t>were</w:t>
      </w:r>
      <w:r>
        <w:rPr>
          <w:spacing w:val="-4"/>
        </w:rPr>
        <w:t> </w:t>
      </w:r>
      <w:r>
        <w:rPr/>
        <w:t>the</w:t>
      </w:r>
      <w:r>
        <w:rPr>
          <w:spacing w:val="-3"/>
        </w:rPr>
        <w:t> </w:t>
      </w:r>
      <w:r>
        <w:rPr/>
        <w:t>most</w:t>
      </w:r>
      <w:r>
        <w:rPr>
          <w:spacing w:val="-4"/>
        </w:rPr>
        <w:t> </w:t>
      </w:r>
      <w:r>
        <w:rPr/>
        <w:t>effective.</w:t>
      </w:r>
      <w:r>
        <w:rPr>
          <w:spacing w:val="-2"/>
        </w:rPr>
        <w:t> </w:t>
      </w:r>
      <w:r>
        <w:rPr/>
        <w:t>However,</w:t>
      </w:r>
      <w:r>
        <w:rPr>
          <w:spacing w:val="-1"/>
        </w:rPr>
        <w:t> </w:t>
      </w:r>
      <w:r>
        <w:rPr/>
        <w:t>none</w:t>
      </w:r>
      <w:r>
        <w:rPr>
          <w:spacing w:val="-5"/>
        </w:rPr>
        <w:t> </w:t>
      </w:r>
      <w:r>
        <w:rPr/>
        <w:t>of these studies were Australian.</w:t>
      </w:r>
    </w:p>
    <w:p>
      <w:pPr>
        <w:pStyle w:val="BodyText"/>
        <w:spacing w:before="120"/>
        <w:ind w:left="112" w:right="235"/>
      </w:pPr>
      <w:r>
        <w:rPr/>
        <w:t>Although</w:t>
      </w:r>
      <w:r>
        <w:rPr>
          <w:spacing w:val="-5"/>
        </w:rPr>
        <w:t> </w:t>
      </w:r>
      <w:r>
        <w:rPr/>
        <w:t>studies</w:t>
      </w:r>
      <w:r>
        <w:rPr>
          <w:spacing w:val="-3"/>
        </w:rPr>
        <w:t> </w:t>
      </w:r>
      <w:r>
        <w:rPr/>
        <w:t>such</w:t>
      </w:r>
      <w:r>
        <w:rPr>
          <w:spacing w:val="-4"/>
        </w:rPr>
        <w:t> </w:t>
      </w:r>
      <w:r>
        <w:rPr/>
        <w:t>as Miller</w:t>
      </w:r>
      <w:r>
        <w:rPr>
          <w:spacing w:val="-2"/>
        </w:rPr>
        <w:t> </w:t>
      </w:r>
      <w:r>
        <w:rPr/>
        <w:t>et</w:t>
      </w:r>
      <w:r>
        <w:rPr>
          <w:spacing w:val="-2"/>
        </w:rPr>
        <w:t> </w:t>
      </w:r>
      <w:r>
        <w:rPr/>
        <w:t>al.</w:t>
      </w:r>
      <w:r>
        <w:rPr>
          <w:spacing w:val="-1"/>
        </w:rPr>
        <w:t> </w:t>
      </w:r>
      <w:r>
        <w:rPr/>
        <w:t>(2016),</w:t>
      </w:r>
      <w:r>
        <w:rPr>
          <w:spacing w:val="-4"/>
        </w:rPr>
        <w:t> </w:t>
      </w:r>
      <w:r>
        <w:rPr/>
        <w:t>Treves</w:t>
      </w:r>
      <w:r>
        <w:rPr>
          <w:spacing w:val="-2"/>
        </w:rPr>
        <w:t> </w:t>
      </w:r>
      <w:r>
        <w:rPr/>
        <w:t>et</w:t>
      </w:r>
      <w:r>
        <w:rPr>
          <w:spacing w:val="-2"/>
        </w:rPr>
        <w:t> </w:t>
      </w:r>
      <w:r>
        <w:rPr/>
        <w:t>al.</w:t>
      </w:r>
      <w:r>
        <w:rPr>
          <w:spacing w:val="-4"/>
        </w:rPr>
        <w:t> </w:t>
      </w:r>
      <w:r>
        <w:rPr/>
        <w:t>(2016),</w:t>
      </w:r>
      <w:r>
        <w:rPr>
          <w:spacing w:val="-2"/>
        </w:rPr>
        <w:t> </w:t>
      </w:r>
      <w:r>
        <w:rPr/>
        <w:t>Moreira-Arce</w:t>
      </w:r>
      <w:r>
        <w:rPr>
          <w:spacing w:val="-4"/>
        </w:rPr>
        <w:t> </w:t>
      </w:r>
      <w:r>
        <w:rPr/>
        <w:t>et</w:t>
      </w:r>
      <w:r>
        <w:rPr>
          <w:spacing w:val="-2"/>
        </w:rPr>
        <w:t> </w:t>
      </w:r>
      <w:r>
        <w:rPr/>
        <w:t>al.</w:t>
      </w:r>
      <w:r>
        <w:rPr>
          <w:spacing w:val="-4"/>
        </w:rPr>
        <w:t> </w:t>
      </w:r>
      <w:r>
        <w:rPr/>
        <w:t>(2018) and</w:t>
      </w:r>
      <w:r>
        <w:rPr>
          <w:spacing w:val="-2"/>
        </w:rPr>
        <w:t> </w:t>
      </w:r>
      <w:r>
        <w:rPr/>
        <w:t>Khorozyan and Waltert (2019) identified</w:t>
      </w:r>
      <w:r>
        <w:rPr>
          <w:spacing w:val="-1"/>
        </w:rPr>
        <w:t> </w:t>
      </w:r>
      <w:r>
        <w:rPr/>
        <w:t>effective</w:t>
      </w:r>
      <w:r>
        <w:rPr>
          <w:spacing w:val="-1"/>
        </w:rPr>
        <w:t> </w:t>
      </w:r>
      <w:r>
        <w:rPr/>
        <w:t>non-lethal methods (e.g. electric fences, guarding</w:t>
      </w:r>
      <w:r>
        <w:rPr>
          <w:spacing w:val="-1"/>
        </w:rPr>
        <w:t> </w:t>
      </w:r>
      <w:r>
        <w:rPr/>
        <w:t>animals, protective collars, fladry tape), they highlighted significant methodological flaws, including the absence of treatment/non-treatment comparisons, replication, and randomisation.</w:t>
      </w:r>
    </w:p>
    <w:p>
      <w:pPr>
        <w:pStyle w:val="BodyText"/>
        <w:spacing w:before="120"/>
        <w:ind w:left="112" w:right="222"/>
      </w:pPr>
      <w:r>
        <w:rPr/>
        <w:t>The</w:t>
      </w:r>
      <w:r>
        <w:rPr>
          <w:spacing w:val="-5"/>
        </w:rPr>
        <w:t> </w:t>
      </w:r>
      <w:r>
        <w:rPr/>
        <w:t>adoption</w:t>
      </w:r>
      <w:r>
        <w:rPr>
          <w:spacing w:val="-4"/>
        </w:rPr>
        <w:t> </w:t>
      </w:r>
      <w:r>
        <w:rPr/>
        <w:t>of</w:t>
      </w:r>
      <w:r>
        <w:rPr>
          <w:spacing w:val="-2"/>
        </w:rPr>
        <w:t> </w:t>
      </w:r>
      <w:r>
        <w:rPr/>
        <w:t>non-lethal</w:t>
      </w:r>
      <w:r>
        <w:rPr>
          <w:spacing w:val="-1"/>
        </w:rPr>
        <w:t> </w:t>
      </w:r>
      <w:r>
        <w:rPr/>
        <w:t>methods</w:t>
      </w:r>
      <w:r>
        <w:rPr>
          <w:spacing w:val="-3"/>
        </w:rPr>
        <w:t> </w:t>
      </w:r>
      <w:r>
        <w:rPr/>
        <w:t>by</w:t>
      </w:r>
      <w:r>
        <w:rPr>
          <w:spacing w:val="-3"/>
        </w:rPr>
        <w:t> </w:t>
      </w:r>
      <w:r>
        <w:rPr/>
        <w:t>land</w:t>
      </w:r>
      <w:r>
        <w:rPr>
          <w:spacing w:val="-4"/>
        </w:rPr>
        <w:t> </w:t>
      </w:r>
      <w:r>
        <w:rPr/>
        <w:t>managers</w:t>
      </w:r>
      <w:r>
        <w:rPr>
          <w:spacing w:val="-3"/>
        </w:rPr>
        <w:t> </w:t>
      </w:r>
      <w:r>
        <w:rPr/>
        <w:t>remains</w:t>
      </w:r>
      <w:r>
        <w:rPr>
          <w:spacing w:val="-3"/>
        </w:rPr>
        <w:t> </w:t>
      </w:r>
      <w:r>
        <w:rPr/>
        <w:t>complex,</w:t>
      </w:r>
      <w:r>
        <w:rPr>
          <w:spacing w:val="-4"/>
        </w:rPr>
        <w:t> </w:t>
      </w:r>
      <w:r>
        <w:rPr/>
        <w:t>requiring</w:t>
      </w:r>
      <w:r>
        <w:rPr>
          <w:spacing w:val="-4"/>
        </w:rPr>
        <w:t> </w:t>
      </w:r>
      <w:r>
        <w:rPr/>
        <w:t>evidence</w:t>
      </w:r>
      <w:r>
        <w:rPr>
          <w:spacing w:val="-4"/>
        </w:rPr>
        <w:t> </w:t>
      </w:r>
      <w:r>
        <w:rPr/>
        <w:t>that</w:t>
      </w:r>
      <w:r>
        <w:rPr>
          <w:spacing w:val="-2"/>
        </w:rPr>
        <w:t> </w:t>
      </w:r>
      <w:r>
        <w:rPr/>
        <w:t>they</w:t>
      </w:r>
      <w:r>
        <w:rPr>
          <w:spacing w:val="-3"/>
        </w:rPr>
        <w:t> </w:t>
      </w:r>
      <w:r>
        <w:rPr/>
        <w:t>are</w:t>
      </w:r>
      <w:r>
        <w:rPr>
          <w:spacing w:val="-4"/>
        </w:rPr>
        <w:t> </w:t>
      </w:r>
      <w:r>
        <w:rPr/>
        <w:t>as effective</w:t>
      </w:r>
      <w:r>
        <w:rPr>
          <w:spacing w:val="-2"/>
        </w:rPr>
        <w:t> </w:t>
      </w:r>
      <w:r>
        <w:rPr/>
        <w:t>or</w:t>
      </w:r>
      <w:r>
        <w:rPr>
          <w:spacing w:val="-3"/>
        </w:rPr>
        <w:t> </w:t>
      </w:r>
      <w:r>
        <w:rPr/>
        <w:t>superior</w:t>
      </w:r>
      <w:r>
        <w:rPr>
          <w:spacing w:val="-3"/>
        </w:rPr>
        <w:t> </w:t>
      </w:r>
      <w:r>
        <w:rPr/>
        <w:t>to</w:t>
      </w:r>
      <w:r>
        <w:rPr>
          <w:spacing w:val="-4"/>
        </w:rPr>
        <w:t> </w:t>
      </w:r>
      <w:r>
        <w:rPr/>
        <w:t>conventional</w:t>
      </w:r>
      <w:r>
        <w:rPr>
          <w:spacing w:val="-4"/>
        </w:rPr>
        <w:t> </w:t>
      </w:r>
      <w:r>
        <w:rPr/>
        <w:t>lethal</w:t>
      </w:r>
      <w:r>
        <w:rPr>
          <w:spacing w:val="-4"/>
        </w:rPr>
        <w:t> </w:t>
      </w:r>
      <w:r>
        <w:rPr/>
        <w:t>approaches. To</w:t>
      </w:r>
      <w:r>
        <w:rPr>
          <w:spacing w:val="-3"/>
        </w:rPr>
        <w:t> </w:t>
      </w:r>
      <w:r>
        <w:rPr/>
        <w:t>highlight</w:t>
      </w:r>
      <w:r>
        <w:rPr>
          <w:spacing w:val="-3"/>
        </w:rPr>
        <w:t> </w:t>
      </w:r>
      <w:r>
        <w:rPr/>
        <w:t>this</w:t>
      </w:r>
      <w:r>
        <w:rPr>
          <w:spacing w:val="-1"/>
        </w:rPr>
        <w:t> </w:t>
      </w:r>
      <w:r>
        <w:rPr/>
        <w:t>point,</w:t>
      </w:r>
      <w:r>
        <w:rPr>
          <w:spacing w:val="-3"/>
        </w:rPr>
        <w:t> </w:t>
      </w:r>
      <w:r>
        <w:rPr/>
        <w:t>the</w:t>
      </w:r>
      <w:r>
        <w:rPr>
          <w:spacing w:val="-3"/>
        </w:rPr>
        <w:t> </w:t>
      </w:r>
      <w:r>
        <w:rPr/>
        <w:t>majority</w:t>
      </w:r>
      <w:r>
        <w:rPr>
          <w:spacing w:val="-3"/>
        </w:rPr>
        <w:t> </w:t>
      </w:r>
      <w:r>
        <w:rPr/>
        <w:t>of</w:t>
      </w:r>
      <w:r>
        <w:rPr>
          <w:spacing w:val="-2"/>
        </w:rPr>
        <w:t> </w:t>
      </w:r>
      <w:r>
        <w:rPr/>
        <w:t>all</w:t>
      </w:r>
      <w:r>
        <w:rPr>
          <w:spacing w:val="-1"/>
        </w:rPr>
        <w:t> </w:t>
      </w:r>
      <w:r>
        <w:rPr/>
        <w:t>1080</w:t>
      </w:r>
      <w:r>
        <w:rPr>
          <w:spacing w:val="-1"/>
        </w:rPr>
        <w:t> </w:t>
      </w:r>
      <w:r>
        <w:rPr/>
        <w:t>ACUP permit holders surveyed in Victoria (71%) disagreed that non-lethal control methods are a viable alternative to</w:t>
      </w:r>
      <w:r>
        <w:rPr>
          <w:spacing w:val="-3"/>
        </w:rPr>
        <w:t> </w:t>
      </w:r>
      <w:r>
        <w:rPr/>
        <w:t>1080</w:t>
      </w:r>
      <w:r>
        <w:rPr>
          <w:spacing w:val="-2"/>
        </w:rPr>
        <w:t> </w:t>
      </w:r>
      <w:r>
        <w:rPr/>
        <w:t>(Quantum</w:t>
      </w:r>
      <w:r>
        <w:rPr>
          <w:spacing w:val="-2"/>
        </w:rPr>
        <w:t> </w:t>
      </w:r>
      <w:r>
        <w:rPr/>
        <w:t>Market Research</w:t>
      </w:r>
      <w:r>
        <w:rPr>
          <w:spacing w:val="-2"/>
        </w:rPr>
        <w:t> </w:t>
      </w:r>
      <w:r>
        <w:rPr/>
        <w:t>2024).</w:t>
      </w:r>
      <w:r>
        <w:rPr>
          <w:spacing w:val="-2"/>
        </w:rPr>
        <w:t> </w:t>
      </w:r>
      <w:r>
        <w:rPr/>
        <w:t>In</w:t>
      </w:r>
      <w:r>
        <w:rPr>
          <w:spacing w:val="-2"/>
        </w:rPr>
        <w:t> </w:t>
      </w:r>
      <w:r>
        <w:rPr/>
        <w:t>the</w:t>
      </w:r>
      <w:r>
        <w:rPr>
          <w:spacing w:val="-2"/>
        </w:rPr>
        <w:t> </w:t>
      </w:r>
      <w:r>
        <w:rPr/>
        <w:t>same</w:t>
      </w:r>
      <w:r>
        <w:rPr>
          <w:spacing w:val="-2"/>
        </w:rPr>
        <w:t> </w:t>
      </w:r>
      <w:r>
        <w:rPr/>
        <w:t>survey,</w:t>
      </w:r>
      <w:r>
        <w:rPr>
          <w:spacing w:val="-2"/>
        </w:rPr>
        <w:t> </w:t>
      </w:r>
      <w:r>
        <w:rPr/>
        <w:t>respondents</w:t>
      </w:r>
      <w:r>
        <w:rPr>
          <w:spacing w:val="-1"/>
        </w:rPr>
        <w:t> </w:t>
      </w:r>
      <w:r>
        <w:rPr/>
        <w:t>that</w:t>
      </w:r>
      <w:r>
        <w:rPr>
          <w:spacing w:val="-2"/>
        </w:rPr>
        <w:t> </w:t>
      </w:r>
      <w:r>
        <w:rPr/>
        <w:t>had</w:t>
      </w:r>
      <w:r>
        <w:rPr>
          <w:spacing w:val="-2"/>
        </w:rPr>
        <w:t> </w:t>
      </w:r>
      <w:r>
        <w:rPr/>
        <w:t>used</w:t>
      </w:r>
      <w:r>
        <w:rPr>
          <w:spacing w:val="-2"/>
        </w:rPr>
        <w:t> </w:t>
      </w:r>
      <w:r>
        <w:rPr/>
        <w:t>1080 in the</w:t>
      </w:r>
      <w:r>
        <w:rPr>
          <w:spacing w:val="-1"/>
        </w:rPr>
        <w:t> </w:t>
      </w:r>
      <w:r>
        <w:rPr/>
        <w:t>past 5 years were asked to consider the effectiveness of pest control if 1080 were no longer available. Only 6% considered</w:t>
      </w:r>
      <w:r>
        <w:rPr>
          <w:spacing w:val="-2"/>
        </w:rPr>
        <w:t> </w:t>
      </w:r>
      <w:r>
        <w:rPr/>
        <w:t>that</w:t>
      </w:r>
      <w:r>
        <w:rPr>
          <w:spacing w:val="-2"/>
        </w:rPr>
        <w:t> </w:t>
      </w:r>
      <w:r>
        <w:rPr/>
        <w:t>rabbits</w:t>
      </w:r>
      <w:r>
        <w:rPr>
          <w:spacing w:val="-1"/>
        </w:rPr>
        <w:t> </w:t>
      </w:r>
      <w:r>
        <w:rPr/>
        <w:t>could</w:t>
      </w:r>
      <w:r>
        <w:rPr>
          <w:spacing w:val="-2"/>
        </w:rPr>
        <w:t> </w:t>
      </w:r>
      <w:r>
        <w:rPr/>
        <w:t>be effectively</w:t>
      </w:r>
      <w:r>
        <w:rPr>
          <w:spacing w:val="-1"/>
        </w:rPr>
        <w:t> </w:t>
      </w:r>
      <w:r>
        <w:rPr/>
        <w:t>controlled, 12%</w:t>
      </w:r>
      <w:r>
        <w:rPr>
          <w:spacing w:val="-2"/>
        </w:rPr>
        <w:t> </w:t>
      </w:r>
      <w:r>
        <w:rPr/>
        <w:t>for Feral</w:t>
      </w:r>
      <w:r>
        <w:rPr>
          <w:spacing w:val="-1"/>
        </w:rPr>
        <w:t> </w:t>
      </w:r>
      <w:r>
        <w:rPr/>
        <w:t>Pigs,</w:t>
      </w:r>
      <w:r>
        <w:rPr>
          <w:spacing w:val="-2"/>
        </w:rPr>
        <w:t> </w:t>
      </w:r>
      <w:r>
        <w:rPr/>
        <w:t>3% for</w:t>
      </w:r>
      <w:r>
        <w:rPr>
          <w:spacing w:val="-2"/>
        </w:rPr>
        <w:t> </w:t>
      </w:r>
      <w:r>
        <w:rPr/>
        <w:t>foxes</w:t>
      </w:r>
      <w:r>
        <w:rPr>
          <w:spacing w:val="-1"/>
        </w:rPr>
        <w:t> </w:t>
      </w:r>
      <w:r>
        <w:rPr/>
        <w:t>and 3%</w:t>
      </w:r>
      <w:r>
        <w:rPr>
          <w:spacing w:val="-2"/>
        </w:rPr>
        <w:t> </w:t>
      </w:r>
      <w:r>
        <w:rPr/>
        <w:t>for Dingoes and Wild Dogs.</w:t>
      </w:r>
    </w:p>
    <w:p>
      <w:pPr>
        <w:pStyle w:val="BodyText"/>
        <w:spacing w:before="121"/>
        <w:ind w:left="112" w:right="173"/>
      </w:pPr>
      <w:r>
        <w:rPr/>
        <w:t>Non-lethal</w:t>
      </w:r>
      <w:r>
        <w:rPr>
          <w:spacing w:val="-5"/>
        </w:rPr>
        <w:t> </w:t>
      </w:r>
      <w:r>
        <w:rPr/>
        <w:t>methods</w:t>
      </w:r>
      <w:r>
        <w:rPr>
          <w:spacing w:val="-3"/>
        </w:rPr>
        <w:t> </w:t>
      </w:r>
      <w:r>
        <w:rPr/>
        <w:t>often</w:t>
      </w:r>
      <w:r>
        <w:rPr>
          <w:spacing w:val="-3"/>
        </w:rPr>
        <w:t> </w:t>
      </w:r>
      <w:r>
        <w:rPr/>
        <w:t>involve</w:t>
      </w:r>
      <w:r>
        <w:rPr>
          <w:spacing w:val="-4"/>
        </w:rPr>
        <w:t> </w:t>
      </w:r>
      <w:r>
        <w:rPr/>
        <w:t>greater</w:t>
      </w:r>
      <w:r>
        <w:rPr>
          <w:spacing w:val="-3"/>
        </w:rPr>
        <w:t> </w:t>
      </w:r>
      <w:r>
        <w:rPr/>
        <w:t>time</w:t>
      </w:r>
      <w:r>
        <w:rPr>
          <w:spacing w:val="-2"/>
        </w:rPr>
        <w:t> </w:t>
      </w:r>
      <w:r>
        <w:rPr/>
        <w:t>and</w:t>
      </w:r>
      <w:r>
        <w:rPr>
          <w:spacing w:val="-4"/>
        </w:rPr>
        <w:t> </w:t>
      </w:r>
      <w:r>
        <w:rPr/>
        <w:t>effort</w:t>
      </w:r>
      <w:r>
        <w:rPr>
          <w:spacing w:val="-4"/>
        </w:rPr>
        <w:t> </w:t>
      </w:r>
      <w:r>
        <w:rPr/>
        <w:t>and</w:t>
      </w:r>
      <w:r>
        <w:rPr>
          <w:spacing w:val="-3"/>
        </w:rPr>
        <w:t> </w:t>
      </w:r>
      <w:r>
        <w:rPr/>
        <w:t>may</w:t>
      </w:r>
      <w:r>
        <w:rPr>
          <w:spacing w:val="-3"/>
        </w:rPr>
        <w:t> </w:t>
      </w:r>
      <w:r>
        <w:rPr/>
        <w:t>not</w:t>
      </w:r>
      <w:r>
        <w:rPr>
          <w:spacing w:val="-4"/>
        </w:rPr>
        <w:t> </w:t>
      </w:r>
      <w:r>
        <w:rPr/>
        <w:t>always</w:t>
      </w:r>
      <w:r>
        <w:rPr>
          <w:spacing w:val="-3"/>
        </w:rPr>
        <w:t> </w:t>
      </w:r>
      <w:r>
        <w:rPr/>
        <w:t>be</w:t>
      </w:r>
      <w:r>
        <w:rPr>
          <w:spacing w:val="-5"/>
        </w:rPr>
        <w:t> </w:t>
      </w:r>
      <w:r>
        <w:rPr/>
        <w:t>practical.</w:t>
      </w:r>
      <w:r>
        <w:rPr>
          <w:spacing w:val="-2"/>
        </w:rPr>
        <w:t> </w:t>
      </w:r>
      <w:r>
        <w:rPr/>
        <w:t>For</w:t>
      </w:r>
      <w:r>
        <w:rPr>
          <w:spacing w:val="-3"/>
        </w:rPr>
        <w:t> </w:t>
      </w:r>
      <w:r>
        <w:rPr/>
        <w:t>example,</w:t>
      </w:r>
      <w:r>
        <w:rPr>
          <w:spacing w:val="-2"/>
        </w:rPr>
        <w:t> </w:t>
      </w:r>
      <w:r>
        <w:rPr/>
        <w:t>loud sirens</w:t>
      </w:r>
      <w:r>
        <w:rPr>
          <w:spacing w:val="-2"/>
        </w:rPr>
        <w:t> </w:t>
      </w:r>
      <w:r>
        <w:rPr/>
        <w:t>or</w:t>
      </w:r>
      <w:r>
        <w:rPr>
          <w:spacing w:val="-3"/>
        </w:rPr>
        <w:t> </w:t>
      </w:r>
      <w:r>
        <w:rPr/>
        <w:t>bright</w:t>
      </w:r>
      <w:r>
        <w:rPr>
          <w:spacing w:val="-1"/>
        </w:rPr>
        <w:t> </w:t>
      </w:r>
      <w:r>
        <w:rPr/>
        <w:t>lights</w:t>
      </w:r>
      <w:r>
        <w:rPr>
          <w:spacing w:val="-2"/>
        </w:rPr>
        <w:t> </w:t>
      </w:r>
      <w:r>
        <w:rPr/>
        <w:t>can</w:t>
      </w:r>
      <w:r>
        <w:rPr>
          <w:spacing w:val="-1"/>
        </w:rPr>
        <w:t> </w:t>
      </w:r>
      <w:r>
        <w:rPr/>
        <w:t>deter</w:t>
      </w:r>
      <w:r>
        <w:rPr>
          <w:spacing w:val="-2"/>
        </w:rPr>
        <w:t> </w:t>
      </w:r>
      <w:r>
        <w:rPr/>
        <w:t>pests</w:t>
      </w:r>
      <w:r>
        <w:rPr>
          <w:spacing w:val="-2"/>
        </w:rPr>
        <w:t> </w:t>
      </w:r>
      <w:r>
        <w:rPr/>
        <w:t>but</w:t>
      </w:r>
      <w:r>
        <w:rPr>
          <w:spacing w:val="-1"/>
        </w:rPr>
        <w:t> </w:t>
      </w:r>
      <w:r>
        <w:rPr/>
        <w:t>may</w:t>
      </w:r>
      <w:r>
        <w:rPr>
          <w:spacing w:val="-2"/>
        </w:rPr>
        <w:t> </w:t>
      </w:r>
      <w:r>
        <w:rPr/>
        <w:t>also</w:t>
      </w:r>
      <w:r>
        <w:rPr>
          <w:spacing w:val="-3"/>
        </w:rPr>
        <w:t> </w:t>
      </w:r>
      <w:r>
        <w:rPr/>
        <w:t>disrupt</w:t>
      </w:r>
      <w:r>
        <w:rPr>
          <w:spacing w:val="-1"/>
        </w:rPr>
        <w:t> </w:t>
      </w:r>
      <w:r>
        <w:rPr/>
        <w:t>livestock</w:t>
      </w:r>
      <w:r>
        <w:rPr>
          <w:spacing w:val="-2"/>
        </w:rPr>
        <w:t> </w:t>
      </w:r>
      <w:r>
        <w:rPr/>
        <w:t>and</w:t>
      </w:r>
      <w:r>
        <w:rPr>
          <w:spacing w:val="-3"/>
        </w:rPr>
        <w:t> </w:t>
      </w:r>
      <w:r>
        <w:rPr/>
        <w:t>livelihoods,</w:t>
      </w:r>
      <w:r>
        <w:rPr>
          <w:spacing w:val="-3"/>
        </w:rPr>
        <w:t> </w:t>
      </w:r>
      <w:r>
        <w:rPr/>
        <w:t>making</w:t>
      </w:r>
      <w:r>
        <w:rPr>
          <w:spacing w:val="-3"/>
        </w:rPr>
        <w:t> </w:t>
      </w:r>
      <w:r>
        <w:rPr/>
        <w:t>them</w:t>
      </w:r>
      <w:r>
        <w:rPr>
          <w:spacing w:val="-1"/>
        </w:rPr>
        <w:t> </w:t>
      </w:r>
      <w:r>
        <w:rPr/>
        <w:t>unsuitable for widespread use. Additionally, some methods fail to align with traditional or cultural values. Remote farming operations face logistical challenges, such as the difficulty and expense of installing, maintaining, and replacing equipment. Furthermore, methods may not effectively target specific problem individuals, and certain repellents may work for one species but attract another. For example, using urine or recorded vocalisations to mimic territoriality might repel one sex while attracting the other, undermining their </w:t>
      </w:r>
      <w:r>
        <w:rPr>
          <w:spacing w:val="-2"/>
        </w:rPr>
        <w:t>effectiveness.</w:t>
      </w:r>
    </w:p>
    <w:p>
      <w:pPr>
        <w:pStyle w:val="BodyText"/>
        <w:spacing w:before="118"/>
        <w:ind w:left="112" w:right="173"/>
      </w:pPr>
      <w:r>
        <w:rPr/>
        <w:t>Comprehensive</w:t>
      </w:r>
      <w:r>
        <w:rPr>
          <w:spacing w:val="-4"/>
        </w:rPr>
        <w:t> </w:t>
      </w:r>
      <w:r>
        <w:rPr/>
        <w:t>reviews</w:t>
      </w:r>
      <w:r>
        <w:rPr>
          <w:spacing w:val="-2"/>
        </w:rPr>
        <w:t> </w:t>
      </w:r>
      <w:r>
        <w:rPr/>
        <w:t>highlight</w:t>
      </w:r>
      <w:r>
        <w:rPr>
          <w:spacing w:val="-4"/>
        </w:rPr>
        <w:t> </w:t>
      </w:r>
      <w:r>
        <w:rPr/>
        <w:t>the</w:t>
      </w:r>
      <w:r>
        <w:rPr>
          <w:spacing w:val="-4"/>
        </w:rPr>
        <w:t> </w:t>
      </w:r>
      <w:r>
        <w:rPr/>
        <w:t>complexities</w:t>
      </w:r>
      <w:r>
        <w:rPr>
          <w:spacing w:val="-3"/>
        </w:rPr>
        <w:t> </w:t>
      </w:r>
      <w:r>
        <w:rPr/>
        <w:t>of</w:t>
      </w:r>
      <w:r>
        <w:rPr>
          <w:spacing w:val="-2"/>
        </w:rPr>
        <w:t> </w:t>
      </w:r>
      <w:r>
        <w:rPr/>
        <w:t>adopting</w:t>
      </w:r>
      <w:r>
        <w:rPr>
          <w:spacing w:val="-4"/>
        </w:rPr>
        <w:t> </w:t>
      </w:r>
      <w:r>
        <w:rPr/>
        <w:t>a</w:t>
      </w:r>
      <w:r>
        <w:rPr>
          <w:spacing w:val="-3"/>
        </w:rPr>
        <w:t> </w:t>
      </w:r>
      <w:r>
        <w:rPr/>
        <w:t>holistic,</w:t>
      </w:r>
      <w:r>
        <w:rPr>
          <w:spacing w:val="-2"/>
        </w:rPr>
        <w:t> </w:t>
      </w:r>
      <w:r>
        <w:rPr/>
        <w:t>non-lethal</w:t>
      </w:r>
      <w:r>
        <w:rPr>
          <w:spacing w:val="-5"/>
        </w:rPr>
        <w:t> </w:t>
      </w:r>
      <w:r>
        <w:rPr/>
        <w:t>approach</w:t>
      </w:r>
      <w:r>
        <w:rPr>
          <w:spacing w:val="-4"/>
        </w:rPr>
        <w:t> </w:t>
      </w:r>
      <w:r>
        <w:rPr/>
        <w:t>to</w:t>
      </w:r>
      <w:r>
        <w:rPr>
          <w:spacing w:val="-2"/>
        </w:rPr>
        <w:t> </w:t>
      </w:r>
      <w:r>
        <w:rPr/>
        <w:t>managing pest animals in agricultural contexts (Boronyak and Jacobs 2023; van Eeden et al. 2018a; Smith and Appleby 2018; Smith et al. 2021). These approaches typically fall into three broad categories:</w:t>
      </w:r>
    </w:p>
    <w:p>
      <w:pPr>
        <w:pStyle w:val="ListParagraph"/>
        <w:numPr>
          <w:ilvl w:val="0"/>
          <w:numId w:val="20"/>
        </w:numPr>
        <w:tabs>
          <w:tab w:pos="831" w:val="left" w:leader="none"/>
        </w:tabs>
        <w:spacing w:line="240" w:lineRule="auto" w:before="122" w:after="0"/>
        <w:ind w:left="831" w:right="0" w:hanging="358"/>
        <w:jc w:val="left"/>
        <w:rPr>
          <w:sz w:val="20"/>
        </w:rPr>
      </w:pPr>
      <w:r>
        <w:rPr>
          <w:b/>
          <w:sz w:val="20"/>
        </w:rPr>
        <w:t>Livestock</w:t>
      </w:r>
      <w:r>
        <w:rPr>
          <w:b/>
          <w:spacing w:val="-9"/>
          <w:sz w:val="20"/>
        </w:rPr>
        <w:t> </w:t>
      </w:r>
      <w:r>
        <w:rPr>
          <w:b/>
          <w:sz w:val="20"/>
        </w:rPr>
        <w:t>husbandry</w:t>
      </w:r>
      <w:r>
        <w:rPr>
          <w:sz w:val="20"/>
        </w:rPr>
        <w:t>:</w:t>
      </w:r>
      <w:r>
        <w:rPr>
          <w:spacing w:val="-9"/>
          <w:sz w:val="20"/>
        </w:rPr>
        <w:t> </w:t>
      </w:r>
      <w:r>
        <w:rPr>
          <w:sz w:val="20"/>
        </w:rPr>
        <w:t>Examples</w:t>
      </w:r>
      <w:r>
        <w:rPr>
          <w:spacing w:val="-9"/>
          <w:sz w:val="20"/>
        </w:rPr>
        <w:t> </w:t>
      </w:r>
      <w:r>
        <w:rPr>
          <w:sz w:val="20"/>
        </w:rPr>
        <w:t>include</w:t>
      </w:r>
      <w:r>
        <w:rPr>
          <w:spacing w:val="-11"/>
          <w:sz w:val="20"/>
        </w:rPr>
        <w:t> </w:t>
      </w:r>
      <w:r>
        <w:rPr>
          <w:sz w:val="20"/>
        </w:rPr>
        <w:t>guardian</w:t>
      </w:r>
      <w:r>
        <w:rPr>
          <w:spacing w:val="-8"/>
          <w:sz w:val="20"/>
        </w:rPr>
        <w:t> </w:t>
      </w:r>
      <w:r>
        <w:rPr>
          <w:sz w:val="20"/>
        </w:rPr>
        <w:t>animals</w:t>
      </w:r>
      <w:r>
        <w:rPr>
          <w:spacing w:val="-10"/>
          <w:sz w:val="20"/>
        </w:rPr>
        <w:t> </w:t>
      </w:r>
      <w:r>
        <w:rPr>
          <w:sz w:val="20"/>
        </w:rPr>
        <w:t>and</w:t>
      </w:r>
      <w:r>
        <w:rPr>
          <w:spacing w:val="-10"/>
          <w:sz w:val="20"/>
        </w:rPr>
        <w:t> </w:t>
      </w:r>
      <w:r>
        <w:rPr>
          <w:sz w:val="20"/>
        </w:rPr>
        <w:t>livestock</w:t>
      </w:r>
      <w:r>
        <w:rPr>
          <w:spacing w:val="-9"/>
          <w:sz w:val="20"/>
        </w:rPr>
        <w:t> </w:t>
      </w:r>
      <w:r>
        <w:rPr>
          <w:spacing w:val="-2"/>
          <w:sz w:val="20"/>
        </w:rPr>
        <w:t>collars.</w:t>
      </w:r>
    </w:p>
    <w:p>
      <w:pPr>
        <w:pStyle w:val="ListParagraph"/>
        <w:numPr>
          <w:ilvl w:val="0"/>
          <w:numId w:val="20"/>
        </w:numPr>
        <w:tabs>
          <w:tab w:pos="831" w:val="left" w:leader="none"/>
        </w:tabs>
        <w:spacing w:line="240" w:lineRule="auto" w:before="120" w:after="0"/>
        <w:ind w:left="831" w:right="0" w:hanging="358"/>
        <w:jc w:val="left"/>
        <w:rPr>
          <w:sz w:val="20"/>
        </w:rPr>
      </w:pPr>
      <w:r>
        <w:rPr>
          <w:b/>
          <w:sz w:val="20"/>
        </w:rPr>
        <w:t>Enclosures</w:t>
      </w:r>
      <w:r>
        <w:rPr>
          <w:sz w:val="20"/>
        </w:rPr>
        <w:t>:</w:t>
      </w:r>
      <w:r>
        <w:rPr>
          <w:spacing w:val="-6"/>
          <w:sz w:val="20"/>
        </w:rPr>
        <w:t> </w:t>
      </w:r>
      <w:r>
        <w:rPr>
          <w:sz w:val="20"/>
        </w:rPr>
        <w:t>Fencing</w:t>
      </w:r>
      <w:r>
        <w:rPr>
          <w:spacing w:val="-9"/>
          <w:sz w:val="20"/>
        </w:rPr>
        <w:t> </w:t>
      </w:r>
      <w:r>
        <w:rPr>
          <w:sz w:val="20"/>
        </w:rPr>
        <w:t>remains</w:t>
      </w:r>
      <w:r>
        <w:rPr>
          <w:spacing w:val="-6"/>
          <w:sz w:val="20"/>
        </w:rPr>
        <w:t> </w:t>
      </w:r>
      <w:r>
        <w:rPr>
          <w:sz w:val="20"/>
        </w:rPr>
        <w:t>a</w:t>
      </w:r>
      <w:r>
        <w:rPr>
          <w:spacing w:val="-9"/>
          <w:sz w:val="20"/>
        </w:rPr>
        <w:t> </w:t>
      </w:r>
      <w:r>
        <w:rPr>
          <w:sz w:val="20"/>
        </w:rPr>
        <w:t>key</w:t>
      </w:r>
      <w:r>
        <w:rPr>
          <w:spacing w:val="-6"/>
          <w:sz w:val="20"/>
        </w:rPr>
        <w:t> </w:t>
      </w:r>
      <w:r>
        <w:rPr>
          <w:sz w:val="20"/>
        </w:rPr>
        <w:t>non-lethal</w:t>
      </w:r>
      <w:r>
        <w:rPr>
          <w:spacing w:val="-7"/>
          <w:sz w:val="20"/>
        </w:rPr>
        <w:t> </w:t>
      </w:r>
      <w:r>
        <w:rPr>
          <w:spacing w:val="-2"/>
          <w:sz w:val="20"/>
        </w:rPr>
        <w:t>method.</w:t>
      </w:r>
    </w:p>
    <w:p>
      <w:pPr>
        <w:pStyle w:val="ListParagraph"/>
        <w:numPr>
          <w:ilvl w:val="0"/>
          <w:numId w:val="20"/>
        </w:numPr>
        <w:tabs>
          <w:tab w:pos="831" w:val="left" w:leader="none"/>
          <w:tab w:pos="833" w:val="left" w:leader="none"/>
        </w:tabs>
        <w:spacing w:line="240" w:lineRule="auto" w:before="118" w:after="0"/>
        <w:ind w:left="833" w:right="699" w:hanging="360"/>
        <w:jc w:val="left"/>
        <w:rPr>
          <w:sz w:val="20"/>
        </w:rPr>
      </w:pPr>
      <w:r>
        <w:rPr>
          <w:b/>
          <w:sz w:val="20"/>
        </w:rPr>
        <w:t>Predator</w:t>
      </w:r>
      <w:r>
        <w:rPr>
          <w:b/>
          <w:spacing w:val="-5"/>
          <w:sz w:val="20"/>
        </w:rPr>
        <w:t> </w:t>
      </w:r>
      <w:r>
        <w:rPr>
          <w:b/>
          <w:sz w:val="20"/>
        </w:rPr>
        <w:t>deterrents</w:t>
      </w:r>
      <w:r>
        <w:rPr>
          <w:sz w:val="20"/>
        </w:rPr>
        <w:t>:</w:t>
      </w:r>
      <w:r>
        <w:rPr>
          <w:spacing w:val="-4"/>
          <w:sz w:val="20"/>
        </w:rPr>
        <w:t> </w:t>
      </w:r>
      <w:r>
        <w:rPr>
          <w:sz w:val="20"/>
        </w:rPr>
        <w:t>Devices</w:t>
      </w:r>
      <w:r>
        <w:rPr>
          <w:spacing w:val="-3"/>
          <w:sz w:val="20"/>
        </w:rPr>
        <w:t> </w:t>
      </w:r>
      <w:r>
        <w:rPr>
          <w:sz w:val="20"/>
        </w:rPr>
        <w:t>such</w:t>
      </w:r>
      <w:r>
        <w:rPr>
          <w:spacing w:val="-4"/>
          <w:sz w:val="20"/>
        </w:rPr>
        <w:t> </w:t>
      </w:r>
      <w:r>
        <w:rPr>
          <w:sz w:val="20"/>
        </w:rPr>
        <w:t>as</w:t>
      </w:r>
      <w:r>
        <w:rPr>
          <w:spacing w:val="-3"/>
          <w:sz w:val="20"/>
        </w:rPr>
        <w:t> </w:t>
      </w:r>
      <w:r>
        <w:rPr>
          <w:sz w:val="20"/>
        </w:rPr>
        <w:t>frightening</w:t>
      </w:r>
      <w:r>
        <w:rPr>
          <w:spacing w:val="-2"/>
          <w:sz w:val="20"/>
        </w:rPr>
        <w:t> </w:t>
      </w:r>
      <w:r>
        <w:rPr>
          <w:sz w:val="20"/>
        </w:rPr>
        <w:t>systems</w:t>
      </w:r>
      <w:r>
        <w:rPr>
          <w:spacing w:val="-3"/>
          <w:sz w:val="20"/>
        </w:rPr>
        <w:t> </w:t>
      </w:r>
      <w:r>
        <w:rPr>
          <w:sz w:val="20"/>
        </w:rPr>
        <w:t>can</w:t>
      </w:r>
      <w:r>
        <w:rPr>
          <w:spacing w:val="-3"/>
          <w:sz w:val="20"/>
        </w:rPr>
        <w:t> </w:t>
      </w:r>
      <w:r>
        <w:rPr>
          <w:sz w:val="20"/>
        </w:rPr>
        <w:t>be</w:t>
      </w:r>
      <w:r>
        <w:rPr>
          <w:spacing w:val="-5"/>
          <w:sz w:val="20"/>
        </w:rPr>
        <w:t> </w:t>
      </w:r>
      <w:r>
        <w:rPr>
          <w:sz w:val="20"/>
        </w:rPr>
        <w:t>adapted</w:t>
      </w:r>
      <w:r>
        <w:rPr>
          <w:spacing w:val="-2"/>
          <w:sz w:val="20"/>
        </w:rPr>
        <w:t> </w:t>
      </w:r>
      <w:r>
        <w:rPr>
          <w:sz w:val="20"/>
        </w:rPr>
        <w:t>to</w:t>
      </w:r>
      <w:r>
        <w:rPr>
          <w:spacing w:val="-3"/>
          <w:sz w:val="20"/>
        </w:rPr>
        <w:t> </w:t>
      </w:r>
      <w:r>
        <w:rPr>
          <w:sz w:val="20"/>
        </w:rPr>
        <w:t>local</w:t>
      </w:r>
      <w:r>
        <w:rPr>
          <w:spacing w:val="-5"/>
          <w:sz w:val="20"/>
        </w:rPr>
        <w:t> </w:t>
      </w:r>
      <w:r>
        <w:rPr>
          <w:sz w:val="20"/>
        </w:rPr>
        <w:t>conditions, including livestock type, terrain, and wildlife presence.</w:t>
      </w:r>
    </w:p>
    <w:p>
      <w:pPr>
        <w:pStyle w:val="BodyText"/>
        <w:spacing w:before="121"/>
        <w:ind w:left="112"/>
      </w:pPr>
      <w:r>
        <w:rPr/>
        <w:t>Additional livestock management practices, such as rotational grazing, frequent movement of herds, closer supervision of vulnerable animals (e.g. lambing ewes), carcass disposal, and remotely activated warning systems,</w:t>
      </w:r>
      <w:r>
        <w:rPr>
          <w:spacing w:val="-5"/>
        </w:rPr>
        <w:t> </w:t>
      </w:r>
      <w:r>
        <w:rPr/>
        <w:t>could</w:t>
      </w:r>
      <w:r>
        <w:rPr>
          <w:spacing w:val="-5"/>
        </w:rPr>
        <w:t> </w:t>
      </w:r>
      <w:r>
        <w:rPr/>
        <w:t>complement</w:t>
      </w:r>
      <w:r>
        <w:rPr>
          <w:spacing w:val="-5"/>
        </w:rPr>
        <w:t> </w:t>
      </w:r>
      <w:r>
        <w:rPr/>
        <w:t>these</w:t>
      </w:r>
      <w:r>
        <w:rPr>
          <w:spacing w:val="-3"/>
        </w:rPr>
        <w:t> </w:t>
      </w:r>
      <w:r>
        <w:rPr/>
        <w:t>methods</w:t>
      </w:r>
      <w:r>
        <w:rPr>
          <w:spacing w:val="-4"/>
        </w:rPr>
        <w:t> </w:t>
      </w:r>
      <w:r>
        <w:rPr/>
        <w:t>within</w:t>
      </w:r>
      <w:r>
        <w:rPr>
          <w:spacing w:val="-3"/>
        </w:rPr>
        <w:t> </w:t>
      </w:r>
      <w:r>
        <w:rPr/>
        <w:t>an</w:t>
      </w:r>
      <w:r>
        <w:rPr>
          <w:spacing w:val="-4"/>
        </w:rPr>
        <w:t> </w:t>
      </w:r>
      <w:r>
        <w:rPr/>
        <w:t>integrated</w:t>
      </w:r>
      <w:r>
        <w:rPr>
          <w:spacing w:val="-4"/>
        </w:rPr>
        <w:t> </w:t>
      </w:r>
      <w:r>
        <w:rPr/>
        <w:t>pest</w:t>
      </w:r>
      <w:r>
        <w:rPr>
          <w:spacing w:val="-5"/>
        </w:rPr>
        <w:t> </w:t>
      </w:r>
      <w:r>
        <w:rPr/>
        <w:t>management</w:t>
      </w:r>
      <w:r>
        <w:rPr>
          <w:spacing w:val="-5"/>
        </w:rPr>
        <w:t> </w:t>
      </w:r>
      <w:r>
        <w:rPr/>
        <w:t>strategy.</w:t>
      </w:r>
      <w:r>
        <w:rPr>
          <w:spacing w:val="-3"/>
        </w:rPr>
        <w:t> </w:t>
      </w:r>
      <w:r>
        <w:rPr/>
        <w:t>While</w:t>
      </w:r>
      <w:r>
        <w:rPr>
          <w:spacing w:val="-3"/>
        </w:rPr>
        <w:t> </w:t>
      </w:r>
      <w:r>
        <w:rPr/>
        <w:t>these</w:t>
      </w:r>
      <w:r>
        <w:rPr>
          <w:spacing w:val="-3"/>
        </w:rPr>
        <w:t> </w:t>
      </w:r>
      <w:r>
        <w:rPr/>
        <w:t>are beyond the scope of this review, they are recognised as valuable components (Boronyak and Jacobs 2023; Smith et al. 2021).</w:t>
      </w:r>
    </w:p>
    <w:p>
      <w:pPr>
        <w:tabs>
          <w:tab w:pos="9750" w:val="right" w:leader="none"/>
        </w:tabs>
        <w:spacing w:before="451"/>
        <w:ind w:left="5319"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66</w:t>
      </w:r>
    </w:p>
    <w:p>
      <w:pPr>
        <w:spacing w:after="0"/>
        <w:jc w:val="left"/>
        <w:rPr>
          <w:sz w:val="20"/>
        </w:rPr>
        <w:sectPr>
          <w:footerReference w:type="even" r:id="rId67"/>
          <w:pgSz w:w="11910" w:h="16850"/>
          <w:pgMar w:header="0" w:footer="0" w:top="1140" w:bottom="280" w:left="1020" w:right="1020"/>
        </w:sectPr>
      </w:pPr>
    </w:p>
    <w:p>
      <w:pPr>
        <w:pStyle w:val="BodyText"/>
        <w:spacing w:before="71"/>
        <w:ind w:left="112" w:right="126"/>
      </w:pPr>
      <w:r>
        <w:rPr/>
        <w:t>Although</w:t>
      </w:r>
      <w:r>
        <w:rPr>
          <w:spacing w:val="-3"/>
        </w:rPr>
        <w:t> </w:t>
      </w:r>
      <w:r>
        <w:rPr/>
        <w:t>non-lethal</w:t>
      </w:r>
      <w:r>
        <w:rPr>
          <w:spacing w:val="-3"/>
        </w:rPr>
        <w:t> </w:t>
      </w:r>
      <w:r>
        <w:rPr/>
        <w:t>tools</w:t>
      </w:r>
      <w:r>
        <w:rPr>
          <w:spacing w:val="-3"/>
        </w:rPr>
        <w:t> </w:t>
      </w:r>
      <w:r>
        <w:rPr/>
        <w:t>are</w:t>
      </w:r>
      <w:r>
        <w:rPr>
          <w:spacing w:val="-4"/>
        </w:rPr>
        <w:t> </w:t>
      </w:r>
      <w:r>
        <w:rPr/>
        <w:t>primarily</w:t>
      </w:r>
      <w:r>
        <w:rPr>
          <w:spacing w:val="-3"/>
        </w:rPr>
        <w:t> </w:t>
      </w:r>
      <w:r>
        <w:rPr/>
        <w:t>developed</w:t>
      </w:r>
      <w:r>
        <w:rPr>
          <w:spacing w:val="-5"/>
        </w:rPr>
        <w:t> </w:t>
      </w:r>
      <w:r>
        <w:rPr/>
        <w:t>to</w:t>
      </w:r>
      <w:r>
        <w:rPr>
          <w:spacing w:val="-4"/>
        </w:rPr>
        <w:t> </w:t>
      </w:r>
      <w:r>
        <w:rPr/>
        <w:t>protect</w:t>
      </w:r>
      <w:r>
        <w:rPr>
          <w:spacing w:val="-4"/>
        </w:rPr>
        <w:t> </w:t>
      </w:r>
      <w:r>
        <w:rPr/>
        <w:t>agricultural</w:t>
      </w:r>
      <w:r>
        <w:rPr>
          <w:spacing w:val="-2"/>
        </w:rPr>
        <w:t> </w:t>
      </w:r>
      <w:r>
        <w:rPr/>
        <w:t>values,</w:t>
      </w:r>
      <w:r>
        <w:rPr>
          <w:spacing w:val="-4"/>
        </w:rPr>
        <w:t> </w:t>
      </w:r>
      <w:r>
        <w:rPr/>
        <w:t>pest</w:t>
      </w:r>
      <w:r>
        <w:rPr>
          <w:spacing w:val="-4"/>
        </w:rPr>
        <w:t> </w:t>
      </w:r>
      <w:r>
        <w:rPr/>
        <w:t>species</w:t>
      </w:r>
      <w:r>
        <w:rPr>
          <w:spacing w:val="-3"/>
        </w:rPr>
        <w:t> </w:t>
      </w:r>
      <w:r>
        <w:rPr/>
        <w:t>like</w:t>
      </w:r>
      <w:r>
        <w:rPr>
          <w:spacing w:val="-4"/>
        </w:rPr>
        <w:t> </w:t>
      </w:r>
      <w:r>
        <w:rPr/>
        <w:t>rabbits, feral pigs, and predators also impact biodiversity conservation. Non-lethal methods for biodiversity conservation rely mainly on fencing and potential fertility control. However, no viable fertility control options currently exist for these species, leaving fencing as the main non-lethal method for mitigating their impact on biodiversity.</w:t>
      </w:r>
    </w:p>
    <w:p>
      <w:pPr>
        <w:pStyle w:val="BodyText"/>
        <w:spacing w:before="2"/>
        <w:ind w:left="112"/>
      </w:pPr>
      <w:r>
        <w:rPr/>
        <w:t>However,</w:t>
      </w:r>
      <w:r>
        <w:rPr>
          <w:spacing w:val="-1"/>
        </w:rPr>
        <w:t> </w:t>
      </w:r>
      <w:r>
        <w:rPr/>
        <w:t>LGD’s</w:t>
      </w:r>
      <w:r>
        <w:rPr>
          <w:spacing w:val="-3"/>
        </w:rPr>
        <w:t> </w:t>
      </w:r>
      <w:r>
        <w:rPr/>
        <w:t>have</w:t>
      </w:r>
      <w:r>
        <w:rPr>
          <w:spacing w:val="-4"/>
        </w:rPr>
        <w:t> </w:t>
      </w:r>
      <w:r>
        <w:rPr/>
        <w:t>been</w:t>
      </w:r>
      <w:r>
        <w:rPr>
          <w:spacing w:val="-2"/>
        </w:rPr>
        <w:t> </w:t>
      </w:r>
      <w:r>
        <w:rPr/>
        <w:t>used</w:t>
      </w:r>
      <w:r>
        <w:rPr>
          <w:spacing w:val="-2"/>
        </w:rPr>
        <w:t> </w:t>
      </w:r>
      <w:r>
        <w:rPr/>
        <w:t>to</w:t>
      </w:r>
      <w:r>
        <w:rPr>
          <w:spacing w:val="-4"/>
        </w:rPr>
        <w:t> </w:t>
      </w:r>
      <w:r>
        <w:rPr/>
        <w:t>protect</w:t>
      </w:r>
      <w:r>
        <w:rPr>
          <w:spacing w:val="-3"/>
        </w:rPr>
        <w:t> </w:t>
      </w:r>
      <w:r>
        <w:rPr/>
        <w:t>Eastern</w:t>
      </w:r>
      <w:r>
        <w:rPr>
          <w:spacing w:val="-1"/>
        </w:rPr>
        <w:t> </w:t>
      </w:r>
      <w:r>
        <w:rPr/>
        <w:t>Barred</w:t>
      </w:r>
      <w:r>
        <w:rPr>
          <w:spacing w:val="-4"/>
        </w:rPr>
        <w:t> </w:t>
      </w:r>
      <w:r>
        <w:rPr/>
        <w:t>Bandicoots</w:t>
      </w:r>
      <w:r>
        <w:rPr>
          <w:spacing w:val="-3"/>
        </w:rPr>
        <w:t> </w:t>
      </w:r>
      <w:r>
        <w:rPr/>
        <w:t>on</w:t>
      </w:r>
      <w:r>
        <w:rPr>
          <w:spacing w:val="-4"/>
        </w:rPr>
        <w:t> </w:t>
      </w:r>
      <w:r>
        <w:rPr/>
        <w:t>a</w:t>
      </w:r>
      <w:r>
        <w:rPr>
          <w:spacing w:val="-5"/>
        </w:rPr>
        <w:t> </w:t>
      </w:r>
      <w:r>
        <w:rPr/>
        <w:t>small</w:t>
      </w:r>
      <w:r>
        <w:rPr>
          <w:spacing w:val="-1"/>
        </w:rPr>
        <w:t> </w:t>
      </w:r>
      <w:r>
        <w:rPr/>
        <w:t>offshore</w:t>
      </w:r>
      <w:r>
        <w:rPr>
          <w:spacing w:val="-1"/>
        </w:rPr>
        <w:t> </w:t>
      </w:r>
      <w:r>
        <w:rPr/>
        <w:t>island</w:t>
      </w:r>
      <w:r>
        <w:rPr>
          <w:spacing w:val="-4"/>
        </w:rPr>
        <w:t> </w:t>
      </w:r>
      <w:r>
        <w:rPr/>
        <w:t>that</w:t>
      </w:r>
      <w:r>
        <w:rPr>
          <w:spacing w:val="-2"/>
        </w:rPr>
        <w:t> </w:t>
      </w:r>
      <w:r>
        <w:rPr/>
        <w:t>is periodically connected to the mainland (Richard Hill, DEECA, pers comm.).</w:t>
      </w:r>
    </w:p>
    <w:p>
      <w:pPr>
        <w:pStyle w:val="BodyText"/>
        <w:spacing w:before="119"/>
        <w:ind w:left="112"/>
      </w:pPr>
      <w:r>
        <w:rPr/>
        <w:t>Table</w:t>
      </w:r>
      <w:r>
        <w:rPr>
          <w:spacing w:val="-2"/>
        </w:rPr>
        <w:t> </w:t>
      </w:r>
      <w:r>
        <w:rPr/>
        <w:t>11</w:t>
      </w:r>
      <w:r>
        <w:rPr>
          <w:spacing w:val="-4"/>
        </w:rPr>
        <w:t> </w:t>
      </w:r>
      <w:r>
        <w:rPr/>
        <w:t>compares</w:t>
      </w:r>
      <w:r>
        <w:rPr>
          <w:spacing w:val="-3"/>
        </w:rPr>
        <w:t> </w:t>
      </w:r>
      <w:r>
        <w:rPr/>
        <w:t>the</w:t>
      </w:r>
      <w:r>
        <w:rPr>
          <w:spacing w:val="-3"/>
        </w:rPr>
        <w:t> </w:t>
      </w:r>
      <w:r>
        <w:rPr/>
        <w:t>effectiveness,</w:t>
      </w:r>
      <w:r>
        <w:rPr>
          <w:spacing w:val="-4"/>
        </w:rPr>
        <w:t> </w:t>
      </w:r>
      <w:r>
        <w:rPr/>
        <w:t>target</w:t>
      </w:r>
      <w:r>
        <w:rPr>
          <w:spacing w:val="-4"/>
        </w:rPr>
        <w:t> </w:t>
      </w:r>
      <w:r>
        <w:rPr/>
        <w:t>specificity</w:t>
      </w:r>
      <w:r>
        <w:rPr>
          <w:spacing w:val="-3"/>
        </w:rPr>
        <w:t> </w:t>
      </w:r>
      <w:r>
        <w:rPr/>
        <w:t>and</w:t>
      </w:r>
      <w:r>
        <w:rPr>
          <w:spacing w:val="-3"/>
        </w:rPr>
        <w:t> </w:t>
      </w:r>
      <w:r>
        <w:rPr/>
        <w:t>advantages</w:t>
      </w:r>
      <w:r>
        <w:rPr>
          <w:spacing w:val="-2"/>
        </w:rPr>
        <w:t> </w:t>
      </w:r>
      <w:r>
        <w:rPr/>
        <w:t>and</w:t>
      </w:r>
      <w:r>
        <w:rPr>
          <w:spacing w:val="-1"/>
        </w:rPr>
        <w:t> </w:t>
      </w:r>
      <w:r>
        <w:rPr/>
        <w:t>disadvantages</w:t>
      </w:r>
      <w:r>
        <w:rPr>
          <w:spacing w:val="-2"/>
        </w:rPr>
        <w:t> </w:t>
      </w:r>
      <w:r>
        <w:rPr/>
        <w:t>of</w:t>
      </w:r>
      <w:r>
        <w:rPr>
          <w:spacing w:val="-3"/>
        </w:rPr>
        <w:t> </w:t>
      </w:r>
      <w:r>
        <w:rPr/>
        <w:t>1080</w:t>
      </w:r>
      <w:r>
        <w:rPr>
          <w:spacing w:val="-4"/>
        </w:rPr>
        <w:t> </w:t>
      </w:r>
      <w:r>
        <w:rPr/>
        <w:t>with</w:t>
      </w:r>
      <w:r>
        <w:rPr>
          <w:spacing w:val="-5"/>
        </w:rPr>
        <w:t> </w:t>
      </w:r>
      <w:r>
        <w:rPr/>
        <w:t>the various non-lethal control options available for the management of the four pest species in Victoria.</w:t>
      </w:r>
    </w:p>
    <w:p>
      <w:pPr>
        <w:pStyle w:val="BodyText"/>
        <w:spacing w:before="155"/>
      </w:pPr>
    </w:p>
    <w:p>
      <w:pPr>
        <w:pStyle w:val="Heading3"/>
        <w:numPr>
          <w:ilvl w:val="1"/>
          <w:numId w:val="21"/>
        </w:numPr>
        <w:tabs>
          <w:tab w:pos="686" w:val="left" w:leader="none"/>
        </w:tabs>
        <w:spacing w:line="240" w:lineRule="auto" w:before="1" w:after="0"/>
        <w:ind w:left="686" w:right="0" w:hanging="574"/>
        <w:jc w:val="left"/>
      </w:pPr>
      <w:bookmarkStart w:name="_TOC_250027" w:id="86"/>
      <w:r>
        <w:rPr>
          <w:color w:val="2D1E66"/>
        </w:rPr>
        <w:t>Livestock</w:t>
      </w:r>
      <w:r>
        <w:rPr>
          <w:color w:val="2D1E66"/>
          <w:spacing w:val="-3"/>
        </w:rPr>
        <w:t> </w:t>
      </w:r>
      <w:r>
        <w:rPr>
          <w:color w:val="2D1E66"/>
        </w:rPr>
        <w:t>guardian</w:t>
      </w:r>
      <w:r>
        <w:rPr>
          <w:color w:val="2D1E66"/>
          <w:spacing w:val="-3"/>
        </w:rPr>
        <w:t> </w:t>
      </w:r>
      <w:bookmarkEnd w:id="86"/>
      <w:r>
        <w:rPr>
          <w:color w:val="2D1E66"/>
          <w:spacing w:val="-2"/>
        </w:rPr>
        <w:t>animals</w:t>
      </w:r>
    </w:p>
    <w:p>
      <w:pPr>
        <w:pStyle w:val="BodyText"/>
        <w:spacing w:before="112"/>
        <w:ind w:left="112" w:right="173"/>
      </w:pPr>
      <w:r>
        <w:rPr/>
        <w:t>In</w:t>
      </w:r>
      <w:r>
        <w:rPr>
          <w:spacing w:val="-4"/>
        </w:rPr>
        <w:t> </w:t>
      </w:r>
      <w:r>
        <w:rPr/>
        <w:t>general,</w:t>
      </w:r>
      <w:r>
        <w:rPr>
          <w:spacing w:val="-3"/>
        </w:rPr>
        <w:t> </w:t>
      </w:r>
      <w:r>
        <w:rPr/>
        <w:t>LGAs</w:t>
      </w:r>
      <w:r>
        <w:rPr>
          <w:spacing w:val="-2"/>
        </w:rPr>
        <w:t> </w:t>
      </w:r>
      <w:r>
        <w:rPr/>
        <w:t>are</w:t>
      </w:r>
      <w:r>
        <w:rPr>
          <w:spacing w:val="-3"/>
        </w:rPr>
        <w:t> </w:t>
      </w:r>
      <w:r>
        <w:rPr/>
        <w:t>classed</w:t>
      </w:r>
      <w:r>
        <w:rPr>
          <w:spacing w:val="-4"/>
        </w:rPr>
        <w:t> </w:t>
      </w:r>
      <w:r>
        <w:rPr/>
        <w:t>as</w:t>
      </w:r>
      <w:r>
        <w:rPr>
          <w:spacing w:val="-2"/>
        </w:rPr>
        <w:t> </w:t>
      </w:r>
      <w:r>
        <w:rPr/>
        <w:t>a</w:t>
      </w:r>
      <w:r>
        <w:rPr>
          <w:spacing w:val="-1"/>
        </w:rPr>
        <w:t> </w:t>
      </w:r>
      <w:r>
        <w:rPr/>
        <w:t>form</w:t>
      </w:r>
      <w:r>
        <w:rPr>
          <w:spacing w:val="-1"/>
        </w:rPr>
        <w:t> </w:t>
      </w:r>
      <w:r>
        <w:rPr/>
        <w:t>of</w:t>
      </w:r>
      <w:r>
        <w:rPr>
          <w:spacing w:val="-1"/>
        </w:rPr>
        <w:t> </w:t>
      </w:r>
      <w:r>
        <w:rPr/>
        <w:t>‘non-lethal’</w:t>
      </w:r>
      <w:r>
        <w:rPr>
          <w:spacing w:val="-2"/>
        </w:rPr>
        <w:t> </w:t>
      </w:r>
      <w:r>
        <w:rPr/>
        <w:t>predator</w:t>
      </w:r>
      <w:r>
        <w:rPr>
          <w:spacing w:val="-3"/>
        </w:rPr>
        <w:t> </w:t>
      </w:r>
      <w:r>
        <w:rPr/>
        <w:t>control,</w:t>
      </w:r>
      <w:r>
        <w:rPr>
          <w:spacing w:val="-3"/>
        </w:rPr>
        <w:t> </w:t>
      </w:r>
      <w:r>
        <w:rPr/>
        <w:t>thereby</w:t>
      </w:r>
      <w:r>
        <w:rPr>
          <w:spacing w:val="-2"/>
        </w:rPr>
        <w:t> </w:t>
      </w:r>
      <w:r>
        <w:rPr/>
        <w:t>facilitating</w:t>
      </w:r>
      <w:r>
        <w:rPr>
          <w:spacing w:val="-4"/>
        </w:rPr>
        <w:t> </w:t>
      </w:r>
      <w:r>
        <w:rPr/>
        <w:t>the</w:t>
      </w:r>
      <w:r>
        <w:rPr>
          <w:spacing w:val="-4"/>
        </w:rPr>
        <w:t> </w:t>
      </w:r>
      <w:r>
        <w:rPr/>
        <w:t>coexistence</w:t>
      </w:r>
      <w:r>
        <w:rPr>
          <w:spacing w:val="-1"/>
        </w:rPr>
        <w:t> </w:t>
      </w:r>
      <w:r>
        <w:rPr/>
        <w:t>of livestock,</w:t>
      </w:r>
      <w:r>
        <w:rPr>
          <w:spacing w:val="-1"/>
        </w:rPr>
        <w:t> </w:t>
      </w:r>
      <w:r>
        <w:rPr/>
        <w:t>carnivores,</w:t>
      </w:r>
      <w:r>
        <w:rPr>
          <w:spacing w:val="-1"/>
        </w:rPr>
        <w:t> </w:t>
      </w:r>
      <w:r>
        <w:rPr/>
        <w:t>and</w:t>
      </w:r>
      <w:r>
        <w:rPr>
          <w:spacing w:val="-1"/>
        </w:rPr>
        <w:t> </w:t>
      </w:r>
      <w:r>
        <w:rPr/>
        <w:t>land managers. Studies have</w:t>
      </w:r>
      <w:r>
        <w:rPr>
          <w:spacing w:val="-1"/>
        </w:rPr>
        <w:t> </w:t>
      </w:r>
      <w:r>
        <w:rPr/>
        <w:t>demonstrated</w:t>
      </w:r>
      <w:r>
        <w:rPr>
          <w:spacing w:val="-2"/>
        </w:rPr>
        <w:t> </w:t>
      </w:r>
      <w:r>
        <w:rPr/>
        <w:t>the ability of</w:t>
      </w:r>
      <w:r>
        <w:rPr>
          <w:spacing w:val="-1"/>
        </w:rPr>
        <w:t> </w:t>
      </w:r>
      <w:r>
        <w:rPr/>
        <w:t>the</w:t>
      </w:r>
      <w:r>
        <w:rPr>
          <w:spacing w:val="-1"/>
        </w:rPr>
        <w:t> </w:t>
      </w:r>
      <w:r>
        <w:rPr/>
        <w:t>LGAs to</w:t>
      </w:r>
      <w:r>
        <w:rPr>
          <w:spacing w:val="-1"/>
        </w:rPr>
        <w:t> </w:t>
      </w:r>
      <w:r>
        <w:rPr/>
        <w:t>defend</w:t>
      </w:r>
      <w:r>
        <w:rPr>
          <w:spacing w:val="-1"/>
        </w:rPr>
        <w:t> </w:t>
      </w:r>
      <w:r>
        <w:rPr/>
        <w:t>their herds</w:t>
      </w:r>
      <w:r>
        <w:rPr>
          <w:spacing w:val="-3"/>
        </w:rPr>
        <w:t> </w:t>
      </w:r>
      <w:r>
        <w:rPr/>
        <w:t>without</w:t>
      </w:r>
      <w:r>
        <w:rPr>
          <w:spacing w:val="-4"/>
        </w:rPr>
        <w:t> </w:t>
      </w:r>
      <w:r>
        <w:rPr/>
        <w:t>physical</w:t>
      </w:r>
      <w:r>
        <w:rPr>
          <w:spacing w:val="-3"/>
        </w:rPr>
        <w:t> </w:t>
      </w:r>
      <w:r>
        <w:rPr/>
        <w:t>interaction if</w:t>
      </w:r>
      <w:r>
        <w:rPr>
          <w:spacing w:val="-2"/>
        </w:rPr>
        <w:t> </w:t>
      </w:r>
      <w:r>
        <w:rPr/>
        <w:t>approached</w:t>
      </w:r>
      <w:r>
        <w:rPr>
          <w:spacing w:val="-4"/>
        </w:rPr>
        <w:t> </w:t>
      </w:r>
      <w:r>
        <w:rPr/>
        <w:t>by</w:t>
      </w:r>
      <w:r>
        <w:rPr>
          <w:spacing w:val="-3"/>
        </w:rPr>
        <w:t> </w:t>
      </w:r>
      <w:r>
        <w:rPr/>
        <w:t>a</w:t>
      </w:r>
      <w:r>
        <w:rPr>
          <w:spacing w:val="-5"/>
        </w:rPr>
        <w:t> </w:t>
      </w:r>
      <w:r>
        <w:rPr/>
        <w:t>carnivore;</w:t>
      </w:r>
      <w:r>
        <w:rPr>
          <w:spacing w:val="-2"/>
        </w:rPr>
        <w:t> </w:t>
      </w:r>
      <w:r>
        <w:rPr/>
        <w:t>preventing</w:t>
      </w:r>
      <w:r>
        <w:rPr>
          <w:spacing w:val="-4"/>
        </w:rPr>
        <w:t> </w:t>
      </w:r>
      <w:r>
        <w:rPr/>
        <w:t>livestock</w:t>
      </w:r>
      <w:r>
        <w:rPr>
          <w:spacing w:val="-3"/>
        </w:rPr>
        <w:t> </w:t>
      </w:r>
      <w:r>
        <w:rPr/>
        <w:t>depredation</w:t>
      </w:r>
      <w:r>
        <w:rPr>
          <w:spacing w:val="-4"/>
        </w:rPr>
        <w:t> </w:t>
      </w:r>
      <w:r>
        <w:rPr/>
        <w:t>(Allen</w:t>
      </w:r>
      <w:r>
        <w:rPr>
          <w:spacing w:val="-5"/>
        </w:rPr>
        <w:t> </w:t>
      </w:r>
      <w:r>
        <w:rPr/>
        <w:t>et</w:t>
      </w:r>
      <w:r>
        <w:rPr>
          <w:spacing w:val="-4"/>
        </w:rPr>
        <w:t> </w:t>
      </w:r>
      <w:r>
        <w:rPr/>
        <w:t>al. 2016; van Bommel</w:t>
      </w:r>
      <w:r>
        <w:rPr>
          <w:spacing w:val="-1"/>
        </w:rPr>
        <w:t> </w:t>
      </w:r>
      <w:r>
        <w:rPr/>
        <w:t>and</w:t>
      </w:r>
      <w:r>
        <w:rPr>
          <w:spacing w:val="-1"/>
        </w:rPr>
        <w:t> </w:t>
      </w:r>
      <w:r>
        <w:rPr/>
        <w:t>Johnson</w:t>
      </w:r>
      <w:r>
        <w:rPr>
          <w:spacing w:val="-1"/>
        </w:rPr>
        <w:t> </w:t>
      </w:r>
      <w:r>
        <w:rPr/>
        <w:t>2023). Typically, Livestock Guardian Dogs (LGDs) deter predators through shepherding behaviour and boisterous vocalisations (Coppinger et al. 1988; Allen et al. 2016), but they occasionally kill predators and other wildlife unintentionally and can cause injuries, fear, distress, anxiety, and pain during a chase or lethal interaction (Allen et al. 2019).</w:t>
      </w:r>
    </w:p>
    <w:p>
      <w:pPr>
        <w:pStyle w:val="BodyText"/>
        <w:spacing w:before="121"/>
        <w:ind w:left="112" w:right="142"/>
      </w:pPr>
      <w:r>
        <w:rPr/>
        <w:t>Jenkins</w:t>
      </w:r>
      <w:r>
        <w:rPr>
          <w:spacing w:val="-2"/>
        </w:rPr>
        <w:t> </w:t>
      </w:r>
      <w:r>
        <w:rPr/>
        <w:t>(2003)</w:t>
      </w:r>
      <w:r>
        <w:rPr>
          <w:spacing w:val="-3"/>
        </w:rPr>
        <w:t> </w:t>
      </w:r>
      <w:r>
        <w:rPr/>
        <w:t>conducted</w:t>
      </w:r>
      <w:r>
        <w:rPr>
          <w:spacing w:val="-2"/>
        </w:rPr>
        <w:t> </w:t>
      </w:r>
      <w:r>
        <w:rPr/>
        <w:t>telephone</w:t>
      </w:r>
      <w:r>
        <w:rPr>
          <w:spacing w:val="-3"/>
        </w:rPr>
        <w:t> </w:t>
      </w:r>
      <w:r>
        <w:rPr/>
        <w:t>interviews</w:t>
      </w:r>
      <w:r>
        <w:rPr>
          <w:spacing w:val="-3"/>
        </w:rPr>
        <w:t> </w:t>
      </w:r>
      <w:r>
        <w:rPr/>
        <w:t>with</w:t>
      </w:r>
      <w:r>
        <w:rPr>
          <w:spacing w:val="-5"/>
        </w:rPr>
        <w:t> </w:t>
      </w:r>
      <w:r>
        <w:rPr/>
        <w:t>85</w:t>
      </w:r>
      <w:r>
        <w:rPr>
          <w:spacing w:val="-4"/>
        </w:rPr>
        <w:t> </w:t>
      </w:r>
      <w:r>
        <w:rPr/>
        <w:t>producers</w:t>
      </w:r>
      <w:r>
        <w:rPr>
          <w:spacing w:val="-2"/>
        </w:rPr>
        <w:t> </w:t>
      </w:r>
      <w:r>
        <w:rPr/>
        <w:t>in</w:t>
      </w:r>
      <w:r>
        <w:rPr>
          <w:spacing w:val="-4"/>
        </w:rPr>
        <w:t> </w:t>
      </w:r>
      <w:r>
        <w:rPr/>
        <w:t>the</w:t>
      </w:r>
      <w:r>
        <w:rPr>
          <w:spacing w:val="-3"/>
        </w:rPr>
        <w:t> </w:t>
      </w:r>
      <w:r>
        <w:rPr/>
        <w:t>ACT</w:t>
      </w:r>
      <w:r>
        <w:rPr>
          <w:spacing w:val="-3"/>
        </w:rPr>
        <w:t> </w:t>
      </w:r>
      <w:r>
        <w:rPr/>
        <w:t>and</w:t>
      </w:r>
      <w:r>
        <w:rPr>
          <w:spacing w:val="-2"/>
        </w:rPr>
        <w:t> </w:t>
      </w:r>
      <w:r>
        <w:rPr/>
        <w:t>NSW, reporting</w:t>
      </w:r>
      <w:r>
        <w:rPr>
          <w:spacing w:val="-3"/>
        </w:rPr>
        <w:t> </w:t>
      </w:r>
      <w:r>
        <w:rPr/>
        <w:t>that</w:t>
      </w:r>
      <w:r>
        <w:rPr>
          <w:spacing w:val="-4"/>
        </w:rPr>
        <w:t> </w:t>
      </w:r>
      <w:r>
        <w:rPr/>
        <w:t>11% had used, or were using LGAs. A recent survey by (Quantum Market Research 2024) involving Victorian ACUP users found that 2% of respondents identified LGAs as their primary control method, while 11% reported using them within the past five years to manage fox populations. Additionally, 9% indicated they would</w:t>
      </w:r>
      <w:r>
        <w:rPr>
          <w:spacing w:val="-3"/>
        </w:rPr>
        <w:t> </w:t>
      </w:r>
      <w:r>
        <w:rPr/>
        <w:t>increase</w:t>
      </w:r>
      <w:r>
        <w:rPr>
          <w:spacing w:val="-3"/>
        </w:rPr>
        <w:t> </w:t>
      </w:r>
      <w:r>
        <w:rPr/>
        <w:t>their use</w:t>
      </w:r>
      <w:r>
        <w:rPr>
          <w:spacing w:val="-3"/>
        </w:rPr>
        <w:t> </w:t>
      </w:r>
      <w:r>
        <w:rPr/>
        <w:t>of LGAs</w:t>
      </w:r>
      <w:r>
        <w:rPr>
          <w:spacing w:val="-2"/>
        </w:rPr>
        <w:t> </w:t>
      </w:r>
      <w:r>
        <w:rPr/>
        <w:t>if</w:t>
      </w:r>
      <w:r>
        <w:rPr>
          <w:spacing w:val="-1"/>
        </w:rPr>
        <w:t> </w:t>
      </w:r>
      <w:r>
        <w:rPr/>
        <w:t>1080</w:t>
      </w:r>
      <w:r>
        <w:rPr>
          <w:spacing w:val="-3"/>
        </w:rPr>
        <w:t> </w:t>
      </w:r>
      <w:r>
        <w:rPr/>
        <w:t>baiting</w:t>
      </w:r>
      <w:r>
        <w:rPr>
          <w:spacing w:val="-3"/>
        </w:rPr>
        <w:t> </w:t>
      </w:r>
      <w:r>
        <w:rPr/>
        <w:t>was</w:t>
      </w:r>
      <w:r>
        <w:rPr>
          <w:spacing w:val="-2"/>
        </w:rPr>
        <w:t> </w:t>
      </w:r>
      <w:r>
        <w:rPr/>
        <w:t>no</w:t>
      </w:r>
      <w:r>
        <w:rPr>
          <w:spacing w:val="-3"/>
        </w:rPr>
        <w:t> </w:t>
      </w:r>
      <w:r>
        <w:rPr/>
        <w:t>longer available.</w:t>
      </w:r>
      <w:r>
        <w:rPr>
          <w:spacing w:val="-1"/>
        </w:rPr>
        <w:t> </w:t>
      </w:r>
      <w:r>
        <w:rPr/>
        <w:t>For</w:t>
      </w:r>
      <w:r>
        <w:rPr>
          <w:spacing w:val="-2"/>
        </w:rPr>
        <w:t> </w:t>
      </w:r>
      <w:r>
        <w:rPr/>
        <w:t>those</w:t>
      </w:r>
      <w:r>
        <w:rPr>
          <w:spacing w:val="-3"/>
        </w:rPr>
        <w:t> </w:t>
      </w:r>
      <w:r>
        <w:rPr/>
        <w:t>managing Dingoes</w:t>
      </w:r>
      <w:r>
        <w:rPr>
          <w:spacing w:val="-2"/>
        </w:rPr>
        <w:t> </w:t>
      </w:r>
      <w:r>
        <w:rPr/>
        <w:t>and Wild Dogs, LGAs were not typically employed as a primary method. However, 10% reported using them in the past five years, and 12% stated they would increase their reliance on LGAs if 1080 were unavailable.</w:t>
      </w:r>
    </w:p>
    <w:p>
      <w:pPr>
        <w:pStyle w:val="BodyText"/>
        <w:ind w:left="112" w:right="364"/>
        <w:jc w:val="both"/>
      </w:pPr>
      <w:r>
        <w:rPr/>
        <w:t>These findings suggest that LGA usage has not changed</w:t>
      </w:r>
      <w:r>
        <w:rPr>
          <w:spacing w:val="-1"/>
        </w:rPr>
        <w:t> </w:t>
      </w:r>
      <w:r>
        <w:rPr/>
        <w:t>substantially since 2003. However, van Bommel and</w:t>
      </w:r>
      <w:r>
        <w:rPr>
          <w:spacing w:val="-3"/>
        </w:rPr>
        <w:t> </w:t>
      </w:r>
      <w:r>
        <w:rPr/>
        <w:t>Johnson</w:t>
      </w:r>
      <w:r>
        <w:rPr>
          <w:spacing w:val="-2"/>
        </w:rPr>
        <w:t> </w:t>
      </w:r>
      <w:r>
        <w:rPr/>
        <w:t>(2023)</w:t>
      </w:r>
      <w:r>
        <w:rPr>
          <w:spacing w:val="-2"/>
        </w:rPr>
        <w:t> </w:t>
      </w:r>
      <w:r>
        <w:rPr/>
        <w:t>noted</w:t>
      </w:r>
      <w:r>
        <w:rPr>
          <w:spacing w:val="-4"/>
        </w:rPr>
        <w:t> </w:t>
      </w:r>
      <w:r>
        <w:rPr/>
        <w:t>that</w:t>
      </w:r>
      <w:r>
        <w:rPr>
          <w:spacing w:val="-1"/>
        </w:rPr>
        <w:t> </w:t>
      </w:r>
      <w:r>
        <w:rPr/>
        <w:t>information</w:t>
      </w:r>
      <w:r>
        <w:rPr>
          <w:spacing w:val="-4"/>
        </w:rPr>
        <w:t> </w:t>
      </w:r>
      <w:r>
        <w:rPr/>
        <w:t>sharing</w:t>
      </w:r>
      <w:r>
        <w:rPr>
          <w:spacing w:val="-3"/>
        </w:rPr>
        <w:t> </w:t>
      </w:r>
      <w:r>
        <w:rPr/>
        <w:t>among</w:t>
      </w:r>
      <w:r>
        <w:rPr>
          <w:spacing w:val="-3"/>
        </w:rPr>
        <w:t> </w:t>
      </w:r>
      <w:r>
        <w:rPr/>
        <w:t>farmers</w:t>
      </w:r>
      <w:r>
        <w:rPr>
          <w:spacing w:val="-2"/>
        </w:rPr>
        <w:t> </w:t>
      </w:r>
      <w:r>
        <w:rPr/>
        <w:t>had</w:t>
      </w:r>
      <w:r>
        <w:rPr>
          <w:spacing w:val="-4"/>
        </w:rPr>
        <w:t> </w:t>
      </w:r>
      <w:r>
        <w:rPr/>
        <w:t>contributed</w:t>
      </w:r>
      <w:r>
        <w:rPr>
          <w:spacing w:val="-3"/>
        </w:rPr>
        <w:t> </w:t>
      </w:r>
      <w:r>
        <w:rPr/>
        <w:t>to</w:t>
      </w:r>
      <w:r>
        <w:rPr>
          <w:spacing w:val="-1"/>
        </w:rPr>
        <w:t> </w:t>
      </w:r>
      <w:r>
        <w:rPr/>
        <w:t>a</w:t>
      </w:r>
      <w:r>
        <w:rPr>
          <w:spacing w:val="-3"/>
        </w:rPr>
        <w:t> </w:t>
      </w:r>
      <w:r>
        <w:rPr/>
        <w:t>net</w:t>
      </w:r>
      <w:r>
        <w:rPr>
          <w:spacing w:val="-3"/>
        </w:rPr>
        <w:t> </w:t>
      </w:r>
      <w:r>
        <w:rPr/>
        <w:t>increase</w:t>
      </w:r>
      <w:r>
        <w:rPr>
          <w:spacing w:val="-3"/>
        </w:rPr>
        <w:t> </w:t>
      </w:r>
      <w:r>
        <w:rPr/>
        <w:t>in</w:t>
      </w:r>
      <w:r>
        <w:rPr>
          <w:spacing w:val="-3"/>
        </w:rPr>
        <w:t> </w:t>
      </w:r>
      <w:r>
        <w:rPr/>
        <w:t>the use of livestock guardian dogs (LGDs) in Australia.</w:t>
      </w:r>
    </w:p>
    <w:p>
      <w:pPr>
        <w:pStyle w:val="BodyText"/>
        <w:spacing w:before="119"/>
        <w:ind w:left="112"/>
      </w:pPr>
      <w:r>
        <w:rPr/>
        <w:t>The DEECA recently commissioned a review examining the effectiveness of non-lethal management techniques</w:t>
      </w:r>
      <w:r>
        <w:rPr>
          <w:spacing w:val="-3"/>
        </w:rPr>
        <w:t> </w:t>
      </w:r>
      <w:r>
        <w:rPr/>
        <w:t>for</w:t>
      </w:r>
      <w:r>
        <w:rPr>
          <w:spacing w:val="-2"/>
        </w:rPr>
        <w:t> </w:t>
      </w:r>
      <w:r>
        <w:rPr/>
        <w:t>Dingoes</w:t>
      </w:r>
      <w:r>
        <w:rPr>
          <w:spacing w:val="-3"/>
        </w:rPr>
        <w:t> </w:t>
      </w:r>
      <w:r>
        <w:rPr/>
        <w:t>and</w:t>
      </w:r>
      <w:r>
        <w:rPr>
          <w:spacing w:val="-2"/>
        </w:rPr>
        <w:t> </w:t>
      </w:r>
      <w:r>
        <w:rPr/>
        <w:t>Wild</w:t>
      </w:r>
      <w:r>
        <w:rPr>
          <w:spacing w:val="-2"/>
        </w:rPr>
        <w:t> </w:t>
      </w:r>
      <w:r>
        <w:rPr/>
        <w:t>Dogs</w:t>
      </w:r>
      <w:r>
        <w:rPr>
          <w:spacing w:val="-1"/>
        </w:rPr>
        <w:t> </w:t>
      </w:r>
      <w:r>
        <w:rPr/>
        <w:t>in</w:t>
      </w:r>
      <w:r>
        <w:rPr>
          <w:spacing w:val="-2"/>
        </w:rPr>
        <w:t> </w:t>
      </w:r>
      <w:r>
        <w:rPr/>
        <w:t>Victoria</w:t>
      </w:r>
      <w:r>
        <w:rPr>
          <w:spacing w:val="-3"/>
        </w:rPr>
        <w:t> </w:t>
      </w:r>
      <w:r>
        <w:rPr/>
        <w:t>(Inspiring</w:t>
      </w:r>
      <w:r>
        <w:rPr>
          <w:spacing w:val="-3"/>
        </w:rPr>
        <w:t> </w:t>
      </w:r>
      <w:r>
        <w:rPr/>
        <w:t>Excellence</w:t>
      </w:r>
      <w:r>
        <w:rPr>
          <w:spacing w:val="-2"/>
        </w:rPr>
        <w:t> </w:t>
      </w:r>
      <w:r>
        <w:rPr/>
        <w:t>2024).</w:t>
      </w:r>
      <w:r>
        <w:rPr>
          <w:spacing w:val="-4"/>
        </w:rPr>
        <w:t> </w:t>
      </w:r>
      <w:r>
        <w:rPr/>
        <w:t>This</w:t>
      </w:r>
      <w:r>
        <w:rPr>
          <w:spacing w:val="-3"/>
        </w:rPr>
        <w:t> </w:t>
      </w:r>
      <w:r>
        <w:rPr/>
        <w:t>review</w:t>
      </w:r>
      <w:r>
        <w:rPr>
          <w:spacing w:val="-4"/>
        </w:rPr>
        <w:t> </w:t>
      </w:r>
      <w:r>
        <w:rPr/>
        <w:t>discussed</w:t>
      </w:r>
      <w:r>
        <w:rPr>
          <w:spacing w:val="-5"/>
        </w:rPr>
        <w:t> </w:t>
      </w:r>
      <w:r>
        <w:rPr/>
        <w:t>three types of LGAs: LGDs, Alpacas (</w:t>
      </w:r>
      <w:r>
        <w:rPr>
          <w:i/>
        </w:rPr>
        <w:t>Vicugna pacos</w:t>
      </w:r>
      <w:r>
        <w:rPr/>
        <w:t>), Llamas (</w:t>
      </w:r>
      <w:r>
        <w:rPr>
          <w:i/>
        </w:rPr>
        <w:t>Lama glama</w:t>
      </w:r>
      <w:r>
        <w:rPr/>
        <w:t>), and Donkeys (</w:t>
      </w:r>
      <w:r>
        <w:rPr>
          <w:i/>
        </w:rPr>
        <w:t>Equus asinus</w:t>
      </w:r>
      <w:r>
        <w:rPr/>
        <w:t>).</w:t>
      </w:r>
    </w:p>
    <w:p>
      <w:pPr>
        <w:pStyle w:val="BodyText"/>
        <w:spacing w:before="2"/>
        <w:ind w:left="112" w:right="142"/>
      </w:pPr>
      <w:r>
        <w:rPr/>
        <w:t>Broadly, it concluded that LGAs can be effective when incorporated into integrated management strategies that</w:t>
      </w:r>
      <w:r>
        <w:rPr>
          <w:spacing w:val="-2"/>
        </w:rPr>
        <w:t> </w:t>
      </w:r>
      <w:r>
        <w:rPr/>
        <w:t>may</w:t>
      </w:r>
      <w:r>
        <w:rPr>
          <w:spacing w:val="-3"/>
        </w:rPr>
        <w:t> </w:t>
      </w:r>
      <w:r>
        <w:rPr/>
        <w:t>also</w:t>
      </w:r>
      <w:r>
        <w:rPr>
          <w:spacing w:val="-4"/>
        </w:rPr>
        <w:t> </w:t>
      </w:r>
      <w:r>
        <w:rPr/>
        <w:t>involve</w:t>
      </w:r>
      <w:r>
        <w:rPr>
          <w:spacing w:val="-2"/>
        </w:rPr>
        <w:t> </w:t>
      </w:r>
      <w:r>
        <w:rPr/>
        <w:t>lethal</w:t>
      </w:r>
      <w:r>
        <w:rPr>
          <w:spacing w:val="-3"/>
        </w:rPr>
        <w:t> </w:t>
      </w:r>
      <w:r>
        <w:rPr/>
        <w:t>methods.</w:t>
      </w:r>
      <w:r>
        <w:rPr>
          <w:spacing w:val="-4"/>
        </w:rPr>
        <w:t> </w:t>
      </w:r>
      <w:r>
        <w:rPr/>
        <w:t>However,</w:t>
      </w:r>
      <w:r>
        <w:rPr>
          <w:spacing w:val="-4"/>
        </w:rPr>
        <w:t> </w:t>
      </w:r>
      <w:r>
        <w:rPr/>
        <w:t>the</w:t>
      </w:r>
      <w:r>
        <w:rPr>
          <w:spacing w:val="-5"/>
        </w:rPr>
        <w:t> </w:t>
      </w:r>
      <w:r>
        <w:rPr/>
        <w:t>review</w:t>
      </w:r>
      <w:r>
        <w:rPr>
          <w:spacing w:val="-2"/>
        </w:rPr>
        <w:t> </w:t>
      </w:r>
      <w:r>
        <w:rPr/>
        <w:t>highlighted</w:t>
      </w:r>
      <w:r>
        <w:rPr>
          <w:spacing w:val="-2"/>
        </w:rPr>
        <w:t> </w:t>
      </w:r>
      <w:r>
        <w:rPr/>
        <w:t>a</w:t>
      </w:r>
      <w:r>
        <w:rPr>
          <w:spacing w:val="-5"/>
        </w:rPr>
        <w:t> </w:t>
      </w:r>
      <w:r>
        <w:rPr/>
        <w:t>general</w:t>
      </w:r>
      <w:r>
        <w:rPr>
          <w:spacing w:val="-3"/>
        </w:rPr>
        <w:t> </w:t>
      </w:r>
      <w:r>
        <w:rPr/>
        <w:t>lack</w:t>
      </w:r>
      <w:r>
        <w:rPr>
          <w:spacing w:val="-3"/>
        </w:rPr>
        <w:t> </w:t>
      </w:r>
      <w:r>
        <w:rPr/>
        <w:t>of</w:t>
      </w:r>
      <w:r>
        <w:rPr>
          <w:spacing w:val="-4"/>
        </w:rPr>
        <w:t> </w:t>
      </w:r>
      <w:r>
        <w:rPr/>
        <w:t>rigorous</w:t>
      </w:r>
      <w:r>
        <w:rPr>
          <w:spacing w:val="-3"/>
        </w:rPr>
        <w:t> </w:t>
      </w:r>
      <w:r>
        <w:rPr/>
        <w:t>evidence</w:t>
      </w:r>
      <w:r>
        <w:rPr>
          <w:spacing w:val="-2"/>
        </w:rPr>
        <w:t> </w:t>
      </w:r>
      <w:r>
        <w:rPr/>
        <w:t>in Australia regarding the effectiveness of LGAs.</w:t>
      </w:r>
    </w:p>
    <w:p>
      <w:pPr>
        <w:pStyle w:val="Heading5"/>
        <w:numPr>
          <w:ilvl w:val="2"/>
          <w:numId w:val="21"/>
        </w:numPr>
        <w:tabs>
          <w:tab w:pos="831" w:val="left" w:leader="none"/>
        </w:tabs>
        <w:spacing w:line="240" w:lineRule="auto" w:before="138" w:after="0"/>
        <w:ind w:left="831" w:right="0" w:hanging="719"/>
        <w:jc w:val="left"/>
      </w:pPr>
      <w:r>
        <w:rPr/>
        <w:t>Livestock</w:t>
      </w:r>
      <w:r>
        <w:rPr>
          <w:spacing w:val="-9"/>
        </w:rPr>
        <w:t> </w:t>
      </w:r>
      <w:r>
        <w:rPr/>
        <w:t>guardian</w:t>
      </w:r>
      <w:r>
        <w:rPr>
          <w:spacing w:val="-6"/>
        </w:rPr>
        <w:t> </w:t>
      </w:r>
      <w:r>
        <w:rPr>
          <w:spacing w:val="-4"/>
        </w:rPr>
        <w:t>dogs</w:t>
      </w:r>
    </w:p>
    <w:p>
      <w:pPr>
        <w:pStyle w:val="BodyText"/>
        <w:spacing w:before="56"/>
        <w:ind w:left="112" w:right="142"/>
      </w:pPr>
      <w:r>
        <w:rPr/>
        <w:t>Anecdotal evidence, case studies, interviews, and international experiences suggest that LGDs can effectively</w:t>
      </w:r>
      <w:r>
        <w:rPr>
          <w:spacing w:val="-3"/>
        </w:rPr>
        <w:t> </w:t>
      </w:r>
      <w:r>
        <w:rPr/>
        <w:t>mitigate</w:t>
      </w:r>
      <w:r>
        <w:rPr>
          <w:spacing w:val="-4"/>
        </w:rPr>
        <w:t> </w:t>
      </w:r>
      <w:r>
        <w:rPr/>
        <w:t>predation</w:t>
      </w:r>
      <w:r>
        <w:rPr>
          <w:spacing w:val="-4"/>
        </w:rPr>
        <w:t> </w:t>
      </w:r>
      <w:r>
        <w:rPr/>
        <w:t>risks</w:t>
      </w:r>
      <w:r>
        <w:rPr>
          <w:spacing w:val="-3"/>
        </w:rPr>
        <w:t> </w:t>
      </w:r>
      <w:r>
        <w:rPr/>
        <w:t>in</w:t>
      </w:r>
      <w:r>
        <w:rPr>
          <w:spacing w:val="-4"/>
        </w:rPr>
        <w:t> </w:t>
      </w:r>
      <w:r>
        <w:rPr/>
        <w:t>both</w:t>
      </w:r>
      <w:r>
        <w:rPr>
          <w:spacing w:val="-3"/>
        </w:rPr>
        <w:t> </w:t>
      </w:r>
      <w:r>
        <w:rPr/>
        <w:t>Australia</w:t>
      </w:r>
      <w:r>
        <w:rPr>
          <w:spacing w:val="-4"/>
        </w:rPr>
        <w:t> </w:t>
      </w:r>
      <w:r>
        <w:rPr/>
        <w:t>and</w:t>
      </w:r>
      <w:r>
        <w:rPr>
          <w:spacing w:val="-4"/>
        </w:rPr>
        <w:t> </w:t>
      </w:r>
      <w:r>
        <w:rPr/>
        <w:t>abroad (Jenkins</w:t>
      </w:r>
      <w:r>
        <w:rPr>
          <w:spacing w:val="-3"/>
        </w:rPr>
        <w:t> </w:t>
      </w:r>
      <w:r>
        <w:rPr/>
        <w:t>2003).</w:t>
      </w:r>
      <w:r>
        <w:rPr>
          <w:spacing w:val="-4"/>
        </w:rPr>
        <w:t> </w:t>
      </w:r>
      <w:r>
        <w:rPr/>
        <w:t>However,</w:t>
      </w:r>
      <w:r>
        <w:rPr>
          <w:spacing w:val="-4"/>
        </w:rPr>
        <w:t> </w:t>
      </w:r>
      <w:r>
        <w:rPr/>
        <w:t>in</w:t>
      </w:r>
      <w:r>
        <w:rPr>
          <w:spacing w:val="-2"/>
        </w:rPr>
        <w:t> </w:t>
      </w:r>
      <w:r>
        <w:rPr/>
        <w:t>Australia,</w:t>
      </w:r>
      <w:r>
        <w:rPr>
          <w:spacing w:val="-2"/>
        </w:rPr>
        <w:t> </w:t>
      </w:r>
      <w:r>
        <w:rPr/>
        <w:t>LGDs are</w:t>
      </w:r>
      <w:r>
        <w:rPr>
          <w:spacing w:val="-2"/>
        </w:rPr>
        <w:t> </w:t>
      </w:r>
      <w:r>
        <w:rPr/>
        <w:t>rarely used</w:t>
      </w:r>
      <w:r>
        <w:rPr>
          <w:spacing w:val="-3"/>
        </w:rPr>
        <w:t> </w:t>
      </w:r>
      <w:r>
        <w:rPr/>
        <w:t>without</w:t>
      </w:r>
      <w:r>
        <w:rPr>
          <w:spacing w:val="-2"/>
        </w:rPr>
        <w:t> </w:t>
      </w:r>
      <w:r>
        <w:rPr/>
        <w:t>some</w:t>
      </w:r>
      <w:r>
        <w:rPr>
          <w:spacing w:val="-2"/>
        </w:rPr>
        <w:t> </w:t>
      </w:r>
      <w:r>
        <w:rPr/>
        <w:t>form</w:t>
      </w:r>
      <w:r>
        <w:rPr>
          <w:spacing w:val="-2"/>
        </w:rPr>
        <w:t> </w:t>
      </w:r>
      <w:r>
        <w:rPr/>
        <w:t>of lethal</w:t>
      </w:r>
      <w:r>
        <w:rPr>
          <w:spacing w:val="-3"/>
        </w:rPr>
        <w:t> </w:t>
      </w:r>
      <w:r>
        <w:rPr/>
        <w:t>control, making</w:t>
      </w:r>
      <w:r>
        <w:rPr>
          <w:spacing w:val="-1"/>
        </w:rPr>
        <w:t> </w:t>
      </w:r>
      <w:r>
        <w:rPr/>
        <w:t>it</w:t>
      </w:r>
      <w:r>
        <w:rPr>
          <w:spacing w:val="-2"/>
        </w:rPr>
        <w:t> </w:t>
      </w:r>
      <w:r>
        <w:rPr/>
        <w:t>challenging</w:t>
      </w:r>
      <w:r>
        <w:rPr>
          <w:spacing w:val="-3"/>
        </w:rPr>
        <w:t> </w:t>
      </w:r>
      <w:r>
        <w:rPr/>
        <w:t>to</w:t>
      </w:r>
      <w:r>
        <w:rPr>
          <w:spacing w:val="-2"/>
        </w:rPr>
        <w:t> </w:t>
      </w:r>
      <w:r>
        <w:rPr/>
        <w:t>assess</w:t>
      </w:r>
      <w:r>
        <w:rPr>
          <w:spacing w:val="-1"/>
        </w:rPr>
        <w:t> </w:t>
      </w:r>
      <w:r>
        <w:rPr/>
        <w:t>their</w:t>
      </w:r>
      <w:r>
        <w:rPr>
          <w:spacing w:val="-1"/>
        </w:rPr>
        <w:t> </w:t>
      </w:r>
      <w:r>
        <w:rPr/>
        <w:t>standalone</w:t>
      </w:r>
      <w:r>
        <w:rPr>
          <w:spacing w:val="-2"/>
        </w:rPr>
        <w:t> </w:t>
      </w:r>
      <w:r>
        <w:rPr/>
        <w:t>efficacy as an alternative to methods like 1080 baiting.</w:t>
      </w:r>
    </w:p>
    <w:p>
      <w:pPr>
        <w:pStyle w:val="BodyText"/>
        <w:spacing w:before="122"/>
        <w:ind w:left="112" w:right="142"/>
      </w:pPr>
      <w:r>
        <w:rPr/>
        <w:t>The researchers, van Bommel and Johnson (2012), based on a survey of 93 respondents, reported that 65.7% of land managers using LGDs observed a complete cessation of predation, while 30.2% noted a reduction. The study also found that when the livestock-to-dog ratio exceeded 100, predation could persist. Proper</w:t>
      </w:r>
      <w:r>
        <w:rPr>
          <w:spacing w:val="-4"/>
        </w:rPr>
        <w:t> </w:t>
      </w:r>
      <w:r>
        <w:rPr/>
        <w:t>training,</w:t>
      </w:r>
      <w:r>
        <w:rPr>
          <w:spacing w:val="-4"/>
        </w:rPr>
        <w:t> </w:t>
      </w:r>
      <w:r>
        <w:rPr/>
        <w:t>bonding</w:t>
      </w:r>
      <w:r>
        <w:rPr>
          <w:spacing w:val="-4"/>
        </w:rPr>
        <w:t> </w:t>
      </w:r>
      <w:r>
        <w:rPr/>
        <w:t>with</w:t>
      </w:r>
      <w:r>
        <w:rPr>
          <w:spacing w:val="-4"/>
        </w:rPr>
        <w:t> </w:t>
      </w:r>
      <w:r>
        <w:rPr/>
        <w:t>livestock,</w:t>
      </w:r>
      <w:r>
        <w:rPr>
          <w:spacing w:val="-4"/>
        </w:rPr>
        <w:t> </w:t>
      </w:r>
      <w:r>
        <w:rPr/>
        <w:t>and</w:t>
      </w:r>
      <w:r>
        <w:rPr>
          <w:spacing w:val="-2"/>
        </w:rPr>
        <w:t> </w:t>
      </w:r>
      <w:r>
        <w:rPr/>
        <w:t>appropriate</w:t>
      </w:r>
      <w:r>
        <w:rPr>
          <w:spacing w:val="-2"/>
        </w:rPr>
        <w:t> </w:t>
      </w:r>
      <w:r>
        <w:rPr/>
        <w:t>numbers</w:t>
      </w:r>
      <w:r>
        <w:rPr>
          <w:spacing w:val="-3"/>
        </w:rPr>
        <w:t> </w:t>
      </w:r>
      <w:r>
        <w:rPr/>
        <w:t>of</w:t>
      </w:r>
      <w:r>
        <w:rPr>
          <w:spacing w:val="-2"/>
        </w:rPr>
        <w:t> </w:t>
      </w:r>
      <w:r>
        <w:rPr/>
        <w:t>LGDs</w:t>
      </w:r>
      <w:r>
        <w:rPr>
          <w:spacing w:val="-2"/>
        </w:rPr>
        <w:t> </w:t>
      </w:r>
      <w:r>
        <w:rPr/>
        <w:t>per</w:t>
      </w:r>
      <w:r>
        <w:rPr>
          <w:spacing w:val="-3"/>
        </w:rPr>
        <w:t> </w:t>
      </w:r>
      <w:r>
        <w:rPr/>
        <w:t>flock</w:t>
      </w:r>
      <w:r>
        <w:rPr>
          <w:spacing w:val="-3"/>
        </w:rPr>
        <w:t> </w:t>
      </w:r>
      <w:r>
        <w:rPr/>
        <w:t>were</w:t>
      </w:r>
      <w:r>
        <w:rPr>
          <w:spacing w:val="-4"/>
        </w:rPr>
        <w:t> </w:t>
      </w:r>
      <w:r>
        <w:rPr/>
        <w:t>identified</w:t>
      </w:r>
      <w:r>
        <w:rPr>
          <w:spacing w:val="-4"/>
        </w:rPr>
        <w:t> </w:t>
      </w:r>
      <w:r>
        <w:rPr/>
        <w:t>as</w:t>
      </w:r>
      <w:r>
        <w:rPr>
          <w:spacing w:val="-3"/>
        </w:rPr>
        <w:t> </w:t>
      </w:r>
      <w:r>
        <w:rPr/>
        <w:t>critical factors for success. The researchers also determined that LGDs were effective for both large- and small- scale holdings, provided they were well-trained and managed.</w:t>
      </w:r>
    </w:p>
    <w:p>
      <w:pPr>
        <w:pStyle w:val="BodyText"/>
        <w:spacing w:before="121"/>
        <w:ind w:left="112"/>
      </w:pPr>
      <w:r>
        <w:rPr/>
        <w:t>A follow-up survey conducted ten years later revealed that 50% of respondents were still using LGDs, with 48%</w:t>
      </w:r>
      <w:r>
        <w:rPr>
          <w:spacing w:val="-4"/>
        </w:rPr>
        <w:t> </w:t>
      </w:r>
      <w:r>
        <w:rPr/>
        <w:t>of</w:t>
      </w:r>
      <w:r>
        <w:rPr>
          <w:spacing w:val="-3"/>
        </w:rPr>
        <w:t> </w:t>
      </w:r>
      <w:r>
        <w:rPr/>
        <w:t>these</w:t>
      </w:r>
      <w:r>
        <w:rPr>
          <w:spacing w:val="-3"/>
        </w:rPr>
        <w:t> </w:t>
      </w:r>
      <w:r>
        <w:rPr/>
        <w:t>users</w:t>
      </w:r>
      <w:r>
        <w:rPr>
          <w:spacing w:val="-3"/>
        </w:rPr>
        <w:t> </w:t>
      </w:r>
      <w:r>
        <w:rPr/>
        <w:t>confirming</w:t>
      </w:r>
      <w:r>
        <w:rPr>
          <w:spacing w:val="-3"/>
        </w:rPr>
        <w:t> </w:t>
      </w:r>
      <w:r>
        <w:rPr/>
        <w:t>their</w:t>
      </w:r>
      <w:r>
        <w:rPr>
          <w:spacing w:val="-3"/>
        </w:rPr>
        <w:t> </w:t>
      </w:r>
      <w:r>
        <w:rPr/>
        <w:t>continued</w:t>
      </w:r>
      <w:r>
        <w:rPr>
          <w:spacing w:val="-3"/>
        </w:rPr>
        <w:t> </w:t>
      </w:r>
      <w:r>
        <w:rPr/>
        <w:t>effectiveness.</w:t>
      </w:r>
      <w:r>
        <w:rPr>
          <w:spacing w:val="-4"/>
        </w:rPr>
        <w:t> </w:t>
      </w:r>
      <w:r>
        <w:rPr/>
        <w:t>Of</w:t>
      </w:r>
      <w:r>
        <w:rPr>
          <w:spacing w:val="-4"/>
        </w:rPr>
        <w:t> </w:t>
      </w:r>
      <w:r>
        <w:rPr/>
        <w:t>those</w:t>
      </w:r>
      <w:r>
        <w:rPr>
          <w:spacing w:val="-3"/>
        </w:rPr>
        <w:t> </w:t>
      </w:r>
      <w:r>
        <w:rPr/>
        <w:t>who</w:t>
      </w:r>
      <w:r>
        <w:rPr>
          <w:spacing w:val="-3"/>
        </w:rPr>
        <w:t> </w:t>
      </w:r>
      <w:r>
        <w:rPr/>
        <w:t>had</w:t>
      </w:r>
      <w:r>
        <w:rPr>
          <w:spacing w:val="-4"/>
        </w:rPr>
        <w:t> </w:t>
      </w:r>
      <w:r>
        <w:rPr/>
        <w:t>discontinued</w:t>
      </w:r>
      <w:r>
        <w:rPr>
          <w:spacing w:val="-3"/>
        </w:rPr>
        <w:t> </w:t>
      </w:r>
      <w:r>
        <w:rPr/>
        <w:t>use,</w:t>
      </w:r>
      <w:r>
        <w:rPr>
          <w:spacing w:val="-3"/>
        </w:rPr>
        <w:t> </w:t>
      </w:r>
      <w:r>
        <w:rPr/>
        <w:t>12%</w:t>
      </w:r>
      <w:r>
        <w:rPr>
          <w:spacing w:val="-4"/>
        </w:rPr>
        <w:t> </w:t>
      </w:r>
      <w:r>
        <w:rPr/>
        <w:t>cited issues with the dogs themselves as the main reason, while 9.5% attributed their decision to conflicts with neighbours (van Bommel and Johnson 2023).</w:t>
      </w:r>
    </w:p>
    <w:p>
      <w:pPr>
        <w:pStyle w:val="BodyText"/>
        <w:spacing w:before="119"/>
        <w:ind w:left="112" w:right="173"/>
      </w:pPr>
      <w:r>
        <w:rPr/>
        <w:t>Numerous studies and reviews have emphasised that successful deployment of LGDs requires consistent training, ongoing care, the use of containment fencing, and proper bonding with livestock. The number of dogs required typically increases with flock size (van Bommel 2010; van Bommel and Johnson 2023; Rigg 2001).</w:t>
      </w:r>
      <w:r>
        <w:rPr>
          <w:spacing w:val="-1"/>
        </w:rPr>
        <w:t> </w:t>
      </w:r>
      <w:r>
        <w:rPr/>
        <w:t>Therefore, LGDs are likely to be less suitable</w:t>
      </w:r>
      <w:r>
        <w:rPr>
          <w:spacing w:val="-1"/>
        </w:rPr>
        <w:t> </w:t>
      </w:r>
      <w:r>
        <w:rPr/>
        <w:t>for</w:t>
      </w:r>
      <w:r>
        <w:rPr>
          <w:spacing w:val="-1"/>
        </w:rPr>
        <w:t> </w:t>
      </w:r>
      <w:r>
        <w:rPr/>
        <w:t>enterprises with large herds and</w:t>
      </w:r>
      <w:r>
        <w:rPr>
          <w:spacing w:val="-1"/>
        </w:rPr>
        <w:t> </w:t>
      </w:r>
      <w:r>
        <w:rPr/>
        <w:t>property sizes.</w:t>
      </w:r>
      <w:r>
        <w:rPr>
          <w:spacing w:val="-1"/>
        </w:rPr>
        <w:t> </w:t>
      </w:r>
      <w:r>
        <w:rPr/>
        <w:t>For example, at ratio of 1:100, land holders in the northwest of Victoria would need 30 dogs to look after 3,000 head</w:t>
      </w:r>
      <w:r>
        <w:rPr>
          <w:spacing w:val="-2"/>
        </w:rPr>
        <w:t> </w:t>
      </w:r>
      <w:r>
        <w:rPr/>
        <w:t>of</w:t>
      </w:r>
      <w:r>
        <w:rPr>
          <w:spacing w:val="-1"/>
        </w:rPr>
        <w:t> </w:t>
      </w:r>
      <w:r>
        <w:rPr/>
        <w:t>Sheep.</w:t>
      </w:r>
      <w:r>
        <w:rPr>
          <w:spacing w:val="-2"/>
        </w:rPr>
        <w:t> </w:t>
      </w:r>
      <w:r>
        <w:rPr/>
        <w:t>Some</w:t>
      </w:r>
      <w:r>
        <w:rPr>
          <w:spacing w:val="-2"/>
        </w:rPr>
        <w:t> </w:t>
      </w:r>
      <w:r>
        <w:rPr/>
        <w:t>literature</w:t>
      </w:r>
      <w:r>
        <w:rPr>
          <w:spacing w:val="-4"/>
        </w:rPr>
        <w:t> </w:t>
      </w:r>
      <w:r>
        <w:rPr/>
        <w:t>also</w:t>
      </w:r>
      <w:r>
        <w:rPr>
          <w:spacing w:val="-4"/>
        </w:rPr>
        <w:t> </w:t>
      </w:r>
      <w:r>
        <w:rPr/>
        <w:t>discusses</w:t>
      </w:r>
      <w:r>
        <w:rPr>
          <w:spacing w:val="-3"/>
        </w:rPr>
        <w:t> </w:t>
      </w:r>
      <w:r>
        <w:rPr/>
        <w:t>the</w:t>
      </w:r>
      <w:r>
        <w:rPr>
          <w:spacing w:val="-4"/>
        </w:rPr>
        <w:t> </w:t>
      </w:r>
      <w:r>
        <w:rPr/>
        <w:t>potential</w:t>
      </w:r>
      <w:r>
        <w:rPr>
          <w:spacing w:val="-3"/>
        </w:rPr>
        <w:t> </w:t>
      </w:r>
      <w:r>
        <w:rPr/>
        <w:t>impact</w:t>
      </w:r>
      <w:r>
        <w:rPr>
          <w:spacing w:val="-4"/>
        </w:rPr>
        <w:t> </w:t>
      </w:r>
      <w:r>
        <w:rPr/>
        <w:t>of</w:t>
      </w:r>
      <w:r>
        <w:rPr>
          <w:spacing w:val="-4"/>
        </w:rPr>
        <w:t> </w:t>
      </w:r>
      <w:r>
        <w:rPr/>
        <w:t>LGDs</w:t>
      </w:r>
      <w:r>
        <w:rPr>
          <w:spacing w:val="-2"/>
        </w:rPr>
        <w:t> </w:t>
      </w:r>
      <w:r>
        <w:rPr/>
        <w:t>on</w:t>
      </w:r>
      <w:r>
        <w:rPr>
          <w:spacing w:val="-4"/>
        </w:rPr>
        <w:t> </w:t>
      </w:r>
      <w:r>
        <w:rPr/>
        <w:t>wildlife,</w:t>
      </w:r>
      <w:r>
        <w:rPr>
          <w:spacing w:val="-4"/>
        </w:rPr>
        <w:t> </w:t>
      </w:r>
      <w:r>
        <w:rPr/>
        <w:t>with</w:t>
      </w:r>
      <w:r>
        <w:rPr>
          <w:spacing w:val="-5"/>
        </w:rPr>
        <w:t> </w:t>
      </w:r>
      <w:r>
        <w:rPr/>
        <w:t>reports</w:t>
      </w:r>
      <w:r>
        <w:rPr>
          <w:spacing w:val="-3"/>
        </w:rPr>
        <w:t> </w:t>
      </w:r>
      <w:r>
        <w:rPr/>
        <w:t>of</w:t>
      </w:r>
      <w:r>
        <w:rPr>
          <w:spacing w:val="-2"/>
        </w:rPr>
        <w:t> </w:t>
      </w:r>
      <w:r>
        <w:rPr/>
        <w:t>LGDs killing native animals such as Dingoes (Allen et al. 2019; Smith et al. 2020), thereby classifying them as potentially lethal control tools and raising animal welfare concerns.</w:t>
      </w:r>
    </w:p>
    <w:p>
      <w:pPr>
        <w:spacing w:after="0"/>
        <w:sectPr>
          <w:footerReference w:type="default" r:id="rId68"/>
          <w:footerReference w:type="even" r:id="rId69"/>
          <w:pgSz w:w="11910" w:h="16850"/>
          <w:pgMar w:header="0" w:footer="688" w:top="1060" w:bottom="880" w:left="1020" w:right="1020"/>
          <w:pgNumType w:start="67"/>
        </w:sectPr>
      </w:pPr>
    </w:p>
    <w:p>
      <w:pPr>
        <w:pStyle w:val="Heading5"/>
        <w:numPr>
          <w:ilvl w:val="2"/>
          <w:numId w:val="21"/>
        </w:numPr>
        <w:tabs>
          <w:tab w:pos="831" w:val="left" w:leader="none"/>
        </w:tabs>
        <w:spacing w:line="240" w:lineRule="auto" w:before="72" w:after="0"/>
        <w:ind w:left="831" w:right="0" w:hanging="719"/>
        <w:jc w:val="left"/>
      </w:pPr>
      <w:r>
        <w:rPr/>
        <w:t>Llamas</w:t>
      </w:r>
      <w:r>
        <w:rPr>
          <w:spacing w:val="-5"/>
        </w:rPr>
        <w:t> </w:t>
      </w:r>
      <w:r>
        <w:rPr/>
        <w:t>and</w:t>
      </w:r>
      <w:r>
        <w:rPr>
          <w:spacing w:val="-5"/>
        </w:rPr>
        <w:t> </w:t>
      </w:r>
      <w:r>
        <w:rPr>
          <w:spacing w:val="-2"/>
        </w:rPr>
        <w:t>Alpacas</w:t>
      </w:r>
    </w:p>
    <w:p>
      <w:pPr>
        <w:pStyle w:val="BodyText"/>
        <w:spacing w:before="56"/>
        <w:ind w:left="112" w:right="173"/>
      </w:pPr>
      <w:r>
        <w:rPr/>
        <w:t>The</w:t>
      </w:r>
      <w:r>
        <w:rPr>
          <w:spacing w:val="-5"/>
        </w:rPr>
        <w:t> </w:t>
      </w:r>
      <w:r>
        <w:rPr/>
        <w:t>DEECA</w:t>
      </w:r>
      <w:r>
        <w:rPr>
          <w:spacing w:val="-4"/>
        </w:rPr>
        <w:t> </w:t>
      </w:r>
      <w:r>
        <w:rPr/>
        <w:t>review</w:t>
      </w:r>
      <w:r>
        <w:rPr>
          <w:spacing w:val="-4"/>
        </w:rPr>
        <w:t> </w:t>
      </w:r>
      <w:r>
        <w:rPr/>
        <w:t>on</w:t>
      </w:r>
      <w:r>
        <w:rPr>
          <w:spacing w:val="-4"/>
        </w:rPr>
        <w:t> </w:t>
      </w:r>
      <w:r>
        <w:rPr/>
        <w:t>non-lethal</w:t>
      </w:r>
      <w:r>
        <w:rPr>
          <w:spacing w:val="-3"/>
        </w:rPr>
        <w:t> </w:t>
      </w:r>
      <w:r>
        <w:rPr/>
        <w:t>management</w:t>
      </w:r>
      <w:r>
        <w:rPr>
          <w:spacing w:val="-4"/>
        </w:rPr>
        <w:t> </w:t>
      </w:r>
      <w:r>
        <w:rPr/>
        <w:t>for</w:t>
      </w:r>
      <w:r>
        <w:rPr>
          <w:spacing w:val="-1"/>
        </w:rPr>
        <w:t> </w:t>
      </w:r>
      <w:r>
        <w:rPr/>
        <w:t>Dingoes</w:t>
      </w:r>
      <w:r>
        <w:rPr>
          <w:spacing w:val="-3"/>
        </w:rPr>
        <w:t> </w:t>
      </w:r>
      <w:r>
        <w:rPr/>
        <w:t>and</w:t>
      </w:r>
      <w:r>
        <w:rPr>
          <w:spacing w:val="-1"/>
        </w:rPr>
        <w:t> </w:t>
      </w:r>
      <w:r>
        <w:rPr/>
        <w:t>Wild</w:t>
      </w:r>
      <w:r>
        <w:rPr>
          <w:spacing w:val="-4"/>
        </w:rPr>
        <w:t> </w:t>
      </w:r>
      <w:r>
        <w:rPr/>
        <w:t>Dogs</w:t>
      </w:r>
      <w:r>
        <w:rPr>
          <w:spacing w:val="-3"/>
        </w:rPr>
        <w:t> </w:t>
      </w:r>
      <w:r>
        <w:rPr/>
        <w:t>highlighted</w:t>
      </w:r>
      <w:r>
        <w:rPr>
          <w:spacing w:val="-2"/>
        </w:rPr>
        <w:t> </w:t>
      </w:r>
      <w:r>
        <w:rPr/>
        <w:t>the</w:t>
      </w:r>
      <w:r>
        <w:rPr>
          <w:spacing w:val="-3"/>
        </w:rPr>
        <w:t> </w:t>
      </w:r>
      <w:r>
        <w:rPr/>
        <w:t>use</w:t>
      </w:r>
      <w:r>
        <w:rPr>
          <w:spacing w:val="-4"/>
        </w:rPr>
        <w:t> </w:t>
      </w:r>
      <w:r>
        <w:rPr/>
        <w:t>of Alpacas and Llamas as LGAs, primarily for protecting Sheep and Goats from foxes (Inspiring Excellence 2024).</w:t>
      </w:r>
    </w:p>
    <w:p>
      <w:pPr>
        <w:pStyle w:val="BodyText"/>
        <w:spacing w:before="1"/>
        <w:ind w:left="112" w:right="142"/>
      </w:pPr>
      <w:r>
        <w:rPr/>
        <w:t>However,</w:t>
      </w:r>
      <w:r>
        <w:rPr>
          <w:spacing w:val="-2"/>
        </w:rPr>
        <w:t> </w:t>
      </w:r>
      <w:r>
        <w:rPr/>
        <w:t>anecdotal</w:t>
      </w:r>
      <w:r>
        <w:rPr>
          <w:spacing w:val="-6"/>
        </w:rPr>
        <w:t> </w:t>
      </w:r>
      <w:r>
        <w:rPr/>
        <w:t>accounts</w:t>
      </w:r>
      <w:r>
        <w:rPr>
          <w:spacing w:val="-4"/>
        </w:rPr>
        <w:t> </w:t>
      </w:r>
      <w:r>
        <w:rPr/>
        <w:t>from</w:t>
      </w:r>
      <w:r>
        <w:rPr>
          <w:spacing w:val="-3"/>
        </w:rPr>
        <w:t> </w:t>
      </w:r>
      <w:r>
        <w:rPr/>
        <w:t>landholders</w:t>
      </w:r>
      <w:r>
        <w:rPr>
          <w:spacing w:val="-3"/>
        </w:rPr>
        <w:t> </w:t>
      </w:r>
      <w:r>
        <w:rPr/>
        <w:t>suggest</w:t>
      </w:r>
      <w:r>
        <w:rPr>
          <w:spacing w:val="-5"/>
        </w:rPr>
        <w:t> </w:t>
      </w:r>
      <w:r>
        <w:rPr/>
        <w:t>that Alpacas</w:t>
      </w:r>
      <w:r>
        <w:rPr>
          <w:spacing w:val="-3"/>
        </w:rPr>
        <w:t> </w:t>
      </w:r>
      <w:r>
        <w:rPr/>
        <w:t>are</w:t>
      </w:r>
      <w:r>
        <w:rPr>
          <w:spacing w:val="-3"/>
        </w:rPr>
        <w:t> </w:t>
      </w:r>
      <w:r>
        <w:rPr/>
        <w:t>less</w:t>
      </w:r>
      <w:r>
        <w:rPr>
          <w:spacing w:val="-4"/>
        </w:rPr>
        <w:t> </w:t>
      </w:r>
      <w:r>
        <w:rPr/>
        <w:t>effective</w:t>
      </w:r>
      <w:r>
        <w:rPr>
          <w:spacing w:val="-5"/>
        </w:rPr>
        <w:t> </w:t>
      </w:r>
      <w:r>
        <w:rPr/>
        <w:t>against</w:t>
      </w:r>
      <w:r>
        <w:rPr>
          <w:spacing w:val="-2"/>
        </w:rPr>
        <w:t> </w:t>
      </w:r>
      <w:r>
        <w:rPr/>
        <w:t>Dingoes</w:t>
      </w:r>
      <w:r>
        <w:rPr>
          <w:spacing w:val="-4"/>
        </w:rPr>
        <w:t> </w:t>
      </w:r>
      <w:r>
        <w:rPr/>
        <w:t>and Wild Dogs. For instance, one report described lambs being taken from a flock ‘protected’ by three Alpacas. As with all LGAs, proper management, including bonding with the flock, is crucial for success.</w:t>
      </w:r>
    </w:p>
    <w:p>
      <w:pPr>
        <w:pStyle w:val="BodyText"/>
        <w:spacing w:before="121"/>
        <w:ind w:left="112" w:right="142"/>
      </w:pPr>
      <w:r>
        <w:rPr/>
        <w:t>Alpacas, being only slightly larger than Sheep and Goats, can themselves fall victim to attacks by Dingoes and</w:t>
      </w:r>
      <w:r>
        <w:rPr>
          <w:spacing w:val="-2"/>
        </w:rPr>
        <w:t> </w:t>
      </w:r>
      <w:r>
        <w:rPr/>
        <w:t>Wild</w:t>
      </w:r>
      <w:r>
        <w:rPr>
          <w:spacing w:val="-2"/>
        </w:rPr>
        <w:t> </w:t>
      </w:r>
      <w:r>
        <w:rPr/>
        <w:t>Dogs.</w:t>
      </w:r>
      <w:r>
        <w:rPr>
          <w:spacing w:val="-4"/>
        </w:rPr>
        <w:t> </w:t>
      </w:r>
      <w:r>
        <w:rPr/>
        <w:t>In</w:t>
      </w:r>
      <w:r>
        <w:rPr>
          <w:spacing w:val="-4"/>
        </w:rPr>
        <w:t> </w:t>
      </w:r>
      <w:r>
        <w:rPr/>
        <w:t>2021,</w:t>
      </w:r>
      <w:r>
        <w:rPr>
          <w:spacing w:val="-2"/>
        </w:rPr>
        <w:t> </w:t>
      </w:r>
      <w:r>
        <w:rPr/>
        <w:t>the</w:t>
      </w:r>
      <w:r>
        <w:rPr>
          <w:spacing w:val="-4"/>
        </w:rPr>
        <w:t> </w:t>
      </w:r>
      <w:r>
        <w:rPr/>
        <w:t>Victorian Wild</w:t>
      </w:r>
      <w:r>
        <w:rPr>
          <w:spacing w:val="-4"/>
        </w:rPr>
        <w:t> </w:t>
      </w:r>
      <w:r>
        <w:rPr/>
        <w:t>Dog</w:t>
      </w:r>
      <w:r>
        <w:rPr>
          <w:spacing w:val="-2"/>
        </w:rPr>
        <w:t> </w:t>
      </w:r>
      <w:r>
        <w:rPr/>
        <w:t>Management</w:t>
      </w:r>
      <w:r>
        <w:rPr>
          <w:spacing w:val="-2"/>
        </w:rPr>
        <w:t> </w:t>
      </w:r>
      <w:r>
        <w:rPr/>
        <w:t>Programme</w:t>
      </w:r>
      <w:r>
        <w:rPr>
          <w:spacing w:val="-2"/>
        </w:rPr>
        <w:t> </w:t>
      </w:r>
      <w:r>
        <w:rPr/>
        <w:t>documented</w:t>
      </w:r>
      <w:r>
        <w:rPr>
          <w:spacing w:val="-4"/>
        </w:rPr>
        <w:t> </w:t>
      </w:r>
      <w:r>
        <w:rPr/>
        <w:t>40</w:t>
      </w:r>
      <w:r>
        <w:rPr>
          <w:spacing w:val="-2"/>
        </w:rPr>
        <w:t> </w:t>
      </w:r>
      <w:r>
        <w:rPr/>
        <w:t>incidents</w:t>
      </w:r>
      <w:r>
        <w:rPr>
          <w:spacing w:val="-3"/>
        </w:rPr>
        <w:t> </w:t>
      </w:r>
      <w:r>
        <w:rPr/>
        <w:t>involving a total of 86 Alpacas killed or injured by Dingoes or Wild Dogs. However, Alpacas are capable of killing smaller predators such as foxes when they pursue and corner them (Jenkins 2003).</w:t>
      </w:r>
    </w:p>
    <w:p>
      <w:pPr>
        <w:pStyle w:val="BodyText"/>
        <w:spacing w:before="120"/>
        <w:ind w:left="112" w:right="139"/>
      </w:pPr>
      <w:r>
        <w:rPr/>
        <w:t>Llamas, which are larger (weighing approximately 200 kg and standing 2 metres tall) and faster than</w:t>
      </w:r>
      <w:r>
        <w:rPr/>
        <w:t> Alpacas, are considered more effective for livestock protection. Franklin and Powell (1993) conducted a study</w:t>
      </w:r>
      <w:r>
        <w:rPr>
          <w:spacing w:val="-3"/>
        </w:rPr>
        <w:t> </w:t>
      </w:r>
      <w:r>
        <w:rPr/>
        <w:t>in</w:t>
      </w:r>
      <w:r>
        <w:rPr>
          <w:spacing w:val="-2"/>
        </w:rPr>
        <w:t> </w:t>
      </w:r>
      <w:r>
        <w:rPr/>
        <w:t>the</w:t>
      </w:r>
      <w:r>
        <w:rPr>
          <w:spacing w:val="-3"/>
        </w:rPr>
        <w:t> </w:t>
      </w:r>
      <w:r>
        <w:rPr/>
        <w:t>United</w:t>
      </w:r>
      <w:r>
        <w:rPr>
          <w:spacing w:val="-3"/>
        </w:rPr>
        <w:t> </w:t>
      </w:r>
      <w:r>
        <w:rPr/>
        <w:t>States</w:t>
      </w:r>
      <w:r>
        <w:rPr>
          <w:spacing w:val="-3"/>
        </w:rPr>
        <w:t> </w:t>
      </w:r>
      <w:r>
        <w:rPr/>
        <w:t>involving</w:t>
      </w:r>
      <w:r>
        <w:rPr>
          <w:spacing w:val="-4"/>
        </w:rPr>
        <w:t> </w:t>
      </w:r>
      <w:r>
        <w:rPr/>
        <w:t>telephone</w:t>
      </w:r>
      <w:r>
        <w:rPr>
          <w:spacing w:val="-3"/>
        </w:rPr>
        <w:t> </w:t>
      </w:r>
      <w:r>
        <w:rPr/>
        <w:t>interviews</w:t>
      </w:r>
      <w:r>
        <w:rPr>
          <w:spacing w:val="-2"/>
        </w:rPr>
        <w:t> </w:t>
      </w:r>
      <w:r>
        <w:rPr/>
        <w:t>with</w:t>
      </w:r>
      <w:r>
        <w:rPr>
          <w:spacing w:val="-2"/>
        </w:rPr>
        <w:t> </w:t>
      </w:r>
      <w:r>
        <w:rPr/>
        <w:t>145 Sheep</w:t>
      </w:r>
      <w:r>
        <w:rPr>
          <w:spacing w:val="-4"/>
        </w:rPr>
        <w:t> </w:t>
      </w:r>
      <w:r>
        <w:rPr/>
        <w:t>producers</w:t>
      </w:r>
      <w:r>
        <w:rPr>
          <w:spacing w:val="-2"/>
        </w:rPr>
        <w:t> </w:t>
      </w:r>
      <w:r>
        <w:rPr/>
        <w:t>using</w:t>
      </w:r>
      <w:r>
        <w:rPr>
          <w:spacing w:val="-3"/>
        </w:rPr>
        <w:t> </w:t>
      </w:r>
      <w:r>
        <w:rPr/>
        <w:t>204</w:t>
      </w:r>
      <w:r>
        <w:rPr>
          <w:spacing w:val="-2"/>
        </w:rPr>
        <w:t> </w:t>
      </w:r>
      <w:r>
        <w:rPr/>
        <w:t>guard</w:t>
      </w:r>
      <w:r>
        <w:rPr>
          <w:spacing w:val="-2"/>
        </w:rPr>
        <w:t> </w:t>
      </w:r>
      <w:r>
        <w:rPr/>
        <w:t>Llamas. The average pasture size was 100–120 hectares, and most producers had used Llamas for three years.</w:t>
      </w:r>
    </w:p>
    <w:p>
      <w:pPr>
        <w:pStyle w:val="BodyText"/>
        <w:ind w:left="112"/>
      </w:pPr>
      <w:r>
        <w:rPr/>
        <w:t>Predation losses, averaging 11% annually before Llama use, dropped to 7% after Llamas were introduced. Furthermore, 88% of producers expressed satisfaction with their Llamas, citing ease of maintenance and effective</w:t>
      </w:r>
      <w:r>
        <w:rPr>
          <w:spacing w:val="-3"/>
        </w:rPr>
        <w:t> </w:t>
      </w:r>
      <w:r>
        <w:rPr/>
        <w:t>predator</w:t>
      </w:r>
      <w:r>
        <w:rPr>
          <w:spacing w:val="-4"/>
        </w:rPr>
        <w:t> </w:t>
      </w:r>
      <w:r>
        <w:rPr/>
        <w:t>deterrence</w:t>
      </w:r>
      <w:r>
        <w:rPr>
          <w:spacing w:val="-5"/>
        </w:rPr>
        <w:t> </w:t>
      </w:r>
      <w:r>
        <w:rPr/>
        <w:t>as</w:t>
      </w:r>
      <w:r>
        <w:rPr>
          <w:spacing w:val="-4"/>
        </w:rPr>
        <w:t> </w:t>
      </w:r>
      <w:r>
        <w:rPr/>
        <w:t>key</w:t>
      </w:r>
      <w:r>
        <w:rPr>
          <w:spacing w:val="-4"/>
        </w:rPr>
        <w:t> </w:t>
      </w:r>
      <w:r>
        <w:rPr/>
        <w:t>benefits.</w:t>
      </w:r>
      <w:r>
        <w:rPr>
          <w:spacing w:val="-5"/>
        </w:rPr>
        <w:t> </w:t>
      </w:r>
      <w:r>
        <w:rPr/>
        <w:t>While</w:t>
      </w:r>
      <w:r>
        <w:rPr>
          <w:spacing w:val="-3"/>
        </w:rPr>
        <w:t> </w:t>
      </w:r>
      <w:r>
        <w:rPr/>
        <w:t>no</w:t>
      </w:r>
      <w:r>
        <w:rPr>
          <w:spacing w:val="-4"/>
        </w:rPr>
        <w:t> </w:t>
      </w:r>
      <w:r>
        <w:rPr/>
        <w:t>equivalent</w:t>
      </w:r>
      <w:r>
        <w:rPr>
          <w:spacing w:val="-5"/>
        </w:rPr>
        <w:t> </w:t>
      </w:r>
      <w:r>
        <w:rPr/>
        <w:t>studies</w:t>
      </w:r>
      <w:r>
        <w:rPr>
          <w:spacing w:val="-2"/>
        </w:rPr>
        <w:t> </w:t>
      </w:r>
      <w:r>
        <w:rPr/>
        <w:t>have</w:t>
      </w:r>
      <w:r>
        <w:rPr>
          <w:spacing w:val="-3"/>
        </w:rPr>
        <w:t> </w:t>
      </w:r>
      <w:r>
        <w:rPr/>
        <w:t>been</w:t>
      </w:r>
      <w:r>
        <w:rPr>
          <w:spacing w:val="-6"/>
        </w:rPr>
        <w:t> </w:t>
      </w:r>
      <w:r>
        <w:rPr/>
        <w:t>conducted</w:t>
      </w:r>
      <w:r>
        <w:rPr>
          <w:spacing w:val="-3"/>
        </w:rPr>
        <w:t> </w:t>
      </w:r>
      <w:r>
        <w:rPr/>
        <w:t>in</w:t>
      </w:r>
      <w:r>
        <w:rPr>
          <w:spacing w:val="-3"/>
        </w:rPr>
        <w:t> </w:t>
      </w:r>
      <w:r>
        <w:rPr/>
        <w:t>Australia, (Tyrell and Hunt 2006) reported decreased stock attacks in a two-year study involving 21 Llamas across 13 properties. However, the study did not specify predator species or quantify the reduction in attacks.</w:t>
      </w:r>
    </w:p>
    <w:p>
      <w:pPr>
        <w:pStyle w:val="BodyText"/>
        <w:spacing w:before="119"/>
        <w:ind w:left="112"/>
      </w:pPr>
      <w:r>
        <w:rPr/>
        <w:t>Most documented successes with Llamas and Alpacas occur in areas with low predation pressure or open terrain.</w:t>
      </w:r>
      <w:r>
        <w:rPr>
          <w:spacing w:val="-3"/>
        </w:rPr>
        <w:t> </w:t>
      </w:r>
      <w:r>
        <w:rPr/>
        <w:t>Research</w:t>
      </w:r>
      <w:r>
        <w:rPr>
          <w:spacing w:val="-3"/>
        </w:rPr>
        <w:t> </w:t>
      </w:r>
      <w:r>
        <w:rPr/>
        <w:t>on</w:t>
      </w:r>
      <w:r>
        <w:rPr>
          <w:spacing w:val="-6"/>
        </w:rPr>
        <w:t> </w:t>
      </w:r>
      <w:r>
        <w:rPr/>
        <w:t>their</w:t>
      </w:r>
      <w:r>
        <w:rPr>
          <w:spacing w:val="-4"/>
        </w:rPr>
        <w:t> </w:t>
      </w:r>
      <w:r>
        <w:rPr/>
        <w:t>efficacy</w:t>
      </w:r>
      <w:r>
        <w:rPr>
          <w:spacing w:val="-4"/>
        </w:rPr>
        <w:t> </w:t>
      </w:r>
      <w:r>
        <w:rPr/>
        <w:t>in</w:t>
      </w:r>
      <w:r>
        <w:rPr>
          <w:spacing w:val="-3"/>
        </w:rPr>
        <w:t> </w:t>
      </w:r>
      <w:r>
        <w:rPr/>
        <w:t>Australian</w:t>
      </w:r>
      <w:r>
        <w:rPr>
          <w:spacing w:val="-6"/>
        </w:rPr>
        <w:t> </w:t>
      </w:r>
      <w:r>
        <w:rPr/>
        <w:t>conditions</w:t>
      </w:r>
      <w:r>
        <w:rPr>
          <w:spacing w:val="-4"/>
        </w:rPr>
        <w:t> </w:t>
      </w:r>
      <w:r>
        <w:rPr/>
        <w:t>remains</w:t>
      </w:r>
      <w:r>
        <w:rPr>
          <w:spacing w:val="-2"/>
        </w:rPr>
        <w:t> </w:t>
      </w:r>
      <w:r>
        <w:rPr/>
        <w:t>limited,</w:t>
      </w:r>
      <w:r>
        <w:rPr>
          <w:spacing w:val="-3"/>
        </w:rPr>
        <w:t> </w:t>
      </w:r>
      <w:r>
        <w:rPr/>
        <w:t>and</w:t>
      </w:r>
      <w:r>
        <w:rPr>
          <w:spacing w:val="-3"/>
        </w:rPr>
        <w:t> </w:t>
      </w:r>
      <w:r>
        <w:rPr/>
        <w:t>further</w:t>
      </w:r>
      <w:r>
        <w:rPr>
          <w:spacing w:val="-4"/>
        </w:rPr>
        <w:t> </w:t>
      </w:r>
      <w:r>
        <w:rPr/>
        <w:t>studies</w:t>
      </w:r>
      <w:r>
        <w:rPr>
          <w:spacing w:val="-4"/>
        </w:rPr>
        <w:t> </w:t>
      </w:r>
      <w:r>
        <w:rPr/>
        <w:t>are</w:t>
      </w:r>
      <w:r>
        <w:rPr>
          <w:spacing w:val="-5"/>
        </w:rPr>
        <w:t> </w:t>
      </w:r>
      <w:r>
        <w:rPr/>
        <w:t>required.</w:t>
      </w:r>
    </w:p>
    <w:p>
      <w:pPr>
        <w:pStyle w:val="Heading5"/>
        <w:numPr>
          <w:ilvl w:val="2"/>
          <w:numId w:val="21"/>
        </w:numPr>
        <w:tabs>
          <w:tab w:pos="831" w:val="left" w:leader="none"/>
        </w:tabs>
        <w:spacing w:line="240" w:lineRule="auto" w:before="141" w:after="0"/>
        <w:ind w:left="831" w:right="0" w:hanging="719"/>
        <w:jc w:val="left"/>
      </w:pPr>
      <w:r>
        <w:rPr>
          <w:spacing w:val="-2"/>
        </w:rPr>
        <w:t>Donkeys</w:t>
      </w:r>
    </w:p>
    <w:p>
      <w:pPr>
        <w:pStyle w:val="BodyText"/>
        <w:spacing w:before="56"/>
        <w:ind w:left="112" w:right="173"/>
      </w:pPr>
      <w:r>
        <w:rPr/>
        <w:t>Donkeys, introduced to Australia in 1866, thrived in arid areas unsuitable for horses and bullocks. However, following</w:t>
      </w:r>
      <w:r>
        <w:rPr>
          <w:spacing w:val="-3"/>
        </w:rPr>
        <w:t> </w:t>
      </w:r>
      <w:r>
        <w:rPr/>
        <w:t>mechanisation,</w:t>
      </w:r>
      <w:r>
        <w:rPr>
          <w:spacing w:val="-4"/>
        </w:rPr>
        <w:t> </w:t>
      </w:r>
      <w:r>
        <w:rPr/>
        <w:t>they</w:t>
      </w:r>
      <w:r>
        <w:rPr>
          <w:spacing w:val="-3"/>
        </w:rPr>
        <w:t> </w:t>
      </w:r>
      <w:r>
        <w:rPr/>
        <w:t>were</w:t>
      </w:r>
      <w:r>
        <w:rPr>
          <w:spacing w:val="-4"/>
        </w:rPr>
        <w:t> </w:t>
      </w:r>
      <w:r>
        <w:rPr/>
        <w:t>abandoned</w:t>
      </w:r>
      <w:r>
        <w:rPr>
          <w:spacing w:val="-3"/>
        </w:rPr>
        <w:t> </w:t>
      </w:r>
      <w:r>
        <w:rPr/>
        <w:t>and</w:t>
      </w:r>
      <w:r>
        <w:rPr>
          <w:spacing w:val="-4"/>
        </w:rPr>
        <w:t> </w:t>
      </w:r>
      <w:r>
        <w:rPr/>
        <w:t>subsequently</w:t>
      </w:r>
      <w:r>
        <w:rPr>
          <w:spacing w:val="-3"/>
        </w:rPr>
        <w:t> </w:t>
      </w:r>
      <w:r>
        <w:rPr/>
        <w:t>considered</w:t>
      </w:r>
      <w:r>
        <w:rPr>
          <w:spacing w:val="-4"/>
        </w:rPr>
        <w:t> </w:t>
      </w:r>
      <w:r>
        <w:rPr/>
        <w:t>vermin (Bough</w:t>
      </w:r>
      <w:r>
        <w:rPr>
          <w:spacing w:val="-3"/>
        </w:rPr>
        <w:t> </w:t>
      </w:r>
      <w:r>
        <w:rPr/>
        <w:t>2016).</w:t>
      </w:r>
      <w:r>
        <w:rPr>
          <w:spacing w:val="-4"/>
        </w:rPr>
        <w:t> </w:t>
      </w:r>
      <w:r>
        <w:rPr/>
        <w:t>No</w:t>
      </w:r>
      <w:r>
        <w:rPr>
          <w:spacing w:val="-2"/>
        </w:rPr>
        <w:t> </w:t>
      </w:r>
      <w:r>
        <w:rPr/>
        <w:t>feral or wild Donkey populations exist in Victoria.</w:t>
      </w:r>
    </w:p>
    <w:p>
      <w:pPr>
        <w:pStyle w:val="BodyText"/>
        <w:spacing w:before="121"/>
        <w:ind w:left="112" w:right="173"/>
      </w:pPr>
      <w:r>
        <w:rPr/>
        <w:t>Donkeys’ innate dislike of canines has been harnessed to guard livestock in various countries. In Switzerland, they are used in the Alps to protect Sheep and Goats from wolves (Rigg Unpublished). Similarly, in North America, Donkeys have been employed successfully to deter predators such as coyotes, foxes,</w:t>
      </w:r>
      <w:r>
        <w:rPr>
          <w:spacing w:val="-3"/>
        </w:rPr>
        <w:t> </w:t>
      </w:r>
      <w:r>
        <w:rPr/>
        <w:t>and</w:t>
      </w:r>
      <w:r>
        <w:rPr>
          <w:spacing w:val="-3"/>
        </w:rPr>
        <w:t> </w:t>
      </w:r>
      <w:r>
        <w:rPr/>
        <w:t>bobcats</w:t>
      </w:r>
      <w:r>
        <w:rPr>
          <w:spacing w:val="-1"/>
        </w:rPr>
        <w:t> </w:t>
      </w:r>
      <w:r>
        <w:rPr/>
        <w:t>(Meade</w:t>
      </w:r>
      <w:r>
        <w:rPr>
          <w:spacing w:val="-1"/>
        </w:rPr>
        <w:t> </w:t>
      </w:r>
      <w:r>
        <w:rPr/>
        <w:t>2015;</w:t>
      </w:r>
      <w:r>
        <w:rPr>
          <w:spacing w:val="-3"/>
        </w:rPr>
        <w:t> </w:t>
      </w:r>
      <w:r>
        <w:rPr/>
        <w:t>Smith</w:t>
      </w:r>
      <w:r>
        <w:rPr>
          <w:spacing w:val="-4"/>
        </w:rPr>
        <w:t> </w:t>
      </w:r>
      <w:r>
        <w:rPr/>
        <w:t>et</w:t>
      </w:r>
      <w:r>
        <w:rPr>
          <w:spacing w:val="-3"/>
        </w:rPr>
        <w:t> </w:t>
      </w:r>
      <w:r>
        <w:rPr/>
        <w:t>al.</w:t>
      </w:r>
      <w:r>
        <w:rPr>
          <w:spacing w:val="-3"/>
        </w:rPr>
        <w:t> </w:t>
      </w:r>
      <w:r>
        <w:rPr/>
        <w:t>2000;</w:t>
      </w:r>
      <w:r>
        <w:rPr>
          <w:spacing w:val="-1"/>
        </w:rPr>
        <w:t> </w:t>
      </w:r>
      <w:r>
        <w:rPr/>
        <w:t>Tapscott</w:t>
      </w:r>
      <w:r>
        <w:rPr>
          <w:spacing w:val="-3"/>
        </w:rPr>
        <w:t> </w:t>
      </w:r>
      <w:r>
        <w:rPr/>
        <w:t>1997).</w:t>
      </w:r>
      <w:r>
        <w:rPr>
          <w:spacing w:val="-1"/>
        </w:rPr>
        <w:t> </w:t>
      </w:r>
      <w:r>
        <w:rPr/>
        <w:t>Public</w:t>
      </w:r>
      <w:r>
        <w:rPr>
          <w:spacing w:val="-2"/>
        </w:rPr>
        <w:t> </w:t>
      </w:r>
      <w:r>
        <w:rPr/>
        <w:t>outcry</w:t>
      </w:r>
      <w:r>
        <w:rPr>
          <w:spacing w:val="-2"/>
        </w:rPr>
        <w:t> </w:t>
      </w:r>
      <w:r>
        <w:rPr/>
        <w:t>over</w:t>
      </w:r>
      <w:r>
        <w:rPr>
          <w:spacing w:val="-3"/>
        </w:rPr>
        <w:t> </w:t>
      </w:r>
      <w:r>
        <w:rPr/>
        <w:t>coyote</w:t>
      </w:r>
      <w:r>
        <w:rPr>
          <w:spacing w:val="-4"/>
        </w:rPr>
        <w:t> </w:t>
      </w:r>
      <w:r>
        <w:rPr/>
        <w:t>poisoning</w:t>
      </w:r>
      <w:r>
        <w:rPr>
          <w:spacing w:val="-3"/>
        </w:rPr>
        <w:t> </w:t>
      </w:r>
      <w:r>
        <w:rPr/>
        <w:t>led to initiatives in the United States promoting non-lethal deterrents, including Donkeys (Fox 2013).</w:t>
      </w:r>
    </w:p>
    <w:p>
      <w:pPr>
        <w:pStyle w:val="BodyText"/>
        <w:spacing w:before="120"/>
        <w:ind w:left="112" w:right="173"/>
      </w:pPr>
      <w:r>
        <w:rPr/>
        <w:t>Donkeys are among the most cost-effective LGAs, requiring minimal maintenance, because they consume the same feed as the livestock they protect. They are hardy and long-lived, remaining with flocks for extended</w:t>
      </w:r>
      <w:r>
        <w:rPr>
          <w:spacing w:val="-4"/>
        </w:rPr>
        <w:t> </w:t>
      </w:r>
      <w:r>
        <w:rPr/>
        <w:t>periods</w:t>
      </w:r>
      <w:r>
        <w:rPr>
          <w:spacing w:val="-1"/>
        </w:rPr>
        <w:t> </w:t>
      </w:r>
      <w:r>
        <w:rPr/>
        <w:t>(Bough</w:t>
      </w:r>
      <w:r>
        <w:rPr>
          <w:spacing w:val="-1"/>
        </w:rPr>
        <w:t> </w:t>
      </w:r>
      <w:r>
        <w:rPr/>
        <w:t>2016).</w:t>
      </w:r>
      <w:r>
        <w:rPr>
          <w:spacing w:val="-3"/>
        </w:rPr>
        <w:t> </w:t>
      </w:r>
      <w:r>
        <w:rPr/>
        <w:t>However, effectiveness has</w:t>
      </w:r>
      <w:r>
        <w:rPr>
          <w:spacing w:val="-2"/>
        </w:rPr>
        <w:t> </w:t>
      </w:r>
      <w:r>
        <w:rPr/>
        <w:t>been</w:t>
      </w:r>
      <w:r>
        <w:rPr>
          <w:spacing w:val="-1"/>
        </w:rPr>
        <w:t> </w:t>
      </w:r>
      <w:r>
        <w:rPr/>
        <w:t>reported</w:t>
      </w:r>
      <w:r>
        <w:rPr>
          <w:spacing w:val="-4"/>
        </w:rPr>
        <w:t> </w:t>
      </w:r>
      <w:r>
        <w:rPr/>
        <w:t>to</w:t>
      </w:r>
      <w:r>
        <w:rPr>
          <w:spacing w:val="-3"/>
        </w:rPr>
        <w:t> </w:t>
      </w:r>
      <w:r>
        <w:rPr/>
        <w:t>be highly</w:t>
      </w:r>
      <w:r>
        <w:rPr>
          <w:spacing w:val="-2"/>
        </w:rPr>
        <w:t> </w:t>
      </w:r>
      <w:r>
        <w:rPr/>
        <w:t>variable,</w:t>
      </w:r>
      <w:r>
        <w:rPr>
          <w:spacing w:val="-3"/>
        </w:rPr>
        <w:t> </w:t>
      </w:r>
      <w:r>
        <w:rPr/>
        <w:t>with</w:t>
      </w:r>
      <w:r>
        <w:rPr>
          <w:spacing w:val="-1"/>
        </w:rPr>
        <w:t> </w:t>
      </w:r>
      <w:r>
        <w:rPr/>
        <w:t>failure linked</w:t>
      </w:r>
      <w:r>
        <w:rPr>
          <w:spacing w:val="-2"/>
        </w:rPr>
        <w:t> </w:t>
      </w:r>
      <w:r>
        <w:rPr/>
        <w:t>to the type</w:t>
      </w:r>
      <w:r>
        <w:rPr>
          <w:spacing w:val="-1"/>
        </w:rPr>
        <w:t> </w:t>
      </w:r>
      <w:r>
        <w:rPr/>
        <w:t>of</w:t>
      </w:r>
      <w:r>
        <w:rPr>
          <w:spacing w:val="-2"/>
        </w:rPr>
        <w:t> </w:t>
      </w:r>
      <w:r>
        <w:rPr/>
        <w:t>predator,</w:t>
      </w:r>
      <w:r>
        <w:rPr>
          <w:spacing w:val="-2"/>
        </w:rPr>
        <w:t> </w:t>
      </w:r>
      <w:r>
        <w:rPr/>
        <w:t>poor husbandry practices,</w:t>
      </w:r>
      <w:r>
        <w:rPr>
          <w:spacing w:val="-1"/>
        </w:rPr>
        <w:t> </w:t>
      </w:r>
      <w:r>
        <w:rPr/>
        <w:t>and unrealistic</w:t>
      </w:r>
      <w:r>
        <w:rPr>
          <w:spacing w:val="-1"/>
        </w:rPr>
        <w:t> </w:t>
      </w:r>
      <w:r>
        <w:rPr/>
        <w:t>expectations</w:t>
      </w:r>
      <w:r>
        <w:rPr>
          <w:spacing w:val="-1"/>
        </w:rPr>
        <w:t> </w:t>
      </w:r>
      <w:r>
        <w:rPr/>
        <w:t>by landowners. Eleven conditions</w:t>
      </w:r>
      <w:r>
        <w:rPr>
          <w:spacing w:val="-2"/>
        </w:rPr>
        <w:t> </w:t>
      </w:r>
      <w:r>
        <w:rPr/>
        <w:t>have</w:t>
      </w:r>
      <w:r>
        <w:rPr>
          <w:spacing w:val="-2"/>
        </w:rPr>
        <w:t> </w:t>
      </w:r>
      <w:r>
        <w:rPr/>
        <w:t>been</w:t>
      </w:r>
      <w:r>
        <w:rPr>
          <w:spacing w:val="-4"/>
        </w:rPr>
        <w:t> </w:t>
      </w:r>
      <w:r>
        <w:rPr/>
        <w:t>listed</w:t>
      </w:r>
      <w:r>
        <w:rPr>
          <w:spacing w:val="-2"/>
        </w:rPr>
        <w:t> </w:t>
      </w:r>
      <w:r>
        <w:rPr/>
        <w:t>for</w:t>
      </w:r>
      <w:r>
        <w:rPr>
          <w:spacing w:val="-1"/>
        </w:rPr>
        <w:t> </w:t>
      </w:r>
      <w:r>
        <w:rPr/>
        <w:t>successful</w:t>
      </w:r>
      <w:r>
        <w:rPr>
          <w:spacing w:val="-4"/>
        </w:rPr>
        <w:t> </w:t>
      </w:r>
      <w:r>
        <w:rPr/>
        <w:t>use</w:t>
      </w:r>
      <w:r>
        <w:rPr>
          <w:spacing w:val="-2"/>
        </w:rPr>
        <w:t> </w:t>
      </w:r>
      <w:r>
        <w:rPr/>
        <w:t>of</w:t>
      </w:r>
      <w:r>
        <w:rPr>
          <w:spacing w:val="-4"/>
        </w:rPr>
        <w:t> </w:t>
      </w:r>
      <w:r>
        <w:rPr/>
        <w:t>Donkeys</w:t>
      </w:r>
      <w:r>
        <w:rPr>
          <w:spacing w:val="-3"/>
        </w:rPr>
        <w:t> </w:t>
      </w:r>
      <w:r>
        <w:rPr/>
        <w:t>as</w:t>
      </w:r>
      <w:r>
        <w:rPr>
          <w:spacing w:val="-3"/>
        </w:rPr>
        <w:t> </w:t>
      </w:r>
      <w:r>
        <w:rPr/>
        <w:t>LGAs</w:t>
      </w:r>
      <w:r>
        <w:rPr>
          <w:spacing w:val="-2"/>
        </w:rPr>
        <w:t> </w:t>
      </w:r>
      <w:r>
        <w:rPr/>
        <w:t>(Walton</w:t>
      </w:r>
      <w:r>
        <w:rPr>
          <w:spacing w:val="-4"/>
        </w:rPr>
        <w:t> </w:t>
      </w:r>
      <w:r>
        <w:rPr/>
        <w:t>and</w:t>
      </w:r>
      <w:r>
        <w:rPr>
          <w:spacing w:val="-5"/>
        </w:rPr>
        <w:t> </w:t>
      </w:r>
      <w:r>
        <w:rPr/>
        <w:t>Feild</w:t>
      </w:r>
      <w:r>
        <w:rPr>
          <w:spacing w:val="-4"/>
        </w:rPr>
        <w:t> </w:t>
      </w:r>
      <w:r>
        <w:rPr/>
        <w:t>1989),</w:t>
      </w:r>
      <w:r>
        <w:rPr>
          <w:spacing w:val="-2"/>
        </w:rPr>
        <w:t> </w:t>
      </w:r>
      <w:r>
        <w:rPr/>
        <w:t>including</w:t>
      </w:r>
      <w:r>
        <w:rPr>
          <w:spacing w:val="-2"/>
        </w:rPr>
        <w:t> </w:t>
      </w:r>
      <w:r>
        <w:rPr/>
        <w:t>using them in small pastures (240 ha) with not more than 200 head of Sheep. However, research on their use as LGAs in Australia is limited. Most references are anecdotal or based on international studies in arid areas,</w:t>
      </w:r>
    </w:p>
    <w:p>
      <w:pPr>
        <w:pStyle w:val="BodyText"/>
        <w:spacing w:before="1"/>
        <w:ind w:left="112" w:right="221"/>
        <w:jc w:val="both"/>
      </w:pPr>
      <w:r>
        <w:rPr/>
        <w:t>e.g.</w:t>
      </w:r>
      <w:r>
        <w:rPr>
          <w:spacing w:val="-2"/>
        </w:rPr>
        <w:t> </w:t>
      </w:r>
      <w:r>
        <w:rPr/>
        <w:t>Texas,</w:t>
      </w:r>
      <w:r>
        <w:rPr>
          <w:spacing w:val="-1"/>
        </w:rPr>
        <w:t> </w:t>
      </w:r>
      <w:r>
        <w:rPr/>
        <w:t>USA,</w:t>
      </w:r>
      <w:r>
        <w:rPr>
          <w:spacing w:val="-3"/>
        </w:rPr>
        <w:t> </w:t>
      </w:r>
      <w:r>
        <w:rPr/>
        <w:t>with</w:t>
      </w:r>
      <w:r>
        <w:rPr>
          <w:spacing w:val="-1"/>
        </w:rPr>
        <w:t> </w:t>
      </w:r>
      <w:r>
        <w:rPr/>
        <w:t>little</w:t>
      </w:r>
      <w:r>
        <w:rPr>
          <w:spacing w:val="-1"/>
        </w:rPr>
        <w:t> </w:t>
      </w:r>
      <w:r>
        <w:rPr/>
        <w:t>data</w:t>
      </w:r>
      <w:r>
        <w:rPr>
          <w:spacing w:val="-1"/>
        </w:rPr>
        <w:t> </w:t>
      </w:r>
      <w:r>
        <w:rPr/>
        <w:t>available</w:t>
      </w:r>
      <w:r>
        <w:rPr>
          <w:spacing w:val="-1"/>
        </w:rPr>
        <w:t> </w:t>
      </w:r>
      <w:r>
        <w:rPr/>
        <w:t>to</w:t>
      </w:r>
      <w:r>
        <w:rPr>
          <w:spacing w:val="-4"/>
        </w:rPr>
        <w:t> </w:t>
      </w:r>
      <w:r>
        <w:rPr/>
        <w:t>evaluate</w:t>
      </w:r>
      <w:r>
        <w:rPr>
          <w:spacing w:val="-2"/>
        </w:rPr>
        <w:t> </w:t>
      </w:r>
      <w:r>
        <w:rPr/>
        <w:t>their</w:t>
      </w:r>
      <w:r>
        <w:rPr>
          <w:spacing w:val="-2"/>
        </w:rPr>
        <w:t> </w:t>
      </w:r>
      <w:r>
        <w:rPr/>
        <w:t>effectiveness</w:t>
      </w:r>
      <w:r>
        <w:rPr>
          <w:spacing w:val="-2"/>
        </w:rPr>
        <w:t> </w:t>
      </w:r>
      <w:r>
        <w:rPr/>
        <w:t>in</w:t>
      </w:r>
      <w:r>
        <w:rPr>
          <w:spacing w:val="-3"/>
        </w:rPr>
        <w:t> </w:t>
      </w:r>
      <w:r>
        <w:rPr/>
        <w:t>Australian</w:t>
      </w:r>
      <w:r>
        <w:rPr>
          <w:spacing w:val="-4"/>
        </w:rPr>
        <w:t> </w:t>
      </w:r>
      <w:r>
        <w:rPr/>
        <w:t>conditions,</w:t>
      </w:r>
      <w:r>
        <w:rPr>
          <w:spacing w:val="-3"/>
        </w:rPr>
        <w:t> </w:t>
      </w:r>
      <w:r>
        <w:rPr/>
        <w:t>particularly in</w:t>
      </w:r>
      <w:r>
        <w:rPr>
          <w:spacing w:val="-4"/>
        </w:rPr>
        <w:t> </w:t>
      </w:r>
      <w:r>
        <w:rPr/>
        <w:t>wetter</w:t>
      </w:r>
      <w:r>
        <w:rPr>
          <w:spacing w:val="-4"/>
        </w:rPr>
        <w:t> </w:t>
      </w:r>
      <w:r>
        <w:rPr/>
        <w:t>environments.</w:t>
      </w:r>
      <w:r>
        <w:rPr>
          <w:spacing w:val="-4"/>
        </w:rPr>
        <w:t> </w:t>
      </w:r>
      <w:r>
        <w:rPr/>
        <w:t>While</w:t>
      </w:r>
      <w:r>
        <w:rPr>
          <w:spacing w:val="-2"/>
        </w:rPr>
        <w:t> </w:t>
      </w:r>
      <w:r>
        <w:rPr/>
        <w:t>reports</w:t>
      </w:r>
      <w:r>
        <w:rPr>
          <w:spacing w:val="-2"/>
        </w:rPr>
        <w:t> </w:t>
      </w:r>
      <w:r>
        <w:rPr/>
        <w:t>highlight</w:t>
      </w:r>
      <w:r>
        <w:rPr>
          <w:spacing w:val="-4"/>
        </w:rPr>
        <w:t> </w:t>
      </w:r>
      <w:r>
        <w:rPr/>
        <w:t>both</w:t>
      </w:r>
      <w:r>
        <w:rPr>
          <w:spacing w:val="-5"/>
        </w:rPr>
        <w:t> </w:t>
      </w:r>
      <w:r>
        <w:rPr/>
        <w:t>successes</w:t>
      </w:r>
      <w:r>
        <w:rPr>
          <w:spacing w:val="-3"/>
        </w:rPr>
        <w:t> </w:t>
      </w:r>
      <w:r>
        <w:rPr/>
        <w:t>and</w:t>
      </w:r>
      <w:r>
        <w:rPr>
          <w:spacing w:val="-4"/>
        </w:rPr>
        <w:t> </w:t>
      </w:r>
      <w:r>
        <w:rPr/>
        <w:t>failures,</w:t>
      </w:r>
      <w:r>
        <w:rPr>
          <w:spacing w:val="-2"/>
        </w:rPr>
        <w:t> </w:t>
      </w:r>
      <w:r>
        <w:rPr/>
        <w:t>the</w:t>
      </w:r>
      <w:r>
        <w:rPr>
          <w:spacing w:val="-5"/>
        </w:rPr>
        <w:t> </w:t>
      </w:r>
      <w:r>
        <w:rPr/>
        <w:t>reasons</w:t>
      </w:r>
      <w:r>
        <w:rPr>
          <w:spacing w:val="-3"/>
        </w:rPr>
        <w:t> </w:t>
      </w:r>
      <w:r>
        <w:rPr/>
        <w:t>for</w:t>
      </w:r>
      <w:r>
        <w:rPr>
          <w:spacing w:val="-3"/>
        </w:rPr>
        <w:t> </w:t>
      </w:r>
      <w:r>
        <w:rPr/>
        <w:t>these</w:t>
      </w:r>
      <w:r>
        <w:rPr>
          <w:spacing w:val="-4"/>
        </w:rPr>
        <w:t> </w:t>
      </w:r>
      <w:r>
        <w:rPr/>
        <w:t>outcomes remain poorly understood.</w:t>
      </w:r>
    </w:p>
    <w:p>
      <w:pPr>
        <w:pStyle w:val="BodyText"/>
        <w:spacing w:before="156"/>
      </w:pPr>
    </w:p>
    <w:p>
      <w:pPr>
        <w:pStyle w:val="Heading3"/>
        <w:numPr>
          <w:ilvl w:val="1"/>
          <w:numId w:val="21"/>
        </w:numPr>
        <w:tabs>
          <w:tab w:pos="686" w:val="left" w:leader="none"/>
        </w:tabs>
        <w:spacing w:line="240" w:lineRule="auto" w:before="0" w:after="0"/>
        <w:ind w:left="686" w:right="0" w:hanging="574"/>
        <w:jc w:val="left"/>
      </w:pPr>
      <w:r>
        <w:rPr>
          <w:color w:val="2D1E66"/>
          <w:spacing w:val="-2"/>
        </w:rPr>
        <w:t>Fences</w:t>
      </w:r>
    </w:p>
    <w:p>
      <w:pPr>
        <w:pStyle w:val="BodyText"/>
        <w:spacing w:before="110"/>
        <w:ind w:left="112" w:right="142"/>
      </w:pPr>
      <w:r>
        <w:rPr/>
        <w:t>Fencing</w:t>
      </w:r>
      <w:r>
        <w:rPr>
          <w:spacing w:val="-1"/>
        </w:rPr>
        <w:t> </w:t>
      </w:r>
      <w:r>
        <w:rPr/>
        <w:t>is</w:t>
      </w:r>
      <w:r>
        <w:rPr>
          <w:spacing w:val="-2"/>
        </w:rPr>
        <w:t> </w:t>
      </w:r>
      <w:r>
        <w:rPr/>
        <w:t>a</w:t>
      </w:r>
      <w:r>
        <w:rPr>
          <w:spacing w:val="-1"/>
        </w:rPr>
        <w:t> </w:t>
      </w:r>
      <w:r>
        <w:rPr/>
        <w:t>non-lethal</w:t>
      </w:r>
      <w:r>
        <w:rPr>
          <w:spacing w:val="-4"/>
        </w:rPr>
        <w:t> </w:t>
      </w:r>
      <w:r>
        <w:rPr/>
        <w:t>method</w:t>
      </w:r>
      <w:r>
        <w:rPr>
          <w:spacing w:val="-1"/>
        </w:rPr>
        <w:t> </w:t>
      </w:r>
      <w:r>
        <w:rPr/>
        <w:t>used</w:t>
      </w:r>
      <w:r>
        <w:rPr>
          <w:spacing w:val="-4"/>
        </w:rPr>
        <w:t> </w:t>
      </w:r>
      <w:r>
        <w:rPr/>
        <w:t>to</w:t>
      </w:r>
      <w:r>
        <w:rPr>
          <w:spacing w:val="-3"/>
        </w:rPr>
        <w:t> </w:t>
      </w:r>
      <w:r>
        <w:rPr/>
        <w:t>manage</w:t>
      </w:r>
      <w:r>
        <w:rPr>
          <w:spacing w:val="-1"/>
        </w:rPr>
        <w:t> </w:t>
      </w:r>
      <w:r>
        <w:rPr/>
        <w:t>foxes,</w:t>
      </w:r>
      <w:r>
        <w:rPr>
          <w:spacing w:val="-2"/>
        </w:rPr>
        <w:t> </w:t>
      </w:r>
      <w:r>
        <w:rPr/>
        <w:t>Dingoes, Wild</w:t>
      </w:r>
      <w:r>
        <w:rPr>
          <w:spacing w:val="-1"/>
        </w:rPr>
        <w:t> </w:t>
      </w:r>
      <w:r>
        <w:rPr/>
        <w:t>Dogs</w:t>
      </w:r>
      <w:r>
        <w:rPr>
          <w:spacing w:val="-2"/>
        </w:rPr>
        <w:t> </w:t>
      </w:r>
      <w:r>
        <w:rPr/>
        <w:t>and</w:t>
      </w:r>
      <w:r>
        <w:rPr>
          <w:spacing w:val="-4"/>
        </w:rPr>
        <w:t> </w:t>
      </w:r>
      <w:r>
        <w:rPr/>
        <w:t>to</w:t>
      </w:r>
      <w:r>
        <w:rPr>
          <w:spacing w:val="-1"/>
        </w:rPr>
        <w:t> </w:t>
      </w:r>
      <w:r>
        <w:rPr/>
        <w:t>a</w:t>
      </w:r>
      <w:r>
        <w:rPr>
          <w:spacing w:val="-4"/>
        </w:rPr>
        <w:t> </w:t>
      </w:r>
      <w:r>
        <w:rPr/>
        <w:t>lesser</w:t>
      </w:r>
      <w:r>
        <w:rPr>
          <w:spacing w:val="-3"/>
        </w:rPr>
        <w:t> </w:t>
      </w:r>
      <w:r>
        <w:rPr/>
        <w:t>extent</w:t>
      </w:r>
      <w:r>
        <w:rPr>
          <w:spacing w:val="-1"/>
        </w:rPr>
        <w:t> </w:t>
      </w:r>
      <w:r>
        <w:rPr/>
        <w:t>Feral</w:t>
      </w:r>
      <w:r>
        <w:rPr>
          <w:spacing w:val="-2"/>
        </w:rPr>
        <w:t> </w:t>
      </w:r>
      <w:r>
        <w:rPr/>
        <w:t>Pigs and rabbits by creating a physical barrier to protect vulnerable assets. In Australia, exclusion fencing has been widely employed to safeguard plant and animal agriculture from pest species since the early days of European settlement (Hayward and Kerley 2009; Long and Robley 2004; McKillop et al. 1988). In contrast, fences designed to protect populations of high-value native species are a more recent innovation (Dickman </w:t>
      </w:r>
      <w:r>
        <w:rPr>
          <w:spacing w:val="-2"/>
        </w:rPr>
        <w:t>2012).</w:t>
      </w:r>
    </w:p>
    <w:p>
      <w:pPr>
        <w:pStyle w:val="BodyText"/>
        <w:spacing w:before="120"/>
        <w:ind w:left="112" w:right="173"/>
      </w:pPr>
      <w:r>
        <w:rPr/>
        <w:t>The design of exclusion fences varies depending on the target species. Designs for Feral Pigs have been described in</w:t>
      </w:r>
      <w:r>
        <w:rPr>
          <w:spacing w:val="-1"/>
        </w:rPr>
        <w:t> </w:t>
      </w:r>
      <w:r>
        <w:rPr/>
        <w:t>various</w:t>
      </w:r>
      <w:r>
        <w:rPr>
          <w:spacing w:val="-2"/>
        </w:rPr>
        <w:t> </w:t>
      </w:r>
      <w:r>
        <w:rPr/>
        <w:t>studies (Doupé</w:t>
      </w:r>
      <w:r>
        <w:rPr>
          <w:spacing w:val="-1"/>
        </w:rPr>
        <w:t> </w:t>
      </w:r>
      <w:r>
        <w:rPr/>
        <w:t>et</w:t>
      </w:r>
      <w:r>
        <w:rPr>
          <w:spacing w:val="-3"/>
        </w:rPr>
        <w:t> </w:t>
      </w:r>
      <w:r>
        <w:rPr/>
        <w:t>al.</w:t>
      </w:r>
      <w:r>
        <w:rPr>
          <w:spacing w:val="-3"/>
        </w:rPr>
        <w:t> </w:t>
      </w:r>
      <w:r>
        <w:rPr/>
        <w:t>2010;</w:t>
      </w:r>
      <w:r>
        <w:rPr>
          <w:spacing w:val="-3"/>
        </w:rPr>
        <w:t> </w:t>
      </w:r>
      <w:r>
        <w:rPr/>
        <w:t>Hone</w:t>
      </w:r>
      <w:r>
        <w:rPr>
          <w:spacing w:val="-2"/>
        </w:rPr>
        <w:t> </w:t>
      </w:r>
      <w:r>
        <w:rPr/>
        <w:t>and</w:t>
      </w:r>
      <w:r>
        <w:rPr>
          <w:spacing w:val="-1"/>
        </w:rPr>
        <w:t> </w:t>
      </w:r>
      <w:r>
        <w:rPr/>
        <w:t>Atkinson</w:t>
      </w:r>
      <w:r>
        <w:rPr>
          <w:spacing w:val="-3"/>
        </w:rPr>
        <w:t> </w:t>
      </w:r>
      <w:r>
        <w:rPr/>
        <w:t>1983;</w:t>
      </w:r>
      <w:r>
        <w:rPr>
          <w:spacing w:val="-3"/>
        </w:rPr>
        <w:t> </w:t>
      </w:r>
      <w:r>
        <w:rPr/>
        <w:t>Hone</w:t>
      </w:r>
      <w:r>
        <w:rPr>
          <w:spacing w:val="-4"/>
        </w:rPr>
        <w:t> </w:t>
      </w:r>
      <w:r>
        <w:rPr/>
        <w:t>and</w:t>
      </w:r>
      <w:r>
        <w:rPr>
          <w:spacing w:val="-4"/>
        </w:rPr>
        <w:t> </w:t>
      </w:r>
      <w:r>
        <w:rPr/>
        <w:t>Stone</w:t>
      </w:r>
      <w:r>
        <w:rPr>
          <w:spacing w:val="-3"/>
        </w:rPr>
        <w:t> </w:t>
      </w:r>
      <w:r>
        <w:rPr/>
        <w:t>1989;</w:t>
      </w:r>
      <w:r>
        <w:rPr>
          <w:spacing w:val="-1"/>
        </w:rPr>
        <w:t> </w:t>
      </w:r>
      <w:r>
        <w:rPr/>
        <w:t>Katahiraet al. 1993). Similarly, Poole and Mckillop (2002), and Long and Robley (2004) provide information on fences for</w:t>
      </w:r>
      <w:r>
        <w:rPr>
          <w:spacing w:val="-4"/>
        </w:rPr>
        <w:t> </w:t>
      </w:r>
      <w:r>
        <w:rPr/>
        <w:t>foxes,</w:t>
      </w:r>
      <w:r>
        <w:rPr>
          <w:spacing w:val="-4"/>
        </w:rPr>
        <w:t> </w:t>
      </w:r>
      <w:r>
        <w:rPr/>
        <w:t>while</w:t>
      </w:r>
      <w:r>
        <w:rPr>
          <w:spacing w:val="-3"/>
        </w:rPr>
        <w:t> </w:t>
      </w:r>
      <w:r>
        <w:rPr/>
        <w:t>Mckillop</w:t>
      </w:r>
      <w:r>
        <w:rPr>
          <w:spacing w:val="-4"/>
        </w:rPr>
        <w:t> </w:t>
      </w:r>
      <w:r>
        <w:rPr/>
        <w:t>et</w:t>
      </w:r>
      <w:r>
        <w:rPr>
          <w:spacing w:val="-2"/>
        </w:rPr>
        <w:t> </w:t>
      </w:r>
      <w:r>
        <w:rPr/>
        <w:t>al.</w:t>
      </w:r>
      <w:r>
        <w:rPr>
          <w:spacing w:val="-4"/>
        </w:rPr>
        <w:t> </w:t>
      </w:r>
      <w:r>
        <w:rPr/>
        <w:t>(1988) detail</w:t>
      </w:r>
      <w:r>
        <w:rPr>
          <w:spacing w:val="-3"/>
        </w:rPr>
        <w:t> </w:t>
      </w:r>
      <w:r>
        <w:rPr/>
        <w:t>designs</w:t>
      </w:r>
      <w:r>
        <w:rPr>
          <w:spacing w:val="-3"/>
        </w:rPr>
        <w:t> </w:t>
      </w:r>
      <w:r>
        <w:rPr/>
        <w:t>for</w:t>
      </w:r>
      <w:r>
        <w:rPr>
          <w:spacing w:val="-4"/>
        </w:rPr>
        <w:t> </w:t>
      </w:r>
      <w:r>
        <w:rPr/>
        <w:t>rabbits.</w:t>
      </w:r>
      <w:r>
        <w:rPr>
          <w:spacing w:val="-4"/>
        </w:rPr>
        <w:t> </w:t>
      </w:r>
      <w:r>
        <w:rPr/>
        <w:t>Exclusion</w:t>
      </w:r>
      <w:r>
        <w:rPr>
          <w:spacing w:val="-3"/>
        </w:rPr>
        <w:t> </w:t>
      </w:r>
      <w:r>
        <w:rPr/>
        <w:t>fencing</w:t>
      </w:r>
      <w:r>
        <w:rPr>
          <w:spacing w:val="-5"/>
        </w:rPr>
        <w:t> </w:t>
      </w:r>
      <w:r>
        <w:rPr/>
        <w:t>for Dingoes</w:t>
      </w:r>
      <w:r>
        <w:rPr>
          <w:spacing w:val="-1"/>
        </w:rPr>
        <w:t> </w:t>
      </w:r>
      <w:r>
        <w:rPr/>
        <w:t>and</w:t>
      </w:r>
      <w:r>
        <w:rPr>
          <w:spacing w:val="-1"/>
        </w:rPr>
        <w:t> </w:t>
      </w:r>
      <w:r>
        <w:rPr/>
        <w:t>Wild</w:t>
      </w:r>
      <w:r>
        <w:rPr>
          <w:spacing w:val="-2"/>
        </w:rPr>
        <w:t> </w:t>
      </w:r>
      <w:r>
        <w:rPr/>
        <w:t>Dogs has also been addressed by Long and Robley (2004). However, experimental assessments of fence effectiveness are limited (Moseby and Read 2006; Poole et al. 2002; Robley et al. 2006). For instance, Moseby and Read (2006) evaluated the cost-effectiveness and functionality of various wire netting and electric fence designs against foxes, feral cats, and rabbits in northern South Australia. Similarly, Robley et al. (2006) tested six fence designs to identify optimal features for preventing breaches by foxes and feral</w:t>
      </w:r>
    </w:p>
    <w:p>
      <w:pPr>
        <w:spacing w:after="0"/>
        <w:sectPr>
          <w:pgSz w:w="11910" w:h="16850"/>
          <w:pgMar w:header="0" w:footer="688" w:top="1060" w:bottom="880" w:left="1020" w:right="1020"/>
        </w:sectPr>
      </w:pPr>
    </w:p>
    <w:p>
      <w:pPr>
        <w:pStyle w:val="BodyText"/>
        <w:spacing w:before="71"/>
        <w:ind w:left="112" w:right="456"/>
        <w:jc w:val="both"/>
      </w:pPr>
      <w:r>
        <w:rPr/>
        <w:t>cats.</w:t>
      </w:r>
      <w:r>
        <w:rPr>
          <w:spacing w:val="-5"/>
        </w:rPr>
        <w:t> </w:t>
      </w:r>
      <w:r>
        <w:rPr/>
        <w:t>However,</w:t>
      </w:r>
      <w:r>
        <w:rPr>
          <w:spacing w:val="-2"/>
        </w:rPr>
        <w:t> </w:t>
      </w:r>
      <w:r>
        <w:rPr/>
        <w:t>no</w:t>
      </w:r>
      <w:r>
        <w:rPr>
          <w:spacing w:val="-4"/>
        </w:rPr>
        <w:t> </w:t>
      </w:r>
      <w:r>
        <w:rPr/>
        <w:t>experimental</w:t>
      </w:r>
      <w:r>
        <w:rPr>
          <w:spacing w:val="-6"/>
        </w:rPr>
        <w:t> </w:t>
      </w:r>
      <w:r>
        <w:rPr/>
        <w:t>studies</w:t>
      </w:r>
      <w:r>
        <w:rPr>
          <w:spacing w:val="-4"/>
        </w:rPr>
        <w:t> </w:t>
      </w:r>
      <w:r>
        <w:rPr/>
        <w:t>specifically</w:t>
      </w:r>
      <w:r>
        <w:rPr>
          <w:spacing w:val="-2"/>
        </w:rPr>
        <w:t> </w:t>
      </w:r>
      <w:r>
        <w:rPr/>
        <w:t>assess</w:t>
      </w:r>
      <w:r>
        <w:rPr>
          <w:spacing w:val="-4"/>
        </w:rPr>
        <w:t> </w:t>
      </w:r>
      <w:r>
        <w:rPr/>
        <w:t>fence</w:t>
      </w:r>
      <w:r>
        <w:rPr>
          <w:spacing w:val="-5"/>
        </w:rPr>
        <w:t> </w:t>
      </w:r>
      <w:r>
        <w:rPr/>
        <w:t>designs</w:t>
      </w:r>
      <w:r>
        <w:rPr>
          <w:spacing w:val="-4"/>
        </w:rPr>
        <w:t> </w:t>
      </w:r>
      <w:r>
        <w:rPr/>
        <w:t>for</w:t>
      </w:r>
      <w:r>
        <w:rPr>
          <w:spacing w:val="-2"/>
        </w:rPr>
        <w:t> </w:t>
      </w:r>
      <w:r>
        <w:rPr/>
        <w:t>excluding Dingoes</w:t>
      </w:r>
      <w:r>
        <w:rPr>
          <w:spacing w:val="-4"/>
        </w:rPr>
        <w:t> </w:t>
      </w:r>
      <w:r>
        <w:rPr/>
        <w:t>and</w:t>
      </w:r>
      <w:r>
        <w:rPr>
          <w:spacing w:val="-3"/>
        </w:rPr>
        <w:t> </w:t>
      </w:r>
      <w:r>
        <w:rPr/>
        <w:t>Wild Dogs (Coman and McCutchan 1994;</w:t>
      </w:r>
      <w:r>
        <w:rPr>
          <w:spacing w:val="-1"/>
        </w:rPr>
        <w:t> </w:t>
      </w:r>
      <w:r>
        <w:rPr/>
        <w:t>Long and</w:t>
      </w:r>
      <w:r>
        <w:rPr>
          <w:spacing w:val="-1"/>
        </w:rPr>
        <w:t> </w:t>
      </w:r>
      <w:r>
        <w:rPr/>
        <w:t>Robley 2004). Kreplins et al.</w:t>
      </w:r>
      <w:r>
        <w:rPr>
          <w:spacing w:val="-1"/>
        </w:rPr>
        <w:t> </w:t>
      </w:r>
      <w:r>
        <w:rPr/>
        <w:t>(2022)</w:t>
      </w:r>
      <w:r>
        <w:rPr>
          <w:spacing w:val="-1"/>
        </w:rPr>
        <w:t> </w:t>
      </w:r>
      <w:r>
        <w:rPr/>
        <w:t>investigated</w:t>
      </w:r>
      <w:r>
        <w:rPr>
          <w:spacing w:val="-2"/>
        </w:rPr>
        <w:t> </w:t>
      </w:r>
      <w:r>
        <w:rPr/>
        <w:t>wild</w:t>
      </w:r>
      <w:r>
        <w:rPr>
          <w:spacing w:val="-1"/>
        </w:rPr>
        <w:t> </w:t>
      </w:r>
      <w:r>
        <w:rPr/>
        <w:t>dog activity</w:t>
      </w:r>
      <w:r>
        <w:rPr>
          <w:spacing w:val="-3"/>
        </w:rPr>
        <w:t> </w:t>
      </w:r>
      <w:r>
        <w:rPr/>
        <w:t>after</w:t>
      </w:r>
      <w:r>
        <w:rPr>
          <w:spacing w:val="-4"/>
        </w:rPr>
        <w:t> </w:t>
      </w:r>
      <w:r>
        <w:rPr/>
        <w:t>a</w:t>
      </w:r>
      <w:r>
        <w:rPr>
          <w:spacing w:val="-4"/>
        </w:rPr>
        <w:t> </w:t>
      </w:r>
      <w:r>
        <w:rPr/>
        <w:t>cell</w:t>
      </w:r>
      <w:r>
        <w:rPr>
          <w:spacing w:val="-3"/>
        </w:rPr>
        <w:t> </w:t>
      </w:r>
      <w:r>
        <w:rPr/>
        <w:t>fence</w:t>
      </w:r>
      <w:r>
        <w:rPr>
          <w:spacing w:val="-2"/>
        </w:rPr>
        <w:t> </w:t>
      </w:r>
      <w:r>
        <w:rPr/>
        <w:t>was</w:t>
      </w:r>
      <w:r>
        <w:rPr>
          <w:spacing w:val="-3"/>
        </w:rPr>
        <w:t> </w:t>
      </w:r>
      <w:r>
        <w:rPr/>
        <w:t>completed</w:t>
      </w:r>
      <w:r>
        <w:rPr>
          <w:spacing w:val="-3"/>
        </w:rPr>
        <w:t> </w:t>
      </w:r>
      <w:r>
        <w:rPr/>
        <w:t>and</w:t>
      </w:r>
      <w:r>
        <w:rPr>
          <w:spacing w:val="-4"/>
        </w:rPr>
        <w:t> </w:t>
      </w:r>
      <w:r>
        <w:rPr/>
        <w:t>noted</w:t>
      </w:r>
      <w:r>
        <w:rPr>
          <w:spacing w:val="-3"/>
        </w:rPr>
        <w:t> </w:t>
      </w:r>
      <w:r>
        <w:rPr/>
        <w:t>that</w:t>
      </w:r>
      <w:r>
        <w:rPr>
          <w:spacing w:val="-2"/>
        </w:rPr>
        <w:t> </w:t>
      </w:r>
      <w:r>
        <w:rPr/>
        <w:t>activity</w:t>
      </w:r>
      <w:r>
        <w:rPr>
          <w:spacing w:val="-3"/>
        </w:rPr>
        <w:t> </w:t>
      </w:r>
      <w:r>
        <w:rPr/>
        <w:t>decreased</w:t>
      </w:r>
      <w:r>
        <w:rPr>
          <w:spacing w:val="-3"/>
        </w:rPr>
        <w:t> </w:t>
      </w:r>
      <w:r>
        <w:rPr/>
        <w:t>over</w:t>
      </w:r>
      <w:r>
        <w:rPr>
          <w:spacing w:val="-4"/>
        </w:rPr>
        <w:t> </w:t>
      </w:r>
      <w:r>
        <w:rPr/>
        <w:t>nearly</w:t>
      </w:r>
      <w:r>
        <w:rPr>
          <w:spacing w:val="-3"/>
        </w:rPr>
        <w:t> </w:t>
      </w:r>
      <w:r>
        <w:rPr/>
        <w:t>two</w:t>
      </w:r>
      <w:r>
        <w:rPr>
          <w:spacing w:val="-5"/>
        </w:rPr>
        <w:t> </w:t>
      </w:r>
      <w:r>
        <w:rPr/>
        <w:t>years</w:t>
      </w:r>
      <w:r>
        <w:rPr>
          <w:spacing w:val="-2"/>
        </w:rPr>
        <w:t> </w:t>
      </w:r>
      <w:r>
        <w:rPr/>
        <w:t>following extensive baiting, shooting and trapping within the fenced area.</w:t>
      </w:r>
    </w:p>
    <w:p>
      <w:pPr>
        <w:pStyle w:val="BodyText"/>
        <w:spacing w:before="122"/>
        <w:ind w:left="112" w:right="142"/>
      </w:pPr>
      <w:r>
        <w:rPr/>
        <w:t>Although conservation fences play a vital role in preventing extinctions in the short term, their coverage represents</w:t>
      </w:r>
      <w:r>
        <w:rPr>
          <w:spacing w:val="-3"/>
        </w:rPr>
        <w:t> </w:t>
      </w:r>
      <w:r>
        <w:rPr/>
        <w:t>only</w:t>
      </w:r>
      <w:r>
        <w:rPr>
          <w:spacing w:val="-3"/>
        </w:rPr>
        <w:t> </w:t>
      </w:r>
      <w:r>
        <w:rPr/>
        <w:t>a</w:t>
      </w:r>
      <w:r>
        <w:rPr>
          <w:spacing w:val="-5"/>
        </w:rPr>
        <w:t> </w:t>
      </w:r>
      <w:r>
        <w:rPr/>
        <w:t>small</w:t>
      </w:r>
      <w:r>
        <w:rPr>
          <w:spacing w:val="-5"/>
        </w:rPr>
        <w:t> </w:t>
      </w:r>
      <w:r>
        <w:rPr/>
        <w:t>fraction</w:t>
      </w:r>
      <w:r>
        <w:rPr>
          <w:spacing w:val="-2"/>
        </w:rPr>
        <w:t> </w:t>
      </w:r>
      <w:r>
        <w:rPr/>
        <w:t>of</w:t>
      </w:r>
      <w:r>
        <w:rPr>
          <w:spacing w:val="-4"/>
        </w:rPr>
        <w:t> </w:t>
      </w:r>
      <w:r>
        <w:rPr/>
        <w:t>the</w:t>
      </w:r>
      <w:r>
        <w:rPr>
          <w:spacing w:val="-3"/>
        </w:rPr>
        <w:t> </w:t>
      </w:r>
      <w:r>
        <w:rPr/>
        <w:t>historical</w:t>
      </w:r>
      <w:r>
        <w:rPr>
          <w:spacing w:val="-5"/>
        </w:rPr>
        <w:t> </w:t>
      </w:r>
      <w:r>
        <w:rPr/>
        <w:t>ranges</w:t>
      </w:r>
      <w:r>
        <w:rPr>
          <w:spacing w:val="-1"/>
        </w:rPr>
        <w:t> </w:t>
      </w:r>
      <w:r>
        <w:rPr/>
        <w:t>of</w:t>
      </w:r>
      <w:r>
        <w:rPr>
          <w:spacing w:val="-4"/>
        </w:rPr>
        <w:t> </w:t>
      </w:r>
      <w:r>
        <w:rPr/>
        <w:t>most</w:t>
      </w:r>
      <w:r>
        <w:rPr>
          <w:spacing w:val="-4"/>
        </w:rPr>
        <w:t> </w:t>
      </w:r>
      <w:r>
        <w:rPr/>
        <w:t>species.</w:t>
      </w:r>
      <w:r>
        <w:rPr>
          <w:spacing w:val="-2"/>
        </w:rPr>
        <w:t> </w:t>
      </w:r>
      <w:r>
        <w:rPr/>
        <w:t>Additionally,</w:t>
      </w:r>
      <w:r>
        <w:rPr>
          <w:spacing w:val="-4"/>
        </w:rPr>
        <w:t> </w:t>
      </w:r>
      <w:r>
        <w:rPr/>
        <w:t>their</w:t>
      </w:r>
      <w:r>
        <w:rPr>
          <w:spacing w:val="-1"/>
        </w:rPr>
        <w:t> </w:t>
      </w:r>
      <w:r>
        <w:rPr/>
        <w:t>high</w:t>
      </w:r>
      <w:r>
        <w:rPr>
          <w:spacing w:val="-4"/>
        </w:rPr>
        <w:t> </w:t>
      </w:r>
      <w:r>
        <w:rPr/>
        <w:t>construction and maintenance costs, coupled with criticisms of these areas as being akin to captive breeding programmes, limit their broader application (Pickard 2007). In addition, lethal control is required to remove pest animals from within fenced conservation areas or when individuals are contained after fence construction. There are also animal welfare and humaneness issues associated with fences, which have been covered in Section </w:t>
      </w:r>
      <w:hyperlink w:history="true" w:anchor="_bookmark22">
        <w:r>
          <w:rPr/>
          <w:t>15.</w:t>
        </w:r>
      </w:hyperlink>
    </w:p>
    <w:p>
      <w:pPr>
        <w:pStyle w:val="Heading5"/>
        <w:numPr>
          <w:ilvl w:val="2"/>
          <w:numId w:val="21"/>
        </w:numPr>
        <w:tabs>
          <w:tab w:pos="831" w:val="left" w:leader="none"/>
        </w:tabs>
        <w:spacing w:line="240" w:lineRule="auto" w:before="141" w:after="0"/>
        <w:ind w:left="831" w:right="0" w:hanging="719"/>
        <w:jc w:val="left"/>
      </w:pPr>
      <w:r>
        <w:rPr/>
        <w:t>European</w:t>
      </w:r>
      <w:r>
        <w:rPr>
          <w:spacing w:val="-7"/>
        </w:rPr>
        <w:t> </w:t>
      </w:r>
      <w:r>
        <w:rPr>
          <w:spacing w:val="-2"/>
        </w:rPr>
        <w:t>Rabbits</w:t>
      </w:r>
    </w:p>
    <w:p>
      <w:pPr>
        <w:pStyle w:val="BodyText"/>
        <w:spacing w:before="56"/>
        <w:ind w:left="112" w:right="126"/>
      </w:pPr>
      <w:r>
        <w:rPr/>
        <w:t>Barrier</w:t>
      </w:r>
      <w:r>
        <w:rPr>
          <w:spacing w:val="-4"/>
        </w:rPr>
        <w:t> </w:t>
      </w:r>
      <w:r>
        <w:rPr/>
        <w:t>fencing</w:t>
      </w:r>
      <w:r>
        <w:rPr>
          <w:spacing w:val="-5"/>
        </w:rPr>
        <w:t> </w:t>
      </w:r>
      <w:r>
        <w:rPr/>
        <w:t>to</w:t>
      </w:r>
      <w:r>
        <w:rPr>
          <w:spacing w:val="-4"/>
        </w:rPr>
        <w:t> </w:t>
      </w:r>
      <w:r>
        <w:rPr/>
        <w:t>control</w:t>
      </w:r>
      <w:r>
        <w:rPr>
          <w:spacing w:val="-5"/>
        </w:rPr>
        <w:t> </w:t>
      </w:r>
      <w:r>
        <w:rPr/>
        <w:t>rabbits</w:t>
      </w:r>
      <w:r>
        <w:rPr>
          <w:spacing w:val="-1"/>
        </w:rPr>
        <w:t> </w:t>
      </w:r>
      <w:r>
        <w:rPr/>
        <w:t>in</w:t>
      </w:r>
      <w:r>
        <w:rPr>
          <w:spacing w:val="-2"/>
        </w:rPr>
        <w:t> </w:t>
      </w:r>
      <w:r>
        <w:rPr/>
        <w:t>Australia dates</w:t>
      </w:r>
      <w:r>
        <w:rPr>
          <w:spacing w:val="-3"/>
        </w:rPr>
        <w:t> </w:t>
      </w:r>
      <w:r>
        <w:rPr/>
        <w:t>to</w:t>
      </w:r>
      <w:r>
        <w:rPr>
          <w:spacing w:val="-4"/>
        </w:rPr>
        <w:t> </w:t>
      </w:r>
      <w:r>
        <w:rPr/>
        <w:t>their</w:t>
      </w:r>
      <w:r>
        <w:rPr>
          <w:spacing w:val="-1"/>
        </w:rPr>
        <w:t> </w:t>
      </w:r>
      <w:r>
        <w:rPr/>
        <w:t>introduction</w:t>
      </w:r>
      <w:r>
        <w:rPr>
          <w:spacing w:val="-5"/>
        </w:rPr>
        <w:t> </w:t>
      </w:r>
      <w:r>
        <w:rPr/>
        <w:t>and</w:t>
      </w:r>
      <w:r>
        <w:rPr>
          <w:spacing w:val="-3"/>
        </w:rPr>
        <w:t> </w:t>
      </w:r>
      <w:r>
        <w:rPr/>
        <w:t>establishment</w:t>
      </w:r>
      <w:r>
        <w:rPr>
          <w:spacing w:val="-2"/>
        </w:rPr>
        <w:t> </w:t>
      </w:r>
      <w:r>
        <w:rPr/>
        <w:t>in</w:t>
      </w:r>
      <w:r>
        <w:rPr>
          <w:spacing w:val="-2"/>
        </w:rPr>
        <w:t> </w:t>
      </w:r>
      <w:r>
        <w:rPr/>
        <w:t>the</w:t>
      </w:r>
      <w:r>
        <w:rPr>
          <w:spacing w:val="-3"/>
        </w:rPr>
        <w:t> </w:t>
      </w:r>
      <w:r>
        <w:rPr/>
        <w:t>19th</w:t>
      </w:r>
      <w:r>
        <w:rPr>
          <w:spacing w:val="-4"/>
        </w:rPr>
        <w:t> </w:t>
      </w:r>
      <w:r>
        <w:rPr/>
        <w:t>century. By the 1880s, fencing was a widely relied-upon method, persisting as a primary tool until the 1950s. Despite its widespread use, early fencing efforts, such as the ‘dog fence’ and the Number 1 Rabbit-Proof Fence in Western Australia, demonstrated significant shortcomings. Stretching over 1,700 kilometres, these barriers ultimately</w:t>
      </w:r>
      <w:r>
        <w:rPr>
          <w:spacing w:val="-2"/>
        </w:rPr>
        <w:t> </w:t>
      </w:r>
      <w:r>
        <w:rPr/>
        <w:t>failed</w:t>
      </w:r>
      <w:r>
        <w:rPr>
          <w:spacing w:val="-1"/>
        </w:rPr>
        <w:t> </w:t>
      </w:r>
      <w:r>
        <w:rPr/>
        <w:t>to</w:t>
      </w:r>
      <w:r>
        <w:rPr>
          <w:spacing w:val="-2"/>
        </w:rPr>
        <w:t> </w:t>
      </w:r>
      <w:r>
        <w:rPr/>
        <w:t>halt</w:t>
      </w:r>
      <w:r>
        <w:rPr>
          <w:spacing w:val="-3"/>
        </w:rPr>
        <w:t> </w:t>
      </w:r>
      <w:r>
        <w:rPr/>
        <w:t>rabbit</w:t>
      </w:r>
      <w:r>
        <w:rPr>
          <w:spacing w:val="-3"/>
        </w:rPr>
        <w:t> </w:t>
      </w:r>
      <w:r>
        <w:rPr/>
        <w:t>invasions,</w:t>
      </w:r>
      <w:r>
        <w:rPr>
          <w:spacing w:val="-3"/>
        </w:rPr>
        <w:t> </w:t>
      </w:r>
      <w:r>
        <w:rPr/>
        <w:t>as</w:t>
      </w:r>
      <w:r>
        <w:rPr>
          <w:spacing w:val="-2"/>
        </w:rPr>
        <w:t> </w:t>
      </w:r>
      <w:r>
        <w:rPr/>
        <w:t>did</w:t>
      </w:r>
      <w:r>
        <w:rPr>
          <w:spacing w:val="-3"/>
        </w:rPr>
        <w:t> </w:t>
      </w:r>
      <w:r>
        <w:rPr/>
        <w:t>the</w:t>
      </w:r>
      <w:r>
        <w:rPr>
          <w:spacing w:val="-4"/>
        </w:rPr>
        <w:t> </w:t>
      </w:r>
      <w:r>
        <w:rPr/>
        <w:t>barrier</w:t>
      </w:r>
      <w:r>
        <w:rPr>
          <w:spacing w:val="-3"/>
        </w:rPr>
        <w:t> </w:t>
      </w:r>
      <w:r>
        <w:rPr/>
        <w:t>fence</w:t>
      </w:r>
      <w:r>
        <w:rPr>
          <w:spacing w:val="-1"/>
        </w:rPr>
        <w:t> </w:t>
      </w:r>
      <w:r>
        <w:rPr/>
        <w:t>between</w:t>
      </w:r>
      <w:r>
        <w:rPr>
          <w:spacing w:val="-1"/>
        </w:rPr>
        <w:t> </w:t>
      </w:r>
      <w:r>
        <w:rPr/>
        <w:t>Queensland</w:t>
      </w:r>
      <w:r>
        <w:rPr>
          <w:spacing w:val="-4"/>
        </w:rPr>
        <w:t> </w:t>
      </w:r>
      <w:r>
        <w:rPr/>
        <w:t>and</w:t>
      </w:r>
      <w:r>
        <w:rPr>
          <w:spacing w:val="-4"/>
        </w:rPr>
        <w:t> </w:t>
      </w:r>
      <w:r>
        <w:rPr/>
        <w:t>New</w:t>
      </w:r>
      <w:r>
        <w:rPr>
          <w:spacing w:val="-1"/>
        </w:rPr>
        <w:t> </w:t>
      </w:r>
      <w:r>
        <w:rPr/>
        <w:t>South</w:t>
      </w:r>
      <w:r>
        <w:rPr>
          <w:spacing w:val="-1"/>
        </w:rPr>
        <w:t> </w:t>
      </w:r>
      <w:r>
        <w:rPr/>
        <w:t>Wales.</w:t>
      </w:r>
    </w:p>
    <w:p>
      <w:pPr>
        <w:pStyle w:val="BodyText"/>
        <w:spacing w:before="120"/>
        <w:ind w:left="112" w:right="126"/>
      </w:pPr>
      <w:r>
        <w:rPr/>
        <w:t>As rabbit control methods evolved to include fumigation, warren ripping, and poisoning, the use of rabbit- proof netting fences declined significantly. The high costs of construction and labour required to maintain these fences have made them a less viable option. The costs for rabbit exclusion fencing in Australia are estimated</w:t>
      </w:r>
      <w:r>
        <w:rPr>
          <w:spacing w:val="-4"/>
        </w:rPr>
        <w:t> </w:t>
      </w:r>
      <w:r>
        <w:rPr/>
        <w:t>at</w:t>
      </w:r>
      <w:r>
        <w:rPr>
          <w:spacing w:val="-3"/>
        </w:rPr>
        <w:t> </w:t>
      </w:r>
      <w:r>
        <w:rPr/>
        <w:t>AUD</w:t>
      </w:r>
      <w:r>
        <w:rPr>
          <w:spacing w:val="-2"/>
        </w:rPr>
        <w:t> </w:t>
      </w:r>
      <w:r>
        <w:rPr/>
        <w:t>$55,261</w:t>
      </w:r>
      <w:r>
        <w:rPr>
          <w:spacing w:val="-1"/>
        </w:rPr>
        <w:t> </w:t>
      </w:r>
      <w:r>
        <w:rPr/>
        <w:t>per</w:t>
      </w:r>
      <w:r>
        <w:rPr>
          <w:spacing w:val="-4"/>
        </w:rPr>
        <w:t> </w:t>
      </w:r>
      <w:r>
        <w:rPr/>
        <w:t>kilometre</w:t>
      </w:r>
      <w:r>
        <w:rPr>
          <w:spacing w:val="-1"/>
        </w:rPr>
        <w:t> </w:t>
      </w:r>
      <w:r>
        <w:rPr/>
        <w:t>(Long</w:t>
      </w:r>
      <w:r>
        <w:rPr>
          <w:spacing w:val="-5"/>
        </w:rPr>
        <w:t> </w:t>
      </w:r>
      <w:r>
        <w:rPr/>
        <w:t>and</w:t>
      </w:r>
      <w:r>
        <w:rPr>
          <w:spacing w:val="-4"/>
        </w:rPr>
        <w:t> </w:t>
      </w:r>
      <w:r>
        <w:rPr/>
        <w:t>Robley</w:t>
      </w:r>
      <w:r>
        <w:rPr>
          <w:spacing w:val="-4"/>
        </w:rPr>
        <w:t> </w:t>
      </w:r>
      <w:r>
        <w:rPr/>
        <w:t>2004).</w:t>
      </w:r>
      <w:r>
        <w:rPr>
          <w:spacing w:val="-3"/>
        </w:rPr>
        <w:t> </w:t>
      </w:r>
      <w:r>
        <w:rPr/>
        <w:t>Consequently,</w:t>
      </w:r>
      <w:r>
        <w:rPr>
          <w:spacing w:val="-3"/>
        </w:rPr>
        <w:t> </w:t>
      </w:r>
      <w:r>
        <w:rPr/>
        <w:t>most</w:t>
      </w:r>
      <w:r>
        <w:rPr>
          <w:spacing w:val="-5"/>
        </w:rPr>
        <w:t> </w:t>
      </w:r>
      <w:r>
        <w:rPr/>
        <w:t>farmers</w:t>
      </w:r>
      <w:r>
        <w:rPr>
          <w:spacing w:val="-3"/>
        </w:rPr>
        <w:t> </w:t>
      </w:r>
      <w:r>
        <w:rPr/>
        <w:t>no</w:t>
      </w:r>
      <w:r>
        <w:rPr>
          <w:spacing w:val="-4"/>
        </w:rPr>
        <w:t> </w:t>
      </w:r>
      <w:r>
        <w:rPr/>
        <w:t>longer</w:t>
      </w:r>
      <w:r>
        <w:rPr>
          <w:spacing w:val="-4"/>
        </w:rPr>
        <w:t> </w:t>
      </w:r>
      <w:r>
        <w:rPr/>
        <w:t>aim to completely eradicate rabbits on their properties, choosing instead to adopt integrated pest management </w:t>
      </w:r>
      <w:r>
        <w:rPr>
          <w:spacing w:val="-2"/>
        </w:rPr>
        <w:t>strategies.</w:t>
      </w:r>
    </w:p>
    <w:p>
      <w:pPr>
        <w:pStyle w:val="BodyText"/>
        <w:spacing w:before="120"/>
        <w:ind w:left="112" w:right="331"/>
        <w:jc w:val="both"/>
      </w:pPr>
      <w:r>
        <w:rPr/>
        <w:t>In</w:t>
      </w:r>
      <w:r>
        <w:rPr>
          <w:spacing w:val="-4"/>
        </w:rPr>
        <w:t> </w:t>
      </w:r>
      <w:r>
        <w:rPr/>
        <w:t>a</w:t>
      </w:r>
      <w:r>
        <w:rPr>
          <w:spacing w:val="-3"/>
        </w:rPr>
        <w:t> </w:t>
      </w:r>
      <w:r>
        <w:rPr/>
        <w:t>recent</w:t>
      </w:r>
      <w:r>
        <w:rPr>
          <w:spacing w:val="-3"/>
        </w:rPr>
        <w:t> </w:t>
      </w:r>
      <w:r>
        <w:rPr/>
        <w:t>survey</w:t>
      </w:r>
      <w:r>
        <w:rPr>
          <w:spacing w:val="-2"/>
        </w:rPr>
        <w:t> </w:t>
      </w:r>
      <w:r>
        <w:rPr/>
        <w:t>of</w:t>
      </w:r>
      <w:r>
        <w:rPr>
          <w:spacing w:val="-1"/>
        </w:rPr>
        <w:t> </w:t>
      </w:r>
      <w:r>
        <w:rPr/>
        <w:t>ACUP</w:t>
      </w:r>
      <w:r>
        <w:rPr>
          <w:spacing w:val="-1"/>
        </w:rPr>
        <w:t> </w:t>
      </w:r>
      <w:r>
        <w:rPr/>
        <w:t>holders,</w:t>
      </w:r>
      <w:r>
        <w:rPr>
          <w:spacing w:val="-3"/>
        </w:rPr>
        <w:t> </w:t>
      </w:r>
      <w:r>
        <w:rPr/>
        <w:t>2%</w:t>
      </w:r>
      <w:r>
        <w:rPr>
          <w:spacing w:val="-3"/>
        </w:rPr>
        <w:t> </w:t>
      </w:r>
      <w:r>
        <w:rPr/>
        <w:t>reported</w:t>
      </w:r>
      <w:r>
        <w:rPr>
          <w:spacing w:val="-3"/>
        </w:rPr>
        <w:t> </w:t>
      </w:r>
      <w:r>
        <w:rPr/>
        <w:t>fencing</w:t>
      </w:r>
      <w:r>
        <w:rPr>
          <w:spacing w:val="-4"/>
        </w:rPr>
        <w:t> </w:t>
      </w:r>
      <w:r>
        <w:rPr/>
        <w:t>as</w:t>
      </w:r>
      <w:r>
        <w:rPr>
          <w:spacing w:val="-2"/>
        </w:rPr>
        <w:t> </w:t>
      </w:r>
      <w:r>
        <w:rPr/>
        <w:t>their</w:t>
      </w:r>
      <w:r>
        <w:rPr>
          <w:spacing w:val="-1"/>
        </w:rPr>
        <w:t> </w:t>
      </w:r>
      <w:r>
        <w:rPr/>
        <w:t>primary</w:t>
      </w:r>
      <w:r>
        <w:rPr>
          <w:spacing w:val="-1"/>
        </w:rPr>
        <w:t> </w:t>
      </w:r>
      <w:r>
        <w:rPr/>
        <w:t>rabbit</w:t>
      </w:r>
      <w:r>
        <w:rPr>
          <w:spacing w:val="-3"/>
        </w:rPr>
        <w:t> </w:t>
      </w:r>
      <w:r>
        <w:rPr/>
        <w:t>control</w:t>
      </w:r>
      <w:r>
        <w:rPr>
          <w:spacing w:val="-2"/>
        </w:rPr>
        <w:t> </w:t>
      </w:r>
      <w:r>
        <w:rPr/>
        <w:t>method,</w:t>
      </w:r>
      <w:r>
        <w:rPr>
          <w:spacing w:val="-3"/>
        </w:rPr>
        <w:t> </w:t>
      </w:r>
      <w:r>
        <w:rPr/>
        <w:t>while</w:t>
      </w:r>
      <w:r>
        <w:rPr>
          <w:spacing w:val="-3"/>
        </w:rPr>
        <w:t> </w:t>
      </w:r>
      <w:r>
        <w:rPr/>
        <w:t>18% had</w:t>
      </w:r>
      <w:r>
        <w:rPr>
          <w:spacing w:val="-1"/>
        </w:rPr>
        <w:t> </w:t>
      </w:r>
      <w:r>
        <w:rPr/>
        <w:t>used</w:t>
      </w:r>
      <w:r>
        <w:rPr>
          <w:spacing w:val="-4"/>
        </w:rPr>
        <w:t> </w:t>
      </w:r>
      <w:r>
        <w:rPr/>
        <w:t>fencing</w:t>
      </w:r>
      <w:r>
        <w:rPr>
          <w:spacing w:val="-3"/>
        </w:rPr>
        <w:t> </w:t>
      </w:r>
      <w:r>
        <w:rPr/>
        <w:t>in</w:t>
      </w:r>
      <w:r>
        <w:rPr>
          <w:spacing w:val="-3"/>
        </w:rPr>
        <w:t> </w:t>
      </w:r>
      <w:r>
        <w:rPr/>
        <w:t>the</w:t>
      </w:r>
      <w:r>
        <w:rPr>
          <w:spacing w:val="-3"/>
        </w:rPr>
        <w:t> </w:t>
      </w:r>
      <w:r>
        <w:rPr/>
        <w:t>past</w:t>
      </w:r>
      <w:r>
        <w:rPr>
          <w:spacing w:val="-3"/>
        </w:rPr>
        <w:t> </w:t>
      </w:r>
      <w:r>
        <w:rPr/>
        <w:t>five</w:t>
      </w:r>
      <w:r>
        <w:rPr>
          <w:spacing w:val="-3"/>
        </w:rPr>
        <w:t> </w:t>
      </w:r>
      <w:r>
        <w:rPr/>
        <w:t>years.</w:t>
      </w:r>
      <w:r>
        <w:rPr>
          <w:spacing w:val="-3"/>
        </w:rPr>
        <w:t> </w:t>
      </w:r>
      <w:r>
        <w:rPr/>
        <w:t>Among</w:t>
      </w:r>
      <w:r>
        <w:rPr>
          <w:spacing w:val="-1"/>
        </w:rPr>
        <w:t> </w:t>
      </w:r>
      <w:r>
        <w:rPr/>
        <w:t>those</w:t>
      </w:r>
      <w:r>
        <w:rPr>
          <w:spacing w:val="-1"/>
        </w:rPr>
        <w:t> </w:t>
      </w:r>
      <w:r>
        <w:rPr/>
        <w:t>who</w:t>
      </w:r>
      <w:r>
        <w:rPr>
          <w:spacing w:val="-4"/>
        </w:rPr>
        <w:t> </w:t>
      </w:r>
      <w:r>
        <w:rPr/>
        <w:t>used</w:t>
      </w:r>
      <w:r>
        <w:rPr>
          <w:spacing w:val="-3"/>
        </w:rPr>
        <w:t> </w:t>
      </w:r>
      <w:r>
        <w:rPr/>
        <w:t>1080</w:t>
      </w:r>
      <w:r>
        <w:rPr>
          <w:spacing w:val="-1"/>
        </w:rPr>
        <w:t> </w:t>
      </w:r>
      <w:r>
        <w:rPr/>
        <w:t>for</w:t>
      </w:r>
      <w:r>
        <w:rPr>
          <w:spacing w:val="-3"/>
        </w:rPr>
        <w:t> </w:t>
      </w:r>
      <w:r>
        <w:rPr/>
        <w:t>rabbit</w:t>
      </w:r>
      <w:r>
        <w:rPr>
          <w:spacing w:val="-1"/>
        </w:rPr>
        <w:t> </w:t>
      </w:r>
      <w:r>
        <w:rPr/>
        <w:t>control,</w:t>
      </w:r>
      <w:r>
        <w:rPr>
          <w:spacing w:val="-3"/>
        </w:rPr>
        <w:t> </w:t>
      </w:r>
      <w:r>
        <w:rPr/>
        <w:t>14%</w:t>
      </w:r>
      <w:r>
        <w:rPr>
          <w:spacing w:val="-3"/>
        </w:rPr>
        <w:t> </w:t>
      </w:r>
      <w:r>
        <w:rPr/>
        <w:t>indicated</w:t>
      </w:r>
      <w:r>
        <w:rPr>
          <w:spacing w:val="-2"/>
        </w:rPr>
        <w:t> </w:t>
      </w:r>
      <w:r>
        <w:rPr/>
        <w:t>they would increase their use of fencing if 1080 were no longer available (Quantum Market Research 2024).</w:t>
      </w:r>
    </w:p>
    <w:p>
      <w:pPr>
        <w:pStyle w:val="Heading5"/>
        <w:numPr>
          <w:ilvl w:val="2"/>
          <w:numId w:val="21"/>
        </w:numPr>
        <w:tabs>
          <w:tab w:pos="831" w:val="left" w:leader="none"/>
        </w:tabs>
        <w:spacing w:line="240" w:lineRule="auto" w:before="141" w:after="0"/>
        <w:ind w:left="831" w:right="0" w:hanging="719"/>
        <w:jc w:val="left"/>
      </w:pPr>
      <w:r>
        <w:rPr/>
        <w:t>Feral</w:t>
      </w:r>
      <w:r>
        <w:rPr>
          <w:spacing w:val="-2"/>
        </w:rPr>
        <w:t> </w:t>
      </w:r>
      <w:r>
        <w:rPr>
          <w:spacing w:val="-4"/>
        </w:rPr>
        <w:t>Pigs</w:t>
      </w:r>
    </w:p>
    <w:p>
      <w:pPr>
        <w:pStyle w:val="BodyText"/>
        <w:spacing w:before="56"/>
        <w:ind w:left="112" w:right="142"/>
      </w:pPr>
      <w:r>
        <w:rPr/>
        <w:t>Exclusion</w:t>
      </w:r>
      <w:r>
        <w:rPr>
          <w:spacing w:val="-2"/>
        </w:rPr>
        <w:t> </w:t>
      </w:r>
      <w:r>
        <w:rPr/>
        <w:t>fencing</w:t>
      </w:r>
      <w:r>
        <w:rPr>
          <w:spacing w:val="-2"/>
        </w:rPr>
        <w:t> </w:t>
      </w:r>
      <w:r>
        <w:rPr/>
        <w:t>is</w:t>
      </w:r>
      <w:r>
        <w:rPr>
          <w:spacing w:val="-1"/>
        </w:rPr>
        <w:t> </w:t>
      </w:r>
      <w:r>
        <w:rPr/>
        <w:t>generally</w:t>
      </w:r>
      <w:r>
        <w:rPr>
          <w:spacing w:val="-1"/>
        </w:rPr>
        <w:t> </w:t>
      </w:r>
      <w:r>
        <w:rPr/>
        <w:t>not</w:t>
      </w:r>
      <w:r>
        <w:rPr>
          <w:spacing w:val="-2"/>
        </w:rPr>
        <w:t> </w:t>
      </w:r>
      <w:r>
        <w:rPr/>
        <w:t>considered</w:t>
      </w:r>
      <w:r>
        <w:rPr>
          <w:spacing w:val="-2"/>
        </w:rPr>
        <w:t> </w:t>
      </w:r>
      <w:r>
        <w:rPr/>
        <w:t>an optimal</w:t>
      </w:r>
      <w:r>
        <w:rPr>
          <w:spacing w:val="-3"/>
        </w:rPr>
        <w:t> </w:t>
      </w:r>
      <w:r>
        <w:rPr/>
        <w:t>control</w:t>
      </w:r>
      <w:r>
        <w:rPr>
          <w:spacing w:val="-1"/>
        </w:rPr>
        <w:t> </w:t>
      </w:r>
      <w:r>
        <w:rPr/>
        <w:t>method for Feral</w:t>
      </w:r>
      <w:r>
        <w:rPr>
          <w:spacing w:val="-1"/>
        </w:rPr>
        <w:t> </w:t>
      </w:r>
      <w:r>
        <w:rPr/>
        <w:t>Pigs, except in</w:t>
      </w:r>
      <w:r>
        <w:rPr>
          <w:spacing w:val="-2"/>
        </w:rPr>
        <w:t> </w:t>
      </w:r>
      <w:r>
        <w:rPr/>
        <w:t>the</w:t>
      </w:r>
      <w:r>
        <w:rPr>
          <w:spacing w:val="-3"/>
        </w:rPr>
        <w:t> </w:t>
      </w:r>
      <w:r>
        <w:rPr/>
        <w:t>case of small, high-value areas (McIlroy 1993, cited in Choquenot et al. 1996). It is primarily used to protect agricultural</w:t>
      </w:r>
      <w:r>
        <w:rPr>
          <w:spacing w:val="-5"/>
        </w:rPr>
        <w:t> </w:t>
      </w:r>
      <w:r>
        <w:rPr/>
        <w:t>crops,</w:t>
      </w:r>
      <w:r>
        <w:rPr>
          <w:spacing w:val="-2"/>
        </w:rPr>
        <w:t> </w:t>
      </w:r>
      <w:r>
        <w:rPr/>
        <w:t>and</w:t>
      </w:r>
      <w:r>
        <w:rPr>
          <w:spacing w:val="-2"/>
        </w:rPr>
        <w:t> </w:t>
      </w:r>
      <w:r>
        <w:rPr/>
        <w:t>livestock</w:t>
      </w:r>
      <w:r>
        <w:rPr>
          <w:spacing w:val="-1"/>
        </w:rPr>
        <w:t> </w:t>
      </w:r>
      <w:r>
        <w:rPr/>
        <w:t>(Mitchell</w:t>
      </w:r>
      <w:r>
        <w:rPr>
          <w:spacing w:val="-3"/>
        </w:rPr>
        <w:t> </w:t>
      </w:r>
      <w:r>
        <w:rPr/>
        <w:t>et</w:t>
      </w:r>
      <w:r>
        <w:rPr>
          <w:spacing w:val="-4"/>
        </w:rPr>
        <w:t> </w:t>
      </w:r>
      <w:r>
        <w:rPr/>
        <w:t>al.</w:t>
      </w:r>
      <w:r>
        <w:rPr>
          <w:spacing w:val="-2"/>
        </w:rPr>
        <w:t> </w:t>
      </w:r>
      <w:r>
        <w:rPr/>
        <w:t>1977;</w:t>
      </w:r>
      <w:r>
        <w:rPr>
          <w:spacing w:val="-2"/>
        </w:rPr>
        <w:t> </w:t>
      </w:r>
      <w:r>
        <w:rPr/>
        <w:t>Plant</w:t>
      </w:r>
      <w:r>
        <w:rPr>
          <w:spacing w:val="-4"/>
        </w:rPr>
        <w:t> </w:t>
      </w:r>
      <w:r>
        <w:rPr/>
        <w:t>et</w:t>
      </w:r>
      <w:r>
        <w:rPr>
          <w:spacing w:val="-4"/>
        </w:rPr>
        <w:t> </w:t>
      </w:r>
      <w:r>
        <w:rPr/>
        <w:t>al.</w:t>
      </w:r>
      <w:r>
        <w:rPr>
          <w:spacing w:val="-4"/>
        </w:rPr>
        <w:t> </w:t>
      </w:r>
      <w:r>
        <w:rPr/>
        <w:t>1977),</w:t>
      </w:r>
      <w:r>
        <w:rPr>
          <w:spacing w:val="-2"/>
        </w:rPr>
        <w:t> </w:t>
      </w:r>
      <w:r>
        <w:rPr/>
        <w:t>and,</w:t>
      </w:r>
      <w:r>
        <w:rPr>
          <w:spacing w:val="-4"/>
        </w:rPr>
        <w:t> </w:t>
      </w:r>
      <w:r>
        <w:rPr/>
        <w:t>more</w:t>
      </w:r>
      <w:r>
        <w:rPr>
          <w:spacing w:val="-2"/>
        </w:rPr>
        <w:t> </w:t>
      </w:r>
      <w:r>
        <w:rPr/>
        <w:t>recently,</w:t>
      </w:r>
      <w:r>
        <w:rPr>
          <w:spacing w:val="-4"/>
        </w:rPr>
        <w:t> </w:t>
      </w:r>
      <w:r>
        <w:rPr/>
        <w:t>tropical</w:t>
      </w:r>
      <w:r>
        <w:rPr>
          <w:spacing w:val="-5"/>
        </w:rPr>
        <w:t> </w:t>
      </w:r>
      <w:r>
        <w:rPr/>
        <w:t>wetlands (Negus et al. 2019; Waltham and Schaffer 2021). For instance, Pavlov et al. (1981) demonstrated that electric</w:t>
      </w:r>
      <w:r>
        <w:rPr>
          <w:spacing w:val="-1"/>
        </w:rPr>
        <w:t> </w:t>
      </w:r>
      <w:r>
        <w:rPr/>
        <w:t>fencing</w:t>
      </w:r>
      <w:r>
        <w:rPr>
          <w:spacing w:val="-1"/>
        </w:rPr>
        <w:t> </w:t>
      </w:r>
      <w:r>
        <w:rPr/>
        <w:t>increased lamb</w:t>
      </w:r>
      <w:r>
        <w:rPr>
          <w:spacing w:val="-2"/>
        </w:rPr>
        <w:t> </w:t>
      </w:r>
      <w:r>
        <w:rPr/>
        <w:t>survival</w:t>
      </w:r>
      <w:r>
        <w:rPr>
          <w:spacing w:val="-3"/>
        </w:rPr>
        <w:t> </w:t>
      </w:r>
      <w:r>
        <w:rPr/>
        <w:t>by</w:t>
      </w:r>
      <w:r>
        <w:rPr>
          <w:spacing w:val="-1"/>
        </w:rPr>
        <w:t> </w:t>
      </w:r>
      <w:r>
        <w:rPr/>
        <w:t>preventing Feral</w:t>
      </w:r>
      <w:r>
        <w:rPr>
          <w:spacing w:val="-1"/>
        </w:rPr>
        <w:t> </w:t>
      </w:r>
      <w:r>
        <w:rPr/>
        <w:t>Pig access</w:t>
      </w:r>
      <w:r>
        <w:rPr>
          <w:spacing w:val="-1"/>
        </w:rPr>
        <w:t> </w:t>
      </w:r>
      <w:r>
        <w:rPr/>
        <w:t>to</w:t>
      </w:r>
      <w:r>
        <w:rPr>
          <w:spacing w:val="-3"/>
        </w:rPr>
        <w:t> </w:t>
      </w:r>
      <w:r>
        <w:rPr/>
        <w:t>paddocks.</w:t>
      </w:r>
      <w:r>
        <w:rPr>
          <w:spacing w:val="-2"/>
        </w:rPr>
        <w:t> </w:t>
      </w:r>
      <w:r>
        <w:rPr/>
        <w:t>Similar</w:t>
      </w:r>
      <w:r>
        <w:rPr>
          <w:spacing w:val="-2"/>
        </w:rPr>
        <w:t> </w:t>
      </w:r>
      <w:r>
        <w:rPr/>
        <w:t>outcomes</w:t>
      </w:r>
      <w:r>
        <w:rPr>
          <w:spacing w:val="-1"/>
        </w:rPr>
        <w:t> </w:t>
      </w:r>
      <w:r>
        <w:rPr/>
        <w:t>were observed in Texas and Japan, where fencing significantly reduced crop damage (Matthew et al. 2008; Saito et al. 2011). In the Northern Territory, fencing excluded feral buffalo, horses, and Feral Pigs, leading to substantial environmental improvements in culturally significant billabongs (Ens et al. 2016).</w:t>
      </w:r>
    </w:p>
    <w:p>
      <w:pPr>
        <w:pStyle w:val="BodyText"/>
        <w:spacing w:before="122"/>
        <w:ind w:left="112" w:right="142"/>
      </w:pPr>
      <w:r>
        <w:rPr/>
        <w:t>Despite</w:t>
      </w:r>
      <w:r>
        <w:rPr>
          <w:spacing w:val="-4"/>
        </w:rPr>
        <w:t> </w:t>
      </w:r>
      <w:r>
        <w:rPr/>
        <w:t>these</w:t>
      </w:r>
      <w:r>
        <w:rPr>
          <w:spacing w:val="-4"/>
        </w:rPr>
        <w:t> </w:t>
      </w:r>
      <w:r>
        <w:rPr/>
        <w:t>successes,</w:t>
      </w:r>
      <w:r>
        <w:rPr>
          <w:spacing w:val="-4"/>
        </w:rPr>
        <w:t> </w:t>
      </w:r>
      <w:r>
        <w:rPr/>
        <w:t>fencing</w:t>
      </w:r>
      <w:r>
        <w:rPr>
          <w:spacing w:val="-4"/>
        </w:rPr>
        <w:t> </w:t>
      </w:r>
      <w:r>
        <w:rPr/>
        <w:t>is</w:t>
      </w:r>
      <w:r>
        <w:rPr>
          <w:spacing w:val="-3"/>
        </w:rPr>
        <w:t> </w:t>
      </w:r>
      <w:r>
        <w:rPr/>
        <w:t>not</w:t>
      </w:r>
      <w:r>
        <w:rPr>
          <w:spacing w:val="-4"/>
        </w:rPr>
        <w:t> </w:t>
      </w:r>
      <w:r>
        <w:rPr/>
        <w:t>universally</w:t>
      </w:r>
      <w:r>
        <w:rPr>
          <w:spacing w:val="-3"/>
        </w:rPr>
        <w:t> </w:t>
      </w:r>
      <w:r>
        <w:rPr/>
        <w:t>effective.</w:t>
      </w:r>
      <w:r>
        <w:rPr>
          <w:spacing w:val="-4"/>
        </w:rPr>
        <w:t> </w:t>
      </w:r>
      <w:r>
        <w:rPr/>
        <w:t>For</w:t>
      </w:r>
      <w:r>
        <w:rPr>
          <w:spacing w:val="-1"/>
        </w:rPr>
        <w:t> </w:t>
      </w:r>
      <w:r>
        <w:rPr/>
        <w:t>example, (Geisser</w:t>
      </w:r>
      <w:r>
        <w:rPr>
          <w:spacing w:val="-4"/>
        </w:rPr>
        <w:t> </w:t>
      </w:r>
      <w:r>
        <w:rPr/>
        <w:t>and</w:t>
      </w:r>
      <w:r>
        <w:rPr>
          <w:spacing w:val="-3"/>
        </w:rPr>
        <w:t> </w:t>
      </w:r>
      <w:r>
        <w:rPr/>
        <w:t>Reyer</w:t>
      </w:r>
      <w:r>
        <w:rPr>
          <w:spacing w:val="-4"/>
        </w:rPr>
        <w:t> </w:t>
      </w:r>
      <w:r>
        <w:rPr/>
        <w:t>2004)</w:t>
      </w:r>
      <w:r>
        <w:rPr>
          <w:spacing w:val="-1"/>
        </w:rPr>
        <w:t> </w:t>
      </w:r>
      <w:r>
        <w:rPr/>
        <w:t>found no reduction in crop damage with increased fencing in Switzerland, and in Queensland, fencing around wetlands showed no measurable biodiversity benefits (Doupé et al. 2010; Waltham and Schaffer 2019).</w:t>
      </w:r>
    </w:p>
    <w:p>
      <w:pPr>
        <w:pStyle w:val="BodyText"/>
        <w:ind w:left="112" w:right="166"/>
      </w:pPr>
      <w:r>
        <w:rPr/>
        <w:t>Given the robust size of Feral Pigs, reaching up to 115 kg in size (Choquenot et al. 1996), fences must be durable, often incorporating woven-wire mesh and barbed wire or using electric components for cost- effectiveness. Feral Pig movement was effectively controlled using fences with 0.80–1.2-m-tall woven-wire mesh with a ground-level strand of barbed wire, facilitating eradication from several management units in Hawaii</w:t>
      </w:r>
      <w:r>
        <w:rPr>
          <w:spacing w:val="-3"/>
        </w:rPr>
        <w:t> </w:t>
      </w:r>
      <w:r>
        <w:rPr/>
        <w:t>Volcanoes</w:t>
      </w:r>
      <w:r>
        <w:rPr>
          <w:spacing w:val="-3"/>
        </w:rPr>
        <w:t> </w:t>
      </w:r>
      <w:r>
        <w:rPr/>
        <w:t>National</w:t>
      </w:r>
      <w:r>
        <w:rPr>
          <w:spacing w:val="-1"/>
        </w:rPr>
        <w:t> </w:t>
      </w:r>
      <w:r>
        <w:rPr/>
        <w:t>Park (Hone</w:t>
      </w:r>
      <w:r>
        <w:rPr>
          <w:spacing w:val="-4"/>
        </w:rPr>
        <w:t> </w:t>
      </w:r>
      <w:r>
        <w:rPr/>
        <w:t>and</w:t>
      </w:r>
      <w:r>
        <w:rPr>
          <w:spacing w:val="-4"/>
        </w:rPr>
        <w:t> </w:t>
      </w:r>
      <w:r>
        <w:rPr/>
        <w:t>Stone</w:t>
      </w:r>
      <w:r>
        <w:rPr>
          <w:spacing w:val="-4"/>
        </w:rPr>
        <w:t> </w:t>
      </w:r>
      <w:r>
        <w:rPr/>
        <w:t>1989),</w:t>
      </w:r>
      <w:r>
        <w:rPr>
          <w:spacing w:val="-4"/>
        </w:rPr>
        <w:t> </w:t>
      </w:r>
      <w:r>
        <w:rPr/>
        <w:t>and</w:t>
      </w:r>
      <w:r>
        <w:rPr>
          <w:spacing w:val="-2"/>
        </w:rPr>
        <w:t> </w:t>
      </w:r>
      <w:r>
        <w:rPr/>
        <w:t>the</w:t>
      </w:r>
      <w:r>
        <w:rPr>
          <w:spacing w:val="-2"/>
        </w:rPr>
        <w:t> </w:t>
      </w:r>
      <w:r>
        <w:rPr/>
        <w:t>Pinnacles</w:t>
      </w:r>
      <w:r>
        <w:rPr>
          <w:spacing w:val="-3"/>
        </w:rPr>
        <w:t> </w:t>
      </w:r>
      <w:r>
        <w:rPr/>
        <w:t>National</w:t>
      </w:r>
      <w:r>
        <w:rPr>
          <w:spacing w:val="-3"/>
        </w:rPr>
        <w:t> </w:t>
      </w:r>
      <w:r>
        <w:rPr/>
        <w:t>Monument in</w:t>
      </w:r>
      <w:r>
        <w:rPr>
          <w:spacing w:val="-4"/>
        </w:rPr>
        <w:t> </w:t>
      </w:r>
      <w:r>
        <w:rPr/>
        <w:t>California (McCann and Garcelon 2008). Electric fences have also been effective in decreasing movements of Feral Pigs (Choquenot et al. 1997; Hone and Atkinson 1983; Matthew et al. 2008). Electric fences are easier to construct and are cost effective; however, sturdier and consequently more expensive and permanent</w:t>
      </w:r>
      <w:r>
        <w:rPr/>
        <w:t> designs are required for complete exclusion of Feral Pigs (Reidy et al. 2008).</w:t>
      </w:r>
    </w:p>
    <w:p>
      <w:pPr>
        <w:pStyle w:val="BodyText"/>
        <w:spacing w:before="118"/>
        <w:ind w:left="112" w:right="375"/>
      </w:pPr>
      <w:r>
        <w:rPr/>
        <w:t>In</w:t>
      </w:r>
      <w:r>
        <w:rPr>
          <w:spacing w:val="-5"/>
        </w:rPr>
        <w:t> </w:t>
      </w:r>
      <w:r>
        <w:rPr/>
        <w:t>a</w:t>
      </w:r>
      <w:r>
        <w:rPr>
          <w:spacing w:val="-4"/>
        </w:rPr>
        <w:t> </w:t>
      </w:r>
      <w:r>
        <w:rPr/>
        <w:t>recent</w:t>
      </w:r>
      <w:r>
        <w:rPr>
          <w:spacing w:val="-2"/>
        </w:rPr>
        <w:t> </w:t>
      </w:r>
      <w:r>
        <w:rPr/>
        <w:t>ACUP</w:t>
      </w:r>
      <w:r>
        <w:rPr>
          <w:spacing w:val="-2"/>
        </w:rPr>
        <w:t> </w:t>
      </w:r>
      <w:r>
        <w:rPr/>
        <w:t>survey,</w:t>
      </w:r>
      <w:r>
        <w:rPr>
          <w:spacing w:val="-4"/>
        </w:rPr>
        <w:t> </w:t>
      </w:r>
      <w:r>
        <w:rPr/>
        <w:t>7%</w:t>
      </w:r>
      <w:r>
        <w:rPr>
          <w:spacing w:val="-4"/>
        </w:rPr>
        <w:t> </w:t>
      </w:r>
      <w:r>
        <w:rPr/>
        <w:t>of</w:t>
      </w:r>
      <w:r>
        <w:rPr>
          <w:spacing w:val="-4"/>
        </w:rPr>
        <w:t> </w:t>
      </w:r>
      <w:r>
        <w:rPr/>
        <w:t>respondents</w:t>
      </w:r>
      <w:r>
        <w:rPr>
          <w:spacing w:val="-3"/>
        </w:rPr>
        <w:t> </w:t>
      </w:r>
      <w:r>
        <w:rPr/>
        <w:t>identified</w:t>
      </w:r>
      <w:r>
        <w:rPr>
          <w:spacing w:val="-2"/>
        </w:rPr>
        <w:t> </w:t>
      </w:r>
      <w:r>
        <w:rPr/>
        <w:t>fencing</w:t>
      </w:r>
      <w:r>
        <w:rPr>
          <w:spacing w:val="-5"/>
        </w:rPr>
        <w:t> </w:t>
      </w:r>
      <w:r>
        <w:rPr/>
        <w:t>as</w:t>
      </w:r>
      <w:r>
        <w:rPr>
          <w:spacing w:val="-3"/>
        </w:rPr>
        <w:t> </w:t>
      </w:r>
      <w:r>
        <w:rPr/>
        <w:t>their</w:t>
      </w:r>
      <w:r>
        <w:rPr>
          <w:spacing w:val="-3"/>
        </w:rPr>
        <w:t> </w:t>
      </w:r>
      <w:r>
        <w:rPr/>
        <w:t>primary</w:t>
      </w:r>
      <w:r>
        <w:rPr>
          <w:spacing w:val="-3"/>
        </w:rPr>
        <w:t> </w:t>
      </w:r>
      <w:r>
        <w:rPr/>
        <w:t>control</w:t>
      </w:r>
      <w:r>
        <w:rPr>
          <w:spacing w:val="-3"/>
        </w:rPr>
        <w:t> </w:t>
      </w:r>
      <w:r>
        <w:rPr/>
        <w:t>method</w:t>
      </w:r>
      <w:r>
        <w:rPr>
          <w:spacing w:val="-2"/>
        </w:rPr>
        <w:t> </w:t>
      </w:r>
      <w:r>
        <w:rPr/>
        <w:t>for Feral Pigs, with 23% employing it in the past five years. Among those using 1080, 4% indicated they would increase their reliance on fencing if 1080 became unavailable (Quantum Market Research 2024).</w:t>
      </w:r>
    </w:p>
    <w:p>
      <w:pPr>
        <w:pStyle w:val="Heading5"/>
        <w:numPr>
          <w:ilvl w:val="2"/>
          <w:numId w:val="21"/>
        </w:numPr>
        <w:tabs>
          <w:tab w:pos="831" w:val="left" w:leader="none"/>
        </w:tabs>
        <w:spacing w:line="240" w:lineRule="auto" w:before="141" w:after="0"/>
        <w:ind w:left="831" w:right="0" w:hanging="719"/>
        <w:jc w:val="left"/>
      </w:pPr>
      <w:bookmarkStart w:name="_TOC_250026" w:id="87"/>
      <w:r>
        <w:rPr/>
        <w:t>Red</w:t>
      </w:r>
      <w:bookmarkEnd w:id="87"/>
      <w:r>
        <w:rPr>
          <w:spacing w:val="-2"/>
        </w:rPr>
        <w:t> Foxes</w:t>
      </w:r>
    </w:p>
    <w:p>
      <w:pPr>
        <w:pStyle w:val="BodyText"/>
        <w:spacing w:before="56"/>
        <w:ind w:left="112" w:right="142"/>
      </w:pPr>
      <w:r>
        <w:rPr/>
        <w:t>Exclusion fencing is commonly employed in zoos, private wildlife parks, and areas of intensive agriculture affected by fox predation. In such scenarios, fencing, particularly designs incorporating a roof or overhang, has proven effective (Saunders et al. 1995). A</w:t>
      </w:r>
      <w:r>
        <w:rPr>
          <w:spacing w:val="-1"/>
        </w:rPr>
        <w:t> </w:t>
      </w:r>
      <w:r>
        <w:rPr/>
        <w:t>recent survey of 1080 ACUP holders in Victoria reported that 1%</w:t>
      </w:r>
      <w:r>
        <w:rPr>
          <w:spacing w:val="-4"/>
        </w:rPr>
        <w:t> </w:t>
      </w:r>
      <w:r>
        <w:rPr/>
        <w:t>of</w:t>
      </w:r>
      <w:r>
        <w:rPr>
          <w:spacing w:val="-4"/>
        </w:rPr>
        <w:t> </w:t>
      </w:r>
      <w:r>
        <w:rPr/>
        <w:t>respondents</w:t>
      </w:r>
      <w:r>
        <w:rPr>
          <w:spacing w:val="-3"/>
        </w:rPr>
        <w:t> </w:t>
      </w:r>
      <w:r>
        <w:rPr/>
        <w:t>used</w:t>
      </w:r>
      <w:r>
        <w:rPr>
          <w:spacing w:val="-4"/>
        </w:rPr>
        <w:t> </w:t>
      </w:r>
      <w:r>
        <w:rPr/>
        <w:t>fencing</w:t>
      </w:r>
      <w:r>
        <w:rPr>
          <w:spacing w:val="-3"/>
        </w:rPr>
        <w:t> </w:t>
      </w:r>
      <w:r>
        <w:rPr/>
        <w:t>as</w:t>
      </w:r>
      <w:r>
        <w:rPr>
          <w:spacing w:val="-3"/>
        </w:rPr>
        <w:t> </w:t>
      </w:r>
      <w:r>
        <w:rPr/>
        <w:t>their</w:t>
      </w:r>
      <w:r>
        <w:rPr>
          <w:spacing w:val="-3"/>
        </w:rPr>
        <w:t> </w:t>
      </w:r>
      <w:r>
        <w:rPr/>
        <w:t>primary</w:t>
      </w:r>
      <w:r>
        <w:rPr>
          <w:spacing w:val="-3"/>
        </w:rPr>
        <w:t> </w:t>
      </w:r>
      <w:r>
        <w:rPr/>
        <w:t>method</w:t>
      </w:r>
      <w:r>
        <w:rPr>
          <w:spacing w:val="-5"/>
        </w:rPr>
        <w:t> </w:t>
      </w:r>
      <w:r>
        <w:rPr/>
        <w:t>of</w:t>
      </w:r>
      <w:r>
        <w:rPr>
          <w:spacing w:val="-2"/>
        </w:rPr>
        <w:t> </w:t>
      </w:r>
      <w:r>
        <w:rPr/>
        <w:t>fox</w:t>
      </w:r>
      <w:r>
        <w:rPr>
          <w:spacing w:val="-3"/>
        </w:rPr>
        <w:t> </w:t>
      </w:r>
      <w:r>
        <w:rPr/>
        <w:t>control,</w:t>
      </w:r>
      <w:r>
        <w:rPr>
          <w:spacing w:val="-4"/>
        </w:rPr>
        <w:t> </w:t>
      </w:r>
      <w:r>
        <w:rPr/>
        <w:t>while</w:t>
      </w:r>
      <w:r>
        <w:rPr>
          <w:spacing w:val="-2"/>
        </w:rPr>
        <w:t> </w:t>
      </w:r>
      <w:r>
        <w:rPr/>
        <w:t>7%</w:t>
      </w:r>
      <w:r>
        <w:rPr>
          <w:spacing w:val="-1"/>
        </w:rPr>
        <w:t> </w:t>
      </w:r>
      <w:r>
        <w:rPr/>
        <w:t>had</w:t>
      </w:r>
      <w:r>
        <w:rPr>
          <w:spacing w:val="-2"/>
        </w:rPr>
        <w:t> </w:t>
      </w:r>
      <w:r>
        <w:rPr/>
        <w:t>employed</w:t>
      </w:r>
      <w:r>
        <w:rPr>
          <w:spacing w:val="-4"/>
        </w:rPr>
        <w:t> </w:t>
      </w:r>
      <w:r>
        <w:rPr/>
        <w:t>it</w:t>
      </w:r>
      <w:r>
        <w:rPr>
          <w:spacing w:val="-2"/>
        </w:rPr>
        <w:t> </w:t>
      </w:r>
      <w:r>
        <w:rPr/>
        <w:t>in</w:t>
      </w:r>
      <w:r>
        <w:rPr>
          <w:spacing w:val="-2"/>
        </w:rPr>
        <w:t> </w:t>
      </w:r>
      <w:r>
        <w:rPr/>
        <w:t>the</w:t>
      </w:r>
      <w:r>
        <w:rPr>
          <w:spacing w:val="-2"/>
        </w:rPr>
        <w:t> </w:t>
      </w:r>
      <w:r>
        <w:rPr/>
        <w:t>past five years. Among those who used 1080 baits for fox management, 7% indicated they would increase their use of fencing if 1080 became unavailable (Quantum Market Research 2024).</w:t>
      </w:r>
    </w:p>
    <w:p>
      <w:pPr>
        <w:spacing w:after="0"/>
        <w:sectPr>
          <w:pgSz w:w="11910" w:h="16850"/>
          <w:pgMar w:header="0" w:footer="688" w:top="1060" w:bottom="880" w:left="1020" w:right="1020"/>
        </w:sectPr>
      </w:pPr>
    </w:p>
    <w:p>
      <w:pPr>
        <w:pStyle w:val="BodyText"/>
        <w:spacing w:before="71"/>
        <w:ind w:left="112" w:right="147"/>
      </w:pPr>
      <w:r>
        <w:rPr/>
        <w:t>In recent years, fenced areas, often referred to as ‘mainland islands’ or havens, have become a prominent approach</w:t>
      </w:r>
      <w:r>
        <w:rPr>
          <w:spacing w:val="-4"/>
        </w:rPr>
        <w:t> </w:t>
      </w:r>
      <w:r>
        <w:rPr/>
        <w:t>to</w:t>
      </w:r>
      <w:r>
        <w:rPr>
          <w:spacing w:val="-3"/>
        </w:rPr>
        <w:t> </w:t>
      </w:r>
      <w:r>
        <w:rPr/>
        <w:t>wildlife</w:t>
      </w:r>
      <w:r>
        <w:rPr>
          <w:spacing w:val="-3"/>
        </w:rPr>
        <w:t> </w:t>
      </w:r>
      <w:r>
        <w:rPr/>
        <w:t>management.</w:t>
      </w:r>
      <w:r>
        <w:rPr>
          <w:spacing w:val="-4"/>
        </w:rPr>
        <w:t> </w:t>
      </w:r>
      <w:r>
        <w:rPr/>
        <w:t>These</w:t>
      </w:r>
      <w:r>
        <w:rPr>
          <w:spacing w:val="-4"/>
        </w:rPr>
        <w:t> </w:t>
      </w:r>
      <w:r>
        <w:rPr/>
        <w:t>areas</w:t>
      </w:r>
      <w:r>
        <w:rPr>
          <w:spacing w:val="-4"/>
        </w:rPr>
        <w:t> </w:t>
      </w:r>
      <w:r>
        <w:rPr/>
        <w:t>typically</w:t>
      </w:r>
      <w:r>
        <w:rPr>
          <w:spacing w:val="-4"/>
        </w:rPr>
        <w:t> </w:t>
      </w:r>
      <w:r>
        <w:rPr/>
        <w:t>involve</w:t>
      </w:r>
      <w:r>
        <w:rPr>
          <w:spacing w:val="-3"/>
        </w:rPr>
        <w:t> </w:t>
      </w:r>
      <w:r>
        <w:rPr/>
        <w:t>the</w:t>
      </w:r>
      <w:r>
        <w:rPr>
          <w:spacing w:val="-5"/>
        </w:rPr>
        <w:t> </w:t>
      </w:r>
      <w:r>
        <w:rPr/>
        <w:t>removal</w:t>
      </w:r>
      <w:r>
        <w:rPr>
          <w:spacing w:val="-5"/>
        </w:rPr>
        <w:t> </w:t>
      </w:r>
      <w:r>
        <w:rPr/>
        <w:t>of</w:t>
      </w:r>
      <w:r>
        <w:rPr>
          <w:spacing w:val="-3"/>
        </w:rPr>
        <w:t> </w:t>
      </w:r>
      <w:r>
        <w:rPr/>
        <w:t>introduced</w:t>
      </w:r>
      <w:r>
        <w:rPr>
          <w:spacing w:val="-3"/>
        </w:rPr>
        <w:t> </w:t>
      </w:r>
      <w:r>
        <w:rPr/>
        <w:t>predators,</w:t>
      </w:r>
      <w:r>
        <w:rPr>
          <w:spacing w:val="-4"/>
        </w:rPr>
        <w:t> </w:t>
      </w:r>
      <w:r>
        <w:rPr/>
        <w:t>such</w:t>
      </w:r>
      <w:r>
        <w:rPr>
          <w:spacing w:val="-3"/>
        </w:rPr>
        <w:t> </w:t>
      </w:r>
      <w:r>
        <w:rPr/>
        <w:t>as foxes, feral cats, and rabbits, often using lethal control methods. This concept was pioneered at Warrawong Sanctuary in South Australia in 1975 (Wamsley 1995). Since then, the network of conservation fences has grown, with the Commonwealth Government's Threatened Species Strategy (Commonwealth of Australia 2021) promoting further expansion. As of 2018, Australia had 19 predator-proof fenced areas, covering a total of 350 km². Of those 19 fenced areas, 17 hold 49 populations of 27 taxa (25 species) (Legge et al.</w:t>
      </w:r>
    </w:p>
    <w:p>
      <w:pPr>
        <w:pStyle w:val="BodyText"/>
        <w:spacing w:before="1"/>
        <w:ind w:left="112"/>
      </w:pPr>
      <w:r>
        <w:rPr/>
        <w:t>2018).</w:t>
      </w:r>
      <w:r>
        <w:rPr>
          <w:spacing w:val="-1"/>
        </w:rPr>
        <w:t> </w:t>
      </w:r>
      <w:r>
        <w:rPr/>
        <w:t>In</w:t>
      </w:r>
      <w:r>
        <w:rPr>
          <w:spacing w:val="-1"/>
        </w:rPr>
        <w:t> </w:t>
      </w:r>
      <w:r>
        <w:rPr/>
        <w:t>Victoria,</w:t>
      </w:r>
      <w:r>
        <w:rPr>
          <w:spacing w:val="-3"/>
        </w:rPr>
        <w:t> </w:t>
      </w:r>
      <w:r>
        <w:rPr/>
        <w:t>four</w:t>
      </w:r>
      <w:r>
        <w:rPr>
          <w:spacing w:val="-2"/>
        </w:rPr>
        <w:t> </w:t>
      </w:r>
      <w:r>
        <w:rPr/>
        <w:t>fenced</w:t>
      </w:r>
      <w:r>
        <w:rPr>
          <w:spacing w:val="-4"/>
        </w:rPr>
        <w:t> </w:t>
      </w:r>
      <w:r>
        <w:rPr/>
        <w:t>areas</w:t>
      </w:r>
      <w:r>
        <w:rPr>
          <w:spacing w:val="-2"/>
        </w:rPr>
        <w:t> </w:t>
      </w:r>
      <w:r>
        <w:rPr/>
        <w:t>covering</w:t>
      </w:r>
      <w:r>
        <w:rPr>
          <w:spacing w:val="-1"/>
        </w:rPr>
        <w:t> </w:t>
      </w:r>
      <w:r>
        <w:rPr/>
        <w:t>12.8</w:t>
      </w:r>
      <w:r>
        <w:rPr>
          <w:spacing w:val="-3"/>
        </w:rPr>
        <w:t> </w:t>
      </w:r>
      <w:r>
        <w:rPr/>
        <w:t>km</w:t>
      </w:r>
      <w:r>
        <w:rPr>
          <w:position w:val="6"/>
          <w:sz w:val="13"/>
        </w:rPr>
        <w:t>2</w:t>
      </w:r>
      <w:r>
        <w:rPr/>
        <w:t>,</w:t>
      </w:r>
      <w:r>
        <w:rPr>
          <w:spacing w:val="-3"/>
        </w:rPr>
        <w:t> </w:t>
      </w:r>
      <w:r>
        <w:rPr/>
        <w:t>protect</w:t>
      </w:r>
      <w:r>
        <w:rPr>
          <w:spacing w:val="-3"/>
        </w:rPr>
        <w:t> </w:t>
      </w:r>
      <w:r>
        <w:rPr/>
        <w:t>seven</w:t>
      </w:r>
      <w:r>
        <w:rPr>
          <w:spacing w:val="-3"/>
        </w:rPr>
        <w:t> </w:t>
      </w:r>
      <w:r>
        <w:rPr/>
        <w:t>species,</w:t>
      </w:r>
      <w:r>
        <w:rPr>
          <w:spacing w:val="-3"/>
        </w:rPr>
        <w:t> </w:t>
      </w:r>
      <w:r>
        <w:rPr/>
        <w:t>all</w:t>
      </w:r>
      <w:r>
        <w:rPr>
          <w:spacing w:val="-2"/>
        </w:rPr>
        <w:t> </w:t>
      </w:r>
      <w:r>
        <w:rPr/>
        <w:t>listed</w:t>
      </w:r>
      <w:r>
        <w:rPr>
          <w:spacing w:val="-3"/>
        </w:rPr>
        <w:t> </w:t>
      </w:r>
      <w:r>
        <w:rPr/>
        <w:t>under the</w:t>
      </w:r>
      <w:r>
        <w:rPr>
          <w:spacing w:val="-2"/>
        </w:rPr>
        <w:t> </w:t>
      </w:r>
      <w:r>
        <w:rPr/>
        <w:t>EPBC Act (1999), with three being at risk from fox and/or feral cat predation (Eastern Barred Bandicoot, Eastern Quoll [</w:t>
      </w:r>
      <w:r>
        <w:rPr>
          <w:i/>
        </w:rPr>
        <w:t>Dasyurus viverrinus</w:t>
      </w:r>
      <w:r>
        <w:rPr/>
        <w:t>], and Southern Brown Bandicoot) (Legge et al. 2018).</w:t>
      </w:r>
    </w:p>
    <w:p>
      <w:pPr>
        <w:pStyle w:val="Heading5"/>
        <w:numPr>
          <w:ilvl w:val="2"/>
          <w:numId w:val="21"/>
        </w:numPr>
        <w:tabs>
          <w:tab w:pos="831" w:val="left" w:leader="none"/>
        </w:tabs>
        <w:spacing w:line="240" w:lineRule="auto" w:before="141" w:after="0"/>
        <w:ind w:left="831" w:right="0" w:hanging="719"/>
        <w:jc w:val="left"/>
      </w:pPr>
      <w:bookmarkStart w:name="_TOC_250025" w:id="88"/>
      <w:r>
        <w:rPr/>
        <w:t>Dingoes</w:t>
      </w:r>
      <w:r>
        <w:rPr>
          <w:spacing w:val="-4"/>
        </w:rPr>
        <w:t> </w:t>
      </w:r>
      <w:r>
        <w:rPr/>
        <w:t>and</w:t>
      </w:r>
      <w:r>
        <w:rPr>
          <w:spacing w:val="-5"/>
        </w:rPr>
        <w:t> </w:t>
      </w:r>
      <w:r>
        <w:rPr/>
        <w:t>Wild</w:t>
      </w:r>
      <w:bookmarkEnd w:id="88"/>
      <w:r>
        <w:rPr>
          <w:spacing w:val="-4"/>
        </w:rPr>
        <w:t> Dogs</w:t>
      </w:r>
    </w:p>
    <w:p>
      <w:pPr>
        <w:pStyle w:val="BodyText"/>
        <w:spacing w:before="56"/>
        <w:ind w:left="112" w:right="173"/>
      </w:pPr>
      <w:r>
        <w:rPr/>
        <w:t>Fencing</w:t>
      </w:r>
      <w:r>
        <w:rPr>
          <w:spacing w:val="-2"/>
        </w:rPr>
        <w:t> </w:t>
      </w:r>
      <w:r>
        <w:rPr/>
        <w:t>provides</w:t>
      </w:r>
      <w:r>
        <w:rPr>
          <w:spacing w:val="-3"/>
        </w:rPr>
        <w:t> </w:t>
      </w:r>
      <w:r>
        <w:rPr/>
        <w:t>an</w:t>
      </w:r>
      <w:r>
        <w:rPr>
          <w:spacing w:val="-4"/>
        </w:rPr>
        <w:t> </w:t>
      </w:r>
      <w:r>
        <w:rPr/>
        <w:t>effective</w:t>
      </w:r>
      <w:r>
        <w:rPr>
          <w:spacing w:val="-4"/>
        </w:rPr>
        <w:t> </w:t>
      </w:r>
      <w:r>
        <w:rPr/>
        <w:t>non-lethal</w:t>
      </w:r>
      <w:r>
        <w:rPr>
          <w:spacing w:val="-3"/>
        </w:rPr>
        <w:t> </w:t>
      </w:r>
      <w:r>
        <w:rPr/>
        <w:t>method</w:t>
      </w:r>
      <w:r>
        <w:rPr>
          <w:spacing w:val="-2"/>
        </w:rPr>
        <w:t> </w:t>
      </w:r>
      <w:r>
        <w:rPr/>
        <w:t>for</w:t>
      </w:r>
      <w:r>
        <w:rPr>
          <w:spacing w:val="-4"/>
        </w:rPr>
        <w:t> </w:t>
      </w:r>
      <w:r>
        <w:rPr/>
        <w:t>managing</w:t>
      </w:r>
      <w:r>
        <w:rPr>
          <w:spacing w:val="-2"/>
        </w:rPr>
        <w:t> </w:t>
      </w:r>
      <w:r>
        <w:rPr/>
        <w:t>Dingoes</w:t>
      </w:r>
      <w:r>
        <w:rPr>
          <w:spacing w:val="-3"/>
        </w:rPr>
        <w:t> </w:t>
      </w:r>
      <w:r>
        <w:rPr/>
        <w:t>and</w:t>
      </w:r>
      <w:r>
        <w:rPr>
          <w:spacing w:val="-2"/>
        </w:rPr>
        <w:t> </w:t>
      </w:r>
      <w:r>
        <w:rPr/>
        <w:t>Wild</w:t>
      </w:r>
      <w:r>
        <w:rPr>
          <w:spacing w:val="-2"/>
        </w:rPr>
        <w:t> </w:t>
      </w:r>
      <w:r>
        <w:rPr/>
        <w:t>Dogs,</w:t>
      </w:r>
      <w:r>
        <w:rPr>
          <w:spacing w:val="-4"/>
        </w:rPr>
        <w:t> </w:t>
      </w:r>
      <w:r>
        <w:rPr/>
        <w:t>serving</w:t>
      </w:r>
      <w:r>
        <w:rPr>
          <w:spacing w:val="-4"/>
        </w:rPr>
        <w:t> </w:t>
      </w:r>
      <w:r>
        <w:rPr/>
        <w:t>as</w:t>
      </w:r>
      <w:r>
        <w:rPr>
          <w:spacing w:val="-3"/>
        </w:rPr>
        <w:t> </w:t>
      </w:r>
      <w:r>
        <w:rPr/>
        <w:t>a</w:t>
      </w:r>
      <w:r>
        <w:rPr>
          <w:spacing w:val="-2"/>
        </w:rPr>
        <w:t> </w:t>
      </w:r>
      <w:r>
        <w:rPr/>
        <w:t>first</w:t>
      </w:r>
      <w:r>
        <w:rPr>
          <w:spacing w:val="-4"/>
        </w:rPr>
        <w:t> </w:t>
      </w:r>
      <w:r>
        <w:rPr/>
        <w:t>line of defence to protect livestock. However, its effectiveness is contingent on proper construction, regular maintenance, and supplementary measures, such as removing animals that breach the fence or were enclosed within it during construction. Breaches are inevitable, underscoring the importance of integrated control strategies.</w:t>
      </w:r>
    </w:p>
    <w:p>
      <w:pPr>
        <w:pStyle w:val="BodyText"/>
        <w:spacing w:before="121"/>
        <w:ind w:left="112"/>
      </w:pPr>
      <w:r>
        <w:rPr/>
        <w:t>Several types of fencing are used, including cell fencing (enclosing individual paddocks), cluster fencing (enclosing multiple properties), and linear fencing (extending across single or multiple properties). Linear fences</w:t>
      </w:r>
      <w:r>
        <w:rPr>
          <w:spacing w:val="-2"/>
        </w:rPr>
        <w:t> </w:t>
      </w:r>
      <w:r>
        <w:rPr/>
        <w:t>are</w:t>
      </w:r>
      <w:r>
        <w:rPr>
          <w:spacing w:val="-1"/>
        </w:rPr>
        <w:t> </w:t>
      </w:r>
      <w:r>
        <w:rPr/>
        <w:t>often</w:t>
      </w:r>
      <w:r>
        <w:rPr>
          <w:spacing w:val="-3"/>
        </w:rPr>
        <w:t> </w:t>
      </w:r>
      <w:r>
        <w:rPr/>
        <w:t>less</w:t>
      </w:r>
      <w:r>
        <w:rPr>
          <w:spacing w:val="-2"/>
        </w:rPr>
        <w:t> </w:t>
      </w:r>
      <w:r>
        <w:rPr/>
        <w:t>effective,</w:t>
      </w:r>
      <w:r>
        <w:rPr>
          <w:spacing w:val="-3"/>
        </w:rPr>
        <w:t> </w:t>
      </w:r>
      <w:r>
        <w:rPr/>
        <w:t>as</w:t>
      </w:r>
      <w:r>
        <w:rPr>
          <w:spacing w:val="-2"/>
        </w:rPr>
        <w:t> </w:t>
      </w:r>
      <w:r>
        <w:rPr/>
        <w:t>they may</w:t>
      </w:r>
      <w:r>
        <w:rPr>
          <w:spacing w:val="-2"/>
        </w:rPr>
        <w:t> </w:t>
      </w:r>
      <w:r>
        <w:rPr/>
        <w:t>shift</w:t>
      </w:r>
      <w:r>
        <w:rPr>
          <w:spacing w:val="-3"/>
        </w:rPr>
        <w:t> </w:t>
      </w:r>
      <w:r>
        <w:rPr/>
        <w:t>the</w:t>
      </w:r>
      <w:r>
        <w:rPr>
          <w:spacing w:val="-3"/>
        </w:rPr>
        <w:t> </w:t>
      </w:r>
      <w:r>
        <w:rPr/>
        <w:t>problem</w:t>
      </w:r>
      <w:r>
        <w:rPr>
          <w:spacing w:val="-3"/>
        </w:rPr>
        <w:t> </w:t>
      </w:r>
      <w:r>
        <w:rPr/>
        <w:t>to</w:t>
      </w:r>
      <w:r>
        <w:rPr>
          <w:spacing w:val="-3"/>
        </w:rPr>
        <w:t> </w:t>
      </w:r>
      <w:r>
        <w:rPr/>
        <w:t>neighbouring</w:t>
      </w:r>
      <w:r>
        <w:rPr>
          <w:spacing w:val="-3"/>
        </w:rPr>
        <w:t> </w:t>
      </w:r>
      <w:r>
        <w:rPr/>
        <w:t>areas</w:t>
      </w:r>
      <w:r>
        <w:rPr>
          <w:spacing w:val="-2"/>
        </w:rPr>
        <w:t> </w:t>
      </w:r>
      <w:r>
        <w:rPr/>
        <w:t>or</w:t>
      </w:r>
      <w:r>
        <w:rPr>
          <w:spacing w:val="-3"/>
        </w:rPr>
        <w:t> </w:t>
      </w:r>
      <w:r>
        <w:rPr/>
        <w:t>be</w:t>
      </w:r>
      <w:r>
        <w:rPr>
          <w:spacing w:val="-4"/>
        </w:rPr>
        <w:t> </w:t>
      </w:r>
      <w:r>
        <w:rPr/>
        <w:t>circumvented</w:t>
      </w:r>
      <w:r>
        <w:rPr>
          <w:spacing w:val="-3"/>
        </w:rPr>
        <w:t> </w:t>
      </w:r>
      <w:r>
        <w:rPr/>
        <w:t>by animals walking around the ends.</w:t>
      </w:r>
    </w:p>
    <w:p>
      <w:pPr>
        <w:pStyle w:val="BodyText"/>
        <w:spacing w:before="119"/>
        <w:ind w:left="112" w:right="142"/>
      </w:pPr>
      <w:r>
        <w:rPr/>
        <w:t>In</w:t>
      </w:r>
      <w:r>
        <w:rPr>
          <w:spacing w:val="-5"/>
        </w:rPr>
        <w:t> </w:t>
      </w:r>
      <w:r>
        <w:rPr/>
        <w:t>Victoria,</w:t>
      </w:r>
      <w:r>
        <w:rPr>
          <w:spacing w:val="-4"/>
        </w:rPr>
        <w:t> </w:t>
      </w:r>
      <w:r>
        <w:rPr/>
        <w:t>the</w:t>
      </w:r>
      <w:r>
        <w:rPr>
          <w:spacing w:val="-4"/>
        </w:rPr>
        <w:t> </w:t>
      </w:r>
      <w:r>
        <w:rPr/>
        <w:t>predominant</w:t>
      </w:r>
      <w:r>
        <w:rPr>
          <w:spacing w:val="-2"/>
        </w:rPr>
        <w:t> </w:t>
      </w:r>
      <w:r>
        <w:rPr/>
        <w:t>approach</w:t>
      </w:r>
      <w:r>
        <w:rPr>
          <w:spacing w:val="-4"/>
        </w:rPr>
        <w:t> </w:t>
      </w:r>
      <w:r>
        <w:rPr/>
        <w:t>is</w:t>
      </w:r>
      <w:r>
        <w:rPr>
          <w:spacing w:val="-1"/>
        </w:rPr>
        <w:t> </w:t>
      </w:r>
      <w:r>
        <w:rPr/>
        <w:t>linear</w:t>
      </w:r>
      <w:r>
        <w:rPr>
          <w:spacing w:val="-4"/>
        </w:rPr>
        <w:t> </w:t>
      </w:r>
      <w:r>
        <w:rPr/>
        <w:t>fencing,</w:t>
      </w:r>
      <w:r>
        <w:rPr>
          <w:spacing w:val="-2"/>
        </w:rPr>
        <w:t> </w:t>
      </w:r>
      <w:r>
        <w:rPr/>
        <w:t>sometimes</w:t>
      </w:r>
      <w:r>
        <w:rPr>
          <w:spacing w:val="-3"/>
        </w:rPr>
        <w:t> </w:t>
      </w:r>
      <w:r>
        <w:rPr/>
        <w:t>combined</w:t>
      </w:r>
      <w:r>
        <w:rPr>
          <w:spacing w:val="-2"/>
        </w:rPr>
        <w:t> </w:t>
      </w:r>
      <w:r>
        <w:rPr/>
        <w:t>with</w:t>
      </w:r>
      <w:r>
        <w:rPr>
          <w:spacing w:val="-2"/>
        </w:rPr>
        <w:t> </w:t>
      </w:r>
      <w:r>
        <w:rPr/>
        <w:t>cell</w:t>
      </w:r>
      <w:r>
        <w:rPr>
          <w:spacing w:val="-5"/>
        </w:rPr>
        <w:t> </w:t>
      </w:r>
      <w:r>
        <w:rPr/>
        <w:t>fencing.</w:t>
      </w:r>
      <w:r>
        <w:rPr>
          <w:spacing w:val="-4"/>
        </w:rPr>
        <w:t> </w:t>
      </w:r>
      <w:r>
        <w:rPr/>
        <w:t>These</w:t>
      </w:r>
      <w:r>
        <w:rPr>
          <w:spacing w:val="-4"/>
        </w:rPr>
        <w:t> </w:t>
      </w:r>
      <w:r>
        <w:rPr/>
        <w:t>fences typically feature a single electric wire positioned 150 mm above the ground and extending 200 mm horizontally from a pre-existing fence. Anecdotal evidence suggests that this design has been successful in eastern Victoria, improving lambing percentages and mitigating livestock losses. However, fencing is rarely used</w:t>
      </w:r>
      <w:r>
        <w:rPr>
          <w:spacing w:val="-1"/>
        </w:rPr>
        <w:t> </w:t>
      </w:r>
      <w:r>
        <w:rPr/>
        <w:t>in isolation; lethal</w:t>
      </w:r>
      <w:r>
        <w:rPr>
          <w:spacing w:val="-1"/>
        </w:rPr>
        <w:t> </w:t>
      </w:r>
      <w:r>
        <w:rPr/>
        <w:t>control</w:t>
      </w:r>
      <w:r>
        <w:rPr>
          <w:spacing w:val="-1"/>
        </w:rPr>
        <w:t> </w:t>
      </w:r>
      <w:r>
        <w:rPr/>
        <w:t>methods remain a</w:t>
      </w:r>
      <w:r>
        <w:rPr>
          <w:spacing w:val="-1"/>
        </w:rPr>
        <w:t> </w:t>
      </w:r>
      <w:r>
        <w:rPr/>
        <w:t>standard component of Dingo and Wild Dog management by both public and private land managers. No cases in Victoria document integrated, non-lethal control strategies as a standalone approach for managing these predators.</w:t>
      </w:r>
    </w:p>
    <w:p>
      <w:pPr>
        <w:pStyle w:val="BodyText"/>
        <w:spacing w:before="120"/>
        <w:ind w:left="112" w:right="173"/>
      </w:pPr>
      <w:r>
        <w:rPr/>
        <w:t>A</w:t>
      </w:r>
      <w:r>
        <w:rPr>
          <w:spacing w:val="-4"/>
        </w:rPr>
        <w:t> </w:t>
      </w:r>
      <w:r>
        <w:rPr/>
        <w:t>recent</w:t>
      </w:r>
      <w:r>
        <w:rPr>
          <w:spacing w:val="-2"/>
        </w:rPr>
        <w:t> </w:t>
      </w:r>
      <w:r>
        <w:rPr/>
        <w:t>survey</w:t>
      </w:r>
      <w:r>
        <w:rPr>
          <w:spacing w:val="-3"/>
        </w:rPr>
        <w:t> </w:t>
      </w:r>
      <w:r>
        <w:rPr/>
        <w:t>of</w:t>
      </w:r>
      <w:r>
        <w:rPr>
          <w:spacing w:val="-4"/>
        </w:rPr>
        <w:t> </w:t>
      </w:r>
      <w:r>
        <w:rPr/>
        <w:t>ACUP</w:t>
      </w:r>
      <w:r>
        <w:rPr>
          <w:spacing w:val="-2"/>
        </w:rPr>
        <w:t> </w:t>
      </w:r>
      <w:r>
        <w:rPr/>
        <w:t>users</w:t>
      </w:r>
      <w:r>
        <w:rPr>
          <w:spacing w:val="-2"/>
        </w:rPr>
        <w:t> </w:t>
      </w:r>
      <w:r>
        <w:rPr/>
        <w:t>in</w:t>
      </w:r>
      <w:r>
        <w:rPr>
          <w:spacing w:val="-4"/>
        </w:rPr>
        <w:t> </w:t>
      </w:r>
      <w:r>
        <w:rPr/>
        <w:t>Victoria</w:t>
      </w:r>
      <w:r>
        <w:rPr>
          <w:spacing w:val="-4"/>
        </w:rPr>
        <w:t> </w:t>
      </w:r>
      <w:r>
        <w:rPr/>
        <w:t>revealed</w:t>
      </w:r>
      <w:r>
        <w:rPr>
          <w:spacing w:val="-2"/>
        </w:rPr>
        <w:t> </w:t>
      </w:r>
      <w:r>
        <w:rPr/>
        <w:t>that</w:t>
      </w:r>
      <w:r>
        <w:rPr>
          <w:spacing w:val="-4"/>
        </w:rPr>
        <w:t> </w:t>
      </w:r>
      <w:r>
        <w:rPr/>
        <w:t>6%</w:t>
      </w:r>
      <w:r>
        <w:rPr>
          <w:spacing w:val="-1"/>
        </w:rPr>
        <w:t> </w:t>
      </w:r>
      <w:r>
        <w:rPr/>
        <w:t>employed</w:t>
      </w:r>
      <w:r>
        <w:rPr>
          <w:spacing w:val="-4"/>
        </w:rPr>
        <w:t> </w:t>
      </w:r>
      <w:r>
        <w:rPr/>
        <w:t>fencing</w:t>
      </w:r>
      <w:r>
        <w:rPr>
          <w:spacing w:val="-4"/>
        </w:rPr>
        <w:t> </w:t>
      </w:r>
      <w:r>
        <w:rPr/>
        <w:t>as their</w:t>
      </w:r>
      <w:r>
        <w:rPr>
          <w:spacing w:val="-3"/>
        </w:rPr>
        <w:t> </w:t>
      </w:r>
      <w:r>
        <w:rPr/>
        <w:t>primary</w:t>
      </w:r>
      <w:r>
        <w:rPr>
          <w:spacing w:val="-2"/>
        </w:rPr>
        <w:t> </w:t>
      </w:r>
      <w:r>
        <w:rPr/>
        <w:t>management tool for Dingoes and Wild Dogs, with 31% having used fencing in the past five years. Among respondents who used 1080, 32% indicated they would increase fencing efforts if 1080 were no longer available (Quantum Market Research 2024).</w:t>
      </w:r>
    </w:p>
    <w:p>
      <w:pPr>
        <w:pStyle w:val="BodyText"/>
        <w:spacing w:before="157"/>
      </w:pPr>
    </w:p>
    <w:p>
      <w:pPr>
        <w:pStyle w:val="Heading3"/>
        <w:numPr>
          <w:ilvl w:val="1"/>
          <w:numId w:val="21"/>
        </w:numPr>
        <w:tabs>
          <w:tab w:pos="686" w:val="left" w:leader="none"/>
        </w:tabs>
        <w:spacing w:line="240" w:lineRule="auto" w:before="0" w:after="0"/>
        <w:ind w:left="686" w:right="0" w:hanging="574"/>
        <w:jc w:val="left"/>
      </w:pPr>
      <w:bookmarkStart w:name="_TOC_250024" w:id="89"/>
      <w:r>
        <w:rPr>
          <w:color w:val="2D1E66"/>
        </w:rPr>
        <w:t>Diversionary</w:t>
      </w:r>
      <w:r>
        <w:rPr>
          <w:color w:val="2D1E66"/>
          <w:spacing w:val="-11"/>
        </w:rPr>
        <w:t> </w:t>
      </w:r>
      <w:bookmarkEnd w:id="89"/>
      <w:r>
        <w:rPr>
          <w:color w:val="2D1E66"/>
          <w:spacing w:val="-2"/>
        </w:rPr>
        <w:t>feeding</w:t>
      </w:r>
    </w:p>
    <w:p>
      <w:pPr>
        <w:pStyle w:val="BodyText"/>
        <w:spacing w:before="112"/>
        <w:ind w:left="112" w:right="127"/>
      </w:pPr>
      <w:r>
        <w:rPr/>
        <w:t>Diversionary feeding refers to the deliberate provisioning of food to change the behaviour of target species and</w:t>
      </w:r>
      <w:r>
        <w:rPr>
          <w:spacing w:val="-3"/>
        </w:rPr>
        <w:t> </w:t>
      </w:r>
      <w:r>
        <w:rPr/>
        <w:t>reduce</w:t>
      </w:r>
      <w:r>
        <w:rPr>
          <w:spacing w:val="-1"/>
        </w:rPr>
        <w:t> </w:t>
      </w:r>
      <w:r>
        <w:rPr/>
        <w:t>unwanted</w:t>
      </w:r>
      <w:r>
        <w:rPr>
          <w:spacing w:val="-3"/>
        </w:rPr>
        <w:t> </w:t>
      </w:r>
      <w:r>
        <w:rPr/>
        <w:t>behaviour (Kubasiewicz</w:t>
      </w:r>
      <w:r>
        <w:rPr>
          <w:spacing w:val="-2"/>
        </w:rPr>
        <w:t> </w:t>
      </w:r>
      <w:r>
        <w:rPr/>
        <w:t>et</w:t>
      </w:r>
      <w:r>
        <w:rPr>
          <w:spacing w:val="-1"/>
        </w:rPr>
        <w:t> </w:t>
      </w:r>
      <w:r>
        <w:rPr/>
        <w:t>al.</w:t>
      </w:r>
      <w:r>
        <w:rPr>
          <w:spacing w:val="-3"/>
        </w:rPr>
        <w:t> </w:t>
      </w:r>
      <w:r>
        <w:rPr/>
        <w:t>2016) by</w:t>
      </w:r>
      <w:r>
        <w:rPr>
          <w:spacing w:val="-2"/>
        </w:rPr>
        <w:t> </w:t>
      </w:r>
      <w:r>
        <w:rPr/>
        <w:t>exploiting</w:t>
      </w:r>
      <w:r>
        <w:rPr>
          <w:spacing w:val="-4"/>
        </w:rPr>
        <w:t> </w:t>
      </w:r>
      <w:r>
        <w:rPr/>
        <w:t>the</w:t>
      </w:r>
      <w:r>
        <w:rPr>
          <w:spacing w:val="-4"/>
        </w:rPr>
        <w:t> </w:t>
      </w:r>
      <w:r>
        <w:rPr/>
        <w:t>propensity</w:t>
      </w:r>
      <w:r>
        <w:rPr>
          <w:spacing w:val="-2"/>
        </w:rPr>
        <w:t> </w:t>
      </w:r>
      <w:r>
        <w:rPr/>
        <w:t>of</w:t>
      </w:r>
      <w:r>
        <w:rPr>
          <w:spacing w:val="-3"/>
        </w:rPr>
        <w:t> </w:t>
      </w:r>
      <w:r>
        <w:rPr/>
        <w:t>foraging</w:t>
      </w:r>
      <w:r>
        <w:rPr>
          <w:spacing w:val="-2"/>
        </w:rPr>
        <w:t> </w:t>
      </w:r>
      <w:r>
        <w:rPr/>
        <w:t>individuals to</w:t>
      </w:r>
      <w:r>
        <w:rPr>
          <w:spacing w:val="-3"/>
        </w:rPr>
        <w:t> </w:t>
      </w:r>
      <w:r>
        <w:rPr/>
        <w:t>utilise</w:t>
      </w:r>
      <w:r>
        <w:rPr>
          <w:spacing w:val="-3"/>
        </w:rPr>
        <w:t> </w:t>
      </w:r>
      <w:r>
        <w:rPr/>
        <w:t>the</w:t>
      </w:r>
      <w:r>
        <w:rPr>
          <w:spacing w:val="-3"/>
        </w:rPr>
        <w:t> </w:t>
      </w:r>
      <w:r>
        <w:rPr/>
        <w:t>most</w:t>
      </w:r>
      <w:r>
        <w:rPr>
          <w:spacing w:val="-3"/>
        </w:rPr>
        <w:t> </w:t>
      </w:r>
      <w:r>
        <w:rPr/>
        <w:t>easily</w:t>
      </w:r>
      <w:r>
        <w:rPr>
          <w:spacing w:val="-2"/>
        </w:rPr>
        <w:t> </w:t>
      </w:r>
      <w:r>
        <w:rPr/>
        <w:t>accessed</w:t>
      </w:r>
      <w:r>
        <w:rPr>
          <w:spacing w:val="-4"/>
        </w:rPr>
        <w:t> </w:t>
      </w:r>
      <w:r>
        <w:rPr/>
        <w:t>resources (Pyke</w:t>
      </w:r>
      <w:r>
        <w:rPr>
          <w:spacing w:val="-3"/>
        </w:rPr>
        <w:t> </w:t>
      </w:r>
      <w:r>
        <w:rPr/>
        <w:t>1984).</w:t>
      </w:r>
      <w:r>
        <w:rPr>
          <w:spacing w:val="-3"/>
        </w:rPr>
        <w:t> </w:t>
      </w:r>
      <w:r>
        <w:rPr/>
        <w:t>The</w:t>
      </w:r>
      <w:r>
        <w:rPr>
          <w:spacing w:val="-1"/>
        </w:rPr>
        <w:t> </w:t>
      </w:r>
      <w:r>
        <w:rPr/>
        <w:t>approach</w:t>
      </w:r>
      <w:r>
        <w:rPr>
          <w:spacing w:val="-1"/>
        </w:rPr>
        <w:t> </w:t>
      </w:r>
      <w:r>
        <w:rPr/>
        <w:t>is</w:t>
      </w:r>
      <w:r>
        <w:rPr>
          <w:spacing w:val="-1"/>
        </w:rPr>
        <w:t> </w:t>
      </w:r>
      <w:r>
        <w:rPr/>
        <w:t>not</w:t>
      </w:r>
      <w:r>
        <w:rPr>
          <w:spacing w:val="-1"/>
        </w:rPr>
        <w:t> </w:t>
      </w:r>
      <w:r>
        <w:rPr/>
        <w:t>currently</w:t>
      </w:r>
      <w:r>
        <w:rPr>
          <w:spacing w:val="-1"/>
        </w:rPr>
        <w:t> </w:t>
      </w:r>
      <w:r>
        <w:rPr/>
        <w:t>known</w:t>
      </w:r>
      <w:r>
        <w:rPr>
          <w:spacing w:val="-3"/>
        </w:rPr>
        <w:t> </w:t>
      </w:r>
      <w:r>
        <w:rPr/>
        <w:t>to</w:t>
      </w:r>
      <w:r>
        <w:rPr>
          <w:spacing w:val="-1"/>
        </w:rPr>
        <w:t> </w:t>
      </w:r>
      <w:r>
        <w:rPr/>
        <w:t>be</w:t>
      </w:r>
      <w:r>
        <w:rPr>
          <w:spacing w:val="-2"/>
        </w:rPr>
        <w:t> </w:t>
      </w:r>
      <w:r>
        <w:rPr/>
        <w:t>used</w:t>
      </w:r>
      <w:r>
        <w:rPr>
          <w:spacing w:val="-2"/>
        </w:rPr>
        <w:t> </w:t>
      </w:r>
      <w:r>
        <w:rPr/>
        <w:t>in Australia (Bengsen et al. 2017). Crucially, diversionary feeding may increase the pest animals’ reproductive output, carrying capacity and hence population size, ultimately leading to increases in damage (Calenge et</w:t>
      </w:r>
      <w:r>
        <w:rPr/>
        <w:t> al. 2004; Miloš et al. 2016). For this reason, diversionary feeding may be considered an activity which facilitates the spread of pest species, and is therefore illegal in many Australian jurisdictions (Bengsen et al. </w:t>
      </w:r>
      <w:r>
        <w:rPr>
          <w:spacing w:val="-2"/>
        </w:rPr>
        <w:t>2017).</w:t>
      </w:r>
    </w:p>
    <w:p>
      <w:pPr>
        <w:pStyle w:val="BodyText"/>
        <w:spacing w:before="119"/>
        <w:ind w:left="112" w:right="153"/>
      </w:pPr>
      <w:r>
        <w:rPr/>
        <w:t>It</w:t>
      </w:r>
      <w:r>
        <w:rPr>
          <w:spacing w:val="-1"/>
        </w:rPr>
        <w:t> </w:t>
      </w:r>
      <w:r>
        <w:rPr/>
        <w:t>has been used to</w:t>
      </w:r>
      <w:r>
        <w:rPr>
          <w:spacing w:val="-2"/>
        </w:rPr>
        <w:t> </w:t>
      </w:r>
      <w:r>
        <w:rPr/>
        <w:t>reduce the</w:t>
      </w:r>
      <w:r>
        <w:rPr>
          <w:spacing w:val="-2"/>
        </w:rPr>
        <w:t> </w:t>
      </w:r>
      <w:r>
        <w:rPr/>
        <w:t>predation</w:t>
      </w:r>
      <w:r>
        <w:rPr>
          <w:spacing w:val="-1"/>
        </w:rPr>
        <w:t> </w:t>
      </w:r>
      <w:r>
        <w:rPr/>
        <w:t>impact of</w:t>
      </w:r>
      <w:r>
        <w:rPr>
          <w:spacing w:val="-1"/>
        </w:rPr>
        <w:t> </w:t>
      </w:r>
      <w:r>
        <w:rPr/>
        <w:t>single predator species,</w:t>
      </w:r>
      <w:r>
        <w:rPr>
          <w:spacing w:val="-1"/>
        </w:rPr>
        <w:t> </w:t>
      </w:r>
      <w:r>
        <w:rPr/>
        <w:t>such as red</w:t>
      </w:r>
      <w:r>
        <w:rPr>
          <w:spacing w:val="-2"/>
        </w:rPr>
        <w:t> </w:t>
      </w:r>
      <w:r>
        <w:rPr/>
        <w:t>kites (</w:t>
      </w:r>
      <w:r>
        <w:rPr>
          <w:i/>
        </w:rPr>
        <w:t>Milvus milvus</w:t>
      </w:r>
      <w:r>
        <w:rPr/>
        <w:t>) on lapwings (</w:t>
      </w:r>
      <w:r>
        <w:rPr>
          <w:i/>
        </w:rPr>
        <w:t>Vanellus vanellus</w:t>
      </w:r>
      <w:r>
        <w:rPr/>
        <w:t>) (Mason et al. 2021) and kestrels (</w:t>
      </w:r>
      <w:r>
        <w:rPr>
          <w:i/>
        </w:rPr>
        <w:t>Falco tinnunculus</w:t>
      </w:r>
      <w:r>
        <w:rPr/>
        <w:t>) on little terns (</w:t>
      </w:r>
      <w:r>
        <w:rPr>
          <w:i/>
        </w:rPr>
        <w:t>Sternula</w:t>
      </w:r>
      <w:r>
        <w:rPr>
          <w:i/>
        </w:rPr>
        <w:t> albifrons</w:t>
      </w:r>
      <w:r>
        <w:rPr/>
        <w:t>) (Smart and Amar 2018), foxes on black grouse (</w:t>
      </w:r>
      <w:r>
        <w:rPr>
          <w:i/>
        </w:rPr>
        <w:t>Tetrao tetrix</w:t>
      </w:r>
      <w:r>
        <w:rPr/>
        <w:t>) and Western capercaillie (</w:t>
      </w:r>
      <w:r>
        <w:rPr>
          <w:i/>
        </w:rPr>
        <w:t>Tetrao</w:t>
      </w:r>
      <w:r>
        <w:rPr>
          <w:i/>
        </w:rPr>
        <w:t> urogallus</w:t>
      </w:r>
      <w:r>
        <w:rPr/>
        <w:t>) (Finne et al. 2019), grizzly bears (</w:t>
      </w:r>
      <w:r>
        <w:rPr>
          <w:i/>
        </w:rPr>
        <w:t>Ursus arctos</w:t>
      </w:r>
      <w:r>
        <w:rPr/>
        <w:t>) on Moose (</w:t>
      </w:r>
      <w:r>
        <w:rPr>
          <w:i/>
        </w:rPr>
        <w:t>Alces alces</w:t>
      </w:r>
      <w:r>
        <w:rPr/>
        <w:t>) (Boertje et al.1995), and</w:t>
      </w:r>
      <w:r>
        <w:rPr/>
        <w:t> to reduce crop damage by Feral Pigs (Geisser and Reyer 2004). However, the success of diversionary feeding</w:t>
      </w:r>
      <w:r>
        <w:rPr>
          <w:spacing w:val="-2"/>
        </w:rPr>
        <w:t> </w:t>
      </w:r>
      <w:r>
        <w:rPr/>
        <w:t>is</w:t>
      </w:r>
      <w:r>
        <w:rPr>
          <w:spacing w:val="-3"/>
        </w:rPr>
        <w:t> </w:t>
      </w:r>
      <w:r>
        <w:rPr/>
        <w:t>often</w:t>
      </w:r>
      <w:r>
        <w:rPr>
          <w:spacing w:val="-5"/>
        </w:rPr>
        <w:t> </w:t>
      </w:r>
      <w:r>
        <w:rPr/>
        <w:t>species</w:t>
      </w:r>
      <w:r>
        <w:rPr>
          <w:spacing w:val="-1"/>
        </w:rPr>
        <w:t> </w:t>
      </w:r>
      <w:r>
        <w:rPr/>
        <w:t>and</w:t>
      </w:r>
      <w:r>
        <w:rPr>
          <w:spacing w:val="-4"/>
        </w:rPr>
        <w:t> </w:t>
      </w:r>
      <w:r>
        <w:rPr/>
        <w:t>context</w:t>
      </w:r>
      <w:r>
        <w:rPr>
          <w:spacing w:val="-4"/>
        </w:rPr>
        <w:t> </w:t>
      </w:r>
      <w:r>
        <w:rPr/>
        <w:t>specific (Kubasiewicz</w:t>
      </w:r>
      <w:r>
        <w:rPr>
          <w:spacing w:val="-3"/>
        </w:rPr>
        <w:t> </w:t>
      </w:r>
      <w:r>
        <w:rPr/>
        <w:t>et</w:t>
      </w:r>
      <w:r>
        <w:rPr>
          <w:spacing w:val="-4"/>
        </w:rPr>
        <w:t> </w:t>
      </w:r>
      <w:r>
        <w:rPr/>
        <w:t>al.</w:t>
      </w:r>
      <w:r>
        <w:rPr>
          <w:spacing w:val="-4"/>
        </w:rPr>
        <w:t> </w:t>
      </w:r>
      <w:r>
        <w:rPr/>
        <w:t>2016).</w:t>
      </w:r>
      <w:r>
        <w:rPr>
          <w:spacing w:val="-2"/>
        </w:rPr>
        <w:t> </w:t>
      </w:r>
      <w:r>
        <w:rPr/>
        <w:t>Large-scale</w:t>
      </w:r>
      <w:r>
        <w:rPr>
          <w:spacing w:val="-4"/>
        </w:rPr>
        <w:t> </w:t>
      </w:r>
      <w:r>
        <w:rPr/>
        <w:t>experimental</w:t>
      </w:r>
      <w:r>
        <w:rPr>
          <w:spacing w:val="-3"/>
        </w:rPr>
        <w:t> </w:t>
      </w:r>
      <w:r>
        <w:rPr/>
        <w:t>evidence</w:t>
      </w:r>
      <w:r>
        <w:rPr>
          <w:spacing w:val="-2"/>
        </w:rPr>
        <w:t> </w:t>
      </w:r>
      <w:r>
        <w:rPr/>
        <w:t>is limited yet vital in establishing how diversionary feeding can function as a widely applied conservation intervention. It is also needed to assess new species-specific contexts and locations, or for differing outputs, such as alleviating nest predation pressure.</w:t>
      </w:r>
    </w:p>
    <w:p>
      <w:pPr>
        <w:pStyle w:val="BodyText"/>
        <w:spacing w:before="157"/>
      </w:pPr>
    </w:p>
    <w:p>
      <w:pPr>
        <w:pStyle w:val="Heading3"/>
        <w:numPr>
          <w:ilvl w:val="1"/>
          <w:numId w:val="21"/>
        </w:numPr>
        <w:tabs>
          <w:tab w:pos="686" w:val="left" w:leader="none"/>
        </w:tabs>
        <w:spacing w:line="240" w:lineRule="auto" w:before="0" w:after="0"/>
        <w:ind w:left="686" w:right="0" w:hanging="574"/>
        <w:jc w:val="left"/>
      </w:pPr>
      <w:bookmarkStart w:name="_TOC_250023" w:id="90"/>
      <w:r>
        <w:rPr>
          <w:color w:val="2D1E66"/>
        </w:rPr>
        <w:t>Livestock</w:t>
      </w:r>
      <w:r>
        <w:rPr>
          <w:color w:val="2D1E66"/>
          <w:spacing w:val="-5"/>
        </w:rPr>
        <w:t> </w:t>
      </w:r>
      <w:bookmarkEnd w:id="90"/>
      <w:r>
        <w:rPr>
          <w:color w:val="2D1E66"/>
          <w:spacing w:val="-2"/>
        </w:rPr>
        <w:t>collars</w:t>
      </w:r>
    </w:p>
    <w:p>
      <w:pPr>
        <w:pStyle w:val="BodyText"/>
        <w:spacing w:before="112"/>
        <w:ind w:left="112" w:right="142"/>
      </w:pPr>
      <w:r>
        <w:rPr/>
        <w:t>Livestock</w:t>
      </w:r>
      <w:r>
        <w:rPr>
          <w:spacing w:val="-3"/>
        </w:rPr>
        <w:t> </w:t>
      </w:r>
      <w:r>
        <w:rPr/>
        <w:t>collars</w:t>
      </w:r>
      <w:r>
        <w:rPr>
          <w:spacing w:val="-2"/>
        </w:rPr>
        <w:t> </w:t>
      </w:r>
      <w:r>
        <w:rPr/>
        <w:t>can</w:t>
      </w:r>
      <w:r>
        <w:rPr>
          <w:spacing w:val="-5"/>
        </w:rPr>
        <w:t> </w:t>
      </w:r>
      <w:r>
        <w:rPr/>
        <w:t>either</w:t>
      </w:r>
      <w:r>
        <w:rPr>
          <w:spacing w:val="-1"/>
        </w:rPr>
        <w:t> </w:t>
      </w:r>
      <w:r>
        <w:rPr/>
        <w:t>protect</w:t>
      </w:r>
      <w:r>
        <w:rPr>
          <w:spacing w:val="-2"/>
        </w:rPr>
        <w:t> </w:t>
      </w:r>
      <w:r>
        <w:rPr/>
        <w:t>livestock,</w:t>
      </w:r>
      <w:r>
        <w:rPr>
          <w:spacing w:val="-4"/>
        </w:rPr>
        <w:t> </w:t>
      </w:r>
      <w:r>
        <w:rPr/>
        <w:t>deter</w:t>
      </w:r>
      <w:r>
        <w:rPr>
          <w:spacing w:val="-3"/>
        </w:rPr>
        <w:t> </w:t>
      </w:r>
      <w:r>
        <w:rPr/>
        <w:t>attacks</w:t>
      </w:r>
      <w:r>
        <w:rPr>
          <w:spacing w:val="-3"/>
        </w:rPr>
        <w:t> </w:t>
      </w:r>
      <w:r>
        <w:rPr/>
        <w:t>or</w:t>
      </w:r>
      <w:r>
        <w:rPr>
          <w:spacing w:val="-4"/>
        </w:rPr>
        <w:t> </w:t>
      </w:r>
      <w:r>
        <w:rPr/>
        <w:t>act</w:t>
      </w:r>
      <w:r>
        <w:rPr>
          <w:spacing w:val="-4"/>
        </w:rPr>
        <w:t> </w:t>
      </w:r>
      <w:r>
        <w:rPr/>
        <w:t>as</w:t>
      </w:r>
      <w:r>
        <w:rPr>
          <w:spacing w:val="-3"/>
        </w:rPr>
        <w:t> </w:t>
      </w:r>
      <w:r>
        <w:rPr/>
        <w:t>lethal</w:t>
      </w:r>
      <w:r>
        <w:rPr>
          <w:spacing w:val="-5"/>
        </w:rPr>
        <w:t> </w:t>
      </w:r>
      <w:r>
        <w:rPr/>
        <w:t>control</w:t>
      </w:r>
      <w:r>
        <w:rPr>
          <w:spacing w:val="-1"/>
        </w:rPr>
        <w:t> </w:t>
      </w:r>
      <w:r>
        <w:rPr/>
        <w:t>options (Burns</w:t>
      </w:r>
      <w:r>
        <w:rPr>
          <w:spacing w:val="-2"/>
        </w:rPr>
        <w:t> </w:t>
      </w:r>
      <w:r>
        <w:rPr/>
        <w:t>et</w:t>
      </w:r>
      <w:r>
        <w:rPr>
          <w:spacing w:val="-2"/>
        </w:rPr>
        <w:t> </w:t>
      </w:r>
      <w:r>
        <w:rPr/>
        <w:t>al.1996). A relatively new and untested method of livestock protection involves the use of plastic collars designed to prevent canids from gripping and killing Sheep. The King Collar, developed in South Africa, was created to protect livestock from jackals, which are similar to coyotes and Dingoes in appearance and behaviour.</w:t>
      </w:r>
    </w:p>
    <w:p>
      <w:pPr>
        <w:pStyle w:val="BodyText"/>
        <w:spacing w:line="229" w:lineRule="exact"/>
        <w:ind w:left="112"/>
      </w:pPr>
      <w:r>
        <w:rPr/>
        <w:t>According</w:t>
      </w:r>
      <w:r>
        <w:rPr>
          <w:spacing w:val="-7"/>
        </w:rPr>
        <w:t> </w:t>
      </w:r>
      <w:r>
        <w:rPr/>
        <w:t>to</w:t>
      </w:r>
      <w:r>
        <w:rPr>
          <w:spacing w:val="-6"/>
        </w:rPr>
        <w:t> </w:t>
      </w:r>
      <w:r>
        <w:rPr/>
        <w:t>the</w:t>
      </w:r>
      <w:r>
        <w:rPr>
          <w:spacing w:val="-6"/>
        </w:rPr>
        <w:t> </w:t>
      </w:r>
      <w:r>
        <w:rPr/>
        <w:t>manufacturer,</w:t>
      </w:r>
      <w:r>
        <w:rPr>
          <w:spacing w:val="-7"/>
        </w:rPr>
        <w:t> </w:t>
      </w:r>
      <w:r>
        <w:rPr/>
        <w:t>the</w:t>
      </w:r>
      <w:r>
        <w:rPr>
          <w:spacing w:val="-8"/>
        </w:rPr>
        <w:t> </w:t>
      </w:r>
      <w:r>
        <w:rPr/>
        <w:t>collar</w:t>
      </w:r>
      <w:r>
        <w:rPr>
          <w:spacing w:val="-7"/>
        </w:rPr>
        <w:t> </w:t>
      </w:r>
      <w:r>
        <w:rPr/>
        <w:t>prevents</w:t>
      </w:r>
      <w:r>
        <w:rPr>
          <w:spacing w:val="-6"/>
        </w:rPr>
        <w:t> </w:t>
      </w:r>
      <w:r>
        <w:rPr/>
        <w:t>jackals</w:t>
      </w:r>
      <w:r>
        <w:rPr>
          <w:spacing w:val="-6"/>
        </w:rPr>
        <w:t> </w:t>
      </w:r>
      <w:r>
        <w:rPr/>
        <w:t>from</w:t>
      </w:r>
      <w:r>
        <w:rPr>
          <w:spacing w:val="-5"/>
        </w:rPr>
        <w:t> </w:t>
      </w:r>
      <w:r>
        <w:rPr/>
        <w:t>biting</w:t>
      </w:r>
      <w:r>
        <w:rPr>
          <w:spacing w:val="-7"/>
        </w:rPr>
        <w:t> </w:t>
      </w:r>
      <w:r>
        <w:rPr/>
        <w:t>the</w:t>
      </w:r>
      <w:r>
        <w:rPr>
          <w:spacing w:val="-7"/>
        </w:rPr>
        <w:t> </w:t>
      </w:r>
      <w:r>
        <w:rPr/>
        <w:t>cheek</w:t>
      </w:r>
      <w:r>
        <w:rPr>
          <w:spacing w:val="-6"/>
        </w:rPr>
        <w:t> </w:t>
      </w:r>
      <w:r>
        <w:rPr/>
        <w:t>and</w:t>
      </w:r>
      <w:r>
        <w:rPr>
          <w:spacing w:val="-7"/>
        </w:rPr>
        <w:t> </w:t>
      </w:r>
      <w:r>
        <w:rPr/>
        <w:t>trachea.</w:t>
      </w:r>
      <w:r>
        <w:rPr>
          <w:spacing w:val="-5"/>
        </w:rPr>
        <w:t> </w:t>
      </w:r>
      <w:r>
        <w:rPr/>
        <w:t>However,</w:t>
      </w:r>
      <w:r>
        <w:rPr>
          <w:spacing w:val="-7"/>
        </w:rPr>
        <w:t> </w:t>
      </w:r>
      <w:r>
        <w:rPr>
          <w:spacing w:val="-4"/>
        </w:rPr>
        <w:t>they</w:t>
      </w:r>
    </w:p>
    <w:p>
      <w:pPr>
        <w:spacing w:after="0" w:line="229" w:lineRule="exact"/>
        <w:sectPr>
          <w:pgSz w:w="11910" w:h="16850"/>
          <w:pgMar w:header="0" w:footer="688" w:top="1060" w:bottom="880" w:left="1020" w:right="1020"/>
        </w:sectPr>
      </w:pPr>
    </w:p>
    <w:p>
      <w:pPr>
        <w:pStyle w:val="BodyText"/>
        <w:spacing w:before="71"/>
        <w:ind w:left="112" w:right="155"/>
      </w:pPr>
      <w:r>
        <w:rPr/>
        <w:t>do not prevent injuries from attack on other parts of the body, nor exhaustion and stress from being chased. In</w:t>
      </w:r>
      <w:r>
        <w:rPr>
          <w:spacing w:val="-5"/>
        </w:rPr>
        <w:t> </w:t>
      </w:r>
      <w:r>
        <w:rPr/>
        <w:t>a</w:t>
      </w:r>
      <w:r>
        <w:rPr>
          <w:spacing w:val="-2"/>
        </w:rPr>
        <w:t> </w:t>
      </w:r>
      <w:r>
        <w:rPr/>
        <w:t>2-year</w:t>
      </w:r>
      <w:r>
        <w:rPr>
          <w:spacing w:val="-3"/>
        </w:rPr>
        <w:t> </w:t>
      </w:r>
      <w:r>
        <w:rPr/>
        <w:t>study</w:t>
      </w:r>
      <w:r>
        <w:rPr>
          <w:spacing w:val="-3"/>
        </w:rPr>
        <w:t> </w:t>
      </w:r>
      <w:r>
        <w:rPr/>
        <w:t>of</w:t>
      </w:r>
      <w:r>
        <w:rPr>
          <w:spacing w:val="-1"/>
        </w:rPr>
        <w:t> </w:t>
      </w:r>
      <w:r>
        <w:rPr/>
        <w:t>Dingoes</w:t>
      </w:r>
      <w:r>
        <w:rPr>
          <w:spacing w:val="-3"/>
        </w:rPr>
        <w:t> </w:t>
      </w:r>
      <w:r>
        <w:rPr/>
        <w:t>in</w:t>
      </w:r>
      <w:r>
        <w:rPr>
          <w:spacing w:val="-4"/>
        </w:rPr>
        <w:t> </w:t>
      </w:r>
      <w:r>
        <w:rPr/>
        <w:t>pastoral</w:t>
      </w:r>
      <w:r>
        <w:rPr>
          <w:spacing w:val="-5"/>
        </w:rPr>
        <w:t> </w:t>
      </w:r>
      <w:r>
        <w:rPr/>
        <w:t>country</w:t>
      </w:r>
      <w:r>
        <w:rPr>
          <w:spacing w:val="-2"/>
        </w:rPr>
        <w:t> </w:t>
      </w:r>
      <w:r>
        <w:rPr/>
        <w:t>in</w:t>
      </w:r>
      <w:r>
        <w:rPr>
          <w:spacing w:val="-2"/>
        </w:rPr>
        <w:t> </w:t>
      </w:r>
      <w:r>
        <w:rPr/>
        <w:t>Western</w:t>
      </w:r>
      <w:r>
        <w:rPr>
          <w:spacing w:val="-4"/>
        </w:rPr>
        <w:t> </w:t>
      </w:r>
      <w:r>
        <w:rPr/>
        <w:t>Australia, (Thomson</w:t>
      </w:r>
      <w:r>
        <w:rPr>
          <w:spacing w:val="-3"/>
        </w:rPr>
        <w:t> </w:t>
      </w:r>
      <w:r>
        <w:rPr/>
        <w:t>1984)</w:t>
      </w:r>
      <w:r>
        <w:rPr>
          <w:spacing w:val="-1"/>
        </w:rPr>
        <w:t> </w:t>
      </w:r>
      <w:r>
        <w:rPr/>
        <w:t>reported</w:t>
      </w:r>
      <w:r>
        <w:rPr>
          <w:spacing w:val="-4"/>
        </w:rPr>
        <w:t> </w:t>
      </w:r>
      <w:r>
        <w:rPr/>
        <w:t>that</w:t>
      </w:r>
      <w:r>
        <w:rPr>
          <w:spacing w:val="-2"/>
        </w:rPr>
        <w:t> </w:t>
      </w:r>
      <w:r>
        <w:rPr/>
        <w:t>Dingoes generally started their attacks by biting the hind end of the</w:t>
      </w:r>
      <w:r>
        <w:rPr>
          <w:spacing w:val="13"/>
        </w:rPr>
        <w:t> </w:t>
      </w:r>
      <w:r>
        <w:rPr/>
        <w:t>Sheep, wounding the rump or hind legs or often,</w:t>
      </w:r>
      <w:r>
        <w:rPr/>
        <w:t> in the case of rams, the scrotum. Of 191 Sheep attacked that were assessable, 155 were damaged at the hind end.</w:t>
      </w:r>
    </w:p>
    <w:p>
      <w:pPr>
        <w:pStyle w:val="BodyText"/>
        <w:spacing w:before="120"/>
        <w:ind w:left="112" w:right="142"/>
      </w:pPr>
      <w:r>
        <w:rPr/>
        <w:t>While</w:t>
      </w:r>
      <w:r>
        <w:rPr>
          <w:spacing w:val="-3"/>
        </w:rPr>
        <w:t> </w:t>
      </w:r>
      <w:r>
        <w:rPr/>
        <w:t>the</w:t>
      </w:r>
      <w:r>
        <w:rPr>
          <w:spacing w:val="-3"/>
        </w:rPr>
        <w:t> </w:t>
      </w:r>
      <w:r>
        <w:rPr/>
        <w:t>novelty</w:t>
      </w:r>
      <w:r>
        <w:rPr>
          <w:spacing w:val="-4"/>
        </w:rPr>
        <w:t> </w:t>
      </w:r>
      <w:r>
        <w:rPr/>
        <w:t>of</w:t>
      </w:r>
      <w:r>
        <w:rPr>
          <w:spacing w:val="-3"/>
        </w:rPr>
        <w:t> </w:t>
      </w:r>
      <w:r>
        <w:rPr/>
        <w:t>these</w:t>
      </w:r>
      <w:r>
        <w:rPr>
          <w:spacing w:val="-5"/>
        </w:rPr>
        <w:t> </w:t>
      </w:r>
      <w:r>
        <w:rPr/>
        <w:t>collars</w:t>
      </w:r>
      <w:r>
        <w:rPr>
          <w:spacing w:val="-3"/>
        </w:rPr>
        <w:t> </w:t>
      </w:r>
      <w:r>
        <w:rPr/>
        <w:t>may</w:t>
      </w:r>
      <w:r>
        <w:rPr>
          <w:spacing w:val="-4"/>
        </w:rPr>
        <w:t> </w:t>
      </w:r>
      <w:r>
        <w:rPr/>
        <w:t>temporarily</w:t>
      </w:r>
      <w:r>
        <w:rPr>
          <w:spacing w:val="-2"/>
        </w:rPr>
        <w:t> </w:t>
      </w:r>
      <w:r>
        <w:rPr/>
        <w:t>deter</w:t>
      </w:r>
      <w:r>
        <w:rPr>
          <w:spacing w:val="-4"/>
        </w:rPr>
        <w:t> </w:t>
      </w:r>
      <w:r>
        <w:rPr/>
        <w:t>predators,</w:t>
      </w:r>
      <w:r>
        <w:rPr>
          <w:spacing w:val="-5"/>
        </w:rPr>
        <w:t> </w:t>
      </w:r>
      <w:r>
        <w:rPr/>
        <w:t>their</w:t>
      </w:r>
      <w:r>
        <w:rPr>
          <w:spacing w:val="-4"/>
        </w:rPr>
        <w:t> </w:t>
      </w:r>
      <w:r>
        <w:rPr/>
        <w:t>adaptability</w:t>
      </w:r>
      <w:r>
        <w:rPr>
          <w:spacing w:val="-4"/>
        </w:rPr>
        <w:t> </w:t>
      </w:r>
      <w:r>
        <w:rPr/>
        <w:t>and</w:t>
      </w:r>
      <w:r>
        <w:rPr>
          <w:spacing w:val="-3"/>
        </w:rPr>
        <w:t> </w:t>
      </w:r>
      <w:r>
        <w:rPr/>
        <w:t>learning</w:t>
      </w:r>
      <w:r>
        <w:rPr>
          <w:spacing w:val="-5"/>
        </w:rPr>
        <w:t> </w:t>
      </w:r>
      <w:r>
        <w:rPr/>
        <w:t>abilities suggest that developing long-term, practical, and effective animal armour will be challenging. Further research and development are needed to assess their potential more thoroughly (Shivik 2004).</w:t>
      </w:r>
    </w:p>
    <w:p>
      <w:pPr>
        <w:pStyle w:val="BodyText"/>
        <w:spacing w:before="156"/>
      </w:pPr>
    </w:p>
    <w:p>
      <w:pPr>
        <w:pStyle w:val="Heading3"/>
        <w:numPr>
          <w:ilvl w:val="1"/>
          <w:numId w:val="21"/>
        </w:numPr>
        <w:tabs>
          <w:tab w:pos="686" w:val="left" w:leader="none"/>
        </w:tabs>
        <w:spacing w:line="240" w:lineRule="auto" w:before="1" w:after="0"/>
        <w:ind w:left="686" w:right="0" w:hanging="574"/>
        <w:jc w:val="left"/>
      </w:pPr>
      <w:bookmarkStart w:name="_TOC_250022" w:id="91"/>
      <w:bookmarkEnd w:id="91"/>
      <w:r>
        <w:rPr>
          <w:color w:val="2D1E66"/>
          <w:spacing w:val="-2"/>
        </w:rPr>
        <w:t>Repellents</w:t>
      </w:r>
    </w:p>
    <w:p>
      <w:pPr>
        <w:pStyle w:val="BodyText"/>
        <w:spacing w:before="112"/>
        <w:ind w:left="112" w:right="142"/>
      </w:pPr>
      <w:r>
        <w:rPr/>
        <w:t>The primary objective of repellents is to disrupt predator behaviour. Two categories of repellents are recognised: primary repellents, which provoke a fright or startle response, and secondary repellents, which utilise</w:t>
      </w:r>
      <w:r>
        <w:rPr>
          <w:spacing w:val="-2"/>
        </w:rPr>
        <w:t> </w:t>
      </w:r>
      <w:r>
        <w:rPr/>
        <w:t>aversive</w:t>
      </w:r>
      <w:r>
        <w:rPr>
          <w:spacing w:val="-4"/>
        </w:rPr>
        <w:t> </w:t>
      </w:r>
      <w:r>
        <w:rPr/>
        <w:t>stimuli</w:t>
      </w:r>
      <w:r>
        <w:rPr>
          <w:spacing w:val="-5"/>
        </w:rPr>
        <w:t> </w:t>
      </w:r>
      <w:r>
        <w:rPr/>
        <w:t>to</w:t>
      </w:r>
      <w:r>
        <w:rPr>
          <w:spacing w:val="-4"/>
        </w:rPr>
        <w:t> </w:t>
      </w:r>
      <w:r>
        <w:rPr/>
        <w:t>condition</w:t>
      </w:r>
      <w:r>
        <w:rPr>
          <w:spacing w:val="-4"/>
        </w:rPr>
        <w:t> </w:t>
      </w:r>
      <w:r>
        <w:rPr/>
        <w:t>predators</w:t>
      </w:r>
      <w:r>
        <w:rPr>
          <w:spacing w:val="-3"/>
        </w:rPr>
        <w:t> </w:t>
      </w:r>
      <w:r>
        <w:rPr/>
        <w:t>against</w:t>
      </w:r>
      <w:r>
        <w:rPr>
          <w:spacing w:val="-4"/>
        </w:rPr>
        <w:t> </w:t>
      </w:r>
      <w:r>
        <w:rPr/>
        <w:t>specific</w:t>
      </w:r>
      <w:r>
        <w:rPr>
          <w:spacing w:val="-3"/>
        </w:rPr>
        <w:t> </w:t>
      </w:r>
      <w:r>
        <w:rPr/>
        <w:t>behaviours,</w:t>
      </w:r>
      <w:r>
        <w:rPr>
          <w:spacing w:val="-4"/>
        </w:rPr>
        <w:t> </w:t>
      </w:r>
      <w:r>
        <w:rPr/>
        <w:t>such</w:t>
      </w:r>
      <w:r>
        <w:rPr>
          <w:spacing w:val="-4"/>
        </w:rPr>
        <w:t> </w:t>
      </w:r>
      <w:r>
        <w:rPr/>
        <w:t>as livestock</w:t>
      </w:r>
      <w:r>
        <w:rPr>
          <w:spacing w:val="-3"/>
        </w:rPr>
        <w:t> </w:t>
      </w:r>
      <w:r>
        <w:rPr/>
        <w:t>predation (Shivik et al. 2003).</w:t>
      </w:r>
    </w:p>
    <w:p>
      <w:pPr>
        <w:pStyle w:val="BodyText"/>
        <w:spacing w:before="119"/>
        <w:ind w:left="112" w:right="234"/>
      </w:pPr>
      <w:r>
        <w:rPr/>
        <w:t>Extensive research on repellents has been conducted internationally, targeting predators such as Grey Wolves (</w:t>
      </w:r>
      <w:r>
        <w:rPr>
          <w:i/>
        </w:rPr>
        <w:t>Canis lupus</w:t>
      </w:r>
      <w:r>
        <w:rPr/>
        <w:t>), bears (</w:t>
      </w:r>
      <w:r>
        <w:rPr>
          <w:i/>
        </w:rPr>
        <w:t>Ursus </w:t>
      </w:r>
      <w:r>
        <w:rPr/>
        <w:t>spp.), Coyotes, Pumas (</w:t>
      </w:r>
      <w:r>
        <w:rPr>
          <w:i/>
        </w:rPr>
        <w:t>Puma concolor</w:t>
      </w:r>
      <w:r>
        <w:rPr/>
        <w:t>), and Lions (</w:t>
      </w:r>
      <w:r>
        <w:rPr>
          <w:i/>
        </w:rPr>
        <w:t>Panthera leo</w:t>
      </w:r>
      <w:r>
        <w:rPr/>
        <w:t>) (Breck</w:t>
      </w:r>
      <w:r>
        <w:rPr>
          <w:spacing w:val="-2"/>
        </w:rPr>
        <w:t> </w:t>
      </w:r>
      <w:r>
        <w:rPr/>
        <w:t>et</w:t>
      </w:r>
      <w:r>
        <w:rPr>
          <w:spacing w:val="-3"/>
        </w:rPr>
        <w:t> </w:t>
      </w:r>
      <w:r>
        <w:rPr/>
        <w:t>al.</w:t>
      </w:r>
      <w:r>
        <w:rPr>
          <w:spacing w:val="-3"/>
        </w:rPr>
        <w:t> </w:t>
      </w:r>
      <w:r>
        <w:rPr/>
        <w:t>2002;</w:t>
      </w:r>
      <w:r>
        <w:rPr>
          <w:spacing w:val="-1"/>
        </w:rPr>
        <w:t> </w:t>
      </w:r>
      <w:r>
        <w:rPr/>
        <w:t>Darrow</w:t>
      </w:r>
      <w:r>
        <w:rPr>
          <w:spacing w:val="-1"/>
        </w:rPr>
        <w:t> </w:t>
      </w:r>
      <w:r>
        <w:rPr/>
        <w:t>and</w:t>
      </w:r>
      <w:r>
        <w:rPr>
          <w:spacing w:val="-1"/>
        </w:rPr>
        <w:t> </w:t>
      </w:r>
      <w:r>
        <w:rPr/>
        <w:t>Shivik</w:t>
      </w:r>
      <w:r>
        <w:rPr>
          <w:spacing w:val="-2"/>
        </w:rPr>
        <w:t> </w:t>
      </w:r>
      <w:r>
        <w:rPr/>
        <w:t>2009,</w:t>
      </w:r>
      <w:r>
        <w:rPr>
          <w:spacing w:val="-1"/>
        </w:rPr>
        <w:t> </w:t>
      </w:r>
      <w:r>
        <w:rPr/>
        <w:t>2009;</w:t>
      </w:r>
      <w:r>
        <w:rPr>
          <w:spacing w:val="-3"/>
        </w:rPr>
        <w:t> </w:t>
      </w:r>
      <w:r>
        <w:rPr/>
        <w:t>Linhart</w:t>
      </w:r>
      <w:r>
        <w:rPr>
          <w:spacing w:val="-3"/>
        </w:rPr>
        <w:t> </w:t>
      </w:r>
      <w:r>
        <w:rPr/>
        <w:t>1984;</w:t>
      </w:r>
      <w:r>
        <w:rPr>
          <w:spacing w:val="-1"/>
        </w:rPr>
        <w:t> </w:t>
      </w:r>
      <w:r>
        <w:rPr/>
        <w:t>Linhart et</w:t>
      </w:r>
      <w:r>
        <w:rPr>
          <w:spacing w:val="-3"/>
        </w:rPr>
        <w:t> </w:t>
      </w:r>
      <w:r>
        <w:rPr/>
        <w:t>al.</w:t>
      </w:r>
      <w:r>
        <w:rPr>
          <w:spacing w:val="-1"/>
        </w:rPr>
        <w:t> </w:t>
      </w:r>
      <w:r>
        <w:rPr/>
        <w:t>1992;</w:t>
      </w:r>
      <w:r>
        <w:rPr>
          <w:spacing w:val="-3"/>
        </w:rPr>
        <w:t> </w:t>
      </w:r>
      <w:r>
        <w:rPr/>
        <w:t>Miller</w:t>
      </w:r>
      <w:r>
        <w:rPr>
          <w:spacing w:val="-3"/>
        </w:rPr>
        <w:t> </w:t>
      </w:r>
      <w:r>
        <w:rPr/>
        <w:t>1983;</w:t>
      </w:r>
      <w:r>
        <w:rPr>
          <w:spacing w:val="-1"/>
        </w:rPr>
        <w:t> </w:t>
      </w:r>
      <w:r>
        <w:rPr/>
        <w:t>Shivik</w:t>
      </w:r>
      <w:r>
        <w:rPr>
          <w:spacing w:val="-2"/>
        </w:rPr>
        <w:t> </w:t>
      </w:r>
      <w:r>
        <w:rPr/>
        <w:t>et</w:t>
      </w:r>
      <w:r>
        <w:rPr>
          <w:spacing w:val="-3"/>
        </w:rPr>
        <w:t> </w:t>
      </w:r>
      <w:r>
        <w:rPr/>
        <w:t>al. 2003; VerCauteren et al. 2003; Zarco-Gonzalez and Monroy-Vichis 2014). (Miller et al. 2016) reviewed 66 peer-reviewed studies on lethal and non-lethal techniques for reducing livestock predation. These studies, covering 16 large carnivore species across 27 countries and six continents (including two studies from Australia (van Bommel and Johnson 2012; Edgar et al. 2007)), found that deterrents—including aversive stimuli, behavioural conditioning, or repellents—showed high variability in effectiveness (0–100%) in reducing</w:t>
      </w:r>
      <w:r>
        <w:rPr>
          <w:spacing w:val="-5"/>
        </w:rPr>
        <w:t> </w:t>
      </w:r>
      <w:r>
        <w:rPr/>
        <w:t>livestock</w:t>
      </w:r>
      <w:r>
        <w:rPr>
          <w:spacing w:val="-4"/>
        </w:rPr>
        <w:t> </w:t>
      </w:r>
      <w:r>
        <w:rPr/>
        <w:t>losses.</w:t>
      </w:r>
      <w:r>
        <w:rPr>
          <w:spacing w:val="-3"/>
        </w:rPr>
        <w:t> </w:t>
      </w:r>
      <w:r>
        <w:rPr/>
        <w:t>Effectiveness</w:t>
      </w:r>
      <w:r>
        <w:rPr>
          <w:spacing w:val="-4"/>
        </w:rPr>
        <w:t> </w:t>
      </w:r>
      <w:r>
        <w:rPr/>
        <w:t>was</w:t>
      </w:r>
      <w:r>
        <w:rPr>
          <w:spacing w:val="-2"/>
        </w:rPr>
        <w:t> </w:t>
      </w:r>
      <w:r>
        <w:rPr/>
        <w:t>defined</w:t>
      </w:r>
      <w:r>
        <w:rPr>
          <w:spacing w:val="-3"/>
        </w:rPr>
        <w:t> </w:t>
      </w:r>
      <w:r>
        <w:rPr/>
        <w:t>as</w:t>
      </w:r>
      <w:r>
        <w:rPr>
          <w:spacing w:val="-4"/>
        </w:rPr>
        <w:t> </w:t>
      </w:r>
      <w:r>
        <w:rPr/>
        <w:t>the</w:t>
      </w:r>
      <w:r>
        <w:rPr>
          <w:spacing w:val="-3"/>
        </w:rPr>
        <w:t> </w:t>
      </w:r>
      <w:r>
        <w:rPr/>
        <w:t>percentage</w:t>
      </w:r>
      <w:r>
        <w:rPr>
          <w:spacing w:val="-5"/>
        </w:rPr>
        <w:t> </w:t>
      </w:r>
      <w:r>
        <w:rPr/>
        <w:t>change</w:t>
      </w:r>
      <w:r>
        <w:rPr>
          <w:spacing w:val="-5"/>
        </w:rPr>
        <w:t> </w:t>
      </w:r>
      <w:r>
        <w:rPr/>
        <w:t>in</w:t>
      </w:r>
      <w:r>
        <w:rPr>
          <w:spacing w:val="-5"/>
        </w:rPr>
        <w:t> </w:t>
      </w:r>
      <w:r>
        <w:rPr/>
        <w:t>depredation</w:t>
      </w:r>
      <w:r>
        <w:rPr>
          <w:spacing w:val="-5"/>
        </w:rPr>
        <w:t> </w:t>
      </w:r>
      <w:r>
        <w:rPr/>
        <w:t>rates</w:t>
      </w:r>
      <w:r>
        <w:rPr>
          <w:spacing w:val="-4"/>
        </w:rPr>
        <w:t> </w:t>
      </w:r>
      <w:r>
        <w:rPr/>
        <w:t>when</w:t>
      </w:r>
      <w:r>
        <w:rPr>
          <w:spacing w:val="-5"/>
        </w:rPr>
        <w:t> </w:t>
      </w:r>
      <w:r>
        <w:rPr/>
        <w:t>a method was applied, along with the duration of its efficacy. For example, they found that fladry tape was 100% effective</w:t>
      </w:r>
      <w:r>
        <w:rPr>
          <w:spacing w:val="-1"/>
        </w:rPr>
        <w:t> </w:t>
      </w:r>
      <w:r>
        <w:rPr/>
        <w:t>but</w:t>
      </w:r>
      <w:r>
        <w:rPr>
          <w:spacing w:val="-1"/>
        </w:rPr>
        <w:t> </w:t>
      </w:r>
      <w:r>
        <w:rPr/>
        <w:t>only for a</w:t>
      </w:r>
      <w:r>
        <w:rPr>
          <w:spacing w:val="-1"/>
        </w:rPr>
        <w:t> </w:t>
      </w:r>
      <w:r>
        <w:rPr/>
        <w:t>few weeks,</w:t>
      </w:r>
      <w:r>
        <w:rPr>
          <w:spacing w:val="-1"/>
        </w:rPr>
        <w:t> </w:t>
      </w:r>
      <w:r>
        <w:rPr/>
        <w:t>while</w:t>
      </w:r>
      <w:r>
        <w:rPr>
          <w:spacing w:val="-1"/>
        </w:rPr>
        <w:t> </w:t>
      </w:r>
      <w:r>
        <w:rPr/>
        <w:t>shock collars reduced depredation by about</w:t>
      </w:r>
      <w:r>
        <w:rPr>
          <w:spacing w:val="-1"/>
        </w:rPr>
        <w:t> </w:t>
      </w:r>
      <w:r>
        <w:rPr/>
        <w:t>70%</w:t>
      </w:r>
      <w:r>
        <w:rPr>
          <w:spacing w:val="-1"/>
        </w:rPr>
        <w:t> </w:t>
      </w:r>
      <w:r>
        <w:rPr/>
        <w:t>for over</w:t>
      </w:r>
      <w:r>
        <w:rPr>
          <w:spacing w:val="-1"/>
        </w:rPr>
        <w:t> </w:t>
      </w:r>
      <w:r>
        <w:rPr/>
        <w:t>17 months. However, sample sizes were often small, and most techniques were tested on single species without combinations.</w:t>
      </w:r>
    </w:p>
    <w:p>
      <w:pPr>
        <w:pStyle w:val="BodyText"/>
        <w:spacing w:before="121"/>
        <w:ind w:left="112" w:right="179"/>
      </w:pPr>
      <w:r>
        <w:rPr/>
        <w:t>In Australia, research on repellents is limited. (Edgar et al. 2007) evaluated a commercial ultrasonic device with four captive Dingoes and found no effect. (Appleby et al. 2017) tested modified domestic dog shock collars on K’gari (Fraser Island) Dingoes but encountered equipment failures, similar to other studies (Hawley et al. 2009; Shivik et al. 2003). Appleby et al. (2017) found that mechanised water jets elicited aversive</w:t>
      </w:r>
      <w:r>
        <w:rPr>
          <w:spacing w:val="-3"/>
        </w:rPr>
        <w:t> </w:t>
      </w:r>
      <w:r>
        <w:rPr/>
        <w:t>behaviour</w:t>
      </w:r>
      <w:r>
        <w:rPr>
          <w:spacing w:val="-3"/>
        </w:rPr>
        <w:t> </w:t>
      </w:r>
      <w:r>
        <w:rPr/>
        <w:t>in</w:t>
      </w:r>
      <w:r>
        <w:rPr>
          <w:spacing w:val="-3"/>
        </w:rPr>
        <w:t> </w:t>
      </w:r>
      <w:r>
        <w:rPr/>
        <w:t>young</w:t>
      </w:r>
      <w:r>
        <w:rPr>
          <w:spacing w:val="-1"/>
        </w:rPr>
        <w:t> </w:t>
      </w:r>
      <w:r>
        <w:rPr/>
        <w:t>Dingoes,</w:t>
      </w:r>
      <w:r>
        <w:rPr>
          <w:spacing w:val="-3"/>
        </w:rPr>
        <w:t> </w:t>
      </w:r>
      <w:r>
        <w:rPr/>
        <w:t>while</w:t>
      </w:r>
      <w:r>
        <w:rPr>
          <w:spacing w:val="-1"/>
        </w:rPr>
        <w:t> </w:t>
      </w:r>
      <w:r>
        <w:rPr/>
        <w:t>air</w:t>
      </w:r>
      <w:r>
        <w:rPr>
          <w:spacing w:val="-2"/>
        </w:rPr>
        <w:t> </w:t>
      </w:r>
      <w:r>
        <w:rPr/>
        <w:t>horns</w:t>
      </w:r>
      <w:r>
        <w:rPr>
          <w:spacing w:val="-1"/>
        </w:rPr>
        <w:t> </w:t>
      </w:r>
      <w:r>
        <w:rPr/>
        <w:t>did</w:t>
      </w:r>
      <w:r>
        <w:rPr>
          <w:spacing w:val="-1"/>
        </w:rPr>
        <w:t> </w:t>
      </w:r>
      <w:r>
        <w:rPr/>
        <w:t>not,</w:t>
      </w:r>
      <w:r>
        <w:rPr>
          <w:spacing w:val="-1"/>
        </w:rPr>
        <w:t> </w:t>
      </w:r>
      <w:r>
        <w:rPr/>
        <w:t>likely</w:t>
      </w:r>
      <w:r>
        <w:rPr>
          <w:spacing w:val="-2"/>
        </w:rPr>
        <w:t> </w:t>
      </w:r>
      <w:r>
        <w:rPr/>
        <w:t>due</w:t>
      </w:r>
      <w:r>
        <w:rPr>
          <w:spacing w:val="-4"/>
        </w:rPr>
        <w:t> </w:t>
      </w:r>
      <w:r>
        <w:rPr/>
        <w:t>to</w:t>
      </w:r>
      <w:r>
        <w:rPr>
          <w:spacing w:val="-3"/>
        </w:rPr>
        <w:t> </w:t>
      </w:r>
      <w:r>
        <w:rPr/>
        <w:t>habituation</w:t>
      </w:r>
      <w:r>
        <w:rPr>
          <w:spacing w:val="-3"/>
        </w:rPr>
        <w:t> </w:t>
      </w:r>
      <w:r>
        <w:rPr/>
        <w:t>to</w:t>
      </w:r>
      <w:r>
        <w:rPr>
          <w:spacing w:val="-1"/>
        </w:rPr>
        <w:t> </w:t>
      </w:r>
      <w:r>
        <w:rPr/>
        <w:t>loud</w:t>
      </w:r>
      <w:r>
        <w:rPr>
          <w:spacing w:val="-2"/>
        </w:rPr>
        <w:t> </w:t>
      </w:r>
      <w:r>
        <w:rPr/>
        <w:t>noises.</w:t>
      </w:r>
      <w:r>
        <w:rPr>
          <w:spacing w:val="-1"/>
        </w:rPr>
        <w:t> </w:t>
      </w:r>
      <w:r>
        <w:rPr/>
        <w:t>(Smith, et al. 2000) tested</w:t>
      </w:r>
      <w:r>
        <w:rPr>
          <w:spacing w:val="-1"/>
        </w:rPr>
        <w:t> </w:t>
      </w:r>
      <w:r>
        <w:rPr/>
        <w:t>shotgun sounds and</w:t>
      </w:r>
      <w:r>
        <w:rPr>
          <w:spacing w:val="-1"/>
        </w:rPr>
        <w:t> </w:t>
      </w:r>
      <w:r>
        <w:rPr/>
        <w:t>an inflatable human effigy to deter captive Dingoes from food. While the</w:t>
      </w:r>
      <w:r>
        <w:rPr>
          <w:spacing w:val="-1"/>
        </w:rPr>
        <w:t> </w:t>
      </w:r>
      <w:r>
        <w:rPr/>
        <w:t>shotgun sounds failed, the</w:t>
      </w:r>
      <w:r>
        <w:rPr>
          <w:spacing w:val="-1"/>
        </w:rPr>
        <w:t> </w:t>
      </w:r>
      <w:r>
        <w:rPr/>
        <w:t>effigy reduced food access by 25%, suggesting its potential in human-wildlife conflict zones.</w:t>
      </w:r>
    </w:p>
    <w:p>
      <w:pPr>
        <w:pStyle w:val="BodyText"/>
        <w:spacing w:before="121"/>
        <w:ind w:left="112" w:right="142"/>
      </w:pPr>
      <w:r>
        <w:rPr/>
        <w:t>Taste aversion studies have also been conducted on Dingoes and foxes. (Tauchmann 1999) tested conditioned</w:t>
      </w:r>
      <w:r>
        <w:rPr>
          <w:spacing w:val="-3"/>
        </w:rPr>
        <w:t> </w:t>
      </w:r>
      <w:r>
        <w:rPr/>
        <w:t>taste</w:t>
      </w:r>
      <w:r>
        <w:rPr>
          <w:spacing w:val="-3"/>
        </w:rPr>
        <w:t> </w:t>
      </w:r>
      <w:r>
        <w:rPr/>
        <w:t>aversion</w:t>
      </w:r>
      <w:r>
        <w:rPr>
          <w:spacing w:val="-5"/>
        </w:rPr>
        <w:t> </w:t>
      </w:r>
      <w:r>
        <w:rPr/>
        <w:t>(CTA)</w:t>
      </w:r>
      <w:r>
        <w:rPr>
          <w:spacing w:val="-3"/>
        </w:rPr>
        <w:t> </w:t>
      </w:r>
      <w:r>
        <w:rPr/>
        <w:t>in Dingoes</w:t>
      </w:r>
      <w:r>
        <w:rPr>
          <w:spacing w:val="-3"/>
        </w:rPr>
        <w:t> </w:t>
      </w:r>
      <w:r>
        <w:rPr/>
        <w:t>using</w:t>
      </w:r>
      <w:r>
        <w:rPr>
          <w:spacing w:val="-4"/>
        </w:rPr>
        <w:t> </w:t>
      </w:r>
      <w:r>
        <w:rPr/>
        <w:t>food</w:t>
      </w:r>
      <w:r>
        <w:rPr>
          <w:spacing w:val="-3"/>
        </w:rPr>
        <w:t> </w:t>
      </w:r>
      <w:r>
        <w:rPr/>
        <w:t>lures</w:t>
      </w:r>
      <w:r>
        <w:rPr>
          <w:spacing w:val="-3"/>
        </w:rPr>
        <w:t> </w:t>
      </w:r>
      <w:r>
        <w:rPr/>
        <w:t>treated</w:t>
      </w:r>
      <w:r>
        <w:rPr>
          <w:spacing w:val="-3"/>
        </w:rPr>
        <w:t> </w:t>
      </w:r>
      <w:r>
        <w:rPr/>
        <w:t>with</w:t>
      </w:r>
      <w:r>
        <w:rPr>
          <w:spacing w:val="-4"/>
        </w:rPr>
        <w:t> </w:t>
      </w:r>
      <w:r>
        <w:rPr/>
        <w:t>lithium</w:t>
      </w:r>
      <w:r>
        <w:rPr>
          <w:spacing w:val="-4"/>
        </w:rPr>
        <w:t> </w:t>
      </w:r>
      <w:r>
        <w:rPr/>
        <w:t>chloride</w:t>
      </w:r>
      <w:r>
        <w:rPr>
          <w:spacing w:val="-3"/>
        </w:rPr>
        <w:t> </w:t>
      </w:r>
      <w:r>
        <w:rPr/>
        <w:t>or</w:t>
      </w:r>
      <w:r>
        <w:rPr>
          <w:spacing w:val="-4"/>
        </w:rPr>
        <w:t> </w:t>
      </w:r>
      <w:r>
        <w:rPr/>
        <w:t>thiabendazole, observing reduced bait consumption at one site. Andrewartha et al. (2023) demonstrated that free-ranging foxes could be conditioned to avoid target food items using baits containing encapsulated levamisole, resulting in at least a 30% reduction in bait consumption for 68 days.</w:t>
      </w:r>
    </w:p>
    <w:p>
      <w:pPr>
        <w:pStyle w:val="BodyText"/>
        <w:spacing w:before="120"/>
        <w:ind w:left="112"/>
      </w:pPr>
      <w:r>
        <w:rPr/>
        <w:t>Repellents are generally short-lived in effectiveness. While canids initially avoid novel objects like effigies or sounds, rapid habituation is common (Ausband et al. 2013). Recent studies have investigated using natural chemical signals to deter canids. For example, (Jackson et al. 2012) effectively contained African Wild Dogs (</w:t>
      </w:r>
      <w:r>
        <w:rPr>
          <w:i/>
        </w:rPr>
        <w:t>Lycaon pictus</w:t>
      </w:r>
      <w:r>
        <w:rPr/>
        <w:t>) near protected areas using translocated scent stations, while (Ausband et al. 2013) used biofencing to manipulate Grey Wolf movements with initial success but later failure, potentially due to insufficient</w:t>
      </w:r>
      <w:r>
        <w:rPr>
          <w:spacing w:val="-4"/>
        </w:rPr>
        <w:t> </w:t>
      </w:r>
      <w:r>
        <w:rPr/>
        <w:t>scent</w:t>
      </w:r>
      <w:r>
        <w:rPr>
          <w:spacing w:val="-4"/>
        </w:rPr>
        <w:t> </w:t>
      </w:r>
      <w:r>
        <w:rPr/>
        <w:t>reinforcement</w:t>
      </w:r>
      <w:r>
        <w:rPr>
          <w:spacing w:val="-2"/>
        </w:rPr>
        <w:t> </w:t>
      </w:r>
      <w:r>
        <w:rPr/>
        <w:t>or</w:t>
      </w:r>
      <w:r>
        <w:rPr>
          <w:spacing w:val="-4"/>
        </w:rPr>
        <w:t> </w:t>
      </w:r>
      <w:r>
        <w:rPr/>
        <w:t>buffer</w:t>
      </w:r>
      <w:r>
        <w:rPr>
          <w:spacing w:val="-3"/>
        </w:rPr>
        <w:t> </w:t>
      </w:r>
      <w:r>
        <w:rPr/>
        <w:t>distances. Shivik</w:t>
      </w:r>
      <w:r>
        <w:rPr>
          <w:spacing w:val="-2"/>
        </w:rPr>
        <w:t> </w:t>
      </w:r>
      <w:r>
        <w:rPr/>
        <w:t>et</w:t>
      </w:r>
      <w:r>
        <w:rPr>
          <w:spacing w:val="-2"/>
        </w:rPr>
        <w:t> </w:t>
      </w:r>
      <w:r>
        <w:rPr/>
        <w:t>al.</w:t>
      </w:r>
      <w:r>
        <w:rPr>
          <w:spacing w:val="-4"/>
        </w:rPr>
        <w:t> </w:t>
      </w:r>
      <w:r>
        <w:rPr/>
        <w:t>(2011),</w:t>
      </w:r>
      <w:r>
        <w:rPr>
          <w:spacing w:val="-4"/>
        </w:rPr>
        <w:t> </w:t>
      </w:r>
      <w:r>
        <w:rPr/>
        <w:t>however,</w:t>
      </w:r>
      <w:r>
        <w:rPr>
          <w:spacing w:val="-1"/>
        </w:rPr>
        <w:t> </w:t>
      </w:r>
      <w:r>
        <w:rPr/>
        <w:t>found</w:t>
      </w:r>
      <w:r>
        <w:rPr>
          <w:spacing w:val="-4"/>
        </w:rPr>
        <w:t> </w:t>
      </w:r>
      <w:r>
        <w:rPr/>
        <w:t>that</w:t>
      </w:r>
      <w:r>
        <w:rPr>
          <w:spacing w:val="-4"/>
        </w:rPr>
        <w:t> </w:t>
      </w:r>
      <w:r>
        <w:rPr/>
        <w:t>conspecific</w:t>
      </w:r>
      <w:r>
        <w:rPr>
          <w:spacing w:val="-3"/>
        </w:rPr>
        <w:t> </w:t>
      </w:r>
      <w:r>
        <w:rPr/>
        <w:t>urine attracted Coyotes, highlighting species-specific responses. In Australia, Robley et al. (2015) examined synthetic chemicals mimicking dominant male Dingo urine, finding some ability to manipulate captive Dingo behaviour. Other factors, such as sex, social status, and weather, also influenced outcomes.</w:t>
      </w:r>
    </w:p>
    <w:p>
      <w:pPr>
        <w:pStyle w:val="BodyText"/>
        <w:spacing w:before="120"/>
        <w:ind w:left="112"/>
      </w:pPr>
      <w:r>
        <w:rPr/>
        <w:t>The limited and temporary effectiveness of repellents aligns with other reviews (Bangs et al. 2006; Breitenmoser et al. 2005), suggesting they are best applied during high-risk periods, such as calving or lambing</w:t>
      </w:r>
      <w:r>
        <w:rPr>
          <w:spacing w:val="-5"/>
        </w:rPr>
        <w:t> </w:t>
      </w:r>
      <w:r>
        <w:rPr/>
        <w:t>seasons</w:t>
      </w:r>
      <w:r>
        <w:rPr>
          <w:spacing w:val="-1"/>
        </w:rPr>
        <w:t> </w:t>
      </w:r>
      <w:r>
        <w:rPr/>
        <w:t>(Schultz</w:t>
      </w:r>
      <w:r>
        <w:rPr>
          <w:spacing w:val="-3"/>
        </w:rPr>
        <w:t> </w:t>
      </w:r>
      <w:r>
        <w:rPr/>
        <w:t>et</w:t>
      </w:r>
      <w:r>
        <w:rPr>
          <w:spacing w:val="-4"/>
        </w:rPr>
        <w:t> </w:t>
      </w:r>
      <w:r>
        <w:rPr/>
        <w:t>al.</w:t>
      </w:r>
      <w:r>
        <w:rPr>
          <w:spacing w:val="-2"/>
        </w:rPr>
        <w:t> </w:t>
      </w:r>
      <w:r>
        <w:rPr/>
        <w:t>2005).</w:t>
      </w:r>
      <w:r>
        <w:rPr>
          <w:spacing w:val="-4"/>
        </w:rPr>
        <w:t> </w:t>
      </w:r>
      <w:r>
        <w:rPr/>
        <w:t>For</w:t>
      </w:r>
      <w:r>
        <w:rPr>
          <w:spacing w:val="-3"/>
        </w:rPr>
        <w:t> </w:t>
      </w:r>
      <w:r>
        <w:rPr/>
        <w:t>species</w:t>
      </w:r>
      <w:r>
        <w:rPr>
          <w:spacing w:val="-3"/>
        </w:rPr>
        <w:t> </w:t>
      </w:r>
      <w:r>
        <w:rPr/>
        <w:t>with</w:t>
      </w:r>
      <w:r>
        <w:rPr>
          <w:spacing w:val="-2"/>
        </w:rPr>
        <w:t> </w:t>
      </w:r>
      <w:r>
        <w:rPr/>
        <w:t>large</w:t>
      </w:r>
      <w:r>
        <w:rPr>
          <w:spacing w:val="-2"/>
        </w:rPr>
        <w:t> </w:t>
      </w:r>
      <w:r>
        <w:rPr/>
        <w:t>or</w:t>
      </w:r>
      <w:r>
        <w:rPr>
          <w:spacing w:val="-4"/>
        </w:rPr>
        <w:t> </w:t>
      </w:r>
      <w:r>
        <w:rPr/>
        <w:t>seasonally</w:t>
      </w:r>
      <w:r>
        <w:rPr>
          <w:spacing w:val="-3"/>
        </w:rPr>
        <w:t> </w:t>
      </w:r>
      <w:r>
        <w:rPr/>
        <w:t>structured</w:t>
      </w:r>
      <w:r>
        <w:rPr>
          <w:spacing w:val="-5"/>
        </w:rPr>
        <w:t> </w:t>
      </w:r>
      <w:r>
        <w:rPr/>
        <w:t>territories,</w:t>
      </w:r>
      <w:r>
        <w:rPr>
          <w:spacing w:val="-4"/>
        </w:rPr>
        <w:t> </w:t>
      </w:r>
      <w:r>
        <w:rPr/>
        <w:t>strategies inducing avoidance of smaller areas or peripheral zones may be more realistic than attempting to exclude animals from entire territories (Hansen 2024).</w:t>
      </w:r>
    </w:p>
    <w:p>
      <w:pPr>
        <w:spacing w:after="0"/>
        <w:sectPr>
          <w:pgSz w:w="11910" w:h="16850"/>
          <w:pgMar w:header="0" w:footer="688" w:top="1060" w:bottom="880" w:left="1020" w:right="1020"/>
        </w:sectPr>
      </w:pPr>
    </w:p>
    <w:p>
      <w:pPr>
        <w:pStyle w:val="Heading7"/>
        <w:spacing w:line="242" w:lineRule="auto"/>
        <w:ind w:right="76"/>
      </w:pPr>
      <w:bookmarkStart w:name="_bookmark18" w:id="92"/>
      <w:bookmarkEnd w:id="92"/>
      <w:r>
        <w:rPr>
          <w:b w:val="0"/>
        </w:rPr>
      </w:r>
      <w:r>
        <w:rPr>
          <w:color w:val="1F1546"/>
        </w:rPr>
        <w:t>Table</w:t>
      </w:r>
      <w:r>
        <w:rPr>
          <w:color w:val="1F1546"/>
          <w:spacing w:val="-2"/>
        </w:rPr>
        <w:t> </w:t>
      </w:r>
      <w:r>
        <w:rPr>
          <w:color w:val="1F1546"/>
        </w:rPr>
        <w:t>11.</w:t>
      </w:r>
      <w:r>
        <w:rPr>
          <w:color w:val="1F1546"/>
          <w:spacing w:val="-3"/>
        </w:rPr>
        <w:t> </w:t>
      </w:r>
      <w:r>
        <w:rPr>
          <w:color w:val="1F1546"/>
        </w:rPr>
        <w:t>Summary</w:t>
      </w:r>
      <w:r>
        <w:rPr>
          <w:color w:val="1F1546"/>
          <w:spacing w:val="-3"/>
        </w:rPr>
        <w:t> </w:t>
      </w:r>
      <w:r>
        <w:rPr>
          <w:color w:val="1F1546"/>
        </w:rPr>
        <w:t>of</w:t>
      </w:r>
      <w:r>
        <w:rPr>
          <w:color w:val="1F1546"/>
          <w:spacing w:val="-2"/>
        </w:rPr>
        <w:t> </w:t>
      </w:r>
      <w:r>
        <w:rPr>
          <w:color w:val="1F1546"/>
        </w:rPr>
        <w:t>cost-effectiveness,</w:t>
      </w:r>
      <w:r>
        <w:rPr>
          <w:color w:val="1F1546"/>
          <w:spacing w:val="-3"/>
        </w:rPr>
        <w:t> </w:t>
      </w:r>
      <w:r>
        <w:rPr>
          <w:color w:val="1F1546"/>
        </w:rPr>
        <w:t>target</w:t>
      </w:r>
      <w:r>
        <w:rPr>
          <w:color w:val="1F1546"/>
          <w:spacing w:val="-3"/>
        </w:rPr>
        <w:t> </w:t>
      </w:r>
      <w:r>
        <w:rPr>
          <w:color w:val="1F1546"/>
        </w:rPr>
        <w:t>specificity</w:t>
      </w:r>
      <w:r>
        <w:rPr>
          <w:color w:val="1F1546"/>
          <w:spacing w:val="-1"/>
        </w:rPr>
        <w:t> </w:t>
      </w:r>
      <w:r>
        <w:rPr>
          <w:color w:val="1F1546"/>
        </w:rPr>
        <w:t>advantages</w:t>
      </w:r>
      <w:r>
        <w:rPr>
          <w:color w:val="1F1546"/>
          <w:spacing w:val="-2"/>
        </w:rPr>
        <w:t> </w:t>
      </w:r>
      <w:r>
        <w:rPr>
          <w:color w:val="1F1546"/>
        </w:rPr>
        <w:t>and</w:t>
      </w:r>
      <w:r>
        <w:rPr>
          <w:color w:val="1F1546"/>
          <w:spacing w:val="-2"/>
        </w:rPr>
        <w:t> </w:t>
      </w:r>
      <w:r>
        <w:rPr>
          <w:color w:val="1F1546"/>
        </w:rPr>
        <w:t>disadvantages</w:t>
      </w:r>
      <w:r>
        <w:rPr>
          <w:color w:val="1F1546"/>
          <w:spacing w:val="-3"/>
        </w:rPr>
        <w:t> </w:t>
      </w:r>
      <w:r>
        <w:rPr>
          <w:color w:val="1F1546"/>
        </w:rPr>
        <w:t>of 1080</w:t>
      </w:r>
      <w:r>
        <w:rPr>
          <w:color w:val="1F1546"/>
          <w:spacing w:val="-3"/>
        </w:rPr>
        <w:t> </w:t>
      </w:r>
      <w:r>
        <w:rPr>
          <w:color w:val="1F1546"/>
        </w:rPr>
        <w:t>and</w:t>
      </w:r>
      <w:r>
        <w:rPr>
          <w:color w:val="1F1546"/>
          <w:spacing w:val="-2"/>
        </w:rPr>
        <w:t> </w:t>
      </w:r>
      <w:r>
        <w:rPr>
          <w:color w:val="1F1546"/>
        </w:rPr>
        <w:t>non-lethal</w:t>
      </w:r>
      <w:r>
        <w:rPr>
          <w:color w:val="1F1546"/>
          <w:spacing w:val="-3"/>
        </w:rPr>
        <w:t> </w:t>
      </w:r>
      <w:r>
        <w:rPr>
          <w:color w:val="1F1546"/>
        </w:rPr>
        <w:t>control</w:t>
      </w:r>
      <w:r>
        <w:rPr>
          <w:color w:val="1F1546"/>
          <w:spacing w:val="-3"/>
        </w:rPr>
        <w:t> </w:t>
      </w:r>
      <w:r>
        <w:rPr>
          <w:color w:val="1F1546"/>
        </w:rPr>
        <w:t>methods</w:t>
      </w:r>
      <w:r>
        <w:rPr>
          <w:color w:val="1F1546"/>
          <w:spacing w:val="-3"/>
        </w:rPr>
        <w:t> </w:t>
      </w:r>
      <w:r>
        <w:rPr>
          <w:color w:val="1F1546"/>
        </w:rPr>
        <w:t>used</w:t>
      </w:r>
      <w:r>
        <w:rPr>
          <w:color w:val="1F1546"/>
          <w:spacing w:val="-3"/>
        </w:rPr>
        <w:t> </w:t>
      </w:r>
      <w:r>
        <w:rPr>
          <w:color w:val="1F1546"/>
        </w:rPr>
        <w:t>in Victoria</w:t>
      </w:r>
      <w:r>
        <w:rPr>
          <w:color w:val="1F1546"/>
          <w:spacing w:val="-1"/>
        </w:rPr>
        <w:t> </w:t>
      </w:r>
      <w:r>
        <w:rPr>
          <w:color w:val="1F1546"/>
        </w:rPr>
        <w:t>for each of the four pest species. Adapted from the State and National Codes of Practices and updated using outcomes from this literature review.</w:t>
      </w:r>
    </w:p>
    <w:p>
      <w:pPr>
        <w:pStyle w:val="BodyText"/>
        <w:spacing w:before="8" w:after="1"/>
        <w:rPr>
          <w:b/>
          <w:sz w:val="9"/>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1"/>
        <w:gridCol w:w="1668"/>
        <w:gridCol w:w="2825"/>
        <w:gridCol w:w="2828"/>
        <w:gridCol w:w="2828"/>
        <w:gridCol w:w="2828"/>
      </w:tblGrid>
      <w:tr>
        <w:trPr>
          <w:trHeight w:val="580" w:hRule="atLeast"/>
        </w:trPr>
        <w:tc>
          <w:tcPr>
            <w:tcW w:w="1311" w:type="dxa"/>
            <w:shd w:val="clear" w:color="auto" w:fill="004B96"/>
          </w:tcPr>
          <w:p>
            <w:pPr>
              <w:pStyle w:val="TableParagraph"/>
              <w:spacing w:before="59"/>
              <w:ind w:left="107"/>
              <w:rPr>
                <w:b/>
                <w:sz w:val="20"/>
              </w:rPr>
            </w:pPr>
            <w:r>
              <w:rPr>
                <w:b/>
                <w:color w:val="FFFFFF"/>
                <w:spacing w:val="-2"/>
                <w:sz w:val="20"/>
              </w:rPr>
              <w:t>Species</w:t>
            </w:r>
          </w:p>
        </w:tc>
        <w:tc>
          <w:tcPr>
            <w:tcW w:w="1668" w:type="dxa"/>
            <w:shd w:val="clear" w:color="auto" w:fill="004B96"/>
          </w:tcPr>
          <w:p>
            <w:pPr>
              <w:pStyle w:val="TableParagraph"/>
              <w:spacing w:before="59"/>
              <w:ind w:left="107" w:right="614"/>
              <w:rPr>
                <w:b/>
                <w:sz w:val="20"/>
              </w:rPr>
            </w:pPr>
            <w:r>
              <w:rPr>
                <w:b/>
                <w:color w:val="FFFFFF"/>
                <w:spacing w:val="-2"/>
                <w:sz w:val="20"/>
              </w:rPr>
              <w:t>Control technique</w:t>
            </w:r>
          </w:p>
        </w:tc>
        <w:tc>
          <w:tcPr>
            <w:tcW w:w="2825" w:type="dxa"/>
            <w:shd w:val="clear" w:color="auto" w:fill="004B96"/>
          </w:tcPr>
          <w:p>
            <w:pPr>
              <w:pStyle w:val="TableParagraph"/>
              <w:spacing w:before="59"/>
              <w:ind w:left="107"/>
              <w:rPr>
                <w:b/>
                <w:sz w:val="20"/>
              </w:rPr>
            </w:pPr>
            <w:r>
              <w:rPr>
                <w:b/>
                <w:color w:val="FFFFFF"/>
                <w:spacing w:val="-2"/>
                <w:sz w:val="20"/>
              </w:rPr>
              <w:t>Cost-effectiveness</w:t>
            </w:r>
          </w:p>
        </w:tc>
        <w:tc>
          <w:tcPr>
            <w:tcW w:w="2828" w:type="dxa"/>
            <w:shd w:val="clear" w:color="auto" w:fill="004B96"/>
          </w:tcPr>
          <w:p>
            <w:pPr>
              <w:pStyle w:val="TableParagraph"/>
              <w:spacing w:before="59"/>
              <w:ind w:left="108"/>
              <w:rPr>
                <w:b/>
                <w:sz w:val="20"/>
              </w:rPr>
            </w:pPr>
            <w:r>
              <w:rPr>
                <w:b/>
                <w:color w:val="FFFFFF"/>
                <w:sz w:val="20"/>
              </w:rPr>
              <w:t>Target</w:t>
            </w:r>
            <w:r>
              <w:rPr>
                <w:b/>
                <w:color w:val="FFFFFF"/>
                <w:spacing w:val="-10"/>
                <w:sz w:val="20"/>
              </w:rPr>
              <w:t> </w:t>
            </w:r>
            <w:r>
              <w:rPr>
                <w:b/>
                <w:color w:val="FFFFFF"/>
                <w:spacing w:val="-2"/>
                <w:sz w:val="20"/>
              </w:rPr>
              <w:t>specificity</w:t>
            </w:r>
          </w:p>
        </w:tc>
        <w:tc>
          <w:tcPr>
            <w:tcW w:w="2828" w:type="dxa"/>
            <w:shd w:val="clear" w:color="auto" w:fill="004B96"/>
          </w:tcPr>
          <w:p>
            <w:pPr>
              <w:pStyle w:val="TableParagraph"/>
              <w:spacing w:before="59"/>
              <w:ind w:left="107"/>
              <w:rPr>
                <w:b/>
                <w:sz w:val="20"/>
              </w:rPr>
            </w:pPr>
            <w:r>
              <w:rPr>
                <w:b/>
                <w:color w:val="FFFFFF"/>
                <w:spacing w:val="-2"/>
                <w:sz w:val="20"/>
              </w:rPr>
              <w:t>Advantages</w:t>
            </w:r>
          </w:p>
        </w:tc>
        <w:tc>
          <w:tcPr>
            <w:tcW w:w="2828" w:type="dxa"/>
            <w:shd w:val="clear" w:color="auto" w:fill="004B96"/>
          </w:tcPr>
          <w:p>
            <w:pPr>
              <w:pStyle w:val="TableParagraph"/>
              <w:spacing w:before="59"/>
              <w:ind w:left="107"/>
              <w:rPr>
                <w:b/>
                <w:sz w:val="20"/>
              </w:rPr>
            </w:pPr>
            <w:r>
              <w:rPr>
                <w:b/>
                <w:color w:val="FFFFFF"/>
                <w:spacing w:val="-2"/>
                <w:sz w:val="20"/>
              </w:rPr>
              <w:t>Disadvantages</w:t>
            </w:r>
          </w:p>
        </w:tc>
      </w:tr>
      <w:tr>
        <w:trPr>
          <w:trHeight w:val="1749" w:hRule="atLeast"/>
        </w:trPr>
        <w:tc>
          <w:tcPr>
            <w:tcW w:w="1311" w:type="dxa"/>
            <w:vMerge w:val="restart"/>
            <w:tcBorders>
              <w:bottom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39"/>
              <w:rPr>
                <w:b/>
                <w:sz w:val="20"/>
              </w:rPr>
            </w:pPr>
          </w:p>
          <w:p>
            <w:pPr>
              <w:pStyle w:val="TableParagraph"/>
              <w:spacing w:before="1"/>
              <w:ind w:left="107" w:right="332"/>
              <w:rPr>
                <w:sz w:val="20"/>
              </w:rPr>
            </w:pPr>
            <w:r>
              <w:rPr>
                <w:spacing w:val="-2"/>
                <w:sz w:val="20"/>
              </w:rPr>
              <w:t>European Rabbit</w:t>
            </w:r>
          </w:p>
        </w:tc>
        <w:tc>
          <w:tcPr>
            <w:tcW w:w="1668" w:type="dxa"/>
            <w:tcBorders>
              <w:bottom w:val="single" w:sz="4" w:space="0" w:color="808080"/>
            </w:tcBorders>
          </w:tcPr>
          <w:p>
            <w:pPr>
              <w:pStyle w:val="TableParagraph"/>
              <w:spacing w:before="78"/>
              <w:ind w:left="107" w:right="228"/>
              <w:jc w:val="both"/>
              <w:rPr>
                <w:sz w:val="20"/>
              </w:rPr>
            </w:pPr>
            <w:r>
              <w:rPr>
                <w:sz w:val="20"/>
              </w:rPr>
              <w:t>Ground</w:t>
            </w:r>
            <w:r>
              <w:rPr>
                <w:spacing w:val="-14"/>
                <w:sz w:val="20"/>
              </w:rPr>
              <w:t> </w:t>
            </w:r>
            <w:r>
              <w:rPr>
                <w:sz w:val="20"/>
              </w:rPr>
              <w:t>baiting with</w:t>
            </w:r>
            <w:r>
              <w:rPr>
                <w:spacing w:val="-14"/>
                <w:sz w:val="20"/>
              </w:rPr>
              <w:t> </w:t>
            </w:r>
            <w:r>
              <w:rPr>
                <w:sz w:val="20"/>
              </w:rPr>
              <w:t>1080</w:t>
            </w:r>
            <w:r>
              <w:rPr>
                <w:spacing w:val="-14"/>
                <w:sz w:val="20"/>
              </w:rPr>
              <w:t> </w:t>
            </w:r>
            <w:r>
              <w:rPr>
                <w:sz w:val="20"/>
              </w:rPr>
              <w:t>Oats or Carrots</w:t>
            </w:r>
          </w:p>
        </w:tc>
        <w:tc>
          <w:tcPr>
            <w:tcW w:w="2825" w:type="dxa"/>
            <w:tcBorders>
              <w:bottom w:val="single" w:sz="4" w:space="0" w:color="808080"/>
            </w:tcBorders>
            <w:shd w:val="clear" w:color="auto" w:fill="CCDBEA"/>
          </w:tcPr>
          <w:p>
            <w:pPr>
              <w:pStyle w:val="TableParagraph"/>
              <w:spacing w:before="78"/>
              <w:ind w:left="107"/>
              <w:rPr>
                <w:sz w:val="20"/>
              </w:rPr>
            </w:pPr>
            <w:r>
              <w:rPr>
                <w:spacing w:val="-2"/>
                <w:sz w:val="20"/>
              </w:rPr>
              <w:t>Cost-effective</w:t>
            </w:r>
          </w:p>
        </w:tc>
        <w:tc>
          <w:tcPr>
            <w:tcW w:w="2828" w:type="dxa"/>
            <w:tcBorders>
              <w:bottom w:val="single" w:sz="4" w:space="0" w:color="808080"/>
            </w:tcBorders>
          </w:tcPr>
          <w:p>
            <w:pPr>
              <w:pStyle w:val="TableParagraph"/>
              <w:spacing w:before="78"/>
              <w:ind w:left="108" w:right="441"/>
              <w:jc w:val="both"/>
              <w:rPr>
                <w:sz w:val="20"/>
              </w:rPr>
            </w:pPr>
            <w:r>
              <w:rPr>
                <w:sz w:val="20"/>
              </w:rPr>
              <w:t>Potential</w:t>
            </w:r>
            <w:r>
              <w:rPr>
                <w:spacing w:val="-14"/>
                <w:sz w:val="20"/>
              </w:rPr>
              <w:t> </w:t>
            </w:r>
            <w:r>
              <w:rPr>
                <w:sz w:val="20"/>
              </w:rPr>
              <w:t>risk</w:t>
            </w:r>
            <w:r>
              <w:rPr>
                <w:spacing w:val="-13"/>
                <w:sz w:val="20"/>
              </w:rPr>
              <w:t> </w:t>
            </w:r>
            <w:r>
              <w:rPr>
                <w:sz w:val="20"/>
              </w:rPr>
              <w:t>of</w:t>
            </w:r>
            <w:r>
              <w:rPr>
                <w:spacing w:val="-14"/>
                <w:sz w:val="20"/>
              </w:rPr>
              <w:t> </w:t>
            </w:r>
            <w:r>
              <w:rPr>
                <w:sz w:val="20"/>
              </w:rPr>
              <w:t>poisoning and secondary poisoning non-target animals</w:t>
            </w:r>
          </w:p>
        </w:tc>
        <w:tc>
          <w:tcPr>
            <w:tcW w:w="2828" w:type="dxa"/>
            <w:tcBorders>
              <w:bottom w:val="single" w:sz="4" w:space="0" w:color="808080"/>
            </w:tcBorders>
            <w:shd w:val="clear" w:color="auto" w:fill="CCDBEA"/>
          </w:tcPr>
          <w:p>
            <w:pPr>
              <w:pStyle w:val="TableParagraph"/>
              <w:spacing w:before="78"/>
              <w:ind w:left="107"/>
              <w:rPr>
                <w:sz w:val="20"/>
              </w:rPr>
            </w:pPr>
            <w:r>
              <w:rPr>
                <w:sz w:val="20"/>
              </w:rPr>
              <w:t>Effective</w:t>
            </w:r>
            <w:r>
              <w:rPr>
                <w:spacing w:val="-14"/>
                <w:sz w:val="20"/>
              </w:rPr>
              <w:t> </w:t>
            </w:r>
            <w:r>
              <w:rPr>
                <w:sz w:val="20"/>
              </w:rPr>
              <w:t>for</w:t>
            </w:r>
            <w:r>
              <w:rPr>
                <w:spacing w:val="-14"/>
                <w:sz w:val="20"/>
              </w:rPr>
              <w:t> </w:t>
            </w:r>
            <w:r>
              <w:rPr>
                <w:sz w:val="20"/>
              </w:rPr>
              <w:t>reducing</w:t>
            </w:r>
            <w:r>
              <w:rPr>
                <w:spacing w:val="-14"/>
                <w:sz w:val="20"/>
              </w:rPr>
              <w:t> </w:t>
            </w:r>
            <w:r>
              <w:rPr>
                <w:sz w:val="20"/>
              </w:rPr>
              <w:t>rabbit populations prior to warren </w:t>
            </w:r>
            <w:r>
              <w:rPr>
                <w:spacing w:val="-2"/>
                <w:sz w:val="20"/>
              </w:rPr>
              <w:t>destruction.</w:t>
            </w:r>
          </w:p>
        </w:tc>
        <w:tc>
          <w:tcPr>
            <w:tcW w:w="2828" w:type="dxa"/>
            <w:tcBorders>
              <w:bottom w:val="single" w:sz="4" w:space="0" w:color="808080"/>
            </w:tcBorders>
          </w:tcPr>
          <w:p>
            <w:pPr>
              <w:pStyle w:val="TableParagraph"/>
              <w:spacing w:before="78"/>
              <w:ind w:left="107" w:right="121"/>
              <w:rPr>
                <w:sz w:val="20"/>
              </w:rPr>
            </w:pPr>
            <w:r>
              <w:rPr>
                <w:sz w:val="20"/>
              </w:rPr>
              <w:t>1080 ingestion can also kill non-target animals including native species, cats, dogs and</w:t>
            </w:r>
            <w:r>
              <w:rPr>
                <w:spacing w:val="-8"/>
                <w:sz w:val="20"/>
              </w:rPr>
              <w:t> </w:t>
            </w:r>
            <w:r>
              <w:rPr>
                <w:sz w:val="20"/>
              </w:rPr>
              <w:t>livestock.</w:t>
            </w:r>
            <w:r>
              <w:rPr>
                <w:spacing w:val="-10"/>
                <w:sz w:val="20"/>
              </w:rPr>
              <w:t> </w:t>
            </w:r>
            <w:r>
              <w:rPr>
                <w:sz w:val="20"/>
              </w:rPr>
              <w:t>1080</w:t>
            </w:r>
            <w:r>
              <w:rPr>
                <w:spacing w:val="-8"/>
                <w:sz w:val="20"/>
              </w:rPr>
              <w:t> </w:t>
            </w:r>
            <w:r>
              <w:rPr>
                <w:sz w:val="20"/>
              </w:rPr>
              <w:t>is</w:t>
            </w:r>
            <w:r>
              <w:rPr>
                <w:spacing w:val="-9"/>
                <w:sz w:val="20"/>
              </w:rPr>
              <w:t> </w:t>
            </w:r>
            <w:r>
              <w:rPr>
                <w:sz w:val="20"/>
              </w:rPr>
              <w:t>toxic</w:t>
            </w:r>
            <w:r>
              <w:rPr>
                <w:spacing w:val="-9"/>
                <w:sz w:val="20"/>
              </w:rPr>
              <w:t> </w:t>
            </w:r>
            <w:r>
              <w:rPr>
                <w:sz w:val="20"/>
              </w:rPr>
              <w:t>to humans; operators need to take precautions to</w:t>
            </w:r>
            <w:r>
              <w:rPr>
                <w:spacing w:val="40"/>
                <w:sz w:val="20"/>
              </w:rPr>
              <w:t> </w:t>
            </w:r>
            <w:r>
              <w:rPr>
                <w:sz w:val="20"/>
              </w:rPr>
              <w:t>safeguard against exposure.</w:t>
            </w:r>
          </w:p>
        </w:tc>
      </w:tr>
      <w:tr>
        <w:trPr>
          <w:trHeight w:val="1060" w:hRule="atLeast"/>
        </w:trPr>
        <w:tc>
          <w:tcPr>
            <w:tcW w:w="1311" w:type="dxa"/>
            <w:vMerge/>
            <w:tcBorders>
              <w:top w:val="nil"/>
              <w:bottom w:val="single" w:sz="4" w:space="0" w:color="000000"/>
            </w:tcBorders>
          </w:tcPr>
          <w:p>
            <w:pPr>
              <w:rPr>
                <w:sz w:val="2"/>
                <w:szCs w:val="2"/>
              </w:rPr>
            </w:pPr>
          </w:p>
        </w:tc>
        <w:tc>
          <w:tcPr>
            <w:tcW w:w="1668" w:type="dxa"/>
            <w:tcBorders>
              <w:top w:val="single" w:sz="4" w:space="0" w:color="808080"/>
              <w:bottom w:val="single" w:sz="4" w:space="0" w:color="000000"/>
            </w:tcBorders>
          </w:tcPr>
          <w:p>
            <w:pPr>
              <w:pStyle w:val="TableParagraph"/>
              <w:spacing w:line="242" w:lineRule="auto" w:before="78"/>
              <w:ind w:left="107" w:right="703"/>
              <w:rPr>
                <w:sz w:val="20"/>
              </w:rPr>
            </w:pPr>
            <w:r>
              <w:rPr>
                <w:spacing w:val="-2"/>
                <w:sz w:val="20"/>
              </w:rPr>
              <w:t>Exclusion fencing</w:t>
            </w:r>
          </w:p>
        </w:tc>
        <w:tc>
          <w:tcPr>
            <w:tcW w:w="2825" w:type="dxa"/>
            <w:tcBorders>
              <w:top w:val="single" w:sz="4" w:space="0" w:color="808080"/>
              <w:bottom w:val="single" w:sz="4" w:space="0" w:color="000000"/>
            </w:tcBorders>
            <w:shd w:val="clear" w:color="auto" w:fill="CCDBEA"/>
          </w:tcPr>
          <w:p>
            <w:pPr>
              <w:pStyle w:val="TableParagraph"/>
              <w:spacing w:line="242" w:lineRule="auto" w:before="78"/>
              <w:ind w:left="107"/>
              <w:rPr>
                <w:sz w:val="20"/>
              </w:rPr>
            </w:pPr>
            <w:r>
              <w:rPr>
                <w:sz w:val="20"/>
              </w:rPr>
              <w:t>Expensive</w:t>
            </w:r>
            <w:r>
              <w:rPr>
                <w:spacing w:val="-14"/>
                <w:sz w:val="20"/>
              </w:rPr>
              <w:t> </w:t>
            </w:r>
            <w:r>
              <w:rPr>
                <w:sz w:val="20"/>
              </w:rPr>
              <w:t>–</w:t>
            </w:r>
            <w:r>
              <w:rPr>
                <w:spacing w:val="-14"/>
                <w:sz w:val="20"/>
              </w:rPr>
              <w:t> </w:t>
            </w:r>
            <w:r>
              <w:rPr>
                <w:sz w:val="20"/>
              </w:rPr>
              <w:t>variable </w:t>
            </w:r>
            <w:r>
              <w:rPr>
                <w:spacing w:val="-2"/>
                <w:sz w:val="20"/>
              </w:rPr>
              <w:t>effectiveness</w:t>
            </w:r>
          </w:p>
        </w:tc>
        <w:tc>
          <w:tcPr>
            <w:tcW w:w="2828" w:type="dxa"/>
            <w:tcBorders>
              <w:top w:val="single" w:sz="4" w:space="0" w:color="808080"/>
              <w:bottom w:val="single" w:sz="4" w:space="0" w:color="000000"/>
            </w:tcBorders>
          </w:tcPr>
          <w:p>
            <w:pPr>
              <w:pStyle w:val="TableParagraph"/>
              <w:spacing w:before="78"/>
              <w:ind w:left="108" w:right="252"/>
              <w:rPr>
                <w:sz w:val="20"/>
              </w:rPr>
            </w:pPr>
            <w:r>
              <w:rPr>
                <w:sz w:val="20"/>
              </w:rPr>
              <w:t>Can</w:t>
            </w:r>
            <w:r>
              <w:rPr>
                <w:spacing w:val="-11"/>
                <w:sz w:val="20"/>
              </w:rPr>
              <w:t> </w:t>
            </w:r>
            <w:r>
              <w:rPr>
                <w:sz w:val="20"/>
              </w:rPr>
              <w:t>be</w:t>
            </w:r>
            <w:r>
              <w:rPr>
                <w:spacing w:val="-10"/>
                <w:sz w:val="20"/>
              </w:rPr>
              <w:t> </w:t>
            </w:r>
            <w:r>
              <w:rPr>
                <w:sz w:val="20"/>
              </w:rPr>
              <w:t>in</w:t>
            </w:r>
            <w:r>
              <w:rPr>
                <w:spacing w:val="-10"/>
                <w:sz w:val="20"/>
              </w:rPr>
              <w:t> </w:t>
            </w:r>
            <w:r>
              <w:rPr>
                <w:sz w:val="20"/>
              </w:rPr>
              <w:t>certain</w:t>
            </w:r>
            <w:r>
              <w:rPr>
                <w:spacing w:val="-10"/>
                <w:sz w:val="20"/>
              </w:rPr>
              <w:t> </w:t>
            </w:r>
            <w:r>
              <w:rPr>
                <w:sz w:val="20"/>
              </w:rPr>
              <w:t>situations. Non-target species can be </w:t>
            </w:r>
            <w:r>
              <w:rPr>
                <w:spacing w:val="-2"/>
                <w:sz w:val="20"/>
              </w:rPr>
              <w:t>impacted</w:t>
            </w:r>
          </w:p>
        </w:tc>
        <w:tc>
          <w:tcPr>
            <w:tcW w:w="2828" w:type="dxa"/>
            <w:tcBorders>
              <w:top w:val="single" w:sz="4" w:space="0" w:color="808080"/>
              <w:bottom w:val="single" w:sz="4" w:space="0" w:color="000000"/>
            </w:tcBorders>
            <w:shd w:val="clear" w:color="auto" w:fill="CCDBEA"/>
          </w:tcPr>
          <w:p>
            <w:pPr>
              <w:pStyle w:val="TableParagraph"/>
              <w:spacing w:before="78"/>
              <w:ind w:left="107" w:right="414"/>
              <w:rPr>
                <w:sz w:val="20"/>
              </w:rPr>
            </w:pPr>
            <w:r>
              <w:rPr>
                <w:sz w:val="20"/>
              </w:rPr>
              <w:t>Effective for small, critical (economically or environmentally)</w:t>
            </w:r>
            <w:r>
              <w:rPr>
                <w:spacing w:val="-14"/>
                <w:sz w:val="20"/>
              </w:rPr>
              <w:t> </w:t>
            </w:r>
            <w:r>
              <w:rPr>
                <w:sz w:val="20"/>
              </w:rPr>
              <w:t>sensitive </w:t>
            </w:r>
            <w:r>
              <w:rPr>
                <w:spacing w:val="-2"/>
                <w:sz w:val="20"/>
              </w:rPr>
              <w:t>areas.</w:t>
            </w:r>
          </w:p>
        </w:tc>
        <w:tc>
          <w:tcPr>
            <w:tcW w:w="2828" w:type="dxa"/>
            <w:tcBorders>
              <w:top w:val="single" w:sz="4" w:space="0" w:color="808080"/>
              <w:bottom w:val="single" w:sz="4" w:space="0" w:color="000000"/>
            </w:tcBorders>
          </w:tcPr>
          <w:p>
            <w:pPr>
              <w:pStyle w:val="TableParagraph"/>
              <w:spacing w:line="242" w:lineRule="auto" w:before="78"/>
              <w:ind w:left="107" w:right="121"/>
              <w:rPr>
                <w:sz w:val="20"/>
              </w:rPr>
            </w:pPr>
            <w:r>
              <w:rPr>
                <w:sz w:val="20"/>
              </w:rPr>
              <w:t>Maintenance</w:t>
            </w:r>
            <w:r>
              <w:rPr>
                <w:spacing w:val="-14"/>
                <w:sz w:val="20"/>
              </w:rPr>
              <w:t> </w:t>
            </w:r>
            <w:r>
              <w:rPr>
                <w:sz w:val="20"/>
              </w:rPr>
              <w:t>costs</w:t>
            </w:r>
            <w:r>
              <w:rPr>
                <w:spacing w:val="-14"/>
                <w:sz w:val="20"/>
              </w:rPr>
              <w:t> </w:t>
            </w:r>
            <w:r>
              <w:rPr>
                <w:sz w:val="20"/>
              </w:rPr>
              <w:t>are</w:t>
            </w:r>
            <w:r>
              <w:rPr>
                <w:spacing w:val="-14"/>
                <w:sz w:val="20"/>
              </w:rPr>
              <w:t> </w:t>
            </w:r>
            <w:r>
              <w:rPr>
                <w:sz w:val="20"/>
              </w:rPr>
              <w:t>high and expensive to build.</w:t>
            </w:r>
          </w:p>
        </w:tc>
      </w:tr>
      <w:tr>
        <w:trPr>
          <w:trHeight w:val="1463" w:hRule="atLeast"/>
        </w:trPr>
        <w:tc>
          <w:tcPr>
            <w:tcW w:w="1311" w:type="dxa"/>
            <w:tcBorders>
              <w:top w:val="single" w:sz="4" w:space="0" w:color="000000"/>
            </w:tcBorders>
          </w:tcPr>
          <w:p>
            <w:pPr>
              <w:pStyle w:val="TableParagraph"/>
              <w:rPr>
                <w:rFonts w:ascii="Times New Roman"/>
                <w:sz w:val="18"/>
              </w:rPr>
            </w:pPr>
          </w:p>
        </w:tc>
        <w:tc>
          <w:tcPr>
            <w:tcW w:w="1668" w:type="dxa"/>
            <w:tcBorders>
              <w:top w:val="single" w:sz="4" w:space="0" w:color="000000"/>
            </w:tcBorders>
          </w:tcPr>
          <w:p>
            <w:pPr>
              <w:pStyle w:val="TableParagraph"/>
              <w:spacing w:before="78"/>
              <w:ind w:left="107" w:right="242"/>
              <w:rPr>
                <w:sz w:val="20"/>
              </w:rPr>
            </w:pPr>
            <w:r>
              <w:rPr>
                <w:sz w:val="20"/>
              </w:rPr>
              <w:t>Ground</w:t>
            </w:r>
            <w:r>
              <w:rPr>
                <w:spacing w:val="-14"/>
                <w:sz w:val="20"/>
              </w:rPr>
              <w:t> </w:t>
            </w:r>
            <w:r>
              <w:rPr>
                <w:sz w:val="20"/>
              </w:rPr>
              <w:t>baiting with 1080</w:t>
            </w:r>
          </w:p>
        </w:tc>
        <w:tc>
          <w:tcPr>
            <w:tcW w:w="2825" w:type="dxa"/>
            <w:vMerge w:val="restart"/>
            <w:tcBorders>
              <w:top w:val="single" w:sz="4" w:space="0" w:color="000000"/>
              <w:bottom w:val="single" w:sz="4" w:space="0" w:color="808080"/>
            </w:tcBorders>
            <w:shd w:val="clear" w:color="auto" w:fill="CCDBEA"/>
          </w:tcPr>
          <w:p>
            <w:pPr>
              <w:pStyle w:val="TableParagraph"/>
              <w:spacing w:before="78"/>
              <w:ind w:left="107"/>
              <w:rPr>
                <w:sz w:val="20"/>
              </w:rPr>
            </w:pPr>
            <w:r>
              <w:rPr>
                <w:spacing w:val="-2"/>
                <w:sz w:val="20"/>
              </w:rPr>
              <w:t>Cost-effective</w:t>
            </w:r>
          </w:p>
        </w:tc>
        <w:tc>
          <w:tcPr>
            <w:tcW w:w="2828" w:type="dxa"/>
            <w:vMerge w:val="restart"/>
            <w:tcBorders>
              <w:top w:val="single" w:sz="4" w:space="0" w:color="000000"/>
              <w:bottom w:val="single" w:sz="4" w:space="0" w:color="808080"/>
            </w:tcBorders>
          </w:tcPr>
          <w:p>
            <w:pPr>
              <w:pStyle w:val="TableParagraph"/>
              <w:spacing w:before="78"/>
              <w:ind w:left="108" w:right="152"/>
              <w:rPr>
                <w:sz w:val="20"/>
              </w:rPr>
            </w:pPr>
            <w:r>
              <w:rPr>
                <w:sz w:val="20"/>
              </w:rPr>
              <w:t>Relatively large amounts of 1080</w:t>
            </w:r>
            <w:r>
              <w:rPr>
                <w:spacing w:val="-7"/>
                <w:sz w:val="20"/>
              </w:rPr>
              <w:t> </w:t>
            </w:r>
            <w:r>
              <w:rPr>
                <w:sz w:val="20"/>
              </w:rPr>
              <w:t>are</w:t>
            </w:r>
            <w:r>
              <w:rPr>
                <w:spacing w:val="-9"/>
                <w:sz w:val="20"/>
              </w:rPr>
              <w:t> </w:t>
            </w:r>
            <w:r>
              <w:rPr>
                <w:sz w:val="20"/>
              </w:rPr>
              <w:t>required</w:t>
            </w:r>
            <w:r>
              <w:rPr>
                <w:spacing w:val="-9"/>
                <w:sz w:val="20"/>
              </w:rPr>
              <w:t> </w:t>
            </w:r>
            <w:r>
              <w:rPr>
                <w:sz w:val="20"/>
              </w:rPr>
              <w:t>to</w:t>
            </w:r>
            <w:r>
              <w:rPr>
                <w:spacing w:val="-9"/>
                <w:sz w:val="20"/>
              </w:rPr>
              <w:t> </w:t>
            </w:r>
            <w:r>
              <w:rPr>
                <w:sz w:val="20"/>
              </w:rPr>
              <w:t>kill</w:t>
            </w:r>
            <w:r>
              <w:rPr>
                <w:spacing w:val="-9"/>
                <w:sz w:val="20"/>
              </w:rPr>
              <w:t> </w:t>
            </w:r>
            <w:r>
              <w:rPr>
                <w:sz w:val="20"/>
              </w:rPr>
              <w:t>pigs; therefore, there is a risk of poisoning non-target animals. Strategic ground baiting</w:t>
            </w:r>
            <w:r>
              <w:rPr>
                <w:spacing w:val="-3"/>
                <w:sz w:val="20"/>
              </w:rPr>
              <w:t> </w:t>
            </w:r>
            <w:r>
              <w:rPr>
                <w:sz w:val="20"/>
              </w:rPr>
              <w:t>uses</w:t>
            </w:r>
            <w:r>
              <w:rPr>
                <w:spacing w:val="-2"/>
                <w:sz w:val="20"/>
              </w:rPr>
              <w:t> </w:t>
            </w:r>
            <w:r>
              <w:rPr>
                <w:sz w:val="20"/>
              </w:rPr>
              <w:t>fewer</w:t>
            </w:r>
            <w:r>
              <w:rPr>
                <w:spacing w:val="-2"/>
                <w:sz w:val="20"/>
              </w:rPr>
              <w:t> </w:t>
            </w:r>
            <w:r>
              <w:rPr>
                <w:sz w:val="20"/>
              </w:rPr>
              <w:t>baits</w:t>
            </w:r>
            <w:r>
              <w:rPr>
                <w:spacing w:val="-2"/>
                <w:sz w:val="20"/>
              </w:rPr>
              <w:t> </w:t>
            </w:r>
            <w:r>
              <w:rPr>
                <w:sz w:val="20"/>
              </w:rPr>
              <w:t>than aerial baiting programmes.</w:t>
            </w:r>
          </w:p>
          <w:p>
            <w:pPr>
              <w:pStyle w:val="TableParagraph"/>
              <w:spacing w:before="1"/>
              <w:ind w:left="108" w:right="121"/>
              <w:rPr>
                <w:sz w:val="20"/>
              </w:rPr>
            </w:pPr>
            <w:r>
              <w:rPr>
                <w:sz w:val="20"/>
              </w:rPr>
              <w:t>Uneaten baits can be collected</w:t>
            </w:r>
            <w:r>
              <w:rPr>
                <w:spacing w:val="-14"/>
                <w:sz w:val="20"/>
              </w:rPr>
              <w:t> </w:t>
            </w:r>
            <w:r>
              <w:rPr>
                <w:sz w:val="20"/>
              </w:rPr>
              <w:t>and</w:t>
            </w:r>
            <w:r>
              <w:rPr>
                <w:spacing w:val="-14"/>
                <w:sz w:val="20"/>
              </w:rPr>
              <w:t> </w:t>
            </w:r>
            <w:r>
              <w:rPr>
                <w:sz w:val="20"/>
              </w:rPr>
              <w:t>destroyed.</w:t>
            </w:r>
          </w:p>
          <w:p>
            <w:pPr>
              <w:pStyle w:val="TableParagraph"/>
              <w:spacing w:before="80"/>
              <w:ind w:left="108" w:right="207"/>
              <w:rPr>
                <w:sz w:val="20"/>
              </w:rPr>
            </w:pPr>
            <w:r>
              <w:rPr>
                <w:sz w:val="20"/>
              </w:rPr>
              <w:t>Potential risk to non-target species</w:t>
            </w:r>
            <w:r>
              <w:rPr>
                <w:spacing w:val="-14"/>
                <w:sz w:val="20"/>
              </w:rPr>
              <w:t> </w:t>
            </w:r>
            <w:r>
              <w:rPr>
                <w:sz w:val="20"/>
              </w:rPr>
              <w:t>if</w:t>
            </w:r>
            <w:r>
              <w:rPr>
                <w:spacing w:val="-13"/>
                <w:sz w:val="20"/>
              </w:rPr>
              <w:t> </w:t>
            </w:r>
            <w:r>
              <w:rPr>
                <w:sz w:val="20"/>
              </w:rPr>
              <w:t>stomach</w:t>
            </w:r>
            <w:r>
              <w:rPr>
                <w:spacing w:val="-14"/>
                <w:sz w:val="20"/>
              </w:rPr>
              <w:t> </w:t>
            </w:r>
            <w:r>
              <w:rPr>
                <w:sz w:val="20"/>
              </w:rPr>
              <w:t>contents, stomach, gastrointestinal tract, and/or any vomit is consumed • To minimise non-target impacts, remove livestock from paddocks, locking gates to paddocks, use a HogHopper™ and</w:t>
            </w:r>
          </w:p>
          <w:p>
            <w:pPr>
              <w:pStyle w:val="TableParagraph"/>
              <w:spacing w:line="237" w:lineRule="auto" w:before="4"/>
              <w:ind w:left="108"/>
              <w:rPr>
                <w:sz w:val="20"/>
              </w:rPr>
            </w:pPr>
            <w:r>
              <w:rPr>
                <w:sz w:val="20"/>
              </w:rPr>
              <w:t>exclusion</w:t>
            </w:r>
            <w:r>
              <w:rPr>
                <w:spacing w:val="-10"/>
                <w:sz w:val="20"/>
              </w:rPr>
              <w:t> </w:t>
            </w:r>
            <w:r>
              <w:rPr>
                <w:sz w:val="20"/>
              </w:rPr>
              <w:t>fencing</w:t>
            </w:r>
            <w:r>
              <w:rPr>
                <w:spacing w:val="-11"/>
                <w:sz w:val="20"/>
              </w:rPr>
              <w:t> </w:t>
            </w:r>
            <w:r>
              <w:rPr>
                <w:sz w:val="20"/>
              </w:rPr>
              <w:t>•</w:t>
            </w:r>
            <w:r>
              <w:rPr>
                <w:spacing w:val="-12"/>
                <w:sz w:val="20"/>
              </w:rPr>
              <w:t> </w:t>
            </w:r>
            <w:r>
              <w:rPr>
                <w:sz w:val="20"/>
              </w:rPr>
              <w:t>All</w:t>
            </w:r>
            <w:r>
              <w:rPr>
                <w:spacing w:val="-9"/>
                <w:sz w:val="20"/>
              </w:rPr>
              <w:t> </w:t>
            </w:r>
            <w:r>
              <w:rPr>
                <w:sz w:val="20"/>
              </w:rPr>
              <w:t>canids can die if they consume</w:t>
            </w:r>
          </w:p>
          <w:p>
            <w:pPr>
              <w:pStyle w:val="TableParagraph"/>
              <w:spacing w:line="211" w:lineRule="exact" w:before="1"/>
              <w:ind w:left="108"/>
              <w:rPr>
                <w:sz w:val="20"/>
              </w:rPr>
            </w:pPr>
            <w:r>
              <w:rPr>
                <w:sz w:val="20"/>
              </w:rPr>
              <w:t>vomit,</w:t>
            </w:r>
            <w:r>
              <w:rPr>
                <w:spacing w:val="-4"/>
                <w:sz w:val="20"/>
              </w:rPr>
              <w:t> </w:t>
            </w:r>
            <w:r>
              <w:rPr>
                <w:sz w:val="20"/>
              </w:rPr>
              <w:t>eat</w:t>
            </w:r>
            <w:r>
              <w:rPr>
                <w:spacing w:val="-4"/>
                <w:sz w:val="20"/>
              </w:rPr>
              <w:t> </w:t>
            </w:r>
            <w:r>
              <w:rPr>
                <w:sz w:val="20"/>
              </w:rPr>
              <w:t>a</w:t>
            </w:r>
            <w:r>
              <w:rPr>
                <w:spacing w:val="-6"/>
                <w:sz w:val="20"/>
              </w:rPr>
              <w:t> </w:t>
            </w:r>
            <w:r>
              <w:rPr>
                <w:sz w:val="20"/>
              </w:rPr>
              <w:t>meat</w:t>
            </w:r>
            <w:r>
              <w:rPr>
                <w:spacing w:val="-4"/>
                <w:sz w:val="20"/>
              </w:rPr>
              <w:t> </w:t>
            </w:r>
            <w:r>
              <w:rPr>
                <w:sz w:val="20"/>
              </w:rPr>
              <w:t>bait</w:t>
            </w:r>
            <w:r>
              <w:rPr>
                <w:spacing w:val="-5"/>
                <w:sz w:val="20"/>
              </w:rPr>
              <w:t> </w:t>
            </w:r>
            <w:r>
              <w:rPr>
                <w:spacing w:val="-2"/>
                <w:sz w:val="20"/>
              </w:rPr>
              <w:t>(where</w:t>
            </w:r>
          </w:p>
        </w:tc>
        <w:tc>
          <w:tcPr>
            <w:tcW w:w="2828" w:type="dxa"/>
            <w:vMerge w:val="restart"/>
            <w:tcBorders>
              <w:top w:val="single" w:sz="4" w:space="0" w:color="000000"/>
              <w:bottom w:val="single" w:sz="4" w:space="0" w:color="808080"/>
            </w:tcBorders>
            <w:shd w:val="clear" w:color="auto" w:fill="CCDBEA"/>
          </w:tcPr>
          <w:p>
            <w:pPr>
              <w:pStyle w:val="TableParagraph"/>
              <w:spacing w:before="78"/>
              <w:ind w:left="107" w:right="117"/>
              <w:rPr>
                <w:sz w:val="20"/>
              </w:rPr>
            </w:pPr>
            <w:r>
              <w:rPr>
                <w:sz w:val="20"/>
              </w:rPr>
              <w:t>Currently the most cost- effective</w:t>
            </w:r>
            <w:r>
              <w:rPr>
                <w:spacing w:val="-14"/>
                <w:sz w:val="20"/>
              </w:rPr>
              <w:t> </w:t>
            </w:r>
            <w:r>
              <w:rPr>
                <w:sz w:val="20"/>
              </w:rPr>
              <w:t>technique</w:t>
            </w:r>
            <w:r>
              <w:rPr>
                <w:spacing w:val="-14"/>
                <w:sz w:val="20"/>
              </w:rPr>
              <w:t> </w:t>
            </w:r>
            <w:r>
              <w:rPr>
                <w:sz w:val="20"/>
              </w:rPr>
              <w:t>available.</w:t>
            </w:r>
          </w:p>
          <w:p>
            <w:pPr>
              <w:pStyle w:val="TableParagraph"/>
              <w:spacing w:before="80"/>
              <w:ind w:left="107" w:right="354"/>
              <w:rPr>
                <w:sz w:val="20"/>
              </w:rPr>
            </w:pPr>
            <w:r>
              <w:rPr>
                <w:sz w:val="20"/>
              </w:rPr>
              <w:t>Highly</w:t>
            </w:r>
            <w:r>
              <w:rPr>
                <w:spacing w:val="-14"/>
                <w:sz w:val="20"/>
              </w:rPr>
              <w:t> </w:t>
            </w:r>
            <w:r>
              <w:rPr>
                <w:sz w:val="20"/>
              </w:rPr>
              <w:t>palatable</w:t>
            </w:r>
            <w:r>
              <w:rPr>
                <w:spacing w:val="-14"/>
                <w:sz w:val="20"/>
              </w:rPr>
              <w:t> </w:t>
            </w:r>
            <w:r>
              <w:rPr>
                <w:sz w:val="20"/>
              </w:rPr>
              <w:t>even</w:t>
            </w:r>
            <w:r>
              <w:rPr>
                <w:spacing w:val="-14"/>
                <w:sz w:val="20"/>
              </w:rPr>
              <w:t> </w:t>
            </w:r>
            <w:r>
              <w:rPr>
                <w:sz w:val="20"/>
              </w:rPr>
              <w:t>after prolonged storage and proven to effectively knockdown pigs Very little non-target interest • Stays attractive and palatable in hot and dry conditions</w:t>
            </w:r>
          </w:p>
        </w:tc>
        <w:tc>
          <w:tcPr>
            <w:tcW w:w="2828" w:type="dxa"/>
            <w:vMerge w:val="restart"/>
            <w:tcBorders>
              <w:top w:val="single" w:sz="4" w:space="0" w:color="000000"/>
              <w:bottom w:val="single" w:sz="4" w:space="0" w:color="808080"/>
            </w:tcBorders>
          </w:tcPr>
          <w:p>
            <w:pPr>
              <w:pStyle w:val="TableParagraph"/>
              <w:spacing w:before="78"/>
              <w:ind w:left="107" w:right="117"/>
              <w:rPr>
                <w:sz w:val="20"/>
              </w:rPr>
            </w:pPr>
            <w:r>
              <w:rPr>
                <w:sz w:val="20"/>
              </w:rPr>
              <w:t>1080</w:t>
            </w:r>
            <w:r>
              <w:rPr>
                <w:spacing w:val="-9"/>
                <w:sz w:val="20"/>
              </w:rPr>
              <w:t> </w:t>
            </w:r>
            <w:r>
              <w:rPr>
                <w:sz w:val="20"/>
              </w:rPr>
              <w:t>ingestion</w:t>
            </w:r>
            <w:r>
              <w:rPr>
                <w:spacing w:val="-12"/>
                <w:sz w:val="20"/>
              </w:rPr>
              <w:t> </w:t>
            </w:r>
            <w:r>
              <w:rPr>
                <w:sz w:val="20"/>
              </w:rPr>
              <w:t>can</w:t>
            </w:r>
            <w:r>
              <w:rPr>
                <w:spacing w:val="-11"/>
                <w:sz w:val="20"/>
              </w:rPr>
              <w:t> </w:t>
            </w:r>
            <w:r>
              <w:rPr>
                <w:sz w:val="20"/>
              </w:rPr>
              <w:t>kill</w:t>
            </w:r>
            <w:r>
              <w:rPr>
                <w:spacing w:val="-10"/>
                <w:sz w:val="20"/>
              </w:rPr>
              <w:t> </w:t>
            </w:r>
            <w:r>
              <w:rPr>
                <w:sz w:val="20"/>
              </w:rPr>
              <w:t>non- target animals including native species, cats, dogs and livestock.</w:t>
            </w:r>
          </w:p>
        </w:tc>
      </w:tr>
      <w:tr>
        <w:trPr>
          <w:trHeight w:val="3516" w:hRule="atLeast"/>
        </w:trPr>
        <w:tc>
          <w:tcPr>
            <w:tcW w:w="1311" w:type="dxa"/>
            <w:tcBorders>
              <w:bottom w:val="single" w:sz="4" w:space="0" w:color="000000"/>
            </w:tcBorders>
          </w:tcPr>
          <w:p>
            <w:pPr>
              <w:pStyle w:val="TableParagraph"/>
              <w:rPr>
                <w:b/>
                <w:sz w:val="20"/>
              </w:rPr>
            </w:pPr>
          </w:p>
          <w:p>
            <w:pPr>
              <w:pStyle w:val="TableParagraph"/>
              <w:rPr>
                <w:b/>
                <w:sz w:val="20"/>
              </w:rPr>
            </w:pPr>
          </w:p>
          <w:p>
            <w:pPr>
              <w:pStyle w:val="TableParagraph"/>
              <w:spacing w:before="227"/>
              <w:rPr>
                <w:b/>
                <w:sz w:val="20"/>
              </w:rPr>
            </w:pPr>
          </w:p>
          <w:p>
            <w:pPr>
              <w:pStyle w:val="TableParagraph"/>
              <w:ind w:left="107"/>
              <w:rPr>
                <w:sz w:val="20"/>
              </w:rPr>
            </w:pPr>
            <w:r>
              <w:rPr>
                <w:sz w:val="20"/>
              </w:rPr>
              <w:t>Feral</w:t>
            </w:r>
            <w:r>
              <w:rPr>
                <w:spacing w:val="-8"/>
                <w:sz w:val="20"/>
              </w:rPr>
              <w:t> </w:t>
            </w:r>
            <w:r>
              <w:rPr>
                <w:spacing w:val="-5"/>
                <w:sz w:val="20"/>
              </w:rPr>
              <w:t>Pig</w:t>
            </w:r>
          </w:p>
        </w:tc>
        <w:tc>
          <w:tcPr>
            <w:tcW w:w="1668" w:type="dxa"/>
            <w:tcBorders>
              <w:bottom w:val="single" w:sz="4" w:space="0" w:color="808080"/>
            </w:tcBorders>
          </w:tcPr>
          <w:p>
            <w:pPr>
              <w:pStyle w:val="TableParagraph"/>
              <w:rPr>
                <w:rFonts w:ascii="Times New Roman"/>
                <w:sz w:val="18"/>
              </w:rPr>
            </w:pPr>
          </w:p>
        </w:tc>
        <w:tc>
          <w:tcPr>
            <w:tcW w:w="2825" w:type="dxa"/>
            <w:vMerge/>
            <w:tcBorders>
              <w:top w:val="nil"/>
              <w:bottom w:val="single" w:sz="4" w:space="0" w:color="808080"/>
            </w:tcBorders>
            <w:shd w:val="clear" w:color="auto" w:fill="CCDBEA"/>
          </w:tcPr>
          <w:p>
            <w:pPr>
              <w:rPr>
                <w:sz w:val="2"/>
                <w:szCs w:val="2"/>
              </w:rPr>
            </w:pPr>
          </w:p>
        </w:tc>
        <w:tc>
          <w:tcPr>
            <w:tcW w:w="2828" w:type="dxa"/>
            <w:vMerge/>
            <w:tcBorders>
              <w:top w:val="nil"/>
              <w:bottom w:val="single" w:sz="4" w:space="0" w:color="808080"/>
            </w:tcBorders>
          </w:tcPr>
          <w:p>
            <w:pPr>
              <w:rPr>
                <w:sz w:val="2"/>
                <w:szCs w:val="2"/>
              </w:rPr>
            </w:pPr>
          </w:p>
        </w:tc>
        <w:tc>
          <w:tcPr>
            <w:tcW w:w="2828" w:type="dxa"/>
            <w:vMerge/>
            <w:tcBorders>
              <w:top w:val="nil"/>
              <w:bottom w:val="single" w:sz="4" w:space="0" w:color="808080"/>
            </w:tcBorders>
            <w:shd w:val="clear" w:color="auto" w:fill="CCDBEA"/>
          </w:tcPr>
          <w:p>
            <w:pPr>
              <w:rPr>
                <w:sz w:val="2"/>
                <w:szCs w:val="2"/>
              </w:rPr>
            </w:pPr>
          </w:p>
        </w:tc>
        <w:tc>
          <w:tcPr>
            <w:tcW w:w="2828" w:type="dxa"/>
            <w:vMerge/>
            <w:tcBorders>
              <w:top w:val="nil"/>
              <w:bottom w:val="single" w:sz="4" w:space="0" w:color="808080"/>
            </w:tcBorders>
          </w:tcPr>
          <w:p>
            <w:pPr>
              <w:rPr>
                <w:sz w:val="2"/>
                <w:szCs w:val="2"/>
              </w:rPr>
            </w:pPr>
          </w:p>
        </w:tc>
      </w:tr>
    </w:tbl>
    <w:p>
      <w:pPr>
        <w:pStyle w:val="BodyText"/>
        <w:spacing w:before="214"/>
        <w:rPr>
          <w:b/>
        </w:rPr>
      </w:pPr>
    </w:p>
    <w:p>
      <w:pPr>
        <w:tabs>
          <w:tab w:pos="14685" w:val="right" w:leader="none"/>
        </w:tabs>
        <w:spacing w:before="0"/>
        <w:ind w:left="10254"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72</w:t>
      </w:r>
    </w:p>
    <w:p>
      <w:pPr>
        <w:spacing w:after="0"/>
        <w:jc w:val="left"/>
        <w:rPr>
          <w:sz w:val="20"/>
        </w:rPr>
        <w:sectPr>
          <w:footerReference w:type="even" r:id="rId70"/>
          <w:pgSz w:w="16850" w:h="11910" w:orient="landscape"/>
          <w:pgMar w:header="0" w:footer="0" w:top="1140" w:bottom="280" w:left="1020" w:right="102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1"/>
        <w:gridCol w:w="1668"/>
        <w:gridCol w:w="2825"/>
        <w:gridCol w:w="2828"/>
        <w:gridCol w:w="2828"/>
        <w:gridCol w:w="2828"/>
      </w:tblGrid>
      <w:tr>
        <w:trPr>
          <w:trHeight w:val="581" w:hRule="atLeast"/>
        </w:trPr>
        <w:tc>
          <w:tcPr>
            <w:tcW w:w="1311" w:type="dxa"/>
            <w:tcBorders>
              <w:bottom w:val="single" w:sz="4" w:space="0" w:color="000000"/>
            </w:tcBorders>
            <w:shd w:val="clear" w:color="auto" w:fill="004B96"/>
          </w:tcPr>
          <w:p>
            <w:pPr>
              <w:pStyle w:val="TableParagraph"/>
              <w:spacing w:before="60"/>
              <w:ind w:left="107"/>
              <w:rPr>
                <w:b/>
                <w:sz w:val="20"/>
              </w:rPr>
            </w:pPr>
            <w:r>
              <w:rPr>
                <w:b/>
                <w:color w:val="FFFFFF"/>
                <w:spacing w:val="-2"/>
                <w:sz w:val="20"/>
              </w:rPr>
              <w:t>Species</w:t>
            </w:r>
          </w:p>
        </w:tc>
        <w:tc>
          <w:tcPr>
            <w:tcW w:w="1668" w:type="dxa"/>
            <w:tcBorders>
              <w:bottom w:val="single" w:sz="4" w:space="0" w:color="000000"/>
            </w:tcBorders>
            <w:shd w:val="clear" w:color="auto" w:fill="004B96"/>
          </w:tcPr>
          <w:p>
            <w:pPr>
              <w:pStyle w:val="TableParagraph"/>
              <w:spacing w:before="60"/>
              <w:ind w:left="107" w:right="614"/>
              <w:rPr>
                <w:b/>
                <w:sz w:val="20"/>
              </w:rPr>
            </w:pPr>
            <w:r>
              <w:rPr>
                <w:b/>
                <w:color w:val="FFFFFF"/>
                <w:spacing w:val="-2"/>
                <w:sz w:val="20"/>
              </w:rPr>
              <w:t>Control technique</w:t>
            </w:r>
          </w:p>
        </w:tc>
        <w:tc>
          <w:tcPr>
            <w:tcW w:w="2825" w:type="dxa"/>
            <w:tcBorders>
              <w:bottom w:val="single" w:sz="4" w:space="0" w:color="000000"/>
            </w:tcBorders>
            <w:shd w:val="clear" w:color="auto" w:fill="004B96"/>
          </w:tcPr>
          <w:p>
            <w:pPr>
              <w:pStyle w:val="TableParagraph"/>
              <w:spacing w:before="60"/>
              <w:ind w:left="107"/>
              <w:rPr>
                <w:b/>
                <w:sz w:val="20"/>
              </w:rPr>
            </w:pPr>
            <w:r>
              <w:rPr>
                <w:b/>
                <w:color w:val="FFFFFF"/>
                <w:spacing w:val="-2"/>
                <w:sz w:val="20"/>
              </w:rPr>
              <w:t>Cost-effectiveness</w:t>
            </w:r>
          </w:p>
        </w:tc>
        <w:tc>
          <w:tcPr>
            <w:tcW w:w="2828" w:type="dxa"/>
            <w:tcBorders>
              <w:bottom w:val="single" w:sz="4" w:space="0" w:color="000000"/>
            </w:tcBorders>
            <w:shd w:val="clear" w:color="auto" w:fill="004B96"/>
          </w:tcPr>
          <w:p>
            <w:pPr>
              <w:pStyle w:val="TableParagraph"/>
              <w:spacing w:before="60"/>
              <w:ind w:left="108"/>
              <w:rPr>
                <w:b/>
                <w:sz w:val="20"/>
              </w:rPr>
            </w:pPr>
            <w:r>
              <w:rPr>
                <w:b/>
                <w:color w:val="FFFFFF"/>
                <w:sz w:val="20"/>
              </w:rPr>
              <w:t>Target</w:t>
            </w:r>
            <w:r>
              <w:rPr>
                <w:b/>
                <w:color w:val="FFFFFF"/>
                <w:spacing w:val="-10"/>
                <w:sz w:val="20"/>
              </w:rPr>
              <w:t> </w:t>
            </w:r>
            <w:r>
              <w:rPr>
                <w:b/>
                <w:color w:val="FFFFFF"/>
                <w:spacing w:val="-2"/>
                <w:sz w:val="20"/>
              </w:rPr>
              <w:t>specificity</w:t>
            </w:r>
          </w:p>
        </w:tc>
        <w:tc>
          <w:tcPr>
            <w:tcW w:w="2828" w:type="dxa"/>
            <w:tcBorders>
              <w:bottom w:val="single" w:sz="4" w:space="0" w:color="000000"/>
            </w:tcBorders>
            <w:shd w:val="clear" w:color="auto" w:fill="004B96"/>
          </w:tcPr>
          <w:p>
            <w:pPr>
              <w:pStyle w:val="TableParagraph"/>
              <w:spacing w:before="60"/>
              <w:ind w:left="107"/>
              <w:rPr>
                <w:b/>
                <w:sz w:val="20"/>
              </w:rPr>
            </w:pPr>
            <w:r>
              <w:rPr>
                <w:b/>
                <w:color w:val="FFFFFF"/>
                <w:spacing w:val="-2"/>
                <w:sz w:val="20"/>
              </w:rPr>
              <w:t>Advantages</w:t>
            </w:r>
          </w:p>
        </w:tc>
        <w:tc>
          <w:tcPr>
            <w:tcW w:w="2828" w:type="dxa"/>
            <w:tcBorders>
              <w:bottom w:val="single" w:sz="4" w:space="0" w:color="000000"/>
            </w:tcBorders>
            <w:shd w:val="clear" w:color="auto" w:fill="004B96"/>
          </w:tcPr>
          <w:p>
            <w:pPr>
              <w:pStyle w:val="TableParagraph"/>
              <w:spacing w:before="60"/>
              <w:ind w:left="107"/>
              <w:rPr>
                <w:b/>
                <w:sz w:val="20"/>
              </w:rPr>
            </w:pPr>
            <w:r>
              <w:rPr>
                <w:b/>
                <w:color w:val="FFFFFF"/>
                <w:spacing w:val="-2"/>
                <w:sz w:val="20"/>
              </w:rPr>
              <w:t>Disadvantages</w:t>
            </w:r>
          </w:p>
        </w:tc>
      </w:tr>
      <w:tr>
        <w:trPr>
          <w:trHeight w:val="520" w:hRule="atLeast"/>
        </w:trPr>
        <w:tc>
          <w:tcPr>
            <w:tcW w:w="1311" w:type="dxa"/>
            <w:vMerge w:val="restart"/>
            <w:tcBorders>
              <w:top w:val="single" w:sz="4" w:space="0" w:color="000000"/>
              <w:bottom w:val="single" w:sz="4" w:space="0" w:color="000000"/>
            </w:tcBorders>
          </w:tcPr>
          <w:p>
            <w:pPr>
              <w:pStyle w:val="TableParagraph"/>
              <w:rPr>
                <w:rFonts w:ascii="Times New Roman"/>
                <w:sz w:val="18"/>
              </w:rPr>
            </w:pPr>
          </w:p>
        </w:tc>
        <w:tc>
          <w:tcPr>
            <w:tcW w:w="1668" w:type="dxa"/>
            <w:tcBorders>
              <w:top w:val="single" w:sz="4" w:space="0" w:color="000000"/>
              <w:bottom w:val="single" w:sz="4" w:space="0" w:color="808080"/>
            </w:tcBorders>
          </w:tcPr>
          <w:p>
            <w:pPr>
              <w:pStyle w:val="TableParagraph"/>
              <w:rPr>
                <w:rFonts w:ascii="Times New Roman"/>
                <w:sz w:val="18"/>
              </w:rPr>
            </w:pPr>
          </w:p>
        </w:tc>
        <w:tc>
          <w:tcPr>
            <w:tcW w:w="2825" w:type="dxa"/>
            <w:tcBorders>
              <w:top w:val="single" w:sz="4" w:space="0" w:color="000000"/>
              <w:bottom w:val="single" w:sz="4" w:space="0" w:color="808080"/>
            </w:tcBorders>
            <w:shd w:val="clear" w:color="auto" w:fill="CCDBEA"/>
          </w:tcPr>
          <w:p>
            <w:pPr>
              <w:pStyle w:val="TableParagraph"/>
              <w:rPr>
                <w:rFonts w:ascii="Times New Roman"/>
                <w:sz w:val="18"/>
              </w:rPr>
            </w:pPr>
          </w:p>
        </w:tc>
        <w:tc>
          <w:tcPr>
            <w:tcW w:w="2828" w:type="dxa"/>
            <w:tcBorders>
              <w:top w:val="single" w:sz="4" w:space="0" w:color="000000"/>
              <w:bottom w:val="single" w:sz="4" w:space="0" w:color="808080"/>
            </w:tcBorders>
          </w:tcPr>
          <w:p>
            <w:pPr>
              <w:pStyle w:val="TableParagraph"/>
              <w:ind w:left="108" w:right="152"/>
              <w:rPr>
                <w:sz w:val="20"/>
              </w:rPr>
            </w:pPr>
            <w:r>
              <w:rPr>
                <w:sz w:val="20"/>
              </w:rPr>
              <w:t>allowable</w:t>
            </w:r>
            <w:r>
              <w:rPr>
                <w:spacing w:val="-8"/>
                <w:sz w:val="20"/>
              </w:rPr>
              <w:t> </w:t>
            </w:r>
            <w:r>
              <w:rPr>
                <w:sz w:val="20"/>
              </w:rPr>
              <w:t>for</w:t>
            </w:r>
            <w:r>
              <w:rPr>
                <w:spacing w:val="-9"/>
                <w:sz w:val="20"/>
              </w:rPr>
              <w:t> </w:t>
            </w:r>
            <w:r>
              <w:rPr>
                <w:sz w:val="20"/>
              </w:rPr>
              <w:t>use)</w:t>
            </w:r>
            <w:r>
              <w:rPr>
                <w:spacing w:val="-7"/>
                <w:sz w:val="20"/>
              </w:rPr>
              <w:t> </w:t>
            </w:r>
            <w:r>
              <w:rPr>
                <w:sz w:val="20"/>
              </w:rPr>
              <w:t>or</w:t>
            </w:r>
            <w:r>
              <w:rPr>
                <w:spacing w:val="-9"/>
                <w:sz w:val="20"/>
              </w:rPr>
              <w:t> </w:t>
            </w:r>
            <w:r>
              <w:rPr>
                <w:sz w:val="20"/>
              </w:rPr>
              <w:t>feed</w:t>
            </w:r>
            <w:r>
              <w:rPr>
                <w:spacing w:val="-10"/>
                <w:sz w:val="20"/>
              </w:rPr>
              <w:t> </w:t>
            </w:r>
            <w:r>
              <w:rPr>
                <w:sz w:val="20"/>
              </w:rPr>
              <w:t>on a poisoned carcase.</w:t>
            </w:r>
          </w:p>
        </w:tc>
        <w:tc>
          <w:tcPr>
            <w:tcW w:w="2828" w:type="dxa"/>
            <w:tcBorders>
              <w:top w:val="single" w:sz="4" w:space="0" w:color="000000"/>
              <w:bottom w:val="single" w:sz="4" w:space="0" w:color="808080"/>
            </w:tcBorders>
            <w:shd w:val="clear" w:color="auto" w:fill="CCDBEA"/>
          </w:tcPr>
          <w:p>
            <w:pPr>
              <w:pStyle w:val="TableParagraph"/>
              <w:rPr>
                <w:rFonts w:ascii="Times New Roman"/>
                <w:sz w:val="18"/>
              </w:rPr>
            </w:pPr>
          </w:p>
        </w:tc>
        <w:tc>
          <w:tcPr>
            <w:tcW w:w="2828" w:type="dxa"/>
            <w:tcBorders>
              <w:top w:val="single" w:sz="4" w:space="0" w:color="000000"/>
              <w:bottom w:val="single" w:sz="4" w:space="0" w:color="808080"/>
            </w:tcBorders>
          </w:tcPr>
          <w:p>
            <w:pPr>
              <w:pStyle w:val="TableParagraph"/>
              <w:rPr>
                <w:rFonts w:ascii="Times New Roman"/>
                <w:sz w:val="18"/>
              </w:rPr>
            </w:pPr>
          </w:p>
        </w:tc>
      </w:tr>
      <w:tr>
        <w:trPr>
          <w:trHeight w:val="1060" w:hRule="atLeast"/>
        </w:trPr>
        <w:tc>
          <w:tcPr>
            <w:tcW w:w="1311" w:type="dxa"/>
            <w:vMerge/>
            <w:tcBorders>
              <w:top w:val="nil"/>
              <w:bottom w:val="single" w:sz="4" w:space="0" w:color="000000"/>
            </w:tcBorders>
          </w:tcPr>
          <w:p>
            <w:pPr>
              <w:rPr>
                <w:sz w:val="2"/>
                <w:szCs w:val="2"/>
              </w:rPr>
            </w:pPr>
          </w:p>
        </w:tc>
        <w:tc>
          <w:tcPr>
            <w:tcW w:w="1668" w:type="dxa"/>
            <w:tcBorders>
              <w:top w:val="single" w:sz="4" w:space="0" w:color="808080"/>
              <w:bottom w:val="single" w:sz="4" w:space="0" w:color="808080"/>
            </w:tcBorders>
          </w:tcPr>
          <w:p>
            <w:pPr>
              <w:pStyle w:val="TableParagraph"/>
              <w:spacing w:before="78"/>
              <w:ind w:left="107" w:right="703"/>
              <w:rPr>
                <w:sz w:val="20"/>
              </w:rPr>
            </w:pPr>
            <w:r>
              <w:rPr>
                <w:spacing w:val="-2"/>
                <w:sz w:val="20"/>
              </w:rPr>
              <w:t>Exclusion fencing</w:t>
            </w:r>
          </w:p>
        </w:tc>
        <w:tc>
          <w:tcPr>
            <w:tcW w:w="2825" w:type="dxa"/>
            <w:tcBorders>
              <w:top w:val="single" w:sz="4" w:space="0" w:color="808080"/>
              <w:bottom w:val="single" w:sz="4" w:space="0" w:color="808080"/>
            </w:tcBorders>
            <w:shd w:val="clear" w:color="auto" w:fill="CCDBEA"/>
          </w:tcPr>
          <w:p>
            <w:pPr>
              <w:pStyle w:val="TableParagraph"/>
              <w:spacing w:before="78"/>
              <w:ind w:left="107" w:right="1100"/>
              <w:rPr>
                <w:sz w:val="20"/>
              </w:rPr>
            </w:pPr>
            <w:r>
              <w:rPr>
                <w:sz w:val="20"/>
              </w:rPr>
              <w:t>Expensive,</w:t>
            </w:r>
            <w:r>
              <w:rPr>
                <w:spacing w:val="-14"/>
                <w:sz w:val="20"/>
              </w:rPr>
              <w:t> </w:t>
            </w:r>
            <w:r>
              <w:rPr>
                <w:sz w:val="20"/>
              </w:rPr>
              <w:t>limited </w:t>
            </w:r>
            <w:r>
              <w:rPr>
                <w:spacing w:val="-2"/>
                <w:sz w:val="20"/>
              </w:rPr>
              <w:t>effectiveness</w:t>
            </w:r>
          </w:p>
        </w:tc>
        <w:tc>
          <w:tcPr>
            <w:tcW w:w="2828" w:type="dxa"/>
            <w:tcBorders>
              <w:top w:val="single" w:sz="4" w:space="0" w:color="808080"/>
              <w:bottom w:val="single" w:sz="4" w:space="0" w:color="808080"/>
            </w:tcBorders>
          </w:tcPr>
          <w:p>
            <w:pPr>
              <w:pStyle w:val="TableParagraph"/>
              <w:spacing w:before="78"/>
              <w:ind w:left="108" w:right="252"/>
              <w:rPr>
                <w:sz w:val="20"/>
              </w:rPr>
            </w:pPr>
            <w:r>
              <w:rPr>
                <w:sz w:val="20"/>
              </w:rPr>
              <w:t>Can</w:t>
            </w:r>
            <w:r>
              <w:rPr>
                <w:spacing w:val="-11"/>
                <w:sz w:val="20"/>
              </w:rPr>
              <w:t> </w:t>
            </w:r>
            <w:r>
              <w:rPr>
                <w:sz w:val="20"/>
              </w:rPr>
              <w:t>be</w:t>
            </w:r>
            <w:r>
              <w:rPr>
                <w:spacing w:val="-10"/>
                <w:sz w:val="20"/>
              </w:rPr>
              <w:t> </w:t>
            </w:r>
            <w:r>
              <w:rPr>
                <w:sz w:val="20"/>
              </w:rPr>
              <w:t>in</w:t>
            </w:r>
            <w:r>
              <w:rPr>
                <w:spacing w:val="-10"/>
                <w:sz w:val="20"/>
              </w:rPr>
              <w:t> </w:t>
            </w:r>
            <w:r>
              <w:rPr>
                <w:sz w:val="20"/>
              </w:rPr>
              <w:t>certain</w:t>
            </w:r>
            <w:r>
              <w:rPr>
                <w:spacing w:val="-10"/>
                <w:sz w:val="20"/>
              </w:rPr>
              <w:t> </w:t>
            </w:r>
            <w:r>
              <w:rPr>
                <w:sz w:val="20"/>
              </w:rPr>
              <w:t>situations. Non-target species can be </w:t>
            </w:r>
            <w:r>
              <w:rPr>
                <w:spacing w:val="-2"/>
                <w:sz w:val="20"/>
              </w:rPr>
              <w:t>impacted.</w:t>
            </w:r>
          </w:p>
        </w:tc>
        <w:tc>
          <w:tcPr>
            <w:tcW w:w="2828" w:type="dxa"/>
            <w:tcBorders>
              <w:top w:val="single" w:sz="4" w:space="0" w:color="808080"/>
              <w:bottom w:val="single" w:sz="4" w:space="0" w:color="808080"/>
            </w:tcBorders>
            <w:shd w:val="clear" w:color="auto" w:fill="CCDBEA"/>
          </w:tcPr>
          <w:p>
            <w:pPr>
              <w:pStyle w:val="TableParagraph"/>
              <w:spacing w:before="78"/>
              <w:ind w:left="107" w:right="692"/>
              <w:rPr>
                <w:sz w:val="20"/>
              </w:rPr>
            </w:pPr>
            <w:r>
              <w:rPr>
                <w:sz w:val="20"/>
              </w:rPr>
              <w:t>Effective for small, economically or environmentally</w:t>
            </w:r>
            <w:r>
              <w:rPr>
                <w:spacing w:val="-14"/>
                <w:sz w:val="20"/>
              </w:rPr>
              <w:t> </w:t>
            </w:r>
            <w:r>
              <w:rPr>
                <w:sz w:val="20"/>
              </w:rPr>
              <w:t>critical </w:t>
            </w:r>
            <w:r>
              <w:rPr>
                <w:spacing w:val="-2"/>
                <w:sz w:val="20"/>
              </w:rPr>
              <w:t>areas.</w:t>
            </w:r>
          </w:p>
        </w:tc>
        <w:tc>
          <w:tcPr>
            <w:tcW w:w="2828" w:type="dxa"/>
            <w:tcBorders>
              <w:top w:val="single" w:sz="4" w:space="0" w:color="808080"/>
              <w:bottom w:val="single" w:sz="4" w:space="0" w:color="808080"/>
            </w:tcBorders>
          </w:tcPr>
          <w:p>
            <w:pPr>
              <w:pStyle w:val="TableParagraph"/>
              <w:spacing w:before="78"/>
              <w:ind w:left="107"/>
              <w:rPr>
                <w:sz w:val="20"/>
              </w:rPr>
            </w:pPr>
            <w:r>
              <w:rPr>
                <w:sz w:val="20"/>
              </w:rPr>
              <w:t>Maintenance</w:t>
            </w:r>
            <w:r>
              <w:rPr>
                <w:spacing w:val="-10"/>
                <w:sz w:val="20"/>
              </w:rPr>
              <w:t> </w:t>
            </w:r>
            <w:r>
              <w:rPr>
                <w:sz w:val="20"/>
              </w:rPr>
              <w:t>costs</w:t>
            </w:r>
            <w:r>
              <w:rPr>
                <w:spacing w:val="-8"/>
                <w:sz w:val="20"/>
              </w:rPr>
              <w:t> </w:t>
            </w:r>
            <w:r>
              <w:rPr>
                <w:sz w:val="20"/>
              </w:rPr>
              <w:t>are</w:t>
            </w:r>
            <w:r>
              <w:rPr>
                <w:spacing w:val="-8"/>
                <w:sz w:val="20"/>
              </w:rPr>
              <w:t> </w:t>
            </w:r>
            <w:r>
              <w:rPr>
                <w:spacing w:val="-4"/>
                <w:sz w:val="20"/>
              </w:rPr>
              <w:t>high.</w:t>
            </w:r>
          </w:p>
        </w:tc>
      </w:tr>
      <w:tr>
        <w:trPr>
          <w:trHeight w:val="1980" w:hRule="atLeast"/>
        </w:trPr>
        <w:tc>
          <w:tcPr>
            <w:tcW w:w="1311" w:type="dxa"/>
            <w:vMerge/>
            <w:tcBorders>
              <w:top w:val="nil"/>
              <w:bottom w:val="single" w:sz="4" w:space="0" w:color="000000"/>
            </w:tcBorders>
          </w:tcPr>
          <w:p>
            <w:pPr>
              <w:rPr>
                <w:sz w:val="2"/>
                <w:szCs w:val="2"/>
              </w:rPr>
            </w:pPr>
          </w:p>
        </w:tc>
        <w:tc>
          <w:tcPr>
            <w:tcW w:w="1668" w:type="dxa"/>
            <w:tcBorders>
              <w:top w:val="single" w:sz="4" w:space="0" w:color="808080"/>
              <w:bottom w:val="single" w:sz="4" w:space="0" w:color="808080"/>
            </w:tcBorders>
          </w:tcPr>
          <w:p>
            <w:pPr>
              <w:pStyle w:val="TableParagraph"/>
              <w:spacing w:before="78"/>
              <w:ind w:left="107" w:right="242"/>
              <w:rPr>
                <w:sz w:val="20"/>
              </w:rPr>
            </w:pPr>
            <w:r>
              <w:rPr>
                <w:spacing w:val="-2"/>
                <w:sz w:val="20"/>
              </w:rPr>
              <w:t>Diversionary feeding</w:t>
            </w:r>
          </w:p>
        </w:tc>
        <w:tc>
          <w:tcPr>
            <w:tcW w:w="2825" w:type="dxa"/>
            <w:tcBorders>
              <w:top w:val="single" w:sz="4" w:space="0" w:color="808080"/>
              <w:bottom w:val="single" w:sz="4" w:space="0" w:color="808080"/>
            </w:tcBorders>
            <w:shd w:val="clear" w:color="auto" w:fill="CCDBEA"/>
          </w:tcPr>
          <w:p>
            <w:pPr>
              <w:pStyle w:val="TableParagraph"/>
              <w:spacing w:before="78"/>
              <w:ind w:left="107"/>
              <w:rPr>
                <w:sz w:val="20"/>
              </w:rPr>
            </w:pPr>
            <w:r>
              <w:rPr>
                <w:sz w:val="20"/>
              </w:rPr>
              <w:t>Not</w:t>
            </w:r>
            <w:r>
              <w:rPr>
                <w:spacing w:val="-5"/>
                <w:sz w:val="20"/>
              </w:rPr>
              <w:t> </w:t>
            </w:r>
            <w:r>
              <w:rPr>
                <w:sz w:val="20"/>
              </w:rPr>
              <w:t>cost</w:t>
            </w:r>
            <w:r>
              <w:rPr>
                <w:spacing w:val="-4"/>
                <w:sz w:val="20"/>
              </w:rPr>
              <w:t> </w:t>
            </w:r>
            <w:r>
              <w:rPr>
                <w:spacing w:val="-2"/>
                <w:sz w:val="20"/>
              </w:rPr>
              <w:t>effective</w:t>
            </w:r>
          </w:p>
        </w:tc>
        <w:tc>
          <w:tcPr>
            <w:tcW w:w="2828" w:type="dxa"/>
            <w:tcBorders>
              <w:top w:val="single" w:sz="4" w:space="0" w:color="808080"/>
              <w:bottom w:val="single" w:sz="4" w:space="0" w:color="808080"/>
            </w:tcBorders>
          </w:tcPr>
          <w:p>
            <w:pPr>
              <w:pStyle w:val="TableParagraph"/>
              <w:spacing w:before="78"/>
              <w:ind w:left="108" w:right="252"/>
              <w:rPr>
                <w:sz w:val="20"/>
              </w:rPr>
            </w:pPr>
            <w:r>
              <w:rPr>
                <w:sz w:val="20"/>
              </w:rPr>
              <w:t>Target</w:t>
            </w:r>
            <w:r>
              <w:rPr>
                <w:spacing w:val="-14"/>
                <w:sz w:val="20"/>
              </w:rPr>
              <w:t> </w:t>
            </w:r>
            <w:r>
              <w:rPr>
                <w:sz w:val="20"/>
              </w:rPr>
              <w:t>specific.</w:t>
            </w:r>
            <w:r>
              <w:rPr>
                <w:spacing w:val="-13"/>
                <w:sz w:val="20"/>
              </w:rPr>
              <w:t> </w:t>
            </w:r>
            <w:r>
              <w:rPr>
                <w:sz w:val="20"/>
              </w:rPr>
              <w:t>No</w:t>
            </w:r>
            <w:r>
              <w:rPr>
                <w:spacing w:val="-14"/>
                <w:sz w:val="20"/>
              </w:rPr>
              <w:t> </w:t>
            </w:r>
            <w:r>
              <w:rPr>
                <w:sz w:val="20"/>
              </w:rPr>
              <w:t>non- target impacts.</w:t>
            </w:r>
          </w:p>
        </w:tc>
        <w:tc>
          <w:tcPr>
            <w:tcW w:w="2828" w:type="dxa"/>
            <w:tcBorders>
              <w:top w:val="single" w:sz="4" w:space="0" w:color="808080"/>
              <w:bottom w:val="single" w:sz="4" w:space="0" w:color="808080"/>
            </w:tcBorders>
            <w:shd w:val="clear" w:color="auto" w:fill="CCDBEA"/>
          </w:tcPr>
          <w:p>
            <w:pPr>
              <w:pStyle w:val="TableParagraph"/>
              <w:spacing w:before="78"/>
              <w:ind w:left="107" w:right="152"/>
              <w:rPr>
                <w:sz w:val="20"/>
              </w:rPr>
            </w:pPr>
            <w:r>
              <w:rPr>
                <w:sz w:val="20"/>
              </w:rPr>
              <w:t>Relatively cheap to implement,</w:t>
            </w:r>
            <w:r>
              <w:rPr>
                <w:spacing w:val="-10"/>
                <w:sz w:val="20"/>
              </w:rPr>
              <w:t> </w:t>
            </w:r>
            <w:r>
              <w:rPr>
                <w:sz w:val="20"/>
              </w:rPr>
              <w:t>may</w:t>
            </w:r>
            <w:r>
              <w:rPr>
                <w:spacing w:val="-10"/>
                <w:sz w:val="20"/>
              </w:rPr>
              <w:t> </w:t>
            </w:r>
            <w:r>
              <w:rPr>
                <w:sz w:val="20"/>
              </w:rPr>
              <w:t>be</w:t>
            </w:r>
            <w:r>
              <w:rPr>
                <w:spacing w:val="-10"/>
                <w:sz w:val="20"/>
              </w:rPr>
              <w:t> </w:t>
            </w:r>
            <w:r>
              <w:rPr>
                <w:sz w:val="20"/>
              </w:rPr>
              <w:t>useful</w:t>
            </w:r>
            <w:r>
              <w:rPr>
                <w:spacing w:val="-11"/>
                <w:sz w:val="20"/>
              </w:rPr>
              <w:t> </w:t>
            </w:r>
            <w:r>
              <w:rPr>
                <w:sz w:val="20"/>
              </w:rPr>
              <w:t>for small-scale enterprises for short periods.</w:t>
            </w:r>
          </w:p>
        </w:tc>
        <w:tc>
          <w:tcPr>
            <w:tcW w:w="2828" w:type="dxa"/>
            <w:tcBorders>
              <w:top w:val="single" w:sz="4" w:space="0" w:color="808080"/>
              <w:bottom w:val="single" w:sz="4" w:space="0" w:color="808080"/>
            </w:tcBorders>
          </w:tcPr>
          <w:p>
            <w:pPr>
              <w:pStyle w:val="TableParagraph"/>
              <w:spacing w:before="78"/>
              <w:ind w:left="107" w:right="121"/>
              <w:rPr>
                <w:sz w:val="20"/>
              </w:rPr>
            </w:pPr>
            <w:r>
              <w:rPr>
                <w:sz w:val="20"/>
              </w:rPr>
              <w:t>Not suitable for large-scale control. Only effective for short periods of time. May increase</w:t>
            </w:r>
            <w:r>
              <w:rPr>
                <w:spacing w:val="-14"/>
                <w:sz w:val="20"/>
              </w:rPr>
              <w:t> </w:t>
            </w:r>
            <w:r>
              <w:rPr>
                <w:sz w:val="20"/>
              </w:rPr>
              <w:t>reproductive</w:t>
            </w:r>
            <w:r>
              <w:rPr>
                <w:spacing w:val="-14"/>
                <w:sz w:val="20"/>
              </w:rPr>
              <w:t> </w:t>
            </w:r>
            <w:r>
              <w:rPr>
                <w:sz w:val="20"/>
              </w:rPr>
              <w:t>output, carrying capacity, and therefore, population size.</w:t>
            </w:r>
          </w:p>
          <w:p>
            <w:pPr>
              <w:pStyle w:val="TableParagraph"/>
              <w:spacing w:before="1"/>
              <w:ind w:left="107"/>
              <w:rPr>
                <w:sz w:val="20"/>
              </w:rPr>
            </w:pPr>
            <w:r>
              <w:rPr>
                <w:sz w:val="20"/>
              </w:rPr>
              <w:t>May</w:t>
            </w:r>
            <w:r>
              <w:rPr>
                <w:spacing w:val="-13"/>
                <w:sz w:val="20"/>
              </w:rPr>
              <w:t> </w:t>
            </w:r>
            <w:r>
              <w:rPr>
                <w:sz w:val="20"/>
              </w:rPr>
              <w:t>attract</w:t>
            </w:r>
            <w:r>
              <w:rPr>
                <w:spacing w:val="-12"/>
                <w:sz w:val="20"/>
              </w:rPr>
              <w:t> </w:t>
            </w:r>
            <w:r>
              <w:rPr>
                <w:sz w:val="20"/>
              </w:rPr>
              <w:t>non-target</w:t>
            </w:r>
            <w:r>
              <w:rPr>
                <w:spacing w:val="-14"/>
                <w:sz w:val="20"/>
              </w:rPr>
              <w:t> </w:t>
            </w:r>
            <w:r>
              <w:rPr>
                <w:sz w:val="20"/>
              </w:rPr>
              <w:t>(other pest) species</w:t>
            </w:r>
          </w:p>
        </w:tc>
      </w:tr>
      <w:tr>
        <w:trPr>
          <w:trHeight w:val="1060" w:hRule="atLeast"/>
        </w:trPr>
        <w:tc>
          <w:tcPr>
            <w:tcW w:w="1311" w:type="dxa"/>
            <w:vMerge/>
            <w:tcBorders>
              <w:top w:val="nil"/>
              <w:bottom w:val="single" w:sz="4" w:space="0" w:color="000000"/>
            </w:tcBorders>
          </w:tcPr>
          <w:p>
            <w:pPr>
              <w:rPr>
                <w:sz w:val="2"/>
                <w:szCs w:val="2"/>
              </w:rPr>
            </w:pPr>
          </w:p>
        </w:tc>
        <w:tc>
          <w:tcPr>
            <w:tcW w:w="1668" w:type="dxa"/>
            <w:tcBorders>
              <w:top w:val="single" w:sz="4" w:space="0" w:color="808080"/>
              <w:bottom w:val="single" w:sz="4" w:space="0" w:color="000000"/>
            </w:tcBorders>
          </w:tcPr>
          <w:p>
            <w:pPr>
              <w:pStyle w:val="TableParagraph"/>
              <w:spacing w:before="78"/>
              <w:ind w:left="107" w:right="242"/>
              <w:rPr>
                <w:sz w:val="20"/>
              </w:rPr>
            </w:pPr>
            <w:r>
              <w:rPr>
                <w:spacing w:val="-2"/>
                <w:sz w:val="20"/>
              </w:rPr>
              <w:t>Frightening devices</w:t>
            </w:r>
          </w:p>
        </w:tc>
        <w:tc>
          <w:tcPr>
            <w:tcW w:w="2825" w:type="dxa"/>
            <w:tcBorders>
              <w:top w:val="single" w:sz="4" w:space="0" w:color="808080"/>
              <w:bottom w:val="single" w:sz="4" w:space="0" w:color="000000"/>
            </w:tcBorders>
            <w:shd w:val="clear" w:color="auto" w:fill="CCDBEA"/>
          </w:tcPr>
          <w:p>
            <w:pPr>
              <w:pStyle w:val="TableParagraph"/>
              <w:spacing w:before="78"/>
              <w:ind w:left="107"/>
              <w:rPr>
                <w:sz w:val="20"/>
              </w:rPr>
            </w:pPr>
            <w:r>
              <w:rPr>
                <w:sz w:val="20"/>
              </w:rPr>
              <w:t>Not</w:t>
            </w:r>
            <w:r>
              <w:rPr>
                <w:spacing w:val="-5"/>
                <w:sz w:val="20"/>
              </w:rPr>
              <w:t> </w:t>
            </w:r>
            <w:r>
              <w:rPr>
                <w:sz w:val="20"/>
              </w:rPr>
              <w:t>cost</w:t>
            </w:r>
            <w:r>
              <w:rPr>
                <w:spacing w:val="-4"/>
                <w:sz w:val="20"/>
              </w:rPr>
              <w:t> </w:t>
            </w:r>
            <w:r>
              <w:rPr>
                <w:spacing w:val="-2"/>
                <w:sz w:val="20"/>
              </w:rPr>
              <w:t>effective</w:t>
            </w:r>
          </w:p>
        </w:tc>
        <w:tc>
          <w:tcPr>
            <w:tcW w:w="2828" w:type="dxa"/>
            <w:tcBorders>
              <w:top w:val="single" w:sz="4" w:space="0" w:color="808080"/>
              <w:bottom w:val="single" w:sz="4" w:space="0" w:color="000000"/>
            </w:tcBorders>
          </w:tcPr>
          <w:p>
            <w:pPr>
              <w:pStyle w:val="TableParagraph"/>
              <w:spacing w:before="78"/>
              <w:ind w:left="108" w:right="252"/>
              <w:rPr>
                <w:sz w:val="20"/>
              </w:rPr>
            </w:pPr>
            <w:r>
              <w:rPr>
                <w:sz w:val="20"/>
              </w:rPr>
              <w:t>Target</w:t>
            </w:r>
            <w:r>
              <w:rPr>
                <w:spacing w:val="-14"/>
                <w:sz w:val="20"/>
              </w:rPr>
              <w:t> </w:t>
            </w:r>
            <w:r>
              <w:rPr>
                <w:sz w:val="20"/>
              </w:rPr>
              <w:t>specific.</w:t>
            </w:r>
            <w:r>
              <w:rPr>
                <w:spacing w:val="-13"/>
                <w:sz w:val="20"/>
              </w:rPr>
              <w:t> </w:t>
            </w:r>
            <w:r>
              <w:rPr>
                <w:sz w:val="20"/>
              </w:rPr>
              <w:t>No</w:t>
            </w:r>
            <w:r>
              <w:rPr>
                <w:spacing w:val="-14"/>
                <w:sz w:val="20"/>
              </w:rPr>
              <w:t> </w:t>
            </w:r>
            <w:r>
              <w:rPr>
                <w:sz w:val="20"/>
              </w:rPr>
              <w:t>non- target impacts.</w:t>
            </w:r>
          </w:p>
        </w:tc>
        <w:tc>
          <w:tcPr>
            <w:tcW w:w="2828" w:type="dxa"/>
            <w:tcBorders>
              <w:top w:val="single" w:sz="4" w:space="0" w:color="808080"/>
              <w:bottom w:val="single" w:sz="4" w:space="0" w:color="000000"/>
            </w:tcBorders>
            <w:shd w:val="clear" w:color="auto" w:fill="CCDBEA"/>
          </w:tcPr>
          <w:p>
            <w:pPr>
              <w:pStyle w:val="TableParagraph"/>
              <w:spacing w:before="78"/>
              <w:ind w:left="107" w:right="152"/>
              <w:rPr>
                <w:sz w:val="20"/>
              </w:rPr>
            </w:pPr>
            <w:r>
              <w:rPr>
                <w:sz w:val="20"/>
              </w:rPr>
              <w:t>Relatively cheap to implement,</w:t>
            </w:r>
            <w:r>
              <w:rPr>
                <w:spacing w:val="-10"/>
                <w:sz w:val="20"/>
              </w:rPr>
              <w:t> </w:t>
            </w:r>
            <w:r>
              <w:rPr>
                <w:sz w:val="20"/>
              </w:rPr>
              <w:t>may</w:t>
            </w:r>
            <w:r>
              <w:rPr>
                <w:spacing w:val="-10"/>
                <w:sz w:val="20"/>
              </w:rPr>
              <w:t> </w:t>
            </w:r>
            <w:r>
              <w:rPr>
                <w:sz w:val="20"/>
              </w:rPr>
              <w:t>be</w:t>
            </w:r>
            <w:r>
              <w:rPr>
                <w:spacing w:val="-10"/>
                <w:sz w:val="20"/>
              </w:rPr>
              <w:t> </w:t>
            </w:r>
            <w:r>
              <w:rPr>
                <w:sz w:val="20"/>
              </w:rPr>
              <w:t>useful</w:t>
            </w:r>
            <w:r>
              <w:rPr>
                <w:spacing w:val="-11"/>
                <w:sz w:val="20"/>
              </w:rPr>
              <w:t> </w:t>
            </w:r>
            <w:r>
              <w:rPr>
                <w:sz w:val="20"/>
              </w:rPr>
              <w:t>for small-scale enterprises for short periods.</w:t>
            </w:r>
          </w:p>
        </w:tc>
        <w:tc>
          <w:tcPr>
            <w:tcW w:w="2828" w:type="dxa"/>
            <w:tcBorders>
              <w:top w:val="single" w:sz="4" w:space="0" w:color="808080"/>
              <w:bottom w:val="single" w:sz="4" w:space="0" w:color="000000"/>
            </w:tcBorders>
          </w:tcPr>
          <w:p>
            <w:pPr>
              <w:pStyle w:val="TableParagraph"/>
              <w:spacing w:before="78"/>
              <w:ind w:left="107"/>
              <w:rPr>
                <w:sz w:val="20"/>
              </w:rPr>
            </w:pPr>
            <w:r>
              <w:rPr>
                <w:sz w:val="20"/>
              </w:rPr>
              <w:t>Not</w:t>
            </w:r>
            <w:r>
              <w:rPr>
                <w:spacing w:val="-14"/>
                <w:sz w:val="20"/>
              </w:rPr>
              <w:t> </w:t>
            </w:r>
            <w:r>
              <w:rPr>
                <w:sz w:val="20"/>
              </w:rPr>
              <w:t>suitable</w:t>
            </w:r>
            <w:r>
              <w:rPr>
                <w:spacing w:val="-14"/>
                <w:sz w:val="20"/>
              </w:rPr>
              <w:t> </w:t>
            </w:r>
            <w:r>
              <w:rPr>
                <w:sz w:val="20"/>
              </w:rPr>
              <w:t>for</w:t>
            </w:r>
            <w:r>
              <w:rPr>
                <w:spacing w:val="-14"/>
                <w:sz w:val="20"/>
              </w:rPr>
              <w:t> </w:t>
            </w:r>
            <w:r>
              <w:rPr>
                <w:sz w:val="20"/>
              </w:rPr>
              <w:t>large-scale </w:t>
            </w:r>
            <w:r>
              <w:rPr>
                <w:spacing w:val="-2"/>
                <w:sz w:val="20"/>
              </w:rPr>
              <w:t>control.</w:t>
            </w:r>
          </w:p>
        </w:tc>
      </w:tr>
      <w:tr>
        <w:trPr>
          <w:trHeight w:val="1749" w:hRule="atLeast"/>
        </w:trPr>
        <w:tc>
          <w:tcPr>
            <w:tcW w:w="1311" w:type="dxa"/>
            <w:vMerge w:val="restart"/>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92"/>
              <w:rPr>
                <w:sz w:val="20"/>
              </w:rPr>
            </w:pPr>
          </w:p>
          <w:p>
            <w:pPr>
              <w:pStyle w:val="TableParagraph"/>
              <w:ind w:left="107"/>
              <w:rPr>
                <w:sz w:val="20"/>
              </w:rPr>
            </w:pPr>
            <w:r>
              <w:rPr>
                <w:sz w:val="20"/>
              </w:rPr>
              <w:t>Red</w:t>
            </w:r>
            <w:r>
              <w:rPr>
                <w:spacing w:val="-7"/>
                <w:sz w:val="20"/>
              </w:rPr>
              <w:t> </w:t>
            </w:r>
            <w:r>
              <w:rPr>
                <w:spacing w:val="-5"/>
                <w:sz w:val="20"/>
              </w:rPr>
              <w:t>Fox</w:t>
            </w:r>
          </w:p>
        </w:tc>
        <w:tc>
          <w:tcPr>
            <w:tcW w:w="1668" w:type="dxa"/>
            <w:tcBorders>
              <w:top w:val="single" w:sz="4" w:space="0" w:color="000000"/>
              <w:bottom w:val="single" w:sz="4" w:space="0" w:color="808080"/>
            </w:tcBorders>
          </w:tcPr>
          <w:p>
            <w:pPr>
              <w:pStyle w:val="TableParagraph"/>
              <w:spacing w:before="79"/>
              <w:ind w:left="107" w:right="242"/>
              <w:rPr>
                <w:sz w:val="20"/>
              </w:rPr>
            </w:pPr>
            <w:r>
              <w:rPr>
                <w:sz w:val="20"/>
              </w:rPr>
              <w:t>Ground</w:t>
            </w:r>
            <w:r>
              <w:rPr>
                <w:spacing w:val="-14"/>
                <w:sz w:val="20"/>
              </w:rPr>
              <w:t> </w:t>
            </w:r>
            <w:r>
              <w:rPr>
                <w:sz w:val="20"/>
              </w:rPr>
              <w:t>baiting with 1080</w:t>
            </w:r>
          </w:p>
        </w:tc>
        <w:tc>
          <w:tcPr>
            <w:tcW w:w="2825" w:type="dxa"/>
            <w:tcBorders>
              <w:top w:val="single" w:sz="4" w:space="0" w:color="000000"/>
              <w:bottom w:val="single" w:sz="4" w:space="0" w:color="808080"/>
            </w:tcBorders>
            <w:shd w:val="clear" w:color="auto" w:fill="CCDBEA"/>
          </w:tcPr>
          <w:p>
            <w:pPr>
              <w:pStyle w:val="TableParagraph"/>
              <w:spacing w:before="79"/>
              <w:ind w:left="107"/>
              <w:rPr>
                <w:sz w:val="20"/>
              </w:rPr>
            </w:pPr>
            <w:r>
              <w:rPr>
                <w:spacing w:val="-2"/>
                <w:sz w:val="20"/>
              </w:rPr>
              <w:t>Cost-effective</w:t>
            </w:r>
          </w:p>
        </w:tc>
        <w:tc>
          <w:tcPr>
            <w:tcW w:w="2828" w:type="dxa"/>
            <w:tcBorders>
              <w:top w:val="single" w:sz="4" w:space="0" w:color="000000"/>
              <w:bottom w:val="single" w:sz="4" w:space="0" w:color="808080"/>
            </w:tcBorders>
          </w:tcPr>
          <w:p>
            <w:pPr>
              <w:pStyle w:val="TableParagraph"/>
              <w:spacing w:before="79"/>
              <w:ind w:left="108" w:right="164"/>
              <w:rPr>
                <w:sz w:val="20"/>
              </w:rPr>
            </w:pPr>
            <w:r>
              <w:rPr>
                <w:sz w:val="20"/>
              </w:rPr>
              <w:t>There is a risk of poisoning non-target</w:t>
            </w:r>
            <w:r>
              <w:rPr>
                <w:spacing w:val="-14"/>
                <w:sz w:val="20"/>
              </w:rPr>
              <w:t> </w:t>
            </w:r>
            <w:r>
              <w:rPr>
                <w:sz w:val="20"/>
              </w:rPr>
              <w:t>animals.</w:t>
            </w:r>
            <w:r>
              <w:rPr>
                <w:spacing w:val="-14"/>
                <w:sz w:val="20"/>
              </w:rPr>
              <w:t> </w:t>
            </w:r>
            <w:r>
              <w:rPr>
                <w:sz w:val="20"/>
              </w:rPr>
              <w:t>Strategic ground baiting, where baits are buried, reduces the risk to non-target species.</w:t>
            </w:r>
          </w:p>
          <w:p>
            <w:pPr>
              <w:pStyle w:val="TableParagraph"/>
              <w:ind w:left="108" w:right="121"/>
              <w:rPr>
                <w:sz w:val="20"/>
              </w:rPr>
            </w:pPr>
            <w:r>
              <w:rPr>
                <w:sz w:val="20"/>
              </w:rPr>
              <w:t>Uneaten baits can be collected</w:t>
            </w:r>
            <w:r>
              <w:rPr>
                <w:spacing w:val="-14"/>
                <w:sz w:val="20"/>
              </w:rPr>
              <w:t> </w:t>
            </w:r>
            <w:r>
              <w:rPr>
                <w:sz w:val="20"/>
              </w:rPr>
              <w:t>and</w:t>
            </w:r>
            <w:r>
              <w:rPr>
                <w:spacing w:val="-14"/>
                <w:sz w:val="20"/>
              </w:rPr>
              <w:t> </w:t>
            </w:r>
            <w:r>
              <w:rPr>
                <w:sz w:val="20"/>
              </w:rPr>
              <w:t>destroyed.</w:t>
            </w:r>
          </w:p>
        </w:tc>
        <w:tc>
          <w:tcPr>
            <w:tcW w:w="2828" w:type="dxa"/>
            <w:tcBorders>
              <w:top w:val="single" w:sz="4" w:space="0" w:color="000000"/>
              <w:bottom w:val="single" w:sz="4" w:space="0" w:color="808080"/>
            </w:tcBorders>
            <w:shd w:val="clear" w:color="auto" w:fill="CCDBEA"/>
          </w:tcPr>
          <w:p>
            <w:pPr>
              <w:pStyle w:val="TableParagraph"/>
              <w:spacing w:before="79"/>
              <w:ind w:left="107"/>
              <w:rPr>
                <w:sz w:val="20"/>
              </w:rPr>
            </w:pPr>
            <w:r>
              <w:rPr>
                <w:sz w:val="20"/>
              </w:rPr>
              <w:t>Currently the most cost- effective</w:t>
            </w:r>
            <w:r>
              <w:rPr>
                <w:spacing w:val="-14"/>
                <w:sz w:val="20"/>
              </w:rPr>
              <w:t> </w:t>
            </w:r>
            <w:r>
              <w:rPr>
                <w:sz w:val="20"/>
              </w:rPr>
              <w:t>technique</w:t>
            </w:r>
            <w:r>
              <w:rPr>
                <w:spacing w:val="-14"/>
                <w:sz w:val="20"/>
              </w:rPr>
              <w:t> </w:t>
            </w:r>
            <w:r>
              <w:rPr>
                <w:sz w:val="20"/>
              </w:rPr>
              <w:t>available.</w:t>
            </w:r>
          </w:p>
        </w:tc>
        <w:tc>
          <w:tcPr>
            <w:tcW w:w="2828" w:type="dxa"/>
            <w:tcBorders>
              <w:top w:val="single" w:sz="4" w:space="0" w:color="000000"/>
              <w:bottom w:val="single" w:sz="4" w:space="0" w:color="808080"/>
            </w:tcBorders>
          </w:tcPr>
          <w:p>
            <w:pPr>
              <w:pStyle w:val="TableParagraph"/>
              <w:spacing w:before="79"/>
              <w:ind w:left="107" w:right="121"/>
              <w:rPr>
                <w:sz w:val="20"/>
              </w:rPr>
            </w:pPr>
            <w:r>
              <w:rPr>
                <w:sz w:val="20"/>
              </w:rPr>
              <w:t>1080 ingestion can also kill non-target animals including native species, cats, dogs and</w:t>
            </w:r>
            <w:r>
              <w:rPr>
                <w:spacing w:val="-8"/>
                <w:sz w:val="20"/>
              </w:rPr>
              <w:t> </w:t>
            </w:r>
            <w:r>
              <w:rPr>
                <w:sz w:val="20"/>
              </w:rPr>
              <w:t>livestock.</w:t>
            </w:r>
            <w:r>
              <w:rPr>
                <w:spacing w:val="-10"/>
                <w:sz w:val="20"/>
              </w:rPr>
              <w:t> </w:t>
            </w:r>
            <w:r>
              <w:rPr>
                <w:sz w:val="20"/>
              </w:rPr>
              <w:t>1080</w:t>
            </w:r>
            <w:r>
              <w:rPr>
                <w:spacing w:val="-8"/>
                <w:sz w:val="20"/>
              </w:rPr>
              <w:t> </w:t>
            </w:r>
            <w:r>
              <w:rPr>
                <w:sz w:val="20"/>
              </w:rPr>
              <w:t>is</w:t>
            </w:r>
            <w:r>
              <w:rPr>
                <w:spacing w:val="-9"/>
                <w:sz w:val="20"/>
              </w:rPr>
              <w:t> </w:t>
            </w:r>
            <w:r>
              <w:rPr>
                <w:sz w:val="20"/>
              </w:rPr>
              <w:t>toxic</w:t>
            </w:r>
            <w:r>
              <w:rPr>
                <w:spacing w:val="-9"/>
                <w:sz w:val="20"/>
              </w:rPr>
              <w:t> </w:t>
            </w:r>
            <w:r>
              <w:rPr>
                <w:sz w:val="20"/>
              </w:rPr>
              <w:t>to humans; operators need to take precautions to</w:t>
            </w:r>
            <w:r>
              <w:rPr>
                <w:spacing w:val="40"/>
                <w:sz w:val="20"/>
              </w:rPr>
              <w:t> </w:t>
            </w:r>
            <w:r>
              <w:rPr>
                <w:sz w:val="20"/>
              </w:rPr>
              <w:t>safeguard against exposure.</w:t>
            </w:r>
          </w:p>
        </w:tc>
      </w:tr>
      <w:tr>
        <w:trPr>
          <w:trHeight w:val="909" w:hRule="atLeast"/>
        </w:trPr>
        <w:tc>
          <w:tcPr>
            <w:tcW w:w="1311" w:type="dxa"/>
            <w:vMerge/>
            <w:tcBorders>
              <w:top w:val="nil"/>
              <w:bottom w:val="single" w:sz="4" w:space="0" w:color="000000"/>
            </w:tcBorders>
          </w:tcPr>
          <w:p>
            <w:pPr>
              <w:rPr>
                <w:sz w:val="2"/>
                <w:szCs w:val="2"/>
              </w:rPr>
            </w:pPr>
          </w:p>
        </w:tc>
        <w:tc>
          <w:tcPr>
            <w:tcW w:w="1668" w:type="dxa"/>
            <w:tcBorders>
              <w:top w:val="single" w:sz="4" w:space="0" w:color="808080"/>
              <w:bottom w:val="single" w:sz="4" w:space="0" w:color="808080"/>
            </w:tcBorders>
          </w:tcPr>
          <w:p>
            <w:pPr>
              <w:pStyle w:val="TableParagraph"/>
              <w:spacing w:before="78"/>
              <w:ind w:left="107" w:right="703"/>
              <w:rPr>
                <w:sz w:val="20"/>
              </w:rPr>
            </w:pPr>
            <w:r>
              <w:rPr>
                <w:spacing w:val="-2"/>
                <w:sz w:val="20"/>
              </w:rPr>
              <w:t>Exclusion fencing</w:t>
            </w:r>
          </w:p>
        </w:tc>
        <w:tc>
          <w:tcPr>
            <w:tcW w:w="2825" w:type="dxa"/>
            <w:tcBorders>
              <w:top w:val="single" w:sz="4" w:space="0" w:color="808080"/>
              <w:bottom w:val="single" w:sz="4" w:space="0" w:color="808080"/>
            </w:tcBorders>
            <w:shd w:val="clear" w:color="auto" w:fill="CCDBEA"/>
          </w:tcPr>
          <w:p>
            <w:pPr>
              <w:pStyle w:val="TableParagraph"/>
              <w:spacing w:before="78"/>
              <w:ind w:left="107" w:right="181"/>
              <w:rPr>
                <w:sz w:val="20"/>
              </w:rPr>
            </w:pPr>
            <w:r>
              <w:rPr>
                <w:sz w:val="20"/>
              </w:rPr>
              <w:t>Expensive.</w:t>
            </w:r>
            <w:r>
              <w:rPr>
                <w:spacing w:val="-14"/>
                <w:sz w:val="20"/>
              </w:rPr>
              <w:t> </w:t>
            </w:r>
            <w:r>
              <w:rPr>
                <w:sz w:val="20"/>
              </w:rPr>
              <w:t>Effective</w:t>
            </w:r>
            <w:r>
              <w:rPr>
                <w:spacing w:val="-13"/>
                <w:sz w:val="20"/>
              </w:rPr>
              <w:t> </w:t>
            </w:r>
            <w:r>
              <w:rPr>
                <w:sz w:val="20"/>
              </w:rPr>
              <w:t>if</w:t>
            </w:r>
            <w:r>
              <w:rPr>
                <w:spacing w:val="-13"/>
                <w:sz w:val="20"/>
              </w:rPr>
              <w:t> </w:t>
            </w:r>
            <w:r>
              <w:rPr>
                <w:sz w:val="20"/>
              </w:rPr>
              <w:t>foxes can be eradicated from within fence area.</w:t>
            </w:r>
          </w:p>
        </w:tc>
        <w:tc>
          <w:tcPr>
            <w:tcW w:w="2828" w:type="dxa"/>
            <w:tcBorders>
              <w:top w:val="single" w:sz="4" w:space="0" w:color="808080"/>
              <w:bottom w:val="single" w:sz="4" w:space="0" w:color="808080"/>
            </w:tcBorders>
          </w:tcPr>
          <w:p>
            <w:pPr>
              <w:pStyle w:val="TableParagraph"/>
              <w:spacing w:before="78"/>
              <w:ind w:left="108" w:right="250"/>
              <w:rPr>
                <w:sz w:val="20"/>
              </w:rPr>
            </w:pPr>
            <w:r>
              <w:rPr>
                <w:sz w:val="20"/>
              </w:rPr>
              <w:t>Can</w:t>
            </w:r>
            <w:r>
              <w:rPr>
                <w:spacing w:val="-11"/>
                <w:sz w:val="20"/>
              </w:rPr>
              <w:t> </w:t>
            </w:r>
            <w:r>
              <w:rPr>
                <w:sz w:val="20"/>
              </w:rPr>
              <w:t>be</w:t>
            </w:r>
            <w:r>
              <w:rPr>
                <w:spacing w:val="-10"/>
                <w:sz w:val="20"/>
              </w:rPr>
              <w:t> </w:t>
            </w:r>
            <w:r>
              <w:rPr>
                <w:sz w:val="20"/>
              </w:rPr>
              <w:t>in</w:t>
            </w:r>
            <w:r>
              <w:rPr>
                <w:spacing w:val="-10"/>
                <w:sz w:val="20"/>
              </w:rPr>
              <w:t> </w:t>
            </w:r>
            <w:r>
              <w:rPr>
                <w:sz w:val="20"/>
              </w:rPr>
              <w:t>certain</w:t>
            </w:r>
            <w:r>
              <w:rPr>
                <w:spacing w:val="-10"/>
                <w:sz w:val="20"/>
              </w:rPr>
              <w:t> </w:t>
            </w:r>
            <w:r>
              <w:rPr>
                <w:sz w:val="20"/>
              </w:rPr>
              <w:t>situations. Non-target species can be </w:t>
            </w:r>
            <w:r>
              <w:rPr>
                <w:spacing w:val="-2"/>
                <w:sz w:val="20"/>
              </w:rPr>
              <w:t>impacted.</w:t>
            </w:r>
          </w:p>
        </w:tc>
        <w:tc>
          <w:tcPr>
            <w:tcW w:w="2828" w:type="dxa"/>
            <w:tcBorders>
              <w:top w:val="single" w:sz="4" w:space="0" w:color="808080"/>
              <w:bottom w:val="single" w:sz="4" w:space="0" w:color="808080"/>
            </w:tcBorders>
            <w:shd w:val="clear" w:color="auto" w:fill="CCDBEA"/>
          </w:tcPr>
          <w:p>
            <w:pPr>
              <w:pStyle w:val="TableParagraph"/>
              <w:spacing w:before="78"/>
              <w:ind w:left="107"/>
              <w:rPr>
                <w:sz w:val="20"/>
              </w:rPr>
            </w:pPr>
            <w:r>
              <w:rPr>
                <w:sz w:val="20"/>
              </w:rPr>
              <w:t>Fencing</w:t>
            </w:r>
            <w:r>
              <w:rPr>
                <w:spacing w:val="-10"/>
                <w:sz w:val="20"/>
              </w:rPr>
              <w:t> </w:t>
            </w:r>
            <w:r>
              <w:rPr>
                <w:sz w:val="20"/>
              </w:rPr>
              <w:t>can</w:t>
            </w:r>
            <w:r>
              <w:rPr>
                <w:spacing w:val="-11"/>
                <w:sz w:val="20"/>
              </w:rPr>
              <w:t> </w:t>
            </w:r>
            <w:r>
              <w:rPr>
                <w:sz w:val="20"/>
              </w:rPr>
              <w:t>be</w:t>
            </w:r>
            <w:r>
              <w:rPr>
                <w:spacing w:val="-12"/>
                <w:sz w:val="20"/>
              </w:rPr>
              <w:t> </w:t>
            </w:r>
            <w:r>
              <w:rPr>
                <w:sz w:val="20"/>
              </w:rPr>
              <w:t>effective</w:t>
            </w:r>
            <w:r>
              <w:rPr>
                <w:spacing w:val="-10"/>
                <w:sz w:val="20"/>
              </w:rPr>
              <w:t> </w:t>
            </w:r>
            <w:r>
              <w:rPr>
                <w:sz w:val="20"/>
              </w:rPr>
              <w:t>for large areas containing threatened species.</w:t>
            </w:r>
          </w:p>
        </w:tc>
        <w:tc>
          <w:tcPr>
            <w:tcW w:w="2828" w:type="dxa"/>
            <w:tcBorders>
              <w:top w:val="single" w:sz="4" w:space="0" w:color="808080"/>
              <w:bottom w:val="single" w:sz="4" w:space="0" w:color="808080"/>
            </w:tcBorders>
          </w:tcPr>
          <w:p>
            <w:pPr>
              <w:pStyle w:val="TableParagraph"/>
              <w:spacing w:before="78"/>
              <w:ind w:left="107"/>
              <w:rPr>
                <w:sz w:val="20"/>
              </w:rPr>
            </w:pPr>
            <w:r>
              <w:rPr>
                <w:sz w:val="20"/>
              </w:rPr>
              <w:t>Maintenance</w:t>
            </w:r>
            <w:r>
              <w:rPr>
                <w:spacing w:val="-10"/>
                <w:sz w:val="20"/>
              </w:rPr>
              <w:t> </w:t>
            </w:r>
            <w:r>
              <w:rPr>
                <w:sz w:val="20"/>
              </w:rPr>
              <w:t>costs</w:t>
            </w:r>
            <w:r>
              <w:rPr>
                <w:spacing w:val="-9"/>
                <w:sz w:val="20"/>
              </w:rPr>
              <w:t> </w:t>
            </w:r>
            <w:r>
              <w:rPr>
                <w:sz w:val="20"/>
              </w:rPr>
              <w:t>are</w:t>
            </w:r>
            <w:r>
              <w:rPr>
                <w:spacing w:val="-8"/>
                <w:sz w:val="20"/>
              </w:rPr>
              <w:t> </w:t>
            </w:r>
            <w:r>
              <w:rPr>
                <w:spacing w:val="-4"/>
                <w:sz w:val="20"/>
              </w:rPr>
              <w:t>high.</w:t>
            </w:r>
          </w:p>
          <w:p>
            <w:pPr>
              <w:pStyle w:val="TableParagraph"/>
              <w:spacing w:before="80"/>
              <w:ind w:left="107"/>
              <w:rPr>
                <w:sz w:val="20"/>
              </w:rPr>
            </w:pPr>
            <w:r>
              <w:rPr>
                <w:sz w:val="20"/>
              </w:rPr>
              <w:t>Limited</w:t>
            </w:r>
            <w:r>
              <w:rPr>
                <w:spacing w:val="-14"/>
                <w:sz w:val="20"/>
              </w:rPr>
              <w:t> </w:t>
            </w:r>
            <w:r>
              <w:rPr>
                <w:sz w:val="20"/>
              </w:rPr>
              <w:t>to</w:t>
            </w:r>
            <w:r>
              <w:rPr>
                <w:spacing w:val="-14"/>
                <w:sz w:val="20"/>
              </w:rPr>
              <w:t> </w:t>
            </w:r>
            <w:r>
              <w:rPr>
                <w:sz w:val="20"/>
              </w:rPr>
              <w:t>conservation </w:t>
            </w:r>
            <w:r>
              <w:rPr>
                <w:spacing w:val="-2"/>
                <w:sz w:val="20"/>
              </w:rPr>
              <w:t>reserves.</w:t>
            </w:r>
          </w:p>
        </w:tc>
      </w:tr>
      <w:tr>
        <w:trPr>
          <w:trHeight w:val="1600" w:hRule="atLeast"/>
        </w:trPr>
        <w:tc>
          <w:tcPr>
            <w:tcW w:w="1311" w:type="dxa"/>
            <w:vMerge/>
            <w:tcBorders>
              <w:top w:val="nil"/>
              <w:bottom w:val="single" w:sz="4" w:space="0" w:color="000000"/>
            </w:tcBorders>
          </w:tcPr>
          <w:p>
            <w:pPr>
              <w:rPr>
                <w:sz w:val="2"/>
                <w:szCs w:val="2"/>
              </w:rPr>
            </w:pPr>
          </w:p>
        </w:tc>
        <w:tc>
          <w:tcPr>
            <w:tcW w:w="1668" w:type="dxa"/>
            <w:tcBorders>
              <w:top w:val="single" w:sz="4" w:space="0" w:color="808080"/>
              <w:bottom w:val="single" w:sz="4" w:space="0" w:color="808080"/>
            </w:tcBorders>
          </w:tcPr>
          <w:p>
            <w:pPr>
              <w:pStyle w:val="TableParagraph"/>
              <w:spacing w:before="79"/>
              <w:ind w:left="107" w:right="243"/>
              <w:rPr>
                <w:sz w:val="20"/>
              </w:rPr>
            </w:pPr>
            <w:r>
              <w:rPr>
                <w:sz w:val="20"/>
              </w:rPr>
              <w:t>LGAs (e.g. dogs,</w:t>
            </w:r>
            <w:r>
              <w:rPr>
                <w:spacing w:val="-14"/>
                <w:sz w:val="20"/>
              </w:rPr>
              <w:t> </w:t>
            </w:r>
            <w:r>
              <w:rPr>
                <w:sz w:val="20"/>
              </w:rPr>
              <w:t>Alpacas, </w:t>
            </w:r>
            <w:r>
              <w:rPr>
                <w:spacing w:val="-2"/>
                <w:sz w:val="20"/>
              </w:rPr>
              <w:t>Llamas, Donkeys)</w:t>
            </w:r>
          </w:p>
        </w:tc>
        <w:tc>
          <w:tcPr>
            <w:tcW w:w="2825" w:type="dxa"/>
            <w:tcBorders>
              <w:top w:val="single" w:sz="4" w:space="0" w:color="808080"/>
              <w:bottom w:val="single" w:sz="4" w:space="0" w:color="808080"/>
            </w:tcBorders>
            <w:shd w:val="clear" w:color="auto" w:fill="CCDBEA"/>
          </w:tcPr>
          <w:p>
            <w:pPr>
              <w:pStyle w:val="TableParagraph"/>
              <w:spacing w:line="242" w:lineRule="auto" w:before="79"/>
              <w:ind w:left="107"/>
              <w:rPr>
                <w:sz w:val="20"/>
              </w:rPr>
            </w:pPr>
            <w:r>
              <w:rPr>
                <w:sz w:val="20"/>
              </w:rPr>
              <w:t>Can</w:t>
            </w:r>
            <w:r>
              <w:rPr>
                <w:spacing w:val="-11"/>
                <w:sz w:val="20"/>
              </w:rPr>
              <w:t> </w:t>
            </w:r>
            <w:r>
              <w:rPr>
                <w:sz w:val="20"/>
              </w:rPr>
              <w:t>be</w:t>
            </w:r>
            <w:r>
              <w:rPr>
                <w:spacing w:val="-10"/>
                <w:sz w:val="20"/>
              </w:rPr>
              <w:t> </w:t>
            </w:r>
            <w:r>
              <w:rPr>
                <w:sz w:val="20"/>
              </w:rPr>
              <w:t>expensive.</w:t>
            </w:r>
            <w:r>
              <w:rPr>
                <w:spacing w:val="-8"/>
                <w:sz w:val="20"/>
              </w:rPr>
              <w:t> </w:t>
            </w:r>
            <w:r>
              <w:rPr>
                <w:sz w:val="20"/>
              </w:rPr>
              <w:t>No</w:t>
            </w:r>
            <w:r>
              <w:rPr>
                <w:spacing w:val="-10"/>
                <w:sz w:val="20"/>
              </w:rPr>
              <w:t> </w:t>
            </w:r>
            <w:r>
              <w:rPr>
                <w:sz w:val="20"/>
              </w:rPr>
              <w:t>cost- effective data available.</w:t>
            </w:r>
          </w:p>
          <w:p>
            <w:pPr>
              <w:pStyle w:val="TableParagraph"/>
              <w:spacing w:before="75"/>
              <w:ind w:left="107" w:right="181"/>
              <w:rPr>
                <w:sz w:val="20"/>
              </w:rPr>
            </w:pPr>
            <w:r>
              <w:rPr>
                <w:sz w:val="20"/>
              </w:rPr>
              <w:t>Can be effective when suitable</w:t>
            </w:r>
            <w:r>
              <w:rPr>
                <w:spacing w:val="-11"/>
                <w:sz w:val="20"/>
              </w:rPr>
              <w:t> </w:t>
            </w:r>
            <w:r>
              <w:rPr>
                <w:sz w:val="20"/>
              </w:rPr>
              <w:t>LGA</w:t>
            </w:r>
            <w:r>
              <w:rPr>
                <w:spacing w:val="-12"/>
                <w:sz w:val="20"/>
              </w:rPr>
              <w:t> </w:t>
            </w:r>
            <w:r>
              <w:rPr>
                <w:sz w:val="20"/>
              </w:rPr>
              <w:t>stock</w:t>
            </w:r>
            <w:r>
              <w:rPr>
                <w:spacing w:val="-10"/>
                <w:sz w:val="20"/>
              </w:rPr>
              <w:t> </w:t>
            </w:r>
            <w:r>
              <w:rPr>
                <w:sz w:val="20"/>
              </w:rPr>
              <w:t>is</w:t>
            </w:r>
            <w:r>
              <w:rPr>
                <w:spacing w:val="-9"/>
                <w:sz w:val="20"/>
              </w:rPr>
              <w:t> </w:t>
            </w:r>
            <w:r>
              <w:rPr>
                <w:sz w:val="20"/>
              </w:rPr>
              <w:t>used, and animals are managed </w:t>
            </w:r>
            <w:r>
              <w:rPr>
                <w:spacing w:val="-2"/>
                <w:sz w:val="20"/>
              </w:rPr>
              <w:t>appropriately.</w:t>
            </w:r>
          </w:p>
        </w:tc>
        <w:tc>
          <w:tcPr>
            <w:tcW w:w="2828" w:type="dxa"/>
            <w:tcBorders>
              <w:top w:val="single" w:sz="4" w:space="0" w:color="808080"/>
              <w:bottom w:val="single" w:sz="4" w:space="0" w:color="808080"/>
            </w:tcBorders>
          </w:tcPr>
          <w:p>
            <w:pPr>
              <w:pStyle w:val="TableParagraph"/>
              <w:spacing w:before="79"/>
              <w:ind w:left="108" w:right="141"/>
              <w:rPr>
                <w:sz w:val="20"/>
              </w:rPr>
            </w:pPr>
            <w:r>
              <w:rPr>
                <w:sz w:val="20"/>
              </w:rPr>
              <w:t>LGDs</w:t>
            </w:r>
            <w:r>
              <w:rPr>
                <w:spacing w:val="-10"/>
                <w:sz w:val="20"/>
              </w:rPr>
              <w:t> </w:t>
            </w:r>
            <w:r>
              <w:rPr>
                <w:sz w:val="20"/>
              </w:rPr>
              <w:t>may</w:t>
            </w:r>
            <w:r>
              <w:rPr>
                <w:spacing w:val="-11"/>
                <w:sz w:val="20"/>
              </w:rPr>
              <w:t> </w:t>
            </w:r>
            <w:r>
              <w:rPr>
                <w:sz w:val="20"/>
              </w:rPr>
              <w:t>chase</w:t>
            </w:r>
            <w:r>
              <w:rPr>
                <w:spacing w:val="-10"/>
                <w:sz w:val="20"/>
              </w:rPr>
              <w:t> </w:t>
            </w:r>
            <w:r>
              <w:rPr>
                <w:sz w:val="20"/>
              </w:rPr>
              <w:t>and</w:t>
            </w:r>
            <w:r>
              <w:rPr>
                <w:spacing w:val="-10"/>
                <w:sz w:val="20"/>
              </w:rPr>
              <w:t> </w:t>
            </w:r>
            <w:r>
              <w:rPr>
                <w:sz w:val="20"/>
              </w:rPr>
              <w:t>harass native animals, pets and livestock and kill pest </w:t>
            </w:r>
            <w:r>
              <w:rPr>
                <w:spacing w:val="-2"/>
                <w:sz w:val="20"/>
              </w:rPr>
              <w:t>species.</w:t>
            </w:r>
          </w:p>
        </w:tc>
        <w:tc>
          <w:tcPr>
            <w:tcW w:w="2828" w:type="dxa"/>
            <w:tcBorders>
              <w:top w:val="single" w:sz="4" w:space="0" w:color="808080"/>
              <w:bottom w:val="single" w:sz="4" w:space="0" w:color="808080"/>
            </w:tcBorders>
            <w:shd w:val="clear" w:color="auto" w:fill="CCDBEA"/>
          </w:tcPr>
          <w:p>
            <w:pPr>
              <w:pStyle w:val="TableParagraph"/>
              <w:spacing w:line="242" w:lineRule="auto" w:before="79"/>
              <w:ind w:left="107"/>
              <w:rPr>
                <w:sz w:val="20"/>
              </w:rPr>
            </w:pPr>
            <w:r>
              <w:rPr>
                <w:sz w:val="20"/>
              </w:rPr>
              <w:t>Likely</w:t>
            </w:r>
            <w:r>
              <w:rPr>
                <w:spacing w:val="-8"/>
                <w:sz w:val="20"/>
              </w:rPr>
              <w:t> </w:t>
            </w:r>
            <w:r>
              <w:rPr>
                <w:sz w:val="20"/>
              </w:rPr>
              <w:t>to</w:t>
            </w:r>
            <w:r>
              <w:rPr>
                <w:spacing w:val="-9"/>
                <w:sz w:val="20"/>
              </w:rPr>
              <w:t> </w:t>
            </w:r>
            <w:r>
              <w:rPr>
                <w:sz w:val="20"/>
              </w:rPr>
              <w:t>be</w:t>
            </w:r>
            <w:r>
              <w:rPr>
                <w:spacing w:val="-9"/>
                <w:sz w:val="20"/>
              </w:rPr>
              <w:t> </w:t>
            </w:r>
            <w:r>
              <w:rPr>
                <w:sz w:val="20"/>
              </w:rPr>
              <w:t>most</w:t>
            </w:r>
            <w:r>
              <w:rPr>
                <w:spacing w:val="-9"/>
                <w:sz w:val="20"/>
              </w:rPr>
              <w:t> </w:t>
            </w:r>
            <w:r>
              <w:rPr>
                <w:sz w:val="20"/>
              </w:rPr>
              <w:t>effective</w:t>
            </w:r>
            <w:r>
              <w:rPr>
                <w:spacing w:val="-9"/>
                <w:sz w:val="20"/>
              </w:rPr>
              <w:t> </w:t>
            </w:r>
            <w:r>
              <w:rPr>
                <w:sz w:val="20"/>
              </w:rPr>
              <w:t>for small holdings.</w:t>
            </w:r>
          </w:p>
        </w:tc>
        <w:tc>
          <w:tcPr>
            <w:tcW w:w="2828" w:type="dxa"/>
            <w:tcBorders>
              <w:top w:val="single" w:sz="4" w:space="0" w:color="808080"/>
              <w:bottom w:val="single" w:sz="4" w:space="0" w:color="808080"/>
            </w:tcBorders>
          </w:tcPr>
          <w:p>
            <w:pPr>
              <w:pStyle w:val="TableParagraph"/>
              <w:spacing w:before="79"/>
              <w:ind w:left="107"/>
              <w:rPr>
                <w:sz w:val="20"/>
              </w:rPr>
            </w:pPr>
            <w:r>
              <w:rPr>
                <w:sz w:val="20"/>
              </w:rPr>
              <w:t>Require additional time and management</w:t>
            </w:r>
            <w:r>
              <w:rPr>
                <w:spacing w:val="-13"/>
                <w:sz w:val="20"/>
              </w:rPr>
              <w:t> </w:t>
            </w:r>
            <w:r>
              <w:rPr>
                <w:sz w:val="20"/>
              </w:rPr>
              <w:t>to</w:t>
            </w:r>
            <w:r>
              <w:rPr>
                <w:spacing w:val="-14"/>
                <w:sz w:val="20"/>
              </w:rPr>
              <w:t> </w:t>
            </w:r>
            <w:r>
              <w:rPr>
                <w:sz w:val="20"/>
              </w:rPr>
              <w:t>be</w:t>
            </w:r>
            <w:r>
              <w:rPr>
                <w:spacing w:val="-14"/>
                <w:sz w:val="20"/>
              </w:rPr>
              <w:t> </w:t>
            </w:r>
            <w:r>
              <w:rPr>
                <w:sz w:val="20"/>
              </w:rPr>
              <w:t>effective, can have off-target impacts and cause problems with </w:t>
            </w:r>
            <w:r>
              <w:rPr>
                <w:spacing w:val="-2"/>
                <w:sz w:val="20"/>
              </w:rPr>
              <w:t>neighbours.</w:t>
            </w:r>
          </w:p>
        </w:tc>
      </w:tr>
    </w:tbl>
    <w:p>
      <w:pPr>
        <w:spacing w:after="0"/>
        <w:rPr>
          <w:sz w:val="20"/>
        </w:rPr>
        <w:sectPr>
          <w:footerReference w:type="default" r:id="rId71"/>
          <w:footerReference w:type="even" r:id="rId72"/>
          <w:pgSz w:w="16850" w:h="11910" w:orient="landscape"/>
          <w:pgMar w:header="0" w:footer="686" w:top="1100" w:bottom="880" w:left="1020" w:right="102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1"/>
        <w:gridCol w:w="1668"/>
        <w:gridCol w:w="2825"/>
        <w:gridCol w:w="2828"/>
        <w:gridCol w:w="2828"/>
        <w:gridCol w:w="2828"/>
      </w:tblGrid>
      <w:tr>
        <w:trPr>
          <w:trHeight w:val="581" w:hRule="atLeast"/>
        </w:trPr>
        <w:tc>
          <w:tcPr>
            <w:tcW w:w="1311" w:type="dxa"/>
            <w:shd w:val="clear" w:color="auto" w:fill="004B96"/>
          </w:tcPr>
          <w:p>
            <w:pPr>
              <w:pStyle w:val="TableParagraph"/>
              <w:spacing w:before="60"/>
              <w:ind w:left="107"/>
              <w:rPr>
                <w:b/>
                <w:sz w:val="20"/>
              </w:rPr>
            </w:pPr>
            <w:r>
              <w:rPr>
                <w:b/>
                <w:color w:val="FFFFFF"/>
                <w:spacing w:val="-2"/>
                <w:sz w:val="20"/>
              </w:rPr>
              <w:t>Species</w:t>
            </w:r>
          </w:p>
        </w:tc>
        <w:tc>
          <w:tcPr>
            <w:tcW w:w="1668" w:type="dxa"/>
            <w:tcBorders>
              <w:bottom w:val="single" w:sz="4" w:space="0" w:color="808080"/>
            </w:tcBorders>
            <w:shd w:val="clear" w:color="auto" w:fill="004B96"/>
          </w:tcPr>
          <w:p>
            <w:pPr>
              <w:pStyle w:val="TableParagraph"/>
              <w:spacing w:before="60"/>
              <w:ind w:left="107" w:right="614"/>
              <w:rPr>
                <w:b/>
                <w:sz w:val="20"/>
              </w:rPr>
            </w:pPr>
            <w:r>
              <w:rPr>
                <w:b/>
                <w:color w:val="FFFFFF"/>
                <w:spacing w:val="-2"/>
                <w:sz w:val="20"/>
              </w:rPr>
              <w:t>Control technique</w:t>
            </w:r>
          </w:p>
        </w:tc>
        <w:tc>
          <w:tcPr>
            <w:tcW w:w="2825" w:type="dxa"/>
            <w:tcBorders>
              <w:bottom w:val="single" w:sz="4" w:space="0" w:color="808080"/>
            </w:tcBorders>
            <w:shd w:val="clear" w:color="auto" w:fill="004B96"/>
          </w:tcPr>
          <w:p>
            <w:pPr>
              <w:pStyle w:val="TableParagraph"/>
              <w:spacing w:before="60"/>
              <w:ind w:left="107"/>
              <w:rPr>
                <w:b/>
                <w:sz w:val="20"/>
              </w:rPr>
            </w:pPr>
            <w:r>
              <w:rPr>
                <w:b/>
                <w:color w:val="FFFFFF"/>
                <w:spacing w:val="-2"/>
                <w:sz w:val="20"/>
              </w:rPr>
              <w:t>Cost-effectiveness</w:t>
            </w:r>
          </w:p>
        </w:tc>
        <w:tc>
          <w:tcPr>
            <w:tcW w:w="2828" w:type="dxa"/>
            <w:tcBorders>
              <w:bottom w:val="single" w:sz="4" w:space="0" w:color="808080"/>
            </w:tcBorders>
            <w:shd w:val="clear" w:color="auto" w:fill="004B96"/>
          </w:tcPr>
          <w:p>
            <w:pPr>
              <w:pStyle w:val="TableParagraph"/>
              <w:spacing w:before="60"/>
              <w:ind w:left="108"/>
              <w:rPr>
                <w:b/>
                <w:sz w:val="20"/>
              </w:rPr>
            </w:pPr>
            <w:r>
              <w:rPr>
                <w:b/>
                <w:color w:val="FFFFFF"/>
                <w:sz w:val="20"/>
              </w:rPr>
              <w:t>Target</w:t>
            </w:r>
            <w:r>
              <w:rPr>
                <w:b/>
                <w:color w:val="FFFFFF"/>
                <w:spacing w:val="-10"/>
                <w:sz w:val="20"/>
              </w:rPr>
              <w:t> </w:t>
            </w:r>
            <w:r>
              <w:rPr>
                <w:b/>
                <w:color w:val="FFFFFF"/>
                <w:spacing w:val="-2"/>
                <w:sz w:val="20"/>
              </w:rPr>
              <w:t>specificity</w:t>
            </w:r>
          </w:p>
        </w:tc>
        <w:tc>
          <w:tcPr>
            <w:tcW w:w="2828" w:type="dxa"/>
            <w:tcBorders>
              <w:bottom w:val="single" w:sz="4" w:space="0" w:color="808080"/>
            </w:tcBorders>
            <w:shd w:val="clear" w:color="auto" w:fill="004B96"/>
          </w:tcPr>
          <w:p>
            <w:pPr>
              <w:pStyle w:val="TableParagraph"/>
              <w:spacing w:before="60"/>
              <w:ind w:left="107"/>
              <w:rPr>
                <w:b/>
                <w:sz w:val="20"/>
              </w:rPr>
            </w:pPr>
            <w:r>
              <w:rPr>
                <w:b/>
                <w:color w:val="FFFFFF"/>
                <w:spacing w:val="-2"/>
                <w:sz w:val="20"/>
              </w:rPr>
              <w:t>Advantages</w:t>
            </w:r>
          </w:p>
        </w:tc>
        <w:tc>
          <w:tcPr>
            <w:tcW w:w="2828" w:type="dxa"/>
            <w:tcBorders>
              <w:bottom w:val="single" w:sz="4" w:space="0" w:color="808080"/>
            </w:tcBorders>
            <w:shd w:val="clear" w:color="auto" w:fill="004B96"/>
          </w:tcPr>
          <w:p>
            <w:pPr>
              <w:pStyle w:val="TableParagraph"/>
              <w:spacing w:before="60"/>
              <w:ind w:left="107"/>
              <w:rPr>
                <w:b/>
                <w:sz w:val="20"/>
              </w:rPr>
            </w:pPr>
            <w:r>
              <w:rPr>
                <w:b/>
                <w:color w:val="FFFFFF"/>
                <w:spacing w:val="-2"/>
                <w:sz w:val="20"/>
              </w:rPr>
              <w:t>Disadvantages</w:t>
            </w:r>
          </w:p>
        </w:tc>
      </w:tr>
      <w:tr>
        <w:trPr>
          <w:trHeight w:val="599" w:hRule="atLeast"/>
        </w:trPr>
        <w:tc>
          <w:tcPr>
            <w:tcW w:w="2979" w:type="dxa"/>
            <w:gridSpan w:val="2"/>
            <w:tcBorders>
              <w:bottom w:val="single" w:sz="4" w:space="0" w:color="363534"/>
            </w:tcBorders>
          </w:tcPr>
          <w:p>
            <w:pPr>
              <w:pStyle w:val="TableParagraph"/>
              <w:spacing w:before="78"/>
              <w:ind w:left="1418" w:right="560"/>
              <w:rPr>
                <w:sz w:val="20"/>
              </w:rPr>
            </w:pPr>
            <w:r>
              <w:rPr>
                <w:spacing w:val="-2"/>
                <w:sz w:val="20"/>
              </w:rPr>
              <w:t>Frightening devices</w:t>
            </w:r>
          </w:p>
        </w:tc>
        <w:tc>
          <w:tcPr>
            <w:tcW w:w="2825" w:type="dxa"/>
            <w:tcBorders>
              <w:top w:val="single" w:sz="4" w:space="0" w:color="808080"/>
              <w:bottom w:val="single" w:sz="4" w:space="0" w:color="363534"/>
            </w:tcBorders>
            <w:shd w:val="clear" w:color="auto" w:fill="CCDBEA"/>
          </w:tcPr>
          <w:p>
            <w:pPr>
              <w:pStyle w:val="TableParagraph"/>
              <w:spacing w:before="78"/>
              <w:ind w:left="107"/>
              <w:rPr>
                <w:sz w:val="20"/>
              </w:rPr>
            </w:pPr>
            <w:r>
              <w:rPr>
                <w:sz w:val="20"/>
              </w:rPr>
              <w:t>Not</w:t>
            </w:r>
            <w:r>
              <w:rPr>
                <w:spacing w:val="-5"/>
                <w:sz w:val="20"/>
              </w:rPr>
              <w:t> </w:t>
            </w:r>
            <w:r>
              <w:rPr>
                <w:sz w:val="20"/>
              </w:rPr>
              <w:t>cost</w:t>
            </w:r>
            <w:r>
              <w:rPr>
                <w:spacing w:val="-4"/>
                <w:sz w:val="20"/>
              </w:rPr>
              <w:t> </w:t>
            </w:r>
            <w:r>
              <w:rPr>
                <w:spacing w:val="-2"/>
                <w:sz w:val="20"/>
              </w:rPr>
              <w:t>effective</w:t>
            </w:r>
          </w:p>
        </w:tc>
        <w:tc>
          <w:tcPr>
            <w:tcW w:w="2828" w:type="dxa"/>
            <w:tcBorders>
              <w:top w:val="single" w:sz="4" w:space="0" w:color="808080"/>
              <w:bottom w:val="single" w:sz="4" w:space="0" w:color="363534"/>
            </w:tcBorders>
          </w:tcPr>
          <w:p>
            <w:pPr>
              <w:pStyle w:val="TableParagraph"/>
              <w:spacing w:before="78"/>
              <w:ind w:left="108"/>
              <w:rPr>
                <w:sz w:val="20"/>
              </w:rPr>
            </w:pPr>
            <w:r>
              <w:rPr>
                <w:sz w:val="20"/>
              </w:rPr>
              <w:t>No</w:t>
            </w:r>
            <w:r>
              <w:rPr>
                <w:spacing w:val="-10"/>
                <w:sz w:val="20"/>
              </w:rPr>
              <w:t> </w:t>
            </w:r>
            <w:r>
              <w:rPr>
                <w:sz w:val="20"/>
              </w:rPr>
              <w:t>non-target</w:t>
            </w:r>
            <w:r>
              <w:rPr>
                <w:spacing w:val="-9"/>
                <w:sz w:val="20"/>
              </w:rPr>
              <w:t> </w:t>
            </w:r>
            <w:r>
              <w:rPr>
                <w:sz w:val="20"/>
              </w:rPr>
              <w:t>impacts</w:t>
            </w:r>
            <w:r>
              <w:rPr>
                <w:spacing w:val="-9"/>
                <w:sz w:val="20"/>
              </w:rPr>
              <w:t> </w:t>
            </w:r>
            <w:r>
              <w:rPr>
                <w:spacing w:val="-2"/>
                <w:sz w:val="20"/>
              </w:rPr>
              <w:t>known</w:t>
            </w:r>
          </w:p>
        </w:tc>
        <w:tc>
          <w:tcPr>
            <w:tcW w:w="2828" w:type="dxa"/>
            <w:tcBorders>
              <w:top w:val="single" w:sz="4" w:space="0" w:color="808080"/>
              <w:bottom w:val="single" w:sz="4" w:space="0" w:color="363534"/>
            </w:tcBorders>
            <w:shd w:val="clear" w:color="auto" w:fill="CCDBEA"/>
          </w:tcPr>
          <w:p>
            <w:pPr>
              <w:pStyle w:val="TableParagraph"/>
              <w:spacing w:before="78"/>
              <w:ind w:left="107"/>
              <w:rPr>
                <w:sz w:val="20"/>
              </w:rPr>
            </w:pPr>
            <w:r>
              <w:rPr>
                <w:sz w:val="20"/>
              </w:rPr>
              <w:t>Most</w:t>
            </w:r>
            <w:r>
              <w:rPr>
                <w:spacing w:val="-14"/>
                <w:sz w:val="20"/>
              </w:rPr>
              <w:t> </w:t>
            </w:r>
            <w:r>
              <w:rPr>
                <w:sz w:val="20"/>
              </w:rPr>
              <w:t>humane</w:t>
            </w:r>
            <w:r>
              <w:rPr>
                <w:spacing w:val="-14"/>
                <w:sz w:val="20"/>
              </w:rPr>
              <w:t> </w:t>
            </w:r>
            <w:r>
              <w:rPr>
                <w:sz w:val="20"/>
              </w:rPr>
              <w:t>alternative</w:t>
            </w:r>
            <w:r>
              <w:rPr>
                <w:spacing w:val="-14"/>
                <w:sz w:val="20"/>
              </w:rPr>
              <w:t> </w:t>
            </w:r>
            <w:r>
              <w:rPr>
                <w:sz w:val="20"/>
              </w:rPr>
              <w:t>to </w:t>
            </w:r>
            <w:r>
              <w:rPr>
                <w:spacing w:val="-4"/>
                <w:sz w:val="20"/>
              </w:rPr>
              <w:t>1080</w:t>
            </w:r>
          </w:p>
        </w:tc>
        <w:tc>
          <w:tcPr>
            <w:tcW w:w="2828" w:type="dxa"/>
            <w:tcBorders>
              <w:top w:val="single" w:sz="4" w:space="0" w:color="808080"/>
              <w:bottom w:val="single" w:sz="4" w:space="0" w:color="363534"/>
            </w:tcBorders>
          </w:tcPr>
          <w:p>
            <w:pPr>
              <w:pStyle w:val="TableParagraph"/>
              <w:spacing w:before="78"/>
              <w:ind w:left="107" w:right="121"/>
              <w:rPr>
                <w:sz w:val="20"/>
              </w:rPr>
            </w:pPr>
            <w:r>
              <w:rPr>
                <w:sz w:val="20"/>
              </w:rPr>
              <w:t>Only effective in the short term</w:t>
            </w:r>
            <w:r>
              <w:rPr>
                <w:spacing w:val="-12"/>
                <w:sz w:val="20"/>
              </w:rPr>
              <w:t> </w:t>
            </w:r>
            <w:r>
              <w:rPr>
                <w:sz w:val="20"/>
              </w:rPr>
              <w:t>and</w:t>
            </w:r>
            <w:r>
              <w:rPr>
                <w:spacing w:val="-11"/>
                <w:sz w:val="20"/>
              </w:rPr>
              <w:t> </w:t>
            </w:r>
            <w:r>
              <w:rPr>
                <w:sz w:val="20"/>
              </w:rPr>
              <w:t>in</w:t>
            </w:r>
            <w:r>
              <w:rPr>
                <w:spacing w:val="-10"/>
                <w:sz w:val="20"/>
              </w:rPr>
              <w:t> </w:t>
            </w:r>
            <w:r>
              <w:rPr>
                <w:sz w:val="20"/>
              </w:rPr>
              <w:t>localised</w:t>
            </w:r>
            <w:r>
              <w:rPr>
                <w:spacing w:val="-11"/>
                <w:sz w:val="20"/>
              </w:rPr>
              <w:t> </w:t>
            </w:r>
            <w:r>
              <w:rPr>
                <w:sz w:val="20"/>
              </w:rPr>
              <w:t>areas.</w:t>
            </w:r>
          </w:p>
        </w:tc>
      </w:tr>
      <w:tr>
        <w:trPr>
          <w:trHeight w:val="1752" w:hRule="atLeast"/>
        </w:trPr>
        <w:tc>
          <w:tcPr>
            <w:tcW w:w="1311" w:type="dxa"/>
            <w:vMerge w:val="restart"/>
            <w:tcBorders>
              <w:top w:val="single" w:sz="4" w:space="0" w:color="808080"/>
              <w:bottom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56"/>
              <w:rPr>
                <w:sz w:val="20"/>
              </w:rPr>
            </w:pPr>
          </w:p>
          <w:p>
            <w:pPr>
              <w:pStyle w:val="TableParagraph"/>
              <w:ind w:left="107" w:right="286"/>
              <w:rPr>
                <w:sz w:val="20"/>
              </w:rPr>
            </w:pPr>
            <w:r>
              <w:rPr>
                <w:sz w:val="20"/>
              </w:rPr>
              <w:t>Dingo</w:t>
            </w:r>
            <w:r>
              <w:rPr>
                <w:spacing w:val="-14"/>
                <w:sz w:val="20"/>
              </w:rPr>
              <w:t> </w:t>
            </w:r>
            <w:r>
              <w:rPr>
                <w:sz w:val="20"/>
              </w:rPr>
              <w:t>and Wild Dog</w:t>
            </w:r>
          </w:p>
        </w:tc>
        <w:tc>
          <w:tcPr>
            <w:tcW w:w="1668" w:type="dxa"/>
            <w:tcBorders>
              <w:top w:val="single" w:sz="4" w:space="0" w:color="363534"/>
              <w:bottom w:val="single" w:sz="4" w:space="0" w:color="808080"/>
            </w:tcBorders>
          </w:tcPr>
          <w:p>
            <w:pPr>
              <w:pStyle w:val="TableParagraph"/>
              <w:spacing w:line="242" w:lineRule="auto" w:before="78"/>
              <w:ind w:left="107" w:right="242"/>
              <w:rPr>
                <w:sz w:val="20"/>
              </w:rPr>
            </w:pPr>
            <w:r>
              <w:rPr>
                <w:sz w:val="20"/>
              </w:rPr>
              <w:t>Ground</w:t>
            </w:r>
            <w:r>
              <w:rPr>
                <w:spacing w:val="-14"/>
                <w:sz w:val="20"/>
              </w:rPr>
              <w:t> </w:t>
            </w:r>
            <w:r>
              <w:rPr>
                <w:sz w:val="20"/>
              </w:rPr>
              <w:t>baiting with 1080</w:t>
            </w:r>
          </w:p>
        </w:tc>
        <w:tc>
          <w:tcPr>
            <w:tcW w:w="2825" w:type="dxa"/>
            <w:tcBorders>
              <w:top w:val="single" w:sz="4" w:space="0" w:color="363534"/>
              <w:bottom w:val="single" w:sz="4" w:space="0" w:color="808080"/>
            </w:tcBorders>
            <w:shd w:val="clear" w:color="auto" w:fill="CCDBEA"/>
          </w:tcPr>
          <w:p>
            <w:pPr>
              <w:pStyle w:val="TableParagraph"/>
              <w:spacing w:before="78"/>
              <w:ind w:left="107"/>
              <w:rPr>
                <w:sz w:val="20"/>
              </w:rPr>
            </w:pPr>
            <w:r>
              <w:rPr>
                <w:spacing w:val="-2"/>
                <w:sz w:val="20"/>
              </w:rPr>
              <w:t>Cost-effective</w:t>
            </w:r>
          </w:p>
        </w:tc>
        <w:tc>
          <w:tcPr>
            <w:tcW w:w="2828" w:type="dxa"/>
            <w:tcBorders>
              <w:top w:val="single" w:sz="4" w:space="0" w:color="363534"/>
              <w:bottom w:val="single" w:sz="4" w:space="0" w:color="808080"/>
            </w:tcBorders>
          </w:tcPr>
          <w:p>
            <w:pPr>
              <w:pStyle w:val="TableParagraph"/>
              <w:spacing w:before="78"/>
              <w:ind w:left="108" w:right="164"/>
              <w:rPr>
                <w:sz w:val="20"/>
              </w:rPr>
            </w:pPr>
            <w:r>
              <w:rPr>
                <w:sz w:val="20"/>
              </w:rPr>
              <w:t>There is a risk of poisoning non-target</w:t>
            </w:r>
            <w:r>
              <w:rPr>
                <w:spacing w:val="-14"/>
                <w:sz w:val="20"/>
              </w:rPr>
              <w:t> </w:t>
            </w:r>
            <w:r>
              <w:rPr>
                <w:sz w:val="20"/>
              </w:rPr>
              <w:t>animals.</w:t>
            </w:r>
            <w:r>
              <w:rPr>
                <w:spacing w:val="-14"/>
                <w:sz w:val="20"/>
              </w:rPr>
              <w:t> </w:t>
            </w:r>
            <w:r>
              <w:rPr>
                <w:sz w:val="20"/>
              </w:rPr>
              <w:t>Strategic ground baiting, where baits are buried, reduces risk to non-target species. Uneaten baits can be collected and </w:t>
            </w:r>
            <w:r>
              <w:rPr>
                <w:spacing w:val="-2"/>
                <w:sz w:val="20"/>
              </w:rPr>
              <w:t>destroyed.</w:t>
            </w:r>
          </w:p>
        </w:tc>
        <w:tc>
          <w:tcPr>
            <w:tcW w:w="2828" w:type="dxa"/>
            <w:tcBorders>
              <w:top w:val="single" w:sz="4" w:space="0" w:color="363534"/>
              <w:bottom w:val="single" w:sz="4" w:space="0" w:color="808080"/>
            </w:tcBorders>
            <w:shd w:val="clear" w:color="auto" w:fill="CCDBEA"/>
          </w:tcPr>
          <w:p>
            <w:pPr>
              <w:pStyle w:val="TableParagraph"/>
              <w:spacing w:before="78"/>
              <w:ind w:left="107"/>
              <w:rPr>
                <w:sz w:val="20"/>
              </w:rPr>
            </w:pPr>
            <w:r>
              <w:rPr>
                <w:sz w:val="20"/>
              </w:rPr>
              <w:t>Currently the most cost- effective</w:t>
            </w:r>
            <w:r>
              <w:rPr>
                <w:spacing w:val="-14"/>
                <w:sz w:val="20"/>
              </w:rPr>
              <w:t> </w:t>
            </w:r>
            <w:r>
              <w:rPr>
                <w:sz w:val="20"/>
              </w:rPr>
              <w:t>technique</w:t>
            </w:r>
            <w:r>
              <w:rPr>
                <w:spacing w:val="-14"/>
                <w:sz w:val="20"/>
              </w:rPr>
              <w:t> </w:t>
            </w:r>
            <w:r>
              <w:rPr>
                <w:sz w:val="20"/>
              </w:rPr>
              <w:t>available. </w:t>
            </w:r>
            <w:r>
              <w:rPr>
                <w:spacing w:val="-2"/>
                <w:sz w:val="20"/>
              </w:rPr>
              <w:t>1080.</w:t>
            </w:r>
          </w:p>
        </w:tc>
        <w:tc>
          <w:tcPr>
            <w:tcW w:w="2828" w:type="dxa"/>
            <w:tcBorders>
              <w:top w:val="single" w:sz="4" w:space="0" w:color="363534"/>
              <w:bottom w:val="single" w:sz="4" w:space="0" w:color="808080"/>
            </w:tcBorders>
          </w:tcPr>
          <w:p>
            <w:pPr>
              <w:pStyle w:val="TableParagraph"/>
              <w:spacing w:before="78"/>
              <w:ind w:left="107" w:right="123"/>
              <w:rPr>
                <w:sz w:val="20"/>
              </w:rPr>
            </w:pPr>
            <w:r>
              <w:rPr>
                <w:sz w:val="20"/>
              </w:rPr>
              <w:t>Ingestion can also kill non- target animals including native species, cats, dogs and</w:t>
            </w:r>
            <w:r>
              <w:rPr>
                <w:spacing w:val="-8"/>
                <w:sz w:val="20"/>
              </w:rPr>
              <w:t> </w:t>
            </w:r>
            <w:r>
              <w:rPr>
                <w:sz w:val="20"/>
              </w:rPr>
              <w:t>livestock.</w:t>
            </w:r>
            <w:r>
              <w:rPr>
                <w:spacing w:val="-10"/>
                <w:sz w:val="20"/>
              </w:rPr>
              <w:t> </w:t>
            </w:r>
            <w:r>
              <w:rPr>
                <w:sz w:val="20"/>
              </w:rPr>
              <w:t>1080</w:t>
            </w:r>
            <w:r>
              <w:rPr>
                <w:spacing w:val="-8"/>
                <w:sz w:val="20"/>
              </w:rPr>
              <w:t> </w:t>
            </w:r>
            <w:r>
              <w:rPr>
                <w:sz w:val="20"/>
              </w:rPr>
              <w:t>is</w:t>
            </w:r>
            <w:r>
              <w:rPr>
                <w:spacing w:val="-9"/>
                <w:sz w:val="20"/>
              </w:rPr>
              <w:t> </w:t>
            </w:r>
            <w:r>
              <w:rPr>
                <w:sz w:val="20"/>
              </w:rPr>
              <w:t>toxic</w:t>
            </w:r>
            <w:r>
              <w:rPr>
                <w:spacing w:val="-9"/>
                <w:sz w:val="20"/>
              </w:rPr>
              <w:t> </w:t>
            </w:r>
            <w:r>
              <w:rPr>
                <w:sz w:val="20"/>
              </w:rPr>
              <w:t>to humans; operators need to take precautions to</w:t>
            </w:r>
            <w:r>
              <w:rPr>
                <w:spacing w:val="40"/>
                <w:sz w:val="20"/>
              </w:rPr>
              <w:t> </w:t>
            </w:r>
            <w:r>
              <w:rPr>
                <w:sz w:val="20"/>
              </w:rPr>
              <w:t>safeguard against exposure.</w:t>
            </w:r>
          </w:p>
        </w:tc>
      </w:tr>
      <w:tr>
        <w:trPr>
          <w:trHeight w:val="909" w:hRule="atLeast"/>
        </w:trPr>
        <w:tc>
          <w:tcPr>
            <w:tcW w:w="1311" w:type="dxa"/>
            <w:vMerge/>
            <w:tcBorders>
              <w:top w:val="nil"/>
              <w:bottom w:val="single" w:sz="4" w:space="0" w:color="000000"/>
            </w:tcBorders>
          </w:tcPr>
          <w:p>
            <w:pPr>
              <w:rPr>
                <w:sz w:val="2"/>
                <w:szCs w:val="2"/>
              </w:rPr>
            </w:pPr>
          </w:p>
        </w:tc>
        <w:tc>
          <w:tcPr>
            <w:tcW w:w="1668" w:type="dxa"/>
            <w:tcBorders>
              <w:top w:val="single" w:sz="4" w:space="0" w:color="808080"/>
              <w:bottom w:val="single" w:sz="4" w:space="0" w:color="808080"/>
            </w:tcBorders>
          </w:tcPr>
          <w:p>
            <w:pPr>
              <w:pStyle w:val="TableParagraph"/>
              <w:spacing w:before="78"/>
              <w:ind w:left="107" w:right="703"/>
              <w:rPr>
                <w:sz w:val="20"/>
              </w:rPr>
            </w:pPr>
            <w:r>
              <w:rPr>
                <w:spacing w:val="-2"/>
                <w:sz w:val="20"/>
              </w:rPr>
              <w:t>Exclusion fencing</w:t>
            </w:r>
          </w:p>
        </w:tc>
        <w:tc>
          <w:tcPr>
            <w:tcW w:w="2825" w:type="dxa"/>
            <w:tcBorders>
              <w:top w:val="single" w:sz="4" w:space="0" w:color="808080"/>
              <w:bottom w:val="single" w:sz="4" w:space="0" w:color="808080"/>
            </w:tcBorders>
            <w:shd w:val="clear" w:color="auto" w:fill="CCDBEA"/>
          </w:tcPr>
          <w:p>
            <w:pPr>
              <w:pStyle w:val="TableParagraph"/>
              <w:spacing w:before="78"/>
              <w:ind w:left="107"/>
              <w:rPr>
                <w:sz w:val="20"/>
              </w:rPr>
            </w:pPr>
            <w:r>
              <w:rPr>
                <w:sz w:val="20"/>
              </w:rPr>
              <w:t>Expensive.</w:t>
            </w:r>
            <w:r>
              <w:rPr>
                <w:spacing w:val="-13"/>
                <w:sz w:val="20"/>
              </w:rPr>
              <w:t> </w:t>
            </w:r>
            <w:r>
              <w:rPr>
                <w:sz w:val="20"/>
              </w:rPr>
              <w:t>Can</w:t>
            </w:r>
            <w:r>
              <w:rPr>
                <w:spacing w:val="-13"/>
                <w:sz w:val="20"/>
              </w:rPr>
              <w:t> </w:t>
            </w:r>
            <w:r>
              <w:rPr>
                <w:sz w:val="20"/>
              </w:rPr>
              <w:t>be</w:t>
            </w:r>
            <w:r>
              <w:rPr>
                <w:spacing w:val="-13"/>
                <w:sz w:val="20"/>
              </w:rPr>
              <w:t> </w:t>
            </w:r>
            <w:r>
              <w:rPr>
                <w:sz w:val="20"/>
              </w:rPr>
              <w:t>effective when constructed and maintained appropriately.</w:t>
            </w:r>
          </w:p>
        </w:tc>
        <w:tc>
          <w:tcPr>
            <w:tcW w:w="2828" w:type="dxa"/>
            <w:tcBorders>
              <w:top w:val="single" w:sz="4" w:space="0" w:color="808080"/>
              <w:bottom w:val="single" w:sz="4" w:space="0" w:color="808080"/>
            </w:tcBorders>
          </w:tcPr>
          <w:p>
            <w:pPr>
              <w:pStyle w:val="TableParagraph"/>
              <w:spacing w:before="78"/>
              <w:ind w:left="108" w:right="252"/>
              <w:rPr>
                <w:sz w:val="20"/>
              </w:rPr>
            </w:pPr>
            <w:r>
              <w:rPr>
                <w:sz w:val="20"/>
              </w:rPr>
              <w:t>Can</w:t>
            </w:r>
            <w:r>
              <w:rPr>
                <w:spacing w:val="-11"/>
                <w:sz w:val="20"/>
              </w:rPr>
              <w:t> </w:t>
            </w:r>
            <w:r>
              <w:rPr>
                <w:sz w:val="20"/>
              </w:rPr>
              <w:t>be</w:t>
            </w:r>
            <w:r>
              <w:rPr>
                <w:spacing w:val="-10"/>
                <w:sz w:val="20"/>
              </w:rPr>
              <w:t> </w:t>
            </w:r>
            <w:r>
              <w:rPr>
                <w:sz w:val="20"/>
              </w:rPr>
              <w:t>in</w:t>
            </w:r>
            <w:r>
              <w:rPr>
                <w:spacing w:val="-10"/>
                <w:sz w:val="20"/>
              </w:rPr>
              <w:t> </w:t>
            </w:r>
            <w:r>
              <w:rPr>
                <w:sz w:val="20"/>
              </w:rPr>
              <w:t>certain</w:t>
            </w:r>
            <w:r>
              <w:rPr>
                <w:spacing w:val="-10"/>
                <w:sz w:val="20"/>
              </w:rPr>
              <w:t> </w:t>
            </w:r>
            <w:r>
              <w:rPr>
                <w:sz w:val="20"/>
              </w:rPr>
              <w:t>situations. Non-target species can be </w:t>
            </w:r>
            <w:r>
              <w:rPr>
                <w:spacing w:val="-2"/>
                <w:sz w:val="20"/>
              </w:rPr>
              <w:t>impacted.</w:t>
            </w:r>
          </w:p>
        </w:tc>
        <w:tc>
          <w:tcPr>
            <w:tcW w:w="2828" w:type="dxa"/>
            <w:tcBorders>
              <w:top w:val="single" w:sz="4" w:space="0" w:color="808080"/>
              <w:bottom w:val="single" w:sz="4" w:space="0" w:color="808080"/>
            </w:tcBorders>
            <w:shd w:val="clear" w:color="auto" w:fill="CCDBEA"/>
          </w:tcPr>
          <w:p>
            <w:pPr>
              <w:pStyle w:val="TableParagraph"/>
              <w:spacing w:before="78"/>
              <w:ind w:left="107"/>
              <w:rPr>
                <w:sz w:val="20"/>
              </w:rPr>
            </w:pPr>
            <w:r>
              <w:rPr>
                <w:sz w:val="20"/>
              </w:rPr>
              <w:t>Fencing</w:t>
            </w:r>
            <w:r>
              <w:rPr>
                <w:spacing w:val="-10"/>
                <w:sz w:val="20"/>
              </w:rPr>
              <w:t> </w:t>
            </w:r>
            <w:r>
              <w:rPr>
                <w:sz w:val="20"/>
              </w:rPr>
              <w:t>can</w:t>
            </w:r>
            <w:r>
              <w:rPr>
                <w:spacing w:val="-11"/>
                <w:sz w:val="20"/>
              </w:rPr>
              <w:t> </w:t>
            </w:r>
            <w:r>
              <w:rPr>
                <w:sz w:val="20"/>
              </w:rPr>
              <w:t>be</w:t>
            </w:r>
            <w:r>
              <w:rPr>
                <w:spacing w:val="-13"/>
                <w:sz w:val="20"/>
              </w:rPr>
              <w:t> </w:t>
            </w:r>
            <w:r>
              <w:rPr>
                <w:sz w:val="20"/>
              </w:rPr>
              <w:t>effective</w:t>
            </w:r>
            <w:r>
              <w:rPr>
                <w:spacing w:val="-10"/>
                <w:sz w:val="20"/>
              </w:rPr>
              <w:t> </w:t>
            </w:r>
            <w:r>
              <w:rPr>
                <w:sz w:val="20"/>
              </w:rPr>
              <w:t>in some situations.</w:t>
            </w:r>
          </w:p>
        </w:tc>
        <w:tc>
          <w:tcPr>
            <w:tcW w:w="2828" w:type="dxa"/>
            <w:tcBorders>
              <w:top w:val="single" w:sz="4" w:space="0" w:color="808080"/>
              <w:bottom w:val="single" w:sz="4" w:space="0" w:color="808080"/>
            </w:tcBorders>
          </w:tcPr>
          <w:p>
            <w:pPr>
              <w:pStyle w:val="TableParagraph"/>
              <w:spacing w:before="78"/>
              <w:ind w:left="107"/>
              <w:rPr>
                <w:sz w:val="20"/>
              </w:rPr>
            </w:pPr>
            <w:r>
              <w:rPr>
                <w:sz w:val="20"/>
              </w:rPr>
              <w:t>Maintenance</w:t>
            </w:r>
            <w:r>
              <w:rPr>
                <w:spacing w:val="-10"/>
                <w:sz w:val="20"/>
              </w:rPr>
              <w:t> </w:t>
            </w:r>
            <w:r>
              <w:rPr>
                <w:sz w:val="20"/>
              </w:rPr>
              <w:t>costs</w:t>
            </w:r>
            <w:r>
              <w:rPr>
                <w:spacing w:val="-8"/>
                <w:sz w:val="20"/>
              </w:rPr>
              <w:t> </w:t>
            </w:r>
            <w:r>
              <w:rPr>
                <w:sz w:val="20"/>
              </w:rPr>
              <w:t>are</w:t>
            </w:r>
            <w:r>
              <w:rPr>
                <w:spacing w:val="-8"/>
                <w:sz w:val="20"/>
              </w:rPr>
              <w:t> </w:t>
            </w:r>
            <w:r>
              <w:rPr>
                <w:spacing w:val="-4"/>
                <w:sz w:val="20"/>
              </w:rPr>
              <w:t>high.</w:t>
            </w:r>
          </w:p>
          <w:p>
            <w:pPr>
              <w:pStyle w:val="TableParagraph"/>
              <w:spacing w:before="80"/>
              <w:ind w:left="107" w:right="252"/>
              <w:rPr>
                <w:sz w:val="20"/>
              </w:rPr>
            </w:pPr>
            <w:r>
              <w:rPr>
                <w:sz w:val="20"/>
              </w:rPr>
              <w:t>Not</w:t>
            </w:r>
            <w:r>
              <w:rPr>
                <w:spacing w:val="-14"/>
                <w:sz w:val="20"/>
              </w:rPr>
              <w:t> </w:t>
            </w:r>
            <w:r>
              <w:rPr>
                <w:sz w:val="20"/>
              </w:rPr>
              <w:t>suitable</w:t>
            </w:r>
            <w:r>
              <w:rPr>
                <w:spacing w:val="-14"/>
                <w:sz w:val="20"/>
              </w:rPr>
              <w:t> </w:t>
            </w:r>
            <w:r>
              <w:rPr>
                <w:sz w:val="20"/>
              </w:rPr>
              <w:t>to</w:t>
            </w:r>
            <w:r>
              <w:rPr>
                <w:spacing w:val="-14"/>
                <w:sz w:val="20"/>
              </w:rPr>
              <w:t> </w:t>
            </w:r>
            <w:r>
              <w:rPr>
                <w:sz w:val="20"/>
              </w:rPr>
              <w:t>all </w:t>
            </w:r>
            <w:r>
              <w:rPr>
                <w:spacing w:val="-2"/>
                <w:sz w:val="20"/>
              </w:rPr>
              <w:t>landscapes.</w:t>
            </w:r>
          </w:p>
        </w:tc>
      </w:tr>
      <w:tr>
        <w:trPr>
          <w:trHeight w:val="1290" w:hRule="atLeast"/>
        </w:trPr>
        <w:tc>
          <w:tcPr>
            <w:tcW w:w="1311" w:type="dxa"/>
            <w:vMerge/>
            <w:tcBorders>
              <w:top w:val="nil"/>
              <w:bottom w:val="single" w:sz="4" w:space="0" w:color="000000"/>
            </w:tcBorders>
          </w:tcPr>
          <w:p>
            <w:pPr>
              <w:rPr>
                <w:sz w:val="2"/>
                <w:szCs w:val="2"/>
              </w:rPr>
            </w:pPr>
          </w:p>
        </w:tc>
        <w:tc>
          <w:tcPr>
            <w:tcW w:w="1668" w:type="dxa"/>
            <w:tcBorders>
              <w:top w:val="single" w:sz="4" w:space="0" w:color="808080"/>
              <w:bottom w:val="single" w:sz="4" w:space="0" w:color="808080"/>
            </w:tcBorders>
          </w:tcPr>
          <w:p>
            <w:pPr>
              <w:pStyle w:val="TableParagraph"/>
              <w:spacing w:before="78"/>
              <w:ind w:left="107" w:right="243"/>
              <w:rPr>
                <w:sz w:val="20"/>
              </w:rPr>
            </w:pPr>
            <w:r>
              <w:rPr>
                <w:sz w:val="20"/>
              </w:rPr>
              <w:t>LGAs (e.g. dogs,</w:t>
            </w:r>
            <w:r>
              <w:rPr>
                <w:spacing w:val="-14"/>
                <w:sz w:val="20"/>
              </w:rPr>
              <w:t> </w:t>
            </w:r>
            <w:r>
              <w:rPr>
                <w:sz w:val="20"/>
              </w:rPr>
              <w:t>Alpacas, </w:t>
            </w:r>
            <w:r>
              <w:rPr>
                <w:spacing w:val="-2"/>
                <w:sz w:val="20"/>
              </w:rPr>
              <w:t>Llamas, Donkeys)</w:t>
            </w:r>
          </w:p>
        </w:tc>
        <w:tc>
          <w:tcPr>
            <w:tcW w:w="2825" w:type="dxa"/>
            <w:tcBorders>
              <w:top w:val="single" w:sz="4" w:space="0" w:color="808080"/>
              <w:bottom w:val="single" w:sz="4" w:space="0" w:color="808080"/>
            </w:tcBorders>
            <w:shd w:val="clear" w:color="auto" w:fill="CCDBEA"/>
          </w:tcPr>
          <w:p>
            <w:pPr>
              <w:pStyle w:val="TableParagraph"/>
              <w:spacing w:before="78"/>
              <w:ind w:left="107"/>
              <w:rPr>
                <w:sz w:val="20"/>
              </w:rPr>
            </w:pPr>
            <w:r>
              <w:rPr>
                <w:sz w:val="20"/>
              </w:rPr>
              <w:t>Insufficient</w:t>
            </w:r>
            <w:r>
              <w:rPr>
                <w:spacing w:val="-14"/>
                <w:sz w:val="20"/>
              </w:rPr>
              <w:t> </w:t>
            </w:r>
            <w:r>
              <w:rPr>
                <w:sz w:val="20"/>
              </w:rPr>
              <w:t>data.</w:t>
            </w:r>
            <w:r>
              <w:rPr>
                <w:spacing w:val="-14"/>
                <w:sz w:val="20"/>
              </w:rPr>
              <w:t> </w:t>
            </w:r>
            <w:r>
              <w:rPr>
                <w:sz w:val="20"/>
              </w:rPr>
              <w:t>Can</w:t>
            </w:r>
            <w:r>
              <w:rPr>
                <w:spacing w:val="-14"/>
                <w:sz w:val="20"/>
              </w:rPr>
              <w:t> </w:t>
            </w:r>
            <w:r>
              <w:rPr>
                <w:sz w:val="20"/>
              </w:rPr>
              <w:t>depend on the species of LGA.</w:t>
            </w:r>
          </w:p>
        </w:tc>
        <w:tc>
          <w:tcPr>
            <w:tcW w:w="2828" w:type="dxa"/>
            <w:tcBorders>
              <w:top w:val="single" w:sz="4" w:space="0" w:color="808080"/>
              <w:bottom w:val="single" w:sz="4" w:space="0" w:color="808080"/>
            </w:tcBorders>
          </w:tcPr>
          <w:p>
            <w:pPr>
              <w:pStyle w:val="TableParagraph"/>
              <w:spacing w:before="78"/>
              <w:ind w:left="108" w:right="141"/>
              <w:rPr>
                <w:sz w:val="20"/>
              </w:rPr>
            </w:pPr>
            <w:r>
              <w:rPr>
                <w:sz w:val="20"/>
              </w:rPr>
              <w:t>LGDs</w:t>
            </w:r>
            <w:r>
              <w:rPr>
                <w:spacing w:val="-10"/>
                <w:sz w:val="20"/>
              </w:rPr>
              <w:t> </w:t>
            </w:r>
            <w:r>
              <w:rPr>
                <w:sz w:val="20"/>
              </w:rPr>
              <w:t>may</w:t>
            </w:r>
            <w:r>
              <w:rPr>
                <w:spacing w:val="-11"/>
                <w:sz w:val="20"/>
              </w:rPr>
              <w:t> </w:t>
            </w:r>
            <w:r>
              <w:rPr>
                <w:sz w:val="20"/>
              </w:rPr>
              <w:t>chase</w:t>
            </w:r>
            <w:r>
              <w:rPr>
                <w:spacing w:val="-10"/>
                <w:sz w:val="20"/>
              </w:rPr>
              <w:t> </w:t>
            </w:r>
            <w:r>
              <w:rPr>
                <w:sz w:val="20"/>
              </w:rPr>
              <w:t>and</w:t>
            </w:r>
            <w:r>
              <w:rPr>
                <w:spacing w:val="-10"/>
                <w:sz w:val="20"/>
              </w:rPr>
              <w:t> </w:t>
            </w:r>
            <w:r>
              <w:rPr>
                <w:sz w:val="20"/>
              </w:rPr>
              <w:t>harass native animals, pets and livestock and kill pest </w:t>
            </w:r>
            <w:r>
              <w:rPr>
                <w:spacing w:val="-2"/>
                <w:sz w:val="20"/>
              </w:rPr>
              <w:t>species.</w:t>
            </w:r>
          </w:p>
        </w:tc>
        <w:tc>
          <w:tcPr>
            <w:tcW w:w="2828" w:type="dxa"/>
            <w:tcBorders>
              <w:top w:val="single" w:sz="4" w:space="0" w:color="808080"/>
              <w:bottom w:val="single" w:sz="4" w:space="0" w:color="808080"/>
            </w:tcBorders>
            <w:shd w:val="clear" w:color="auto" w:fill="CCDBEA"/>
          </w:tcPr>
          <w:p>
            <w:pPr>
              <w:pStyle w:val="TableParagraph"/>
              <w:spacing w:before="78"/>
              <w:ind w:left="107"/>
              <w:rPr>
                <w:sz w:val="20"/>
              </w:rPr>
            </w:pPr>
            <w:r>
              <w:rPr>
                <w:sz w:val="20"/>
              </w:rPr>
              <w:t>Likely</w:t>
            </w:r>
            <w:r>
              <w:rPr>
                <w:spacing w:val="-8"/>
                <w:sz w:val="20"/>
              </w:rPr>
              <w:t> </w:t>
            </w:r>
            <w:r>
              <w:rPr>
                <w:sz w:val="20"/>
              </w:rPr>
              <w:t>to</w:t>
            </w:r>
            <w:r>
              <w:rPr>
                <w:spacing w:val="-9"/>
                <w:sz w:val="20"/>
              </w:rPr>
              <w:t> </w:t>
            </w:r>
            <w:r>
              <w:rPr>
                <w:sz w:val="20"/>
              </w:rPr>
              <w:t>be</w:t>
            </w:r>
            <w:r>
              <w:rPr>
                <w:spacing w:val="-9"/>
                <w:sz w:val="20"/>
              </w:rPr>
              <w:t> </w:t>
            </w:r>
            <w:r>
              <w:rPr>
                <w:sz w:val="20"/>
              </w:rPr>
              <w:t>most</w:t>
            </w:r>
            <w:r>
              <w:rPr>
                <w:spacing w:val="-9"/>
                <w:sz w:val="20"/>
              </w:rPr>
              <w:t> </w:t>
            </w:r>
            <w:r>
              <w:rPr>
                <w:sz w:val="20"/>
              </w:rPr>
              <w:t>effective</w:t>
            </w:r>
            <w:r>
              <w:rPr>
                <w:spacing w:val="-9"/>
                <w:sz w:val="20"/>
              </w:rPr>
              <w:t> </w:t>
            </w:r>
            <w:r>
              <w:rPr>
                <w:sz w:val="20"/>
              </w:rPr>
              <w:t>for small holdings.</w:t>
            </w:r>
          </w:p>
        </w:tc>
        <w:tc>
          <w:tcPr>
            <w:tcW w:w="2828" w:type="dxa"/>
            <w:tcBorders>
              <w:top w:val="single" w:sz="4" w:space="0" w:color="808080"/>
              <w:bottom w:val="single" w:sz="4" w:space="0" w:color="808080"/>
            </w:tcBorders>
          </w:tcPr>
          <w:p>
            <w:pPr>
              <w:pStyle w:val="TableParagraph"/>
              <w:spacing w:before="78"/>
              <w:ind w:left="107"/>
              <w:rPr>
                <w:sz w:val="20"/>
              </w:rPr>
            </w:pPr>
            <w:r>
              <w:rPr>
                <w:sz w:val="20"/>
              </w:rPr>
              <w:t>Require additional time and management</w:t>
            </w:r>
            <w:r>
              <w:rPr>
                <w:spacing w:val="-13"/>
                <w:sz w:val="20"/>
              </w:rPr>
              <w:t> </w:t>
            </w:r>
            <w:r>
              <w:rPr>
                <w:sz w:val="20"/>
              </w:rPr>
              <w:t>to</w:t>
            </w:r>
            <w:r>
              <w:rPr>
                <w:spacing w:val="-14"/>
                <w:sz w:val="20"/>
              </w:rPr>
              <w:t> </w:t>
            </w:r>
            <w:r>
              <w:rPr>
                <w:sz w:val="20"/>
              </w:rPr>
              <w:t>be</w:t>
            </w:r>
            <w:r>
              <w:rPr>
                <w:spacing w:val="-14"/>
                <w:sz w:val="20"/>
              </w:rPr>
              <w:t> </w:t>
            </w:r>
            <w:r>
              <w:rPr>
                <w:sz w:val="20"/>
              </w:rPr>
              <w:t>effective, can have off-target impacts and cause problems with </w:t>
            </w:r>
            <w:r>
              <w:rPr>
                <w:spacing w:val="-2"/>
                <w:sz w:val="20"/>
              </w:rPr>
              <w:t>neighbours.</w:t>
            </w:r>
          </w:p>
        </w:tc>
      </w:tr>
      <w:tr>
        <w:trPr>
          <w:trHeight w:val="600" w:hRule="atLeast"/>
        </w:trPr>
        <w:tc>
          <w:tcPr>
            <w:tcW w:w="1311" w:type="dxa"/>
            <w:vMerge/>
            <w:tcBorders>
              <w:top w:val="nil"/>
              <w:bottom w:val="single" w:sz="4" w:space="0" w:color="000000"/>
            </w:tcBorders>
          </w:tcPr>
          <w:p>
            <w:pPr>
              <w:rPr>
                <w:sz w:val="2"/>
                <w:szCs w:val="2"/>
              </w:rPr>
            </w:pPr>
          </w:p>
        </w:tc>
        <w:tc>
          <w:tcPr>
            <w:tcW w:w="1668" w:type="dxa"/>
            <w:tcBorders>
              <w:top w:val="single" w:sz="4" w:space="0" w:color="808080"/>
              <w:bottom w:val="single" w:sz="4" w:space="0" w:color="000000"/>
            </w:tcBorders>
          </w:tcPr>
          <w:p>
            <w:pPr>
              <w:pStyle w:val="TableParagraph"/>
              <w:spacing w:before="78"/>
              <w:ind w:left="107" w:right="242"/>
              <w:rPr>
                <w:sz w:val="20"/>
              </w:rPr>
            </w:pPr>
            <w:r>
              <w:rPr>
                <w:spacing w:val="-2"/>
                <w:sz w:val="20"/>
              </w:rPr>
              <w:t>Frightening devices</w:t>
            </w:r>
          </w:p>
        </w:tc>
        <w:tc>
          <w:tcPr>
            <w:tcW w:w="2825" w:type="dxa"/>
            <w:tcBorders>
              <w:top w:val="single" w:sz="4" w:space="0" w:color="808080"/>
              <w:bottom w:val="single" w:sz="4" w:space="0" w:color="000000"/>
            </w:tcBorders>
            <w:shd w:val="clear" w:color="auto" w:fill="CCDBEA"/>
          </w:tcPr>
          <w:p>
            <w:pPr>
              <w:pStyle w:val="TableParagraph"/>
              <w:spacing w:before="78"/>
              <w:ind w:left="107"/>
              <w:rPr>
                <w:sz w:val="20"/>
              </w:rPr>
            </w:pPr>
            <w:r>
              <w:rPr>
                <w:sz w:val="20"/>
              </w:rPr>
              <w:t>Not</w:t>
            </w:r>
            <w:r>
              <w:rPr>
                <w:spacing w:val="-5"/>
                <w:sz w:val="20"/>
              </w:rPr>
              <w:t> </w:t>
            </w:r>
            <w:r>
              <w:rPr>
                <w:sz w:val="20"/>
              </w:rPr>
              <w:t>cost</w:t>
            </w:r>
            <w:r>
              <w:rPr>
                <w:spacing w:val="-4"/>
                <w:sz w:val="20"/>
              </w:rPr>
              <w:t> </w:t>
            </w:r>
            <w:r>
              <w:rPr>
                <w:spacing w:val="-2"/>
                <w:sz w:val="20"/>
              </w:rPr>
              <w:t>effective</w:t>
            </w:r>
          </w:p>
        </w:tc>
        <w:tc>
          <w:tcPr>
            <w:tcW w:w="2828" w:type="dxa"/>
            <w:tcBorders>
              <w:top w:val="single" w:sz="4" w:space="0" w:color="808080"/>
              <w:bottom w:val="single" w:sz="4" w:space="0" w:color="000000"/>
            </w:tcBorders>
          </w:tcPr>
          <w:p>
            <w:pPr>
              <w:pStyle w:val="TableParagraph"/>
              <w:spacing w:before="78"/>
              <w:ind w:left="108"/>
              <w:rPr>
                <w:sz w:val="20"/>
              </w:rPr>
            </w:pPr>
            <w:r>
              <w:rPr>
                <w:sz w:val="20"/>
              </w:rPr>
              <w:t>No</w:t>
            </w:r>
            <w:r>
              <w:rPr>
                <w:spacing w:val="-10"/>
                <w:sz w:val="20"/>
              </w:rPr>
              <w:t> </w:t>
            </w:r>
            <w:r>
              <w:rPr>
                <w:sz w:val="20"/>
              </w:rPr>
              <w:t>non-target</w:t>
            </w:r>
            <w:r>
              <w:rPr>
                <w:spacing w:val="-9"/>
                <w:sz w:val="20"/>
              </w:rPr>
              <w:t> </w:t>
            </w:r>
            <w:r>
              <w:rPr>
                <w:sz w:val="20"/>
              </w:rPr>
              <w:t>impacts</w:t>
            </w:r>
            <w:r>
              <w:rPr>
                <w:spacing w:val="-9"/>
                <w:sz w:val="20"/>
              </w:rPr>
              <w:t> </w:t>
            </w:r>
            <w:r>
              <w:rPr>
                <w:spacing w:val="-2"/>
                <w:sz w:val="20"/>
              </w:rPr>
              <w:t>known</w:t>
            </w:r>
          </w:p>
        </w:tc>
        <w:tc>
          <w:tcPr>
            <w:tcW w:w="2828" w:type="dxa"/>
            <w:tcBorders>
              <w:top w:val="single" w:sz="4" w:space="0" w:color="808080"/>
              <w:bottom w:val="single" w:sz="4" w:space="0" w:color="000000"/>
            </w:tcBorders>
            <w:shd w:val="clear" w:color="auto" w:fill="CCDBEA"/>
          </w:tcPr>
          <w:p>
            <w:pPr>
              <w:pStyle w:val="TableParagraph"/>
              <w:spacing w:before="78"/>
              <w:ind w:left="107"/>
              <w:rPr>
                <w:sz w:val="20"/>
              </w:rPr>
            </w:pPr>
            <w:r>
              <w:rPr>
                <w:sz w:val="20"/>
              </w:rPr>
              <w:t>Most</w:t>
            </w:r>
            <w:r>
              <w:rPr>
                <w:spacing w:val="-14"/>
                <w:sz w:val="20"/>
              </w:rPr>
              <w:t> </w:t>
            </w:r>
            <w:r>
              <w:rPr>
                <w:sz w:val="20"/>
              </w:rPr>
              <w:t>humane</w:t>
            </w:r>
            <w:r>
              <w:rPr>
                <w:spacing w:val="-14"/>
                <w:sz w:val="20"/>
              </w:rPr>
              <w:t> </w:t>
            </w:r>
            <w:r>
              <w:rPr>
                <w:sz w:val="20"/>
              </w:rPr>
              <w:t>alternative</w:t>
            </w:r>
            <w:r>
              <w:rPr>
                <w:spacing w:val="-13"/>
                <w:sz w:val="20"/>
              </w:rPr>
              <w:t> </w:t>
            </w:r>
            <w:r>
              <w:rPr>
                <w:sz w:val="20"/>
              </w:rPr>
              <w:t>to </w:t>
            </w:r>
            <w:r>
              <w:rPr>
                <w:spacing w:val="-4"/>
                <w:sz w:val="20"/>
              </w:rPr>
              <w:t>1080</w:t>
            </w:r>
          </w:p>
        </w:tc>
        <w:tc>
          <w:tcPr>
            <w:tcW w:w="2828" w:type="dxa"/>
            <w:tcBorders>
              <w:top w:val="single" w:sz="4" w:space="0" w:color="808080"/>
              <w:bottom w:val="single" w:sz="4" w:space="0" w:color="000000"/>
            </w:tcBorders>
          </w:tcPr>
          <w:p>
            <w:pPr>
              <w:pStyle w:val="TableParagraph"/>
              <w:spacing w:before="78"/>
              <w:ind w:left="107" w:right="121"/>
              <w:rPr>
                <w:sz w:val="20"/>
              </w:rPr>
            </w:pPr>
            <w:r>
              <w:rPr>
                <w:sz w:val="20"/>
              </w:rPr>
              <w:t>Only effective in the short term</w:t>
            </w:r>
            <w:r>
              <w:rPr>
                <w:spacing w:val="-12"/>
                <w:sz w:val="20"/>
              </w:rPr>
              <w:t> </w:t>
            </w:r>
            <w:r>
              <w:rPr>
                <w:sz w:val="20"/>
              </w:rPr>
              <w:t>and</w:t>
            </w:r>
            <w:r>
              <w:rPr>
                <w:spacing w:val="-11"/>
                <w:sz w:val="20"/>
              </w:rPr>
              <w:t> </w:t>
            </w:r>
            <w:r>
              <w:rPr>
                <w:sz w:val="20"/>
              </w:rPr>
              <w:t>in</w:t>
            </w:r>
            <w:r>
              <w:rPr>
                <w:spacing w:val="-10"/>
                <w:sz w:val="20"/>
              </w:rPr>
              <w:t> </w:t>
            </w:r>
            <w:r>
              <w:rPr>
                <w:sz w:val="20"/>
              </w:rPr>
              <w:t>localised</w:t>
            </w:r>
            <w:r>
              <w:rPr>
                <w:spacing w:val="-11"/>
                <w:sz w:val="20"/>
              </w:rPr>
              <w:t> </w:t>
            </w:r>
            <w:r>
              <w:rPr>
                <w:sz w:val="20"/>
              </w:rPr>
              <w:t>areas.</w:t>
            </w:r>
          </w:p>
        </w:tc>
      </w:tr>
    </w:tbl>
    <w:p>
      <w:pPr>
        <w:pStyle w:val="BodyText"/>
      </w:pPr>
      <w:bookmarkStart w:name="_bookmark19" w:id="93"/>
      <w:bookmarkEnd w:id="93"/>
      <w:r>
        <w:rPr/>
      </w:r>
      <w:r>
        <w:rPr/>
      </w:r>
    </w:p>
    <w:p>
      <w:pPr>
        <w:spacing w:after="0"/>
        <w:sectPr>
          <w:type w:val="continuous"/>
          <w:pgSz w:w="16850" w:h="11910" w:orient="landscape"/>
          <w:pgMar w:header="0" w:footer="686" w:top="1100" w:bottom="880" w:left="1020" w:right="1020"/>
        </w:sectPr>
      </w:pPr>
    </w:p>
    <w:p>
      <w:pPr>
        <w:pStyle w:val="Heading2"/>
        <w:numPr>
          <w:ilvl w:val="0"/>
          <w:numId w:val="14"/>
        </w:numPr>
        <w:tabs>
          <w:tab w:pos="679" w:val="left" w:leader="none"/>
        </w:tabs>
        <w:spacing w:line="300" w:lineRule="auto" w:before="61" w:after="0"/>
        <w:ind w:left="679" w:right="187" w:hanging="567"/>
        <w:jc w:val="left"/>
      </w:pPr>
      <w:bookmarkStart w:name="_TOC_250021" w:id="94"/>
      <w:r>
        <w:rPr>
          <w:color w:val="001F5F"/>
        </w:rPr>
        <w:t>Non-target impacts of lethal methods for managing European</w:t>
      </w:r>
      <w:r>
        <w:rPr>
          <w:color w:val="001F5F"/>
          <w:spacing w:val="-5"/>
        </w:rPr>
        <w:t> </w:t>
      </w:r>
      <w:r>
        <w:rPr>
          <w:color w:val="001F5F"/>
        </w:rPr>
        <w:t>Rabbits,</w:t>
      </w:r>
      <w:r>
        <w:rPr>
          <w:color w:val="001F5F"/>
          <w:spacing w:val="-4"/>
        </w:rPr>
        <w:t> </w:t>
      </w:r>
      <w:r>
        <w:rPr>
          <w:color w:val="001F5F"/>
        </w:rPr>
        <w:t>Feral</w:t>
      </w:r>
      <w:r>
        <w:rPr>
          <w:color w:val="001F5F"/>
          <w:spacing w:val="-5"/>
        </w:rPr>
        <w:t> </w:t>
      </w:r>
      <w:r>
        <w:rPr>
          <w:color w:val="001F5F"/>
        </w:rPr>
        <w:t>Pigs,</w:t>
      </w:r>
      <w:r>
        <w:rPr>
          <w:color w:val="001F5F"/>
          <w:spacing w:val="-5"/>
        </w:rPr>
        <w:t> </w:t>
      </w:r>
      <w:r>
        <w:rPr>
          <w:color w:val="001F5F"/>
        </w:rPr>
        <w:t>Red</w:t>
      </w:r>
      <w:r>
        <w:rPr>
          <w:color w:val="001F5F"/>
          <w:spacing w:val="-5"/>
        </w:rPr>
        <w:t> </w:t>
      </w:r>
      <w:r>
        <w:rPr>
          <w:color w:val="001F5F"/>
        </w:rPr>
        <w:t>Foxes,</w:t>
      </w:r>
      <w:r>
        <w:rPr>
          <w:color w:val="001F5F"/>
          <w:spacing w:val="-5"/>
        </w:rPr>
        <w:t> </w:t>
      </w:r>
      <w:r>
        <w:rPr>
          <w:color w:val="001F5F"/>
        </w:rPr>
        <w:t>and</w:t>
      </w:r>
      <w:r>
        <w:rPr>
          <w:color w:val="001F5F"/>
          <w:spacing w:val="-3"/>
        </w:rPr>
        <w:t> </w:t>
      </w:r>
      <w:r>
        <w:rPr>
          <w:color w:val="001F5F"/>
        </w:rPr>
        <w:t>Dingoes</w:t>
      </w:r>
      <w:r>
        <w:rPr>
          <w:color w:val="001F5F"/>
          <w:spacing w:val="-5"/>
        </w:rPr>
        <w:t> </w:t>
      </w:r>
      <w:bookmarkEnd w:id="94"/>
      <w:r>
        <w:rPr>
          <w:color w:val="001F5F"/>
        </w:rPr>
        <w:t>and Wild Dogs</w:t>
      </w:r>
    </w:p>
    <w:p>
      <w:pPr>
        <w:pStyle w:val="BodyText"/>
        <w:spacing w:before="163"/>
        <w:rPr>
          <w:b/>
          <w:sz w:val="32"/>
        </w:rPr>
      </w:pPr>
    </w:p>
    <w:p>
      <w:pPr>
        <w:pStyle w:val="BodyText"/>
        <w:ind w:left="112" w:right="142"/>
      </w:pPr>
      <w:r>
        <w:rPr/>
        <w:t>All pest animal control operations should aim to minimise the impact on non-target animals. Within this general</w:t>
      </w:r>
      <w:r>
        <w:rPr>
          <w:spacing w:val="-3"/>
        </w:rPr>
        <w:t> </w:t>
      </w:r>
      <w:r>
        <w:rPr/>
        <w:t>premise,</w:t>
      </w:r>
      <w:r>
        <w:rPr>
          <w:spacing w:val="-4"/>
        </w:rPr>
        <w:t> </w:t>
      </w:r>
      <w:r>
        <w:rPr/>
        <w:t>there</w:t>
      </w:r>
      <w:r>
        <w:rPr>
          <w:spacing w:val="-4"/>
        </w:rPr>
        <w:t> </w:t>
      </w:r>
      <w:r>
        <w:rPr/>
        <w:t>are two</w:t>
      </w:r>
      <w:r>
        <w:rPr>
          <w:spacing w:val="-4"/>
        </w:rPr>
        <w:t> </w:t>
      </w:r>
      <w:r>
        <w:rPr/>
        <w:t>broad,</w:t>
      </w:r>
      <w:r>
        <w:rPr>
          <w:spacing w:val="-2"/>
        </w:rPr>
        <w:t> </w:t>
      </w:r>
      <w:r>
        <w:rPr/>
        <w:t>but</w:t>
      </w:r>
      <w:r>
        <w:rPr>
          <w:spacing w:val="-2"/>
        </w:rPr>
        <w:t> </w:t>
      </w:r>
      <w:r>
        <w:rPr/>
        <w:t>not</w:t>
      </w:r>
      <w:r>
        <w:rPr>
          <w:spacing w:val="-4"/>
        </w:rPr>
        <w:t> </w:t>
      </w:r>
      <w:r>
        <w:rPr/>
        <w:t>separate</w:t>
      </w:r>
      <w:r>
        <w:rPr>
          <w:spacing w:val="-2"/>
        </w:rPr>
        <w:t> </w:t>
      </w:r>
      <w:r>
        <w:rPr/>
        <w:t>components:</w:t>
      </w:r>
      <w:r>
        <w:rPr>
          <w:spacing w:val="-4"/>
        </w:rPr>
        <w:t> </w:t>
      </w:r>
      <w:r>
        <w:rPr/>
        <w:t>(1)</w:t>
      </w:r>
      <w:r>
        <w:rPr>
          <w:spacing w:val="-4"/>
        </w:rPr>
        <w:t> </w:t>
      </w:r>
      <w:r>
        <w:rPr/>
        <w:t>the</w:t>
      </w:r>
      <w:r>
        <w:rPr>
          <w:spacing w:val="-2"/>
        </w:rPr>
        <w:t> </w:t>
      </w:r>
      <w:r>
        <w:rPr/>
        <w:t>humaneness</w:t>
      </w:r>
      <w:r>
        <w:rPr>
          <w:spacing w:val="-3"/>
        </w:rPr>
        <w:t> </w:t>
      </w:r>
      <w:r>
        <w:rPr/>
        <w:t>and</w:t>
      </w:r>
      <w:r>
        <w:rPr>
          <w:spacing w:val="-5"/>
        </w:rPr>
        <w:t> </w:t>
      </w:r>
      <w:r>
        <w:rPr/>
        <w:t>animal</w:t>
      </w:r>
      <w:r>
        <w:rPr>
          <w:spacing w:val="-5"/>
        </w:rPr>
        <w:t> </w:t>
      </w:r>
      <w:r>
        <w:rPr/>
        <w:t>welfare considerations at the level of the individual animal; and (2) the impact of the control action on the population of non-target animals.</w:t>
      </w:r>
    </w:p>
    <w:p>
      <w:pPr>
        <w:pStyle w:val="BodyText"/>
        <w:spacing w:before="122"/>
        <w:ind w:left="112" w:right="142"/>
      </w:pPr>
      <w:r>
        <w:rPr/>
        <w:t>This section reviews the literature on the possible population-level impacts on non-target species from the use of 1080 and its alternatives. Where this information is not available, we include information on the theoretical</w:t>
      </w:r>
      <w:r>
        <w:rPr>
          <w:spacing w:val="-5"/>
        </w:rPr>
        <w:t> </w:t>
      </w:r>
      <w:r>
        <w:rPr/>
        <w:t>impact</w:t>
      </w:r>
      <w:r>
        <w:rPr>
          <w:spacing w:val="-2"/>
        </w:rPr>
        <w:t> </w:t>
      </w:r>
      <w:r>
        <w:rPr/>
        <w:t>of</w:t>
      </w:r>
      <w:r>
        <w:rPr>
          <w:spacing w:val="-4"/>
        </w:rPr>
        <w:t> </w:t>
      </w:r>
      <w:r>
        <w:rPr/>
        <w:t>toxins</w:t>
      </w:r>
      <w:r>
        <w:rPr>
          <w:spacing w:val="-1"/>
        </w:rPr>
        <w:t> </w:t>
      </w:r>
      <w:r>
        <w:rPr/>
        <w:t>and</w:t>
      </w:r>
      <w:r>
        <w:rPr>
          <w:spacing w:val="-2"/>
        </w:rPr>
        <w:t> </w:t>
      </w:r>
      <w:r>
        <w:rPr/>
        <w:t>general</w:t>
      </w:r>
      <w:r>
        <w:rPr>
          <w:spacing w:val="-3"/>
        </w:rPr>
        <w:t> </w:t>
      </w:r>
      <w:r>
        <w:rPr/>
        <w:t>field</w:t>
      </w:r>
      <w:r>
        <w:rPr>
          <w:spacing w:val="-2"/>
        </w:rPr>
        <w:t> </w:t>
      </w:r>
      <w:r>
        <w:rPr/>
        <w:t>observations</w:t>
      </w:r>
      <w:r>
        <w:rPr>
          <w:spacing w:val="-3"/>
        </w:rPr>
        <w:t> </w:t>
      </w:r>
      <w:r>
        <w:rPr/>
        <w:t>on</w:t>
      </w:r>
      <w:r>
        <w:rPr>
          <w:spacing w:val="-3"/>
        </w:rPr>
        <w:t> </w:t>
      </w:r>
      <w:r>
        <w:rPr/>
        <w:t>the</w:t>
      </w:r>
      <w:r>
        <w:rPr>
          <w:spacing w:val="-5"/>
        </w:rPr>
        <w:t> </w:t>
      </w:r>
      <w:r>
        <w:rPr/>
        <w:t>response</w:t>
      </w:r>
      <w:r>
        <w:rPr>
          <w:spacing w:val="-2"/>
        </w:rPr>
        <w:t> </w:t>
      </w:r>
      <w:r>
        <w:rPr/>
        <w:t>of</w:t>
      </w:r>
      <w:r>
        <w:rPr>
          <w:spacing w:val="-4"/>
        </w:rPr>
        <w:t> </w:t>
      </w:r>
      <w:r>
        <w:rPr/>
        <w:t>native</w:t>
      </w:r>
      <w:r>
        <w:rPr>
          <w:spacing w:val="-4"/>
        </w:rPr>
        <w:t> </w:t>
      </w:r>
      <w:r>
        <w:rPr/>
        <w:t>animals.</w:t>
      </w:r>
      <w:r>
        <w:rPr>
          <w:spacing w:val="-4"/>
        </w:rPr>
        <w:t> </w:t>
      </w:r>
      <w:r>
        <w:rPr/>
        <w:t>We</w:t>
      </w:r>
      <w:r>
        <w:rPr>
          <w:spacing w:val="-4"/>
        </w:rPr>
        <w:t> </w:t>
      </w:r>
      <w:r>
        <w:rPr/>
        <w:t>review</w:t>
      </w:r>
      <w:r>
        <w:rPr>
          <w:spacing w:val="-4"/>
        </w:rPr>
        <w:t> </w:t>
      </w:r>
      <w:r>
        <w:rPr/>
        <w:t>the humaneness and animal welfare of the control measures in Section</w:t>
      </w:r>
      <w:hyperlink w:history="true" w:anchor="_bookmark22">
        <w:r>
          <w:rPr/>
          <w:t>15.</w:t>
        </w:r>
      </w:hyperlink>
    </w:p>
    <w:p>
      <w:pPr>
        <w:pStyle w:val="BodyText"/>
        <w:spacing w:before="154"/>
      </w:pPr>
    </w:p>
    <w:p>
      <w:pPr>
        <w:pStyle w:val="Heading3"/>
        <w:numPr>
          <w:ilvl w:val="1"/>
          <w:numId w:val="22"/>
        </w:numPr>
        <w:tabs>
          <w:tab w:pos="686" w:val="left" w:leader="none"/>
          <w:tab w:pos="689" w:val="left" w:leader="none"/>
        </w:tabs>
        <w:spacing w:line="261" w:lineRule="auto" w:before="0" w:after="0"/>
        <w:ind w:left="689" w:right="1036" w:hanging="577"/>
        <w:jc w:val="left"/>
      </w:pPr>
      <w:r>
        <w:rPr>
          <w:color w:val="2D1E66"/>
        </w:rPr>
        <w:t>Impacts</w:t>
      </w:r>
      <w:r>
        <w:rPr>
          <w:color w:val="2D1E66"/>
          <w:spacing w:val="-2"/>
        </w:rPr>
        <w:t> </w:t>
      </w:r>
      <w:r>
        <w:rPr>
          <w:color w:val="2D1E66"/>
        </w:rPr>
        <w:t>of</w:t>
      </w:r>
      <w:r>
        <w:rPr>
          <w:color w:val="2D1E66"/>
          <w:spacing w:val="-4"/>
        </w:rPr>
        <w:t> </w:t>
      </w:r>
      <w:r>
        <w:rPr>
          <w:color w:val="2D1E66"/>
        </w:rPr>
        <w:t>toxic</w:t>
      </w:r>
      <w:r>
        <w:rPr>
          <w:color w:val="2D1E66"/>
          <w:spacing w:val="-3"/>
        </w:rPr>
        <w:t> </w:t>
      </w:r>
      <w:r>
        <w:rPr>
          <w:color w:val="2D1E66"/>
        </w:rPr>
        <w:t>bait</w:t>
      </w:r>
      <w:r>
        <w:rPr>
          <w:color w:val="2D1E66"/>
          <w:spacing w:val="-4"/>
        </w:rPr>
        <w:t> </w:t>
      </w:r>
      <w:r>
        <w:rPr>
          <w:color w:val="2D1E66"/>
        </w:rPr>
        <w:t>on</w:t>
      </w:r>
      <w:r>
        <w:rPr>
          <w:color w:val="2D1E66"/>
          <w:spacing w:val="-3"/>
        </w:rPr>
        <w:t> </w:t>
      </w:r>
      <w:r>
        <w:rPr>
          <w:color w:val="2D1E66"/>
        </w:rPr>
        <w:t>non-target</w:t>
      </w:r>
      <w:r>
        <w:rPr>
          <w:color w:val="2D1E66"/>
          <w:spacing w:val="-3"/>
        </w:rPr>
        <w:t> </w:t>
      </w:r>
      <w:r>
        <w:rPr>
          <w:color w:val="2D1E66"/>
        </w:rPr>
        <w:t>species</w:t>
      </w:r>
      <w:r>
        <w:rPr>
          <w:color w:val="2D1E66"/>
          <w:spacing w:val="-3"/>
        </w:rPr>
        <w:t> </w:t>
      </w:r>
      <w:r>
        <w:rPr>
          <w:color w:val="2D1E66"/>
        </w:rPr>
        <w:t>(1080,</w:t>
      </w:r>
      <w:r>
        <w:rPr>
          <w:color w:val="2D1E66"/>
          <w:spacing w:val="-5"/>
        </w:rPr>
        <w:t> </w:t>
      </w:r>
      <w:r>
        <w:rPr>
          <w:color w:val="2D1E66"/>
        </w:rPr>
        <w:t>PAPP,</w:t>
      </w:r>
      <w:r>
        <w:rPr>
          <w:color w:val="2D1E66"/>
          <w:spacing w:val="-2"/>
        </w:rPr>
        <w:t> </w:t>
      </w:r>
      <w:r>
        <w:rPr>
          <w:color w:val="2D1E66"/>
        </w:rPr>
        <w:t>sodium</w:t>
      </w:r>
      <w:r>
        <w:rPr>
          <w:color w:val="2D1E66"/>
          <w:spacing w:val="-3"/>
        </w:rPr>
        <w:t> </w:t>
      </w:r>
      <w:r>
        <w:rPr>
          <w:color w:val="2D1E66"/>
        </w:rPr>
        <w:t>nitrite, </w:t>
      </w:r>
      <w:r>
        <w:rPr>
          <w:color w:val="2D1E66"/>
          <w:spacing w:val="-2"/>
        </w:rPr>
        <w:t>pindone)</w:t>
      </w:r>
    </w:p>
    <w:p>
      <w:pPr>
        <w:pStyle w:val="BodyText"/>
        <w:spacing w:before="87"/>
        <w:ind w:left="112" w:right="94"/>
      </w:pPr>
      <w:r>
        <w:rPr/>
        <w:t>Laboratory and theoretical studies show that a range of Australian native animals are susceptible to: 1080, and</w:t>
      </w:r>
      <w:r>
        <w:rPr>
          <w:spacing w:val="-2"/>
        </w:rPr>
        <w:t> </w:t>
      </w:r>
      <w:r>
        <w:rPr/>
        <w:t>sodium</w:t>
      </w:r>
      <w:r>
        <w:rPr>
          <w:spacing w:val="-2"/>
        </w:rPr>
        <w:t> </w:t>
      </w:r>
      <w:r>
        <w:rPr/>
        <w:t>nitrite</w:t>
      </w:r>
      <w:r>
        <w:rPr>
          <w:spacing w:val="-2"/>
        </w:rPr>
        <w:t> </w:t>
      </w:r>
      <w:r>
        <w:rPr/>
        <w:t>poisoning at</w:t>
      </w:r>
      <w:r>
        <w:rPr>
          <w:spacing w:val="-2"/>
        </w:rPr>
        <w:t> </w:t>
      </w:r>
      <w:r>
        <w:rPr/>
        <w:t>the</w:t>
      </w:r>
      <w:r>
        <w:rPr>
          <w:spacing w:val="-1"/>
        </w:rPr>
        <w:t> </w:t>
      </w:r>
      <w:r>
        <w:rPr/>
        <w:t>doses</w:t>
      </w:r>
      <w:r>
        <w:rPr>
          <w:spacing w:val="-1"/>
        </w:rPr>
        <w:t> </w:t>
      </w:r>
      <w:r>
        <w:rPr/>
        <w:t>required to</w:t>
      </w:r>
      <w:r>
        <w:rPr>
          <w:spacing w:val="-3"/>
        </w:rPr>
        <w:t> </w:t>
      </w:r>
      <w:r>
        <w:rPr/>
        <w:t>kill</w:t>
      </w:r>
      <w:r>
        <w:rPr>
          <w:spacing w:val="-3"/>
        </w:rPr>
        <w:t> </w:t>
      </w:r>
      <w:r>
        <w:rPr/>
        <w:t>a Feral</w:t>
      </w:r>
      <w:r>
        <w:rPr>
          <w:spacing w:val="-1"/>
        </w:rPr>
        <w:t> </w:t>
      </w:r>
      <w:r>
        <w:rPr/>
        <w:t>Pig</w:t>
      </w:r>
      <w:r>
        <w:rPr>
          <w:spacing w:val="-1"/>
        </w:rPr>
        <w:t> </w:t>
      </w:r>
      <w:r>
        <w:rPr/>
        <w:t>(Lapidge and Eason</w:t>
      </w:r>
      <w:r>
        <w:rPr>
          <w:spacing w:val="-1"/>
        </w:rPr>
        <w:t> </w:t>
      </w:r>
      <w:r>
        <w:rPr/>
        <w:t>2010; McIlroy</w:t>
      </w:r>
      <w:r>
        <w:rPr>
          <w:spacing w:val="-1"/>
        </w:rPr>
        <w:t> </w:t>
      </w:r>
      <w:r>
        <w:rPr/>
        <w:t>1986; O’Brien et al. 1986; Shapiro 2017; Twigg et al. 2005); the dose rates of 1080 and PAPP in baits for killing Dingo and Wild Dogs and foxes (Marks et al. 2023; McIlroy 1981, 1982, 1983; McIlroy and Archer 1982; McIlroy</w:t>
      </w:r>
      <w:r>
        <w:rPr>
          <w:spacing w:val="-6"/>
        </w:rPr>
        <w:t> </w:t>
      </w:r>
      <w:r>
        <w:rPr/>
        <w:t>et</w:t>
      </w:r>
      <w:r>
        <w:rPr>
          <w:spacing w:val="-5"/>
        </w:rPr>
        <w:t> </w:t>
      </w:r>
      <w:r>
        <w:rPr/>
        <w:t>al.</w:t>
      </w:r>
      <w:r>
        <w:rPr>
          <w:spacing w:val="-4"/>
        </w:rPr>
        <w:t> </w:t>
      </w:r>
      <w:r>
        <w:rPr/>
        <w:t>1985);</w:t>
      </w:r>
      <w:r>
        <w:rPr>
          <w:spacing w:val="-7"/>
        </w:rPr>
        <w:t> </w:t>
      </w:r>
      <w:r>
        <w:rPr/>
        <w:t>and</w:t>
      </w:r>
      <w:r>
        <w:rPr>
          <w:spacing w:val="-6"/>
        </w:rPr>
        <w:t> </w:t>
      </w:r>
      <w:r>
        <w:rPr/>
        <w:t>dosages</w:t>
      </w:r>
      <w:r>
        <w:rPr>
          <w:spacing w:val="-6"/>
        </w:rPr>
        <w:t> </w:t>
      </w:r>
      <w:r>
        <w:rPr/>
        <w:t>in</w:t>
      </w:r>
      <w:r>
        <w:rPr>
          <w:spacing w:val="-5"/>
        </w:rPr>
        <w:t> </w:t>
      </w:r>
      <w:r>
        <w:rPr/>
        <w:t>1080</w:t>
      </w:r>
      <w:r>
        <w:rPr>
          <w:spacing w:val="-6"/>
        </w:rPr>
        <w:t> </w:t>
      </w:r>
      <w:r>
        <w:rPr/>
        <w:t>baits</w:t>
      </w:r>
      <w:r>
        <w:rPr>
          <w:spacing w:val="-6"/>
        </w:rPr>
        <w:t> </w:t>
      </w:r>
      <w:r>
        <w:rPr/>
        <w:t>for</w:t>
      </w:r>
      <w:r>
        <w:rPr>
          <w:spacing w:val="-7"/>
        </w:rPr>
        <w:t> </w:t>
      </w:r>
      <w:r>
        <w:rPr/>
        <w:t>killing</w:t>
      </w:r>
      <w:r>
        <w:rPr>
          <w:spacing w:val="-4"/>
        </w:rPr>
        <w:t> </w:t>
      </w:r>
      <w:r>
        <w:rPr/>
        <w:t>European</w:t>
      </w:r>
      <w:r>
        <w:rPr>
          <w:spacing w:val="-5"/>
        </w:rPr>
        <w:t> </w:t>
      </w:r>
      <w:r>
        <w:rPr/>
        <w:t>Rabbits</w:t>
      </w:r>
      <w:r>
        <w:rPr>
          <w:spacing w:val="-5"/>
        </w:rPr>
        <w:t> </w:t>
      </w:r>
      <w:r>
        <w:rPr/>
        <w:t>(McIlroy</w:t>
      </w:r>
      <w:r>
        <w:rPr>
          <w:spacing w:val="-5"/>
        </w:rPr>
        <w:t> </w:t>
      </w:r>
      <w:r>
        <w:rPr/>
        <w:t>and</w:t>
      </w:r>
      <w:r>
        <w:rPr>
          <w:spacing w:val="-7"/>
        </w:rPr>
        <w:t> </w:t>
      </w:r>
      <w:r>
        <w:rPr/>
        <w:t>Gifford</w:t>
      </w:r>
      <w:r>
        <w:rPr>
          <w:spacing w:val="-5"/>
        </w:rPr>
        <w:t> </w:t>
      </w:r>
      <w:r>
        <w:rPr/>
        <w:t>1991,</w:t>
      </w:r>
      <w:r>
        <w:rPr>
          <w:spacing w:val="-5"/>
        </w:rPr>
        <w:t> </w:t>
      </w:r>
      <w:r>
        <w:rPr>
          <w:spacing w:val="-2"/>
        </w:rPr>
        <w:t>1992).</w:t>
      </w:r>
    </w:p>
    <w:p>
      <w:pPr>
        <w:pStyle w:val="BodyText"/>
        <w:spacing w:before="119"/>
        <w:ind w:left="112" w:right="126"/>
      </w:pPr>
      <w:r>
        <w:rPr/>
        <w:t>The</w:t>
      </w:r>
      <w:r>
        <w:rPr>
          <w:spacing w:val="-4"/>
        </w:rPr>
        <w:t> </w:t>
      </w:r>
      <w:r>
        <w:rPr/>
        <w:t>standard</w:t>
      </w:r>
      <w:r>
        <w:rPr>
          <w:spacing w:val="-1"/>
        </w:rPr>
        <w:t> </w:t>
      </w:r>
      <w:r>
        <w:rPr/>
        <w:t>metric</w:t>
      </w:r>
      <w:r>
        <w:rPr>
          <w:spacing w:val="-2"/>
        </w:rPr>
        <w:t> </w:t>
      </w:r>
      <w:r>
        <w:rPr/>
        <w:t>for</w:t>
      </w:r>
      <w:r>
        <w:rPr>
          <w:spacing w:val="-3"/>
        </w:rPr>
        <w:t> </w:t>
      </w:r>
      <w:r>
        <w:rPr/>
        <w:t>determining</w:t>
      </w:r>
      <w:r>
        <w:rPr>
          <w:spacing w:val="-3"/>
        </w:rPr>
        <w:t> </w:t>
      </w:r>
      <w:r>
        <w:rPr/>
        <w:t>if individuals</w:t>
      </w:r>
      <w:r>
        <w:rPr>
          <w:spacing w:val="-2"/>
        </w:rPr>
        <w:t> </w:t>
      </w:r>
      <w:r>
        <w:rPr/>
        <w:t>of</w:t>
      </w:r>
      <w:r>
        <w:rPr>
          <w:spacing w:val="-1"/>
        </w:rPr>
        <w:t> </w:t>
      </w:r>
      <w:r>
        <w:rPr/>
        <w:t>a</w:t>
      </w:r>
      <w:r>
        <w:rPr>
          <w:spacing w:val="-1"/>
        </w:rPr>
        <w:t> </w:t>
      </w:r>
      <w:r>
        <w:rPr/>
        <w:t>species</w:t>
      </w:r>
      <w:r>
        <w:rPr>
          <w:spacing w:val="-1"/>
        </w:rPr>
        <w:t> </w:t>
      </w:r>
      <w:r>
        <w:rPr/>
        <w:t>are</w:t>
      </w:r>
      <w:r>
        <w:rPr>
          <w:spacing w:val="-1"/>
        </w:rPr>
        <w:t> </w:t>
      </w:r>
      <w:r>
        <w:rPr/>
        <w:t>at</w:t>
      </w:r>
      <w:r>
        <w:rPr>
          <w:spacing w:val="-3"/>
        </w:rPr>
        <w:t> </w:t>
      </w:r>
      <w:r>
        <w:rPr/>
        <w:t>risk</w:t>
      </w:r>
      <w:r>
        <w:rPr>
          <w:spacing w:val="-2"/>
        </w:rPr>
        <w:t> </w:t>
      </w:r>
      <w:r>
        <w:rPr/>
        <w:t>to</w:t>
      </w:r>
      <w:r>
        <w:rPr>
          <w:spacing w:val="-2"/>
        </w:rPr>
        <w:t> </w:t>
      </w:r>
      <w:r>
        <w:rPr/>
        <w:t>poisoning</w:t>
      </w:r>
      <w:r>
        <w:rPr>
          <w:spacing w:val="-3"/>
        </w:rPr>
        <w:t> </w:t>
      </w:r>
      <w:r>
        <w:rPr/>
        <w:t>is</w:t>
      </w:r>
      <w:r>
        <w:rPr>
          <w:spacing w:val="-1"/>
        </w:rPr>
        <w:t> </w:t>
      </w:r>
      <w:r>
        <w:rPr/>
        <w:t>the</w:t>
      </w:r>
      <w:r>
        <w:rPr>
          <w:spacing w:val="-4"/>
        </w:rPr>
        <w:t> </w:t>
      </w:r>
      <w:r>
        <w:rPr/>
        <w:t>amount</w:t>
      </w:r>
      <w:r>
        <w:rPr>
          <w:spacing w:val="-1"/>
        </w:rPr>
        <w:t> </w:t>
      </w:r>
      <w:r>
        <w:rPr/>
        <w:t>of</w:t>
      </w:r>
      <w:r>
        <w:rPr>
          <w:spacing w:val="-3"/>
        </w:rPr>
        <w:t> </w:t>
      </w:r>
      <w:r>
        <w:rPr/>
        <w:t>poison that, under</w:t>
      </w:r>
      <w:r>
        <w:rPr>
          <w:spacing w:val="-2"/>
        </w:rPr>
        <w:t> </w:t>
      </w:r>
      <w:r>
        <w:rPr/>
        <w:t>controlled</w:t>
      </w:r>
      <w:r>
        <w:rPr>
          <w:spacing w:val="-2"/>
        </w:rPr>
        <w:t> </w:t>
      </w:r>
      <w:r>
        <w:rPr/>
        <w:t>conditions, will</w:t>
      </w:r>
      <w:r>
        <w:rPr>
          <w:spacing w:val="-1"/>
        </w:rPr>
        <w:t> </w:t>
      </w:r>
      <w:r>
        <w:rPr/>
        <w:t>be</w:t>
      </w:r>
      <w:r>
        <w:rPr>
          <w:spacing w:val="-3"/>
        </w:rPr>
        <w:t> </w:t>
      </w:r>
      <w:r>
        <w:rPr/>
        <w:t>a lethal</w:t>
      </w:r>
      <w:r>
        <w:rPr>
          <w:spacing w:val="-3"/>
        </w:rPr>
        <w:t> </w:t>
      </w:r>
      <w:r>
        <w:rPr/>
        <w:t>dose</w:t>
      </w:r>
      <w:r>
        <w:rPr>
          <w:spacing w:val="-2"/>
        </w:rPr>
        <w:t> </w:t>
      </w:r>
      <w:r>
        <w:rPr/>
        <w:t>to</w:t>
      </w:r>
      <w:r>
        <w:rPr>
          <w:spacing w:val="-2"/>
        </w:rPr>
        <w:t> </w:t>
      </w:r>
      <w:r>
        <w:rPr/>
        <w:t>50% of</w:t>
      </w:r>
      <w:r>
        <w:rPr>
          <w:spacing w:val="-2"/>
        </w:rPr>
        <w:t> </w:t>
      </w:r>
      <w:r>
        <w:rPr/>
        <w:t>a large</w:t>
      </w:r>
      <w:r>
        <w:rPr>
          <w:spacing w:val="-3"/>
        </w:rPr>
        <w:t> </w:t>
      </w:r>
      <w:r>
        <w:rPr/>
        <w:t>number</w:t>
      </w:r>
      <w:r>
        <w:rPr>
          <w:spacing w:val="-1"/>
        </w:rPr>
        <w:t> </w:t>
      </w:r>
      <w:r>
        <w:rPr/>
        <w:t>of test</w:t>
      </w:r>
      <w:r>
        <w:rPr>
          <w:spacing w:val="-2"/>
        </w:rPr>
        <w:t> </w:t>
      </w:r>
      <w:r>
        <w:rPr/>
        <w:t>animals</w:t>
      </w:r>
      <w:r>
        <w:rPr>
          <w:spacing w:val="-1"/>
        </w:rPr>
        <w:t> </w:t>
      </w:r>
      <w:r>
        <w:rPr/>
        <w:t>of a</w:t>
      </w:r>
      <w:r>
        <w:rPr>
          <w:spacing w:val="-3"/>
        </w:rPr>
        <w:t> </w:t>
      </w:r>
      <w:r>
        <w:rPr/>
        <w:t>particular </w:t>
      </w:r>
      <w:r>
        <w:rPr>
          <w:position w:val="1"/>
        </w:rPr>
        <w:t>species (LD</w:t>
      </w:r>
      <w:r>
        <w:rPr>
          <w:sz w:val="13"/>
        </w:rPr>
        <w:t>50</w:t>
      </w:r>
      <w:r>
        <w:rPr>
          <w:position w:val="1"/>
        </w:rPr>
        <w:t>). The value is expressed in milligrams of the substance being tested per kilogram of animal </w:t>
      </w:r>
      <w:r>
        <w:rPr/>
        <w:t>body weight (mg/kg).</w:t>
      </w:r>
    </w:p>
    <w:p>
      <w:pPr>
        <w:pStyle w:val="BodyText"/>
        <w:spacing w:before="120"/>
        <w:ind w:left="112" w:right="142"/>
      </w:pPr>
      <w:r>
        <w:rPr/>
        <w:t>In reality, various factors, including bait acceptance and deployment strategy, will influence the number and variety of non-target populations that could be affected by poisoning. In addition, neophobia to novel items, the</w:t>
      </w:r>
      <w:r>
        <w:rPr>
          <w:spacing w:val="-1"/>
        </w:rPr>
        <w:t> </w:t>
      </w:r>
      <w:r>
        <w:rPr/>
        <w:t>attractiveness and palatability of the bait, the probability that an individual will find</w:t>
      </w:r>
      <w:r>
        <w:rPr>
          <w:spacing w:val="-1"/>
        </w:rPr>
        <w:t> </w:t>
      </w:r>
      <w:r>
        <w:rPr/>
        <w:t>and</w:t>
      </w:r>
      <w:r>
        <w:rPr>
          <w:spacing w:val="-1"/>
        </w:rPr>
        <w:t> </w:t>
      </w:r>
      <w:r>
        <w:rPr/>
        <w:t>then consume the bait,</w:t>
      </w:r>
      <w:r>
        <w:rPr>
          <w:spacing w:val="-3"/>
        </w:rPr>
        <w:t> </w:t>
      </w:r>
      <w:r>
        <w:rPr/>
        <w:t>the</w:t>
      </w:r>
      <w:r>
        <w:rPr>
          <w:spacing w:val="-3"/>
        </w:rPr>
        <w:t> </w:t>
      </w:r>
      <w:r>
        <w:rPr/>
        <w:t>number</w:t>
      </w:r>
      <w:r>
        <w:rPr>
          <w:spacing w:val="-3"/>
        </w:rPr>
        <w:t> </w:t>
      </w:r>
      <w:r>
        <w:rPr/>
        <w:t>of</w:t>
      </w:r>
      <w:r>
        <w:rPr>
          <w:spacing w:val="-3"/>
        </w:rPr>
        <w:t> </w:t>
      </w:r>
      <w:r>
        <w:rPr/>
        <w:t>baits</w:t>
      </w:r>
      <w:r>
        <w:rPr>
          <w:spacing w:val="-2"/>
        </w:rPr>
        <w:t> </w:t>
      </w:r>
      <w:r>
        <w:rPr/>
        <w:t>within</w:t>
      </w:r>
      <w:r>
        <w:rPr>
          <w:spacing w:val="-1"/>
        </w:rPr>
        <w:t> </w:t>
      </w:r>
      <w:r>
        <w:rPr/>
        <w:t>the</w:t>
      </w:r>
      <w:r>
        <w:rPr>
          <w:spacing w:val="-2"/>
        </w:rPr>
        <w:t> </w:t>
      </w:r>
      <w:r>
        <w:rPr/>
        <w:t>home</w:t>
      </w:r>
      <w:r>
        <w:rPr>
          <w:spacing w:val="-3"/>
        </w:rPr>
        <w:t> </w:t>
      </w:r>
      <w:r>
        <w:rPr/>
        <w:t>range</w:t>
      </w:r>
      <w:r>
        <w:rPr>
          <w:spacing w:val="-2"/>
        </w:rPr>
        <w:t> </w:t>
      </w:r>
      <w:r>
        <w:rPr/>
        <w:t>of</w:t>
      </w:r>
      <w:r>
        <w:rPr>
          <w:spacing w:val="-3"/>
        </w:rPr>
        <w:t> </w:t>
      </w:r>
      <w:r>
        <w:rPr/>
        <w:t>non-target</w:t>
      </w:r>
      <w:r>
        <w:rPr>
          <w:spacing w:val="-1"/>
        </w:rPr>
        <w:t> </w:t>
      </w:r>
      <w:r>
        <w:rPr/>
        <w:t>animals,</w:t>
      </w:r>
      <w:r>
        <w:rPr>
          <w:spacing w:val="-3"/>
        </w:rPr>
        <w:t> </w:t>
      </w:r>
      <w:r>
        <w:rPr/>
        <w:t>the</w:t>
      </w:r>
      <w:r>
        <w:rPr>
          <w:spacing w:val="-3"/>
        </w:rPr>
        <w:t> </w:t>
      </w:r>
      <w:r>
        <w:rPr/>
        <w:t>actual</w:t>
      </w:r>
      <w:r>
        <w:rPr>
          <w:spacing w:val="-2"/>
        </w:rPr>
        <w:t> </w:t>
      </w:r>
      <w:r>
        <w:rPr/>
        <w:t>level</w:t>
      </w:r>
      <w:r>
        <w:rPr>
          <w:spacing w:val="-4"/>
        </w:rPr>
        <w:t> </w:t>
      </w:r>
      <w:r>
        <w:rPr/>
        <w:t>of</w:t>
      </w:r>
      <w:r>
        <w:rPr>
          <w:spacing w:val="-1"/>
        </w:rPr>
        <w:t> </w:t>
      </w:r>
      <w:r>
        <w:rPr/>
        <w:t>toxicity of</w:t>
      </w:r>
      <w:r>
        <w:rPr>
          <w:spacing w:val="-3"/>
        </w:rPr>
        <w:t> </w:t>
      </w:r>
      <w:r>
        <w:rPr/>
        <w:t>the</w:t>
      </w:r>
      <w:r>
        <w:rPr>
          <w:spacing w:val="-3"/>
        </w:rPr>
        <w:t> </w:t>
      </w:r>
      <w:r>
        <w:rPr/>
        <w:t>bait</w:t>
      </w:r>
      <w:r>
        <w:rPr>
          <w:spacing w:val="-1"/>
        </w:rPr>
        <w:t> </w:t>
      </w:r>
      <w:r>
        <w:rPr/>
        <w:t>at the time of consumption, and the amount of bait that can be physically consumed all influence the ultimate risk to individual animals and by extension the population (Kortner et al. 2003; Marks 2001). Numerous approaches have been developed over time to reduce the likelihood of non-target animals consuming toxic baits, and to make them more attractive to target animals.</w:t>
      </w:r>
    </w:p>
    <w:p>
      <w:pPr>
        <w:pStyle w:val="Heading5"/>
        <w:numPr>
          <w:ilvl w:val="2"/>
          <w:numId w:val="22"/>
        </w:numPr>
        <w:tabs>
          <w:tab w:pos="831" w:val="left" w:leader="none"/>
        </w:tabs>
        <w:spacing w:line="240" w:lineRule="auto" w:before="141" w:after="0"/>
        <w:ind w:left="831" w:right="0" w:hanging="719"/>
        <w:jc w:val="left"/>
      </w:pPr>
      <w:r>
        <w:rPr/>
        <w:t>European</w:t>
      </w:r>
      <w:r>
        <w:rPr>
          <w:spacing w:val="-5"/>
        </w:rPr>
        <w:t> </w:t>
      </w:r>
      <w:r>
        <w:rPr>
          <w:spacing w:val="-2"/>
        </w:rPr>
        <w:t>Rabbits</w:t>
      </w:r>
    </w:p>
    <w:p>
      <w:pPr>
        <w:pStyle w:val="BodyText"/>
        <w:spacing w:before="58"/>
        <w:ind w:left="112" w:right="142"/>
      </w:pPr>
      <w:r>
        <w:rPr/>
        <w:t>In</w:t>
      </w:r>
      <w:r>
        <w:rPr>
          <w:spacing w:val="-2"/>
        </w:rPr>
        <w:t> </w:t>
      </w:r>
      <w:r>
        <w:rPr/>
        <w:t>a</w:t>
      </w:r>
      <w:r>
        <w:rPr>
          <w:spacing w:val="-1"/>
        </w:rPr>
        <w:t> </w:t>
      </w:r>
      <w:r>
        <w:rPr/>
        <w:t>simulated</w:t>
      </w:r>
      <w:r>
        <w:rPr>
          <w:spacing w:val="-1"/>
        </w:rPr>
        <w:t> </w:t>
      </w:r>
      <w:r>
        <w:rPr/>
        <w:t>rabbit baiting trial using</w:t>
      </w:r>
      <w:r>
        <w:rPr>
          <w:spacing w:val="-1"/>
        </w:rPr>
        <w:t> </w:t>
      </w:r>
      <w:r>
        <w:rPr/>
        <w:t>pellets,</w:t>
      </w:r>
      <w:r>
        <w:rPr>
          <w:spacing w:val="-1"/>
        </w:rPr>
        <w:t> </w:t>
      </w:r>
      <w:r>
        <w:rPr/>
        <w:t>carrots and</w:t>
      </w:r>
      <w:r>
        <w:rPr>
          <w:spacing w:val="-2"/>
        </w:rPr>
        <w:t> </w:t>
      </w:r>
      <w:r>
        <w:rPr/>
        <w:t>oats,</w:t>
      </w:r>
      <w:r>
        <w:rPr>
          <w:spacing w:val="-1"/>
        </w:rPr>
        <w:t> </w:t>
      </w:r>
      <w:r>
        <w:rPr/>
        <w:t>six native</w:t>
      </w:r>
      <w:r>
        <w:rPr>
          <w:spacing w:val="-1"/>
        </w:rPr>
        <w:t> </w:t>
      </w:r>
      <w:r>
        <w:rPr/>
        <w:t>species consumed</w:t>
      </w:r>
      <w:r>
        <w:rPr>
          <w:spacing w:val="-1"/>
        </w:rPr>
        <w:t> </w:t>
      </w:r>
      <w:r>
        <w:rPr/>
        <w:t>pellet</w:t>
      </w:r>
      <w:r>
        <w:rPr>
          <w:spacing w:val="-1"/>
        </w:rPr>
        <w:t> </w:t>
      </w:r>
      <w:r>
        <w:rPr/>
        <w:t>bait,</w:t>
      </w:r>
      <w:r>
        <w:rPr>
          <w:spacing w:val="-1"/>
        </w:rPr>
        <w:t> </w:t>
      </w:r>
      <w:r>
        <w:rPr/>
        <w:t>one consumed</w:t>
      </w:r>
      <w:r>
        <w:rPr>
          <w:spacing w:val="-4"/>
        </w:rPr>
        <w:t> </w:t>
      </w:r>
      <w:r>
        <w:rPr/>
        <w:t>oat</w:t>
      </w:r>
      <w:r>
        <w:rPr>
          <w:spacing w:val="-4"/>
        </w:rPr>
        <w:t> </w:t>
      </w:r>
      <w:r>
        <w:rPr/>
        <w:t>bait</w:t>
      </w:r>
      <w:r>
        <w:rPr>
          <w:spacing w:val="-2"/>
        </w:rPr>
        <w:t> </w:t>
      </w:r>
      <w:r>
        <w:rPr/>
        <w:t>and</w:t>
      </w:r>
      <w:r>
        <w:rPr>
          <w:spacing w:val="-2"/>
        </w:rPr>
        <w:t> </w:t>
      </w:r>
      <w:r>
        <w:rPr/>
        <w:t>a</w:t>
      </w:r>
      <w:r>
        <w:rPr>
          <w:spacing w:val="-4"/>
        </w:rPr>
        <w:t> </w:t>
      </w:r>
      <w:r>
        <w:rPr/>
        <w:t>different</w:t>
      </w:r>
      <w:r>
        <w:rPr>
          <w:spacing w:val="-4"/>
        </w:rPr>
        <w:t> </w:t>
      </w:r>
      <w:r>
        <w:rPr/>
        <w:t>six</w:t>
      </w:r>
      <w:r>
        <w:rPr>
          <w:spacing w:val="-3"/>
        </w:rPr>
        <w:t> </w:t>
      </w:r>
      <w:r>
        <w:rPr/>
        <w:t>species</w:t>
      </w:r>
      <w:r>
        <w:rPr>
          <w:spacing w:val="-3"/>
        </w:rPr>
        <w:t> </w:t>
      </w:r>
      <w:r>
        <w:rPr/>
        <w:t>consumed</w:t>
      </w:r>
      <w:r>
        <w:rPr>
          <w:spacing w:val="-5"/>
        </w:rPr>
        <w:t> </w:t>
      </w:r>
      <w:r>
        <w:rPr/>
        <w:t>oat</w:t>
      </w:r>
      <w:r>
        <w:rPr>
          <w:spacing w:val="-4"/>
        </w:rPr>
        <w:t> </w:t>
      </w:r>
      <w:r>
        <w:rPr/>
        <w:t>bait</w:t>
      </w:r>
      <w:r>
        <w:rPr>
          <w:spacing w:val="-2"/>
        </w:rPr>
        <w:t> </w:t>
      </w:r>
      <w:r>
        <w:rPr/>
        <w:t>in</w:t>
      </w:r>
      <w:r>
        <w:rPr>
          <w:spacing w:val="-4"/>
        </w:rPr>
        <w:t> </w:t>
      </w:r>
      <w:r>
        <w:rPr/>
        <w:t>sufficient</w:t>
      </w:r>
      <w:r>
        <w:rPr>
          <w:spacing w:val="-2"/>
        </w:rPr>
        <w:t> </w:t>
      </w:r>
      <w:r>
        <w:rPr/>
        <w:t>quantities</w:t>
      </w:r>
      <w:r>
        <w:rPr>
          <w:spacing w:val="-3"/>
        </w:rPr>
        <w:t> </w:t>
      </w:r>
      <w:r>
        <w:rPr/>
        <w:t>to</w:t>
      </w:r>
      <w:r>
        <w:rPr>
          <w:spacing w:val="-2"/>
        </w:rPr>
        <w:t> </w:t>
      </w:r>
      <w:r>
        <w:rPr/>
        <w:t>be</w:t>
      </w:r>
      <w:r>
        <w:rPr>
          <w:spacing w:val="-3"/>
        </w:rPr>
        <w:t> </w:t>
      </w:r>
      <w:r>
        <w:rPr/>
        <w:t>at</w:t>
      </w:r>
      <w:r>
        <w:rPr>
          <w:spacing w:val="-4"/>
        </w:rPr>
        <w:t> </w:t>
      </w:r>
      <w:r>
        <w:rPr/>
        <w:t>risk (Brunner 1983). Rabbit-poisoning campaigns appear to have no significant effect on populations of some of the more common birds and mammals (McIlroy and Gifford 1991). Pellet baits for rabbits, however, appear to have killed all adult residents in a marked population of the patchily distributed silky mouse (</w:t>
      </w:r>
      <w:r>
        <w:rPr>
          <w:i/>
        </w:rPr>
        <w:t>Pseudomys</w:t>
      </w:r>
      <w:r>
        <w:rPr>
          <w:i/>
        </w:rPr>
        <w:t> apodemoides</w:t>
      </w:r>
      <w:r>
        <w:rPr/>
        <w:t>) in one area in western Victoria. Fortunately, the effect was only temporary, with juvenile animals quickly recolonising the area (A. Cockburn, personal communication, in McIlroy 1982).</w:t>
      </w:r>
    </w:p>
    <w:p>
      <w:pPr>
        <w:pStyle w:val="Heading5"/>
        <w:numPr>
          <w:ilvl w:val="2"/>
          <w:numId w:val="22"/>
        </w:numPr>
        <w:tabs>
          <w:tab w:pos="831" w:val="left" w:leader="none"/>
        </w:tabs>
        <w:spacing w:line="240" w:lineRule="auto" w:before="139" w:after="0"/>
        <w:ind w:left="831" w:right="0" w:hanging="719"/>
        <w:jc w:val="left"/>
      </w:pPr>
      <w:r>
        <w:rPr/>
        <w:t>Feral</w:t>
      </w:r>
      <w:r>
        <w:rPr>
          <w:spacing w:val="-2"/>
        </w:rPr>
        <w:t> </w:t>
      </w:r>
      <w:r>
        <w:rPr>
          <w:spacing w:val="-4"/>
        </w:rPr>
        <w:t>Pigs</w:t>
      </w:r>
    </w:p>
    <w:p>
      <w:pPr>
        <w:pStyle w:val="BodyText"/>
        <w:spacing w:before="58"/>
        <w:ind w:left="112" w:right="125"/>
      </w:pPr>
      <w:r>
        <w:rPr/>
        <w:t>PIGOUT baits for the control of Feral Pigs, were developed to address the issue of non-target bait take associated with previous forms of delivering 1080 by making the baits less attractive to non-target species and more attractive to Feral Pigs (e.g. incorporating animal and vegetable matter into bait material to deter dietary</w:t>
      </w:r>
      <w:r>
        <w:rPr>
          <w:spacing w:val="-2"/>
        </w:rPr>
        <w:t> </w:t>
      </w:r>
      <w:r>
        <w:rPr/>
        <w:t>specialists</w:t>
      </w:r>
      <w:r>
        <w:rPr>
          <w:spacing w:val="-1"/>
        </w:rPr>
        <w:t> </w:t>
      </w:r>
      <w:r>
        <w:rPr/>
        <w:t>(O’Brien</w:t>
      </w:r>
      <w:r>
        <w:rPr>
          <w:spacing w:val="-2"/>
        </w:rPr>
        <w:t> </w:t>
      </w:r>
      <w:r>
        <w:rPr/>
        <w:t>et</w:t>
      </w:r>
      <w:r>
        <w:rPr>
          <w:spacing w:val="-4"/>
        </w:rPr>
        <w:t> </w:t>
      </w:r>
      <w:r>
        <w:rPr/>
        <w:t>al.</w:t>
      </w:r>
      <w:r>
        <w:rPr>
          <w:spacing w:val="-4"/>
        </w:rPr>
        <w:t> </w:t>
      </w:r>
      <w:r>
        <w:rPr/>
        <w:t>1986),</w:t>
      </w:r>
      <w:r>
        <w:rPr>
          <w:spacing w:val="-2"/>
        </w:rPr>
        <w:t> </w:t>
      </w:r>
      <w:r>
        <w:rPr/>
        <w:t>dyeing</w:t>
      </w:r>
      <w:r>
        <w:rPr>
          <w:spacing w:val="-5"/>
        </w:rPr>
        <w:t> </w:t>
      </w:r>
      <w:r>
        <w:rPr/>
        <w:t>bait</w:t>
      </w:r>
      <w:r>
        <w:rPr>
          <w:spacing w:val="-2"/>
        </w:rPr>
        <w:t> </w:t>
      </w:r>
      <w:r>
        <w:rPr/>
        <w:t>material</w:t>
      </w:r>
      <w:r>
        <w:rPr>
          <w:spacing w:val="-5"/>
        </w:rPr>
        <w:t> </w:t>
      </w:r>
      <w:r>
        <w:rPr/>
        <w:t>to</w:t>
      </w:r>
      <w:r>
        <w:rPr>
          <w:spacing w:val="-3"/>
        </w:rPr>
        <w:t> </w:t>
      </w:r>
      <w:r>
        <w:rPr/>
        <w:t>prevent</w:t>
      </w:r>
      <w:r>
        <w:rPr>
          <w:spacing w:val="-2"/>
        </w:rPr>
        <w:t> </w:t>
      </w:r>
      <w:r>
        <w:rPr/>
        <w:t>detection</w:t>
      </w:r>
      <w:r>
        <w:rPr>
          <w:spacing w:val="-4"/>
        </w:rPr>
        <w:t> </w:t>
      </w:r>
      <w:r>
        <w:rPr/>
        <w:t>by</w:t>
      </w:r>
      <w:r>
        <w:rPr>
          <w:spacing w:val="-3"/>
        </w:rPr>
        <w:t> </w:t>
      </w:r>
      <w:r>
        <w:rPr/>
        <w:t>visual</w:t>
      </w:r>
      <w:r>
        <w:rPr>
          <w:spacing w:val="-5"/>
        </w:rPr>
        <w:t> </w:t>
      </w:r>
      <w:r>
        <w:rPr/>
        <w:t>foragers (Bryant</w:t>
      </w:r>
      <w:r>
        <w:rPr>
          <w:spacing w:val="-3"/>
        </w:rPr>
        <w:t> </w:t>
      </w:r>
      <w:r>
        <w:rPr/>
        <w:t>et al. 1984), including the use of pig-specific attractants (Campbell and Long 2009), and incorporating</w:t>
      </w:r>
      <w:r>
        <w:rPr>
          <w:spacing w:val="-1"/>
        </w:rPr>
        <w:t> </w:t>
      </w:r>
      <w:r>
        <w:rPr/>
        <w:t>the 1080 toxin into the centre of the bait matrix to eliminate the degree of toxin redistribution and reducing potential non-target poisoning (Smith et al. 2005). Despite substantial improvements in target specificity, PIGOUT is still consumed by various non-target species (Bengsen et al. 2010; Campbell et al. 2006; Cowled et al.</w:t>
      </w:r>
    </w:p>
    <w:p>
      <w:pPr>
        <w:pStyle w:val="BodyText"/>
        <w:ind w:left="112" w:right="142"/>
      </w:pPr>
      <w:r>
        <w:rPr/>
        <w:t>2006). A Feral Pig specific feeder has been shown to significantly reduce non-target bait-take during Feral Pig</w:t>
      </w:r>
      <w:r>
        <w:rPr>
          <w:spacing w:val="-1"/>
        </w:rPr>
        <w:t> </w:t>
      </w:r>
      <w:r>
        <w:rPr/>
        <w:t>control</w:t>
      </w:r>
      <w:r>
        <w:rPr>
          <w:spacing w:val="-4"/>
        </w:rPr>
        <w:t> </w:t>
      </w:r>
      <w:r>
        <w:rPr/>
        <w:t>programmes</w:t>
      </w:r>
      <w:r>
        <w:rPr>
          <w:spacing w:val="-3"/>
        </w:rPr>
        <w:t> </w:t>
      </w:r>
      <w:r>
        <w:rPr/>
        <w:t>(Long</w:t>
      </w:r>
      <w:r>
        <w:rPr>
          <w:spacing w:val="-1"/>
        </w:rPr>
        <w:t> </w:t>
      </w:r>
      <w:r>
        <w:rPr/>
        <w:t>et</w:t>
      </w:r>
      <w:r>
        <w:rPr>
          <w:spacing w:val="-4"/>
        </w:rPr>
        <w:t> </w:t>
      </w:r>
      <w:r>
        <w:rPr/>
        <w:t>al.</w:t>
      </w:r>
      <w:r>
        <w:rPr>
          <w:spacing w:val="-3"/>
        </w:rPr>
        <w:t> </w:t>
      </w:r>
      <w:r>
        <w:rPr/>
        <w:t>2010).</w:t>
      </w:r>
      <w:r>
        <w:rPr>
          <w:spacing w:val="-2"/>
        </w:rPr>
        <w:t> </w:t>
      </w:r>
      <w:r>
        <w:rPr/>
        <w:t>Both</w:t>
      </w:r>
      <w:r>
        <w:rPr>
          <w:spacing w:val="-4"/>
        </w:rPr>
        <w:t> </w:t>
      </w:r>
      <w:r>
        <w:rPr/>
        <w:t>types</w:t>
      </w:r>
      <w:r>
        <w:rPr>
          <w:spacing w:val="-3"/>
        </w:rPr>
        <w:t> </w:t>
      </w:r>
      <w:r>
        <w:rPr/>
        <w:t>of</w:t>
      </w:r>
      <w:r>
        <w:rPr>
          <w:spacing w:val="-4"/>
        </w:rPr>
        <w:t> </w:t>
      </w:r>
      <w:r>
        <w:rPr/>
        <w:t>PIGOUT</w:t>
      </w:r>
      <w:r>
        <w:rPr>
          <w:spacing w:val="-3"/>
        </w:rPr>
        <w:t> </w:t>
      </w:r>
      <w:r>
        <w:rPr/>
        <w:t>baits</w:t>
      </w:r>
      <w:r>
        <w:rPr>
          <w:spacing w:val="-3"/>
        </w:rPr>
        <w:t> </w:t>
      </w:r>
      <w:r>
        <w:rPr/>
        <w:t>are</w:t>
      </w:r>
      <w:r>
        <w:rPr>
          <w:spacing w:val="-2"/>
        </w:rPr>
        <w:t> </w:t>
      </w:r>
      <w:r>
        <w:rPr/>
        <w:t>dispensed</w:t>
      </w:r>
      <w:r>
        <w:rPr>
          <w:spacing w:val="-5"/>
        </w:rPr>
        <w:t> </w:t>
      </w:r>
      <w:r>
        <w:rPr/>
        <w:t>using</w:t>
      </w:r>
      <w:r>
        <w:rPr>
          <w:spacing w:val="-5"/>
        </w:rPr>
        <w:t> </w:t>
      </w:r>
      <w:r>
        <w:rPr/>
        <w:t>HogHoppers™, metal cubes with internal dividers that allow Feral Pigs to access bait through gravity-activated guillotine doors. These bait stations exploit the size, reach, and feeding behaviours of Feral Pigs, thereby minimising</w:t>
      </w:r>
    </w:p>
    <w:p>
      <w:pPr>
        <w:tabs>
          <w:tab w:pos="9750" w:val="right" w:leader="none"/>
        </w:tabs>
        <w:spacing w:before="7"/>
        <w:ind w:left="5319"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75</w:t>
      </w:r>
    </w:p>
    <w:p>
      <w:pPr>
        <w:spacing w:after="0"/>
        <w:jc w:val="left"/>
        <w:rPr>
          <w:sz w:val="20"/>
        </w:rPr>
        <w:sectPr>
          <w:footerReference w:type="default" r:id="rId73"/>
          <w:pgSz w:w="11910" w:h="16850"/>
          <w:pgMar w:header="0" w:footer="0" w:top="1140" w:bottom="280" w:left="1020" w:right="1020"/>
        </w:sectPr>
      </w:pPr>
    </w:p>
    <w:p>
      <w:pPr>
        <w:pStyle w:val="BodyText"/>
        <w:spacing w:before="71"/>
        <w:ind w:left="112" w:right="142"/>
      </w:pPr>
      <w:r>
        <w:rPr/>
        <w:t>access by non-target species (Campbell et al. 2012). Tests of the HogHopper system have been conducted in</w:t>
      </w:r>
      <w:r>
        <w:rPr>
          <w:spacing w:val="-3"/>
        </w:rPr>
        <w:t> </w:t>
      </w:r>
      <w:r>
        <w:rPr/>
        <w:t>the</w:t>
      </w:r>
      <w:r>
        <w:rPr>
          <w:spacing w:val="-4"/>
        </w:rPr>
        <w:t> </w:t>
      </w:r>
      <w:r>
        <w:rPr/>
        <w:t>US,</w:t>
      </w:r>
      <w:r>
        <w:rPr>
          <w:spacing w:val="-3"/>
        </w:rPr>
        <w:t> </w:t>
      </w:r>
      <w:r>
        <w:rPr/>
        <w:t>where</w:t>
      </w:r>
      <w:r>
        <w:rPr>
          <w:spacing w:val="-1"/>
        </w:rPr>
        <w:t> </w:t>
      </w:r>
      <w:r>
        <w:rPr/>
        <w:t>it</w:t>
      </w:r>
      <w:r>
        <w:rPr>
          <w:spacing w:val="-3"/>
        </w:rPr>
        <w:t> </w:t>
      </w:r>
      <w:r>
        <w:rPr/>
        <w:t>has</w:t>
      </w:r>
      <w:r>
        <w:rPr>
          <w:spacing w:val="-2"/>
        </w:rPr>
        <w:t> </w:t>
      </w:r>
      <w:r>
        <w:rPr/>
        <w:t>been</w:t>
      </w:r>
      <w:r>
        <w:rPr>
          <w:spacing w:val="-3"/>
        </w:rPr>
        <w:t> </w:t>
      </w:r>
      <w:r>
        <w:rPr/>
        <w:t>shown</w:t>
      </w:r>
      <w:r>
        <w:rPr>
          <w:spacing w:val="-1"/>
        </w:rPr>
        <w:t> </w:t>
      </w:r>
      <w:r>
        <w:rPr/>
        <w:t>to</w:t>
      </w:r>
      <w:r>
        <w:rPr>
          <w:spacing w:val="-2"/>
        </w:rPr>
        <w:t> </w:t>
      </w:r>
      <w:r>
        <w:rPr/>
        <w:t>be</w:t>
      </w:r>
      <w:r>
        <w:rPr>
          <w:spacing w:val="-4"/>
        </w:rPr>
        <w:t> </w:t>
      </w:r>
      <w:r>
        <w:rPr/>
        <w:t>highly</w:t>
      </w:r>
      <w:r>
        <w:rPr>
          <w:spacing w:val="-2"/>
        </w:rPr>
        <w:t> </w:t>
      </w:r>
      <w:r>
        <w:rPr/>
        <w:t>species</w:t>
      </w:r>
      <w:r>
        <w:rPr>
          <w:spacing w:val="-2"/>
        </w:rPr>
        <w:t> </w:t>
      </w:r>
      <w:r>
        <w:rPr/>
        <w:t>specific (Campbell</w:t>
      </w:r>
      <w:r>
        <w:rPr>
          <w:spacing w:val="-2"/>
        </w:rPr>
        <w:t> </w:t>
      </w:r>
      <w:r>
        <w:rPr/>
        <w:t>et</w:t>
      </w:r>
      <w:r>
        <w:rPr>
          <w:spacing w:val="-3"/>
        </w:rPr>
        <w:t> </w:t>
      </w:r>
      <w:r>
        <w:rPr/>
        <w:t>al.</w:t>
      </w:r>
      <w:r>
        <w:rPr>
          <w:spacing w:val="-1"/>
        </w:rPr>
        <w:t> </w:t>
      </w:r>
      <w:r>
        <w:rPr/>
        <w:t>2013;</w:t>
      </w:r>
      <w:r>
        <w:rPr>
          <w:spacing w:val="-3"/>
        </w:rPr>
        <w:t> </w:t>
      </w:r>
      <w:r>
        <w:rPr/>
        <w:t>Lapidge</w:t>
      </w:r>
      <w:r>
        <w:rPr>
          <w:spacing w:val="-1"/>
        </w:rPr>
        <w:t> </w:t>
      </w:r>
      <w:r>
        <w:rPr/>
        <w:t>et</w:t>
      </w:r>
      <w:r>
        <w:rPr>
          <w:spacing w:val="-3"/>
        </w:rPr>
        <w:t> </w:t>
      </w:r>
      <w:r>
        <w:rPr/>
        <w:t>al.</w:t>
      </w:r>
      <w:r>
        <w:rPr>
          <w:spacing w:val="-1"/>
        </w:rPr>
        <w:t> </w:t>
      </w:r>
      <w:r>
        <w:rPr/>
        <w:t>2012). Despite this improvement, risks to non-target animals can still occur when bait is spilled from the bait dispensers by feeding pigs, and is subsequently made accessible to birds (Snow et al. 2021, 2024).</w:t>
      </w:r>
    </w:p>
    <w:p>
      <w:pPr>
        <w:pStyle w:val="BodyText"/>
        <w:spacing w:before="122"/>
        <w:ind w:left="112" w:right="122"/>
      </w:pPr>
      <w:r>
        <w:rPr/>
        <w:t>Similar improvements to reduce non-target risk have also been made to HOGGONE baits during the course of</w:t>
      </w:r>
      <w:r>
        <w:rPr>
          <w:spacing w:val="-4"/>
        </w:rPr>
        <w:t> </w:t>
      </w:r>
      <w:r>
        <w:rPr/>
        <w:t>its</w:t>
      </w:r>
      <w:r>
        <w:rPr>
          <w:spacing w:val="-1"/>
        </w:rPr>
        <w:t> </w:t>
      </w:r>
      <w:r>
        <w:rPr/>
        <w:t>development.</w:t>
      </w:r>
      <w:r>
        <w:rPr>
          <w:spacing w:val="-2"/>
        </w:rPr>
        <w:t> </w:t>
      </w:r>
      <w:r>
        <w:rPr/>
        <w:t>(Snow</w:t>
      </w:r>
      <w:r>
        <w:rPr>
          <w:spacing w:val="-2"/>
        </w:rPr>
        <w:t> </w:t>
      </w:r>
      <w:r>
        <w:rPr/>
        <w:t>et</w:t>
      </w:r>
      <w:r>
        <w:rPr>
          <w:spacing w:val="-4"/>
        </w:rPr>
        <w:t> </w:t>
      </w:r>
      <w:r>
        <w:rPr/>
        <w:t>al.</w:t>
      </w:r>
      <w:r>
        <w:rPr>
          <w:spacing w:val="-4"/>
        </w:rPr>
        <w:t> </w:t>
      </w:r>
      <w:r>
        <w:rPr/>
        <w:t>2021)</w:t>
      </w:r>
      <w:r>
        <w:rPr>
          <w:spacing w:val="-1"/>
        </w:rPr>
        <w:t> </w:t>
      </w:r>
      <w:r>
        <w:rPr/>
        <w:t>reported</w:t>
      </w:r>
      <w:r>
        <w:rPr>
          <w:spacing w:val="-4"/>
        </w:rPr>
        <w:t> </w:t>
      </w:r>
      <w:r>
        <w:rPr/>
        <w:t>the</w:t>
      </w:r>
      <w:r>
        <w:rPr>
          <w:spacing w:val="-4"/>
        </w:rPr>
        <w:t> </w:t>
      </w:r>
      <w:r>
        <w:rPr/>
        <w:t>outcome</w:t>
      </w:r>
      <w:r>
        <w:rPr>
          <w:spacing w:val="-4"/>
        </w:rPr>
        <w:t> </w:t>
      </w:r>
      <w:r>
        <w:rPr/>
        <w:t>of</w:t>
      </w:r>
      <w:r>
        <w:rPr>
          <w:spacing w:val="-4"/>
        </w:rPr>
        <w:t> </w:t>
      </w:r>
      <w:r>
        <w:rPr/>
        <w:t>several</w:t>
      </w:r>
      <w:r>
        <w:rPr>
          <w:spacing w:val="-2"/>
        </w:rPr>
        <w:t> </w:t>
      </w:r>
      <w:r>
        <w:rPr/>
        <w:t>years of</w:t>
      </w:r>
      <w:r>
        <w:rPr>
          <w:spacing w:val="-2"/>
        </w:rPr>
        <w:t> </w:t>
      </w:r>
      <w:r>
        <w:rPr/>
        <w:t>development</w:t>
      </w:r>
      <w:r>
        <w:rPr>
          <w:spacing w:val="-1"/>
        </w:rPr>
        <w:t> </w:t>
      </w:r>
      <w:r>
        <w:rPr/>
        <w:t>in</w:t>
      </w:r>
      <w:r>
        <w:rPr>
          <w:spacing w:val="-2"/>
        </w:rPr>
        <w:t> </w:t>
      </w:r>
      <w:r>
        <w:rPr/>
        <w:t>Australia</w:t>
      </w:r>
      <w:r>
        <w:rPr>
          <w:spacing w:val="-2"/>
        </w:rPr>
        <w:t> </w:t>
      </w:r>
      <w:r>
        <w:rPr/>
        <w:t>and Texas, where non-target species that succumbed to the dropped bait mostly included small granivorous</w:t>
      </w:r>
      <w:r>
        <w:rPr/>
        <w:t> birds, and to a lesser extent Raccoons (</w:t>
      </w:r>
      <w:r>
        <w:rPr>
          <w:i/>
        </w:rPr>
        <w:t>Procyon lotor</w:t>
      </w:r>
      <w:r>
        <w:rPr/>
        <w:t>) and Wild Turkeys (</w:t>
      </w:r>
      <w:r>
        <w:rPr>
          <w:i/>
        </w:rPr>
        <w:t>Meleagris gallopavo</w:t>
      </w:r>
      <w:r>
        <w:rPr/>
        <w:t>). This led to modification</w:t>
      </w:r>
      <w:r>
        <w:rPr>
          <w:spacing w:val="-2"/>
        </w:rPr>
        <w:t> </w:t>
      </w:r>
      <w:r>
        <w:rPr/>
        <w:t>of the bait</w:t>
      </w:r>
      <w:r>
        <w:rPr>
          <w:spacing w:val="-2"/>
        </w:rPr>
        <w:t> </w:t>
      </w:r>
      <w:r>
        <w:rPr/>
        <w:t>and</w:t>
      </w:r>
      <w:r>
        <w:rPr>
          <w:spacing w:val="-1"/>
        </w:rPr>
        <w:t> </w:t>
      </w:r>
      <w:r>
        <w:rPr/>
        <w:t>the</w:t>
      </w:r>
      <w:r>
        <w:rPr>
          <w:spacing w:val="-3"/>
        </w:rPr>
        <w:t> </w:t>
      </w:r>
      <w:r>
        <w:rPr/>
        <w:t>bait station, and subsequently resulted in a</w:t>
      </w:r>
      <w:r>
        <w:rPr>
          <w:spacing w:val="-2"/>
        </w:rPr>
        <w:t> </w:t>
      </w:r>
      <w:r>
        <w:rPr/>
        <w:t>19-fold decrease in</w:t>
      </w:r>
      <w:r>
        <w:rPr>
          <w:spacing w:val="-2"/>
        </w:rPr>
        <w:t> </w:t>
      </w:r>
      <w:r>
        <w:rPr/>
        <w:t>the</w:t>
      </w:r>
      <w:r>
        <w:rPr>
          <w:spacing w:val="-3"/>
        </w:rPr>
        <w:t> </w:t>
      </w:r>
      <w:r>
        <w:rPr/>
        <w:t>amount of bait left outside the bait station. However, non-target species mortalities were recorded in a subsequent set</w:t>
      </w:r>
      <w:r>
        <w:rPr>
          <w:spacing w:val="40"/>
        </w:rPr>
        <w:t> </w:t>
      </w:r>
      <w:r>
        <w:rPr/>
        <w:t>of trials (three Australian Ravens [</w:t>
      </w:r>
      <w:r>
        <w:rPr>
          <w:i/>
        </w:rPr>
        <w:t>Corvus coronoides</w:t>
      </w:r>
      <w:r>
        <w:rPr/>
        <w:t>] in Queensland, two Virginia Opossums [</w:t>
      </w:r>
      <w:r>
        <w:rPr>
          <w:i/>
        </w:rPr>
        <w:t>Didelphis</w:t>
      </w:r>
      <w:r>
        <w:rPr>
          <w:i/>
        </w:rPr>
        <w:t> virginiana</w:t>
      </w:r>
      <w:r>
        <w:rPr/>
        <w:t>] in Alabama, and 35 granivorous-passerine birds, mostly Dark-eyed Juncos [</w:t>
      </w:r>
      <w:r>
        <w:rPr>
          <w:i/>
        </w:rPr>
        <w:t>Junco hyemalis</w:t>
      </w:r>
      <w:r>
        <w:rPr/>
        <w:t>]) in Texas (Snow et al. 2021). However, the researchers reported that there were no detectable declines at a population level for any of these impacted species. In a further development, Kinsey et al. (2023) assessed three different types of bait presentation set in a bait hopper. They found that there was a 90+% reduction in bait spilled outside bait station when it was compacted in trays, as opposed to being manually crumbled into pieces. These results influenced the design of the paste hoppers and the presentation method of the paste. Paste was presented in trays, and the hopper was modified so trays could be locked into position during feeding. They reported a mean spill rate of 0.913 g of bait per wild pig. Conservative risk assessments for nine non-target species for which sodium nitrite toxicity data exist, indicate that there is relatively low risk of lethal exposure. In Australia, it is a regulatory requirement to use the HOGGONE paste bait hopper (Lavelle et al. 2018) with HOGGONE (ACTA 2024).</w:t>
      </w:r>
    </w:p>
    <w:p>
      <w:pPr>
        <w:pStyle w:val="Heading5"/>
        <w:numPr>
          <w:ilvl w:val="2"/>
          <w:numId w:val="22"/>
        </w:numPr>
        <w:tabs>
          <w:tab w:pos="893" w:val="left" w:leader="none"/>
        </w:tabs>
        <w:spacing w:line="240" w:lineRule="auto" w:before="141" w:after="0"/>
        <w:ind w:left="893" w:right="0" w:hanging="781"/>
        <w:jc w:val="left"/>
      </w:pPr>
      <w:bookmarkStart w:name="_bookmark20" w:id="95"/>
      <w:bookmarkEnd w:id="95"/>
      <w:r>
        <w:rPr>
          <w:b w:val="0"/>
        </w:rPr>
      </w:r>
      <w:r>
        <w:rPr/>
        <w:t>Dingoes</w:t>
      </w:r>
      <w:r>
        <w:rPr>
          <w:spacing w:val="-4"/>
        </w:rPr>
        <w:t> </w:t>
      </w:r>
      <w:r>
        <w:rPr/>
        <w:t>and</w:t>
      </w:r>
      <w:r>
        <w:rPr>
          <w:spacing w:val="-5"/>
        </w:rPr>
        <w:t> </w:t>
      </w:r>
      <w:r>
        <w:rPr/>
        <w:t>Wild</w:t>
      </w:r>
      <w:r>
        <w:rPr>
          <w:spacing w:val="-3"/>
        </w:rPr>
        <w:t> </w:t>
      </w:r>
      <w:r>
        <w:rPr/>
        <w:t>Dogs,</w:t>
      </w:r>
      <w:r>
        <w:rPr>
          <w:spacing w:val="-2"/>
        </w:rPr>
        <w:t> </w:t>
      </w:r>
      <w:r>
        <w:rPr/>
        <w:t>and</w:t>
      </w:r>
      <w:r>
        <w:rPr>
          <w:spacing w:val="-5"/>
        </w:rPr>
        <w:t> </w:t>
      </w:r>
      <w:r>
        <w:rPr/>
        <w:t>Red</w:t>
      </w:r>
      <w:r>
        <w:rPr>
          <w:spacing w:val="-3"/>
        </w:rPr>
        <w:t> </w:t>
      </w:r>
      <w:r>
        <w:rPr>
          <w:spacing w:val="-2"/>
        </w:rPr>
        <w:t>Foxes</w:t>
      </w:r>
    </w:p>
    <w:p>
      <w:pPr>
        <w:pStyle w:val="Heading6"/>
        <w:spacing w:line="252" w:lineRule="exact"/>
        <w:rPr>
          <w:i/>
        </w:rPr>
      </w:pPr>
      <w:r>
        <w:rPr>
          <w:i/>
        </w:rPr>
        <w:t>1080</w:t>
      </w:r>
      <w:r>
        <w:rPr>
          <w:i/>
          <w:spacing w:val="-1"/>
        </w:rPr>
        <w:t> </w:t>
      </w:r>
      <w:r>
        <w:rPr>
          <w:i/>
          <w:spacing w:val="-2"/>
        </w:rPr>
        <w:t>baits</w:t>
      </w:r>
    </w:p>
    <w:p>
      <w:pPr>
        <w:pStyle w:val="BodyText"/>
        <w:ind w:left="112" w:right="173"/>
      </w:pPr>
      <w:r>
        <w:rPr/>
        <w:t>A range of native species are potentially at risk from toxins used to manage Dingoes and Wild Dog’s, and foxes (Glen and Dickman 2003b; Marks et al. 2023). Marsupial carnivores are the main species at potential risk to canid baits because of their feeding habits and sensitivity to 1080 and PAPP. For example, the </w:t>
      </w:r>
      <w:r>
        <w:rPr>
          <w:position w:val="1"/>
        </w:rPr>
        <w:t>estimated LD</w:t>
      </w:r>
      <w:r>
        <w:rPr>
          <w:sz w:val="13"/>
        </w:rPr>
        <w:t>50</w:t>
      </w:r>
      <w:r>
        <w:rPr>
          <w:spacing w:val="26"/>
          <w:sz w:val="13"/>
        </w:rPr>
        <w:t> </w:t>
      </w:r>
      <w:r>
        <w:rPr>
          <w:position w:val="1"/>
        </w:rPr>
        <w:t>for a 2.8 kg Spotted-tailed Quoll is a little over 5 mg 1080, compared with 3 mg 1080 in fox </w:t>
      </w:r>
      <w:r>
        <w:rPr/>
        <w:t>baits and 6 mg 1080 in dog baits. Brush-tailed Phascogales (</w:t>
      </w:r>
      <w:r>
        <w:rPr>
          <w:i/>
        </w:rPr>
        <w:t>Phascogale tapoatafa</w:t>
      </w:r>
      <w:r>
        <w:rPr/>
        <w:t>) may also be at risk of poisoning because they are sensitive, and are voracious and opportunistic feeders (APVMA 2005; McIlroy 1981).</w:t>
      </w:r>
      <w:r>
        <w:rPr>
          <w:spacing w:val="-2"/>
        </w:rPr>
        <w:t> </w:t>
      </w:r>
      <w:r>
        <w:rPr/>
        <w:t>While</w:t>
      </w:r>
      <w:r>
        <w:rPr>
          <w:spacing w:val="-4"/>
        </w:rPr>
        <w:t> </w:t>
      </w:r>
      <w:r>
        <w:rPr/>
        <w:t>predatory</w:t>
      </w:r>
      <w:r>
        <w:rPr>
          <w:spacing w:val="-2"/>
        </w:rPr>
        <w:t> </w:t>
      </w:r>
      <w:r>
        <w:rPr/>
        <w:t>and</w:t>
      </w:r>
      <w:r>
        <w:rPr>
          <w:spacing w:val="-2"/>
        </w:rPr>
        <w:t> </w:t>
      </w:r>
      <w:r>
        <w:rPr/>
        <w:t>scavenging</w:t>
      </w:r>
      <w:r>
        <w:rPr>
          <w:spacing w:val="-4"/>
        </w:rPr>
        <w:t> </w:t>
      </w:r>
      <w:r>
        <w:rPr/>
        <w:t>birds</w:t>
      </w:r>
      <w:r>
        <w:rPr>
          <w:spacing w:val="-3"/>
        </w:rPr>
        <w:t> </w:t>
      </w:r>
      <w:r>
        <w:rPr/>
        <w:t>such</w:t>
      </w:r>
      <w:r>
        <w:rPr>
          <w:spacing w:val="-4"/>
        </w:rPr>
        <w:t> </w:t>
      </w:r>
      <w:r>
        <w:rPr/>
        <w:t>as</w:t>
      </w:r>
      <w:r>
        <w:rPr>
          <w:spacing w:val="-1"/>
        </w:rPr>
        <w:t> </w:t>
      </w:r>
      <w:r>
        <w:rPr/>
        <w:t>Wedge-tailed</w:t>
      </w:r>
      <w:r>
        <w:rPr>
          <w:spacing w:val="-3"/>
        </w:rPr>
        <w:t> </w:t>
      </w:r>
      <w:r>
        <w:rPr/>
        <w:t>Eagles</w:t>
      </w:r>
      <w:r>
        <w:rPr>
          <w:spacing w:val="-2"/>
        </w:rPr>
        <w:t> </w:t>
      </w:r>
      <w:r>
        <w:rPr/>
        <w:t>(</w:t>
      </w:r>
      <w:r>
        <w:rPr>
          <w:i/>
        </w:rPr>
        <w:t>Aquila</w:t>
      </w:r>
      <w:r>
        <w:rPr>
          <w:i/>
          <w:spacing w:val="-4"/>
        </w:rPr>
        <w:t> </w:t>
      </w:r>
      <w:r>
        <w:rPr>
          <w:i/>
        </w:rPr>
        <w:t>audax</w:t>
      </w:r>
      <w:r>
        <w:rPr/>
        <w:t>),</w:t>
      </w:r>
      <w:r>
        <w:rPr>
          <w:spacing w:val="-4"/>
        </w:rPr>
        <w:t> </w:t>
      </w:r>
      <w:r>
        <w:rPr/>
        <w:t>kites,</w:t>
      </w:r>
      <w:r>
        <w:rPr>
          <w:spacing w:val="-4"/>
        </w:rPr>
        <w:t> </w:t>
      </w:r>
      <w:r>
        <w:rPr/>
        <w:t>ravens</w:t>
      </w:r>
      <w:r>
        <w:rPr>
          <w:spacing w:val="-3"/>
        </w:rPr>
        <w:t> </w:t>
      </w:r>
      <w:r>
        <w:rPr/>
        <w:t>and owls are capable of consuming bait, they would generally need to consume large amounts of bait to receive </w:t>
      </w:r>
      <w:r>
        <w:rPr>
          <w:position w:val="1"/>
        </w:rPr>
        <w:t>a lethal dose (APVMA 2005; Eldridge, et al. 2000). McIlroy (1984) determined acute oral LD</w:t>
      </w:r>
      <w:r>
        <w:rPr>
          <w:sz w:val="13"/>
        </w:rPr>
        <w:t>50</w:t>
      </w:r>
      <w:r>
        <w:rPr>
          <w:spacing w:val="26"/>
          <w:sz w:val="13"/>
        </w:rPr>
        <w:t> </w:t>
      </w:r>
      <w:r>
        <w:rPr>
          <w:position w:val="1"/>
        </w:rPr>
        <w:t>for several </w:t>
      </w:r>
      <w:r>
        <w:rPr/>
        <w:t>Australian bird species, including Wedge-tailed Eagles. Results indicate that their sensitivity to 1080 (95.6% purity) was very high, 9.49 mg/kg. Based on laboratory testing of one amphibian and</w:t>
      </w:r>
      <w:r>
        <w:rPr>
          <w:spacing w:val="-1"/>
        </w:rPr>
        <w:t> </w:t>
      </w:r>
      <w:r>
        <w:rPr/>
        <w:t>five reptiles, McIlroy et al. (1985) concluded that it is unlikely that amphibians and reptiles face any direct poisoning risk from pest- poisoning campaigns involving 1080, given their high tolerance and the enormous amounts of poisoned bait that would have to be eaten. (McIlroy 1982) tested 14 species of rodents and found that individuals of most species of rodents would appear to face a considerable risk. However, he noted that the crucial factor governing the actual effect on populations was more than just the sensitivity to oral doses of aqueous 1080 solution, and that factors such as body size, capacity to consume the required amount of bait material and how many individuals found and ate the baits all contribute to the actual risk to individual species.</w:t>
      </w:r>
    </w:p>
    <w:p>
      <w:pPr>
        <w:pStyle w:val="BodyText"/>
        <w:spacing w:before="120"/>
        <w:ind w:left="112" w:right="271"/>
      </w:pPr>
      <w:r>
        <w:rPr/>
        <w:t>Also, considering the relatively high rate of population increase of many rodent species (range 0.98–4.48; (Hone et al. 2010), the level of annual population reduction needed is high Hone et al. (2010) reported a range of 59–94% annually). In addition, the density of bait per home range is likely to be quite low given rodent</w:t>
      </w:r>
      <w:r>
        <w:rPr>
          <w:spacing w:val="-3"/>
        </w:rPr>
        <w:t> </w:t>
      </w:r>
      <w:r>
        <w:rPr/>
        <w:t>species</w:t>
      </w:r>
      <w:r>
        <w:rPr>
          <w:spacing w:val="-2"/>
        </w:rPr>
        <w:t> </w:t>
      </w:r>
      <w:r>
        <w:rPr/>
        <w:t>tend</w:t>
      </w:r>
      <w:r>
        <w:rPr>
          <w:spacing w:val="-1"/>
        </w:rPr>
        <w:t> </w:t>
      </w:r>
      <w:r>
        <w:rPr/>
        <w:t>to</w:t>
      </w:r>
      <w:r>
        <w:rPr>
          <w:spacing w:val="-2"/>
        </w:rPr>
        <w:t> </w:t>
      </w:r>
      <w:r>
        <w:rPr/>
        <w:t>have</w:t>
      </w:r>
      <w:r>
        <w:rPr>
          <w:spacing w:val="-3"/>
        </w:rPr>
        <w:t> </w:t>
      </w:r>
      <w:r>
        <w:rPr/>
        <w:t>home</w:t>
      </w:r>
      <w:r>
        <w:rPr>
          <w:spacing w:val="-3"/>
        </w:rPr>
        <w:t> </w:t>
      </w:r>
      <w:r>
        <w:rPr/>
        <w:t>ranges</w:t>
      </w:r>
      <w:r>
        <w:rPr>
          <w:spacing w:val="-2"/>
        </w:rPr>
        <w:t> </w:t>
      </w:r>
      <w:r>
        <w:rPr/>
        <w:t>of</w:t>
      </w:r>
      <w:r>
        <w:rPr>
          <w:spacing w:val="-3"/>
        </w:rPr>
        <w:t> </w:t>
      </w:r>
      <w:r>
        <w:rPr/>
        <w:t>less</w:t>
      </w:r>
      <w:r>
        <w:rPr>
          <w:spacing w:val="-2"/>
        </w:rPr>
        <w:t> </w:t>
      </w:r>
      <w:r>
        <w:rPr/>
        <w:t>than</w:t>
      </w:r>
      <w:r>
        <w:rPr>
          <w:spacing w:val="-1"/>
        </w:rPr>
        <w:t> </w:t>
      </w:r>
      <w:r>
        <w:rPr/>
        <w:t>10</w:t>
      </w:r>
      <w:r>
        <w:rPr>
          <w:spacing w:val="-3"/>
        </w:rPr>
        <w:t> </w:t>
      </w:r>
      <w:r>
        <w:rPr/>
        <w:t>ha</w:t>
      </w:r>
      <w:r>
        <w:rPr>
          <w:spacing w:val="-3"/>
        </w:rPr>
        <w:t> </w:t>
      </w:r>
      <w:r>
        <w:rPr/>
        <w:t>and</w:t>
      </w:r>
      <w:r>
        <w:rPr>
          <w:spacing w:val="-4"/>
        </w:rPr>
        <w:t> </w:t>
      </w:r>
      <w:r>
        <w:rPr/>
        <w:t>baits are</w:t>
      </w:r>
      <w:r>
        <w:rPr>
          <w:spacing w:val="-3"/>
        </w:rPr>
        <w:t> </w:t>
      </w:r>
      <w:r>
        <w:rPr/>
        <w:t>generally</w:t>
      </w:r>
      <w:r>
        <w:rPr>
          <w:spacing w:val="-2"/>
        </w:rPr>
        <w:t> </w:t>
      </w:r>
      <w:r>
        <w:rPr/>
        <w:t>deployed</w:t>
      </w:r>
      <w:r>
        <w:rPr>
          <w:spacing w:val="-2"/>
        </w:rPr>
        <w:t> </w:t>
      </w:r>
      <w:r>
        <w:rPr/>
        <w:t>at</w:t>
      </w:r>
      <w:r>
        <w:rPr>
          <w:spacing w:val="-3"/>
        </w:rPr>
        <w:t> </w:t>
      </w:r>
      <w:r>
        <w:rPr/>
        <w:t>rates</w:t>
      </w:r>
      <w:r>
        <w:rPr>
          <w:spacing w:val="-2"/>
        </w:rPr>
        <w:t> </w:t>
      </w:r>
      <w:r>
        <w:rPr/>
        <w:t>of</w:t>
      </w:r>
      <w:r>
        <w:rPr>
          <w:spacing w:val="-3"/>
        </w:rPr>
        <w:t> </w:t>
      </w:r>
      <w:r>
        <w:rPr/>
        <w:t>3– 4 km</w:t>
      </w:r>
      <w:r>
        <w:rPr>
          <w:position w:val="6"/>
          <w:sz w:val="13"/>
        </w:rPr>
        <w:t>-2 </w:t>
      </w:r>
      <w:r>
        <w:rPr/>
        <w:t>for managing foxes, and 10 baits km</w:t>
      </w:r>
      <w:r>
        <w:rPr>
          <w:position w:val="6"/>
          <w:sz w:val="13"/>
        </w:rPr>
        <w:t>-2</w:t>
      </w:r>
      <w:r>
        <w:rPr>
          <w:spacing w:val="24"/>
          <w:position w:val="6"/>
          <w:sz w:val="13"/>
        </w:rPr>
        <w:t> </w:t>
      </w:r>
      <w:r>
        <w:rPr/>
        <w:t>within restricted locations during aerial baiting operations for managing Dingoes and Wild Dogs in Victoria (Marks 2001).</w:t>
      </w:r>
    </w:p>
    <w:p>
      <w:pPr>
        <w:pStyle w:val="BodyText"/>
        <w:spacing w:before="120"/>
        <w:ind w:left="112" w:right="139"/>
      </w:pPr>
      <w:r>
        <w:rPr/>
        <w:t>The results from field studies of Dingo-poisoning campaigns indicate that the campaigns have no significant effect</w:t>
      </w:r>
      <w:r>
        <w:rPr>
          <w:spacing w:val="-4"/>
        </w:rPr>
        <w:t> </w:t>
      </w:r>
      <w:r>
        <w:rPr/>
        <w:t>on</w:t>
      </w:r>
      <w:r>
        <w:rPr>
          <w:spacing w:val="-4"/>
        </w:rPr>
        <w:t> </w:t>
      </w:r>
      <w:r>
        <w:rPr/>
        <w:t>populations</w:t>
      </w:r>
      <w:r>
        <w:rPr>
          <w:spacing w:val="-1"/>
        </w:rPr>
        <w:t> </w:t>
      </w:r>
      <w:r>
        <w:rPr/>
        <w:t>of</w:t>
      </w:r>
      <w:r>
        <w:rPr>
          <w:spacing w:val="-4"/>
        </w:rPr>
        <w:t> </w:t>
      </w:r>
      <w:r>
        <w:rPr/>
        <w:t>small</w:t>
      </w:r>
      <w:r>
        <w:rPr>
          <w:spacing w:val="-3"/>
        </w:rPr>
        <w:t> </w:t>
      </w:r>
      <w:r>
        <w:rPr/>
        <w:t>mammals</w:t>
      </w:r>
      <w:r>
        <w:rPr>
          <w:spacing w:val="-3"/>
        </w:rPr>
        <w:t> </w:t>
      </w:r>
      <w:r>
        <w:rPr/>
        <w:t>and</w:t>
      </w:r>
      <w:r>
        <w:rPr>
          <w:spacing w:val="-5"/>
        </w:rPr>
        <w:t> </w:t>
      </w:r>
      <w:r>
        <w:rPr/>
        <w:t>birds</w:t>
      </w:r>
      <w:r>
        <w:rPr>
          <w:spacing w:val="-3"/>
        </w:rPr>
        <w:t> </w:t>
      </w:r>
      <w:r>
        <w:rPr/>
        <w:t>in</w:t>
      </w:r>
      <w:r>
        <w:rPr>
          <w:spacing w:val="-4"/>
        </w:rPr>
        <w:t> </w:t>
      </w:r>
      <w:r>
        <w:rPr/>
        <w:t>mountain</w:t>
      </w:r>
      <w:r>
        <w:rPr>
          <w:spacing w:val="-2"/>
        </w:rPr>
        <w:t> </w:t>
      </w:r>
      <w:r>
        <w:rPr/>
        <w:t>forest</w:t>
      </w:r>
      <w:r>
        <w:rPr>
          <w:spacing w:val="-2"/>
        </w:rPr>
        <w:t> </w:t>
      </w:r>
      <w:r>
        <w:rPr/>
        <w:t>areas</w:t>
      </w:r>
      <w:r>
        <w:rPr>
          <w:spacing w:val="-3"/>
        </w:rPr>
        <w:t> </w:t>
      </w:r>
      <w:r>
        <w:rPr/>
        <w:t>in</w:t>
      </w:r>
      <w:r>
        <w:rPr>
          <w:spacing w:val="-4"/>
        </w:rPr>
        <w:t> </w:t>
      </w:r>
      <w:r>
        <w:rPr/>
        <w:t>southeastern</w:t>
      </w:r>
      <w:r>
        <w:rPr>
          <w:spacing w:val="-2"/>
        </w:rPr>
        <w:t> </w:t>
      </w:r>
      <w:r>
        <w:rPr/>
        <w:t>Australia (McIlroy 1992; McIlroy et al. 1986), on populations of Northern Quolls (</w:t>
      </w:r>
      <w:r>
        <w:rPr>
          <w:i/>
        </w:rPr>
        <w:t>Dasyurus hallucatus</w:t>
      </w:r>
      <w:r>
        <w:rPr/>
        <w:t>), and probably other dasyurids and rodents in pastoral areas of Western Australia (King 1989), on Southern Bush Rats (</w:t>
      </w:r>
      <w:r>
        <w:rPr>
          <w:i/>
        </w:rPr>
        <w:t>Rattus</w:t>
      </w:r>
      <w:r>
        <w:rPr>
          <w:i/>
        </w:rPr>
        <w:t> fuscipes assimilis</w:t>
      </w:r>
      <w:r>
        <w:rPr/>
        <w:t>) and Brown Antechinus (</w:t>
      </w:r>
      <w:r>
        <w:rPr>
          <w:i/>
        </w:rPr>
        <w:t>Antechinus stuartii</w:t>
      </w:r>
      <w:r>
        <w:rPr/>
        <w:t>) in northeast NSW (Fenner et al. 2009), or on Spotted-tailed</w:t>
      </w:r>
      <w:r>
        <w:rPr>
          <w:spacing w:val="-3"/>
        </w:rPr>
        <w:t> </w:t>
      </w:r>
      <w:r>
        <w:rPr/>
        <w:t>Quoll</w:t>
      </w:r>
      <w:r>
        <w:rPr>
          <w:spacing w:val="-2"/>
        </w:rPr>
        <w:t> </w:t>
      </w:r>
      <w:r>
        <w:rPr/>
        <w:t>(Claridge</w:t>
      </w:r>
      <w:r>
        <w:rPr>
          <w:spacing w:val="-3"/>
        </w:rPr>
        <w:t> </w:t>
      </w:r>
      <w:r>
        <w:rPr/>
        <w:t>et al.</w:t>
      </w:r>
      <w:r>
        <w:rPr>
          <w:spacing w:val="-2"/>
        </w:rPr>
        <w:t> </w:t>
      </w:r>
      <w:r>
        <w:rPr/>
        <w:t>2021; Claridge</w:t>
      </w:r>
      <w:r>
        <w:rPr>
          <w:spacing w:val="-2"/>
        </w:rPr>
        <w:t> </w:t>
      </w:r>
      <w:r>
        <w:rPr/>
        <w:t>and</w:t>
      </w:r>
      <w:r>
        <w:rPr>
          <w:spacing w:val="-2"/>
        </w:rPr>
        <w:t> </w:t>
      </w:r>
      <w:r>
        <w:rPr/>
        <w:t>Mills 2007; Kortner</w:t>
      </w:r>
      <w:r>
        <w:rPr>
          <w:spacing w:val="-2"/>
        </w:rPr>
        <w:t> </w:t>
      </w:r>
      <w:r>
        <w:rPr/>
        <w:t>2007; Kortner</w:t>
      </w:r>
      <w:r>
        <w:rPr>
          <w:spacing w:val="-2"/>
        </w:rPr>
        <w:t> </w:t>
      </w:r>
      <w:r>
        <w:rPr/>
        <w:t>and Watson</w:t>
      </w:r>
      <w:r>
        <w:rPr>
          <w:spacing w:val="-1"/>
        </w:rPr>
        <w:t> </w:t>
      </w:r>
      <w:r>
        <w:rPr/>
        <w:t>2005). Allen et al. (2014) conducted a series of landscape-scale, multi-year, manipulative experiments at nine sites spanning five ecosystem types across the Australian continental rangelands to investigate the responses of sympatric prey populations to contemporary poison-baiting programmes intended to control Dingoes. Prey populations</w:t>
      </w:r>
      <w:r>
        <w:rPr>
          <w:spacing w:val="-1"/>
        </w:rPr>
        <w:t> </w:t>
      </w:r>
      <w:r>
        <w:rPr/>
        <w:t>were almost</w:t>
      </w:r>
      <w:r>
        <w:rPr>
          <w:spacing w:val="-2"/>
        </w:rPr>
        <w:t> </w:t>
      </w:r>
      <w:r>
        <w:rPr/>
        <w:t>always</w:t>
      </w:r>
      <w:r>
        <w:rPr>
          <w:spacing w:val="-1"/>
        </w:rPr>
        <w:t> </w:t>
      </w:r>
      <w:r>
        <w:rPr/>
        <w:t>in</w:t>
      </w:r>
      <w:r>
        <w:rPr>
          <w:spacing w:val="-2"/>
        </w:rPr>
        <w:t> </w:t>
      </w:r>
      <w:r>
        <w:rPr/>
        <w:t>similar</w:t>
      </w:r>
      <w:r>
        <w:rPr>
          <w:spacing w:val="-2"/>
        </w:rPr>
        <w:t> </w:t>
      </w:r>
      <w:r>
        <w:rPr/>
        <w:t>or greater</w:t>
      </w:r>
      <w:r>
        <w:rPr>
          <w:spacing w:val="-2"/>
        </w:rPr>
        <w:t> </w:t>
      </w:r>
      <w:r>
        <w:rPr/>
        <w:t>abundances</w:t>
      </w:r>
      <w:r>
        <w:rPr>
          <w:spacing w:val="-1"/>
        </w:rPr>
        <w:t> </w:t>
      </w:r>
      <w:r>
        <w:rPr/>
        <w:t>in</w:t>
      </w:r>
      <w:r>
        <w:rPr>
          <w:spacing w:val="-2"/>
        </w:rPr>
        <w:t> </w:t>
      </w:r>
      <w:r>
        <w:rPr/>
        <w:t>baited</w:t>
      </w:r>
      <w:r>
        <w:rPr>
          <w:spacing w:val="-1"/>
        </w:rPr>
        <w:t> </w:t>
      </w:r>
      <w:r>
        <w:rPr/>
        <w:t>areas. Short-term</w:t>
      </w:r>
      <w:r>
        <w:rPr>
          <w:spacing w:val="-2"/>
        </w:rPr>
        <w:t> </w:t>
      </w:r>
      <w:r>
        <w:rPr/>
        <w:t>prey responses to baiting were seldom apparent. Longer-term prey population trends fluctuated independently of baiting for every prey species at all sites.</w:t>
      </w:r>
    </w:p>
    <w:p>
      <w:pPr>
        <w:spacing w:after="0"/>
        <w:sectPr>
          <w:footerReference w:type="even" r:id="rId74"/>
          <w:footerReference w:type="default" r:id="rId75"/>
          <w:pgSz w:w="11910" w:h="16850"/>
          <w:pgMar w:header="0" w:footer="688" w:top="1060" w:bottom="880" w:left="1020" w:right="1020"/>
          <w:pgNumType w:start="76"/>
        </w:sectPr>
      </w:pPr>
    </w:p>
    <w:p>
      <w:pPr>
        <w:pStyle w:val="BodyText"/>
        <w:spacing w:before="71"/>
        <w:ind w:left="112" w:right="142"/>
      </w:pPr>
      <w:r>
        <w:rPr/>
        <w:t>Results</w:t>
      </w:r>
      <w:r>
        <w:rPr>
          <w:spacing w:val="-2"/>
        </w:rPr>
        <w:t> </w:t>
      </w:r>
      <w:r>
        <w:rPr/>
        <w:t>from</w:t>
      </w:r>
      <w:r>
        <w:rPr>
          <w:spacing w:val="-3"/>
        </w:rPr>
        <w:t> </w:t>
      </w:r>
      <w:r>
        <w:rPr/>
        <w:t>field</w:t>
      </w:r>
      <w:r>
        <w:rPr>
          <w:spacing w:val="-3"/>
        </w:rPr>
        <w:t> </w:t>
      </w:r>
      <w:r>
        <w:rPr/>
        <w:t>studies</w:t>
      </w:r>
      <w:r>
        <w:rPr>
          <w:spacing w:val="-2"/>
        </w:rPr>
        <w:t> </w:t>
      </w:r>
      <w:r>
        <w:rPr/>
        <w:t>on</w:t>
      </w:r>
      <w:r>
        <w:rPr>
          <w:spacing w:val="-3"/>
        </w:rPr>
        <w:t> </w:t>
      </w:r>
      <w:r>
        <w:rPr/>
        <w:t>the</w:t>
      </w:r>
      <w:r>
        <w:rPr>
          <w:spacing w:val="-1"/>
        </w:rPr>
        <w:t> </w:t>
      </w:r>
      <w:r>
        <w:rPr/>
        <w:t>impact</w:t>
      </w:r>
      <w:r>
        <w:rPr>
          <w:spacing w:val="-3"/>
        </w:rPr>
        <w:t> </w:t>
      </w:r>
      <w:r>
        <w:rPr/>
        <w:t>of</w:t>
      </w:r>
      <w:r>
        <w:rPr>
          <w:spacing w:val="-3"/>
        </w:rPr>
        <w:t> </w:t>
      </w:r>
      <w:r>
        <w:rPr/>
        <w:t>fox</w:t>
      </w:r>
      <w:r>
        <w:rPr>
          <w:spacing w:val="-2"/>
        </w:rPr>
        <w:t> </w:t>
      </w:r>
      <w:r>
        <w:rPr/>
        <w:t>baiting</w:t>
      </w:r>
      <w:r>
        <w:rPr>
          <w:spacing w:val="-3"/>
        </w:rPr>
        <w:t> </w:t>
      </w:r>
      <w:r>
        <w:rPr/>
        <w:t>(buried</w:t>
      </w:r>
      <w:r>
        <w:rPr>
          <w:spacing w:val="-3"/>
        </w:rPr>
        <w:t> </w:t>
      </w:r>
      <w:r>
        <w:rPr/>
        <w:t>or</w:t>
      </w:r>
      <w:r>
        <w:rPr>
          <w:spacing w:val="-2"/>
        </w:rPr>
        <w:t> </w:t>
      </w:r>
      <w:r>
        <w:rPr/>
        <w:t>surface</w:t>
      </w:r>
      <w:r>
        <w:rPr>
          <w:spacing w:val="-1"/>
        </w:rPr>
        <w:t> </w:t>
      </w:r>
      <w:r>
        <w:rPr/>
        <w:t>laid) indicate</w:t>
      </w:r>
      <w:r>
        <w:rPr>
          <w:spacing w:val="-4"/>
        </w:rPr>
        <w:t> </w:t>
      </w:r>
      <w:r>
        <w:rPr/>
        <w:t>that</w:t>
      </w:r>
      <w:r>
        <w:rPr>
          <w:spacing w:val="-3"/>
        </w:rPr>
        <w:t> </w:t>
      </w:r>
      <w:r>
        <w:rPr/>
        <w:t>control</w:t>
      </w:r>
      <w:r>
        <w:rPr>
          <w:spacing w:val="-2"/>
        </w:rPr>
        <w:t> </w:t>
      </w:r>
      <w:r>
        <w:rPr/>
        <w:t>operations have had no significant impact on populations of Spotted-tail Quolls (Körtner et al. 2003), Brush-tailed Phascogales (Marlow et al. 2015), or on the abundance of bandicoots, Brush-tailed Possums (</w:t>
      </w:r>
      <w:r>
        <w:rPr>
          <w:i/>
        </w:rPr>
        <w:t>Trichosurus</w:t>
      </w:r>
      <w:r>
        <w:rPr>
          <w:i/>
        </w:rPr>
        <w:t> vulpecula</w:t>
      </w:r>
      <w:r>
        <w:rPr/>
        <w:t>)</w:t>
      </w:r>
      <w:r>
        <w:rPr>
          <w:spacing w:val="-2"/>
        </w:rPr>
        <w:t> </w:t>
      </w:r>
      <w:r>
        <w:rPr/>
        <w:t>and</w:t>
      </w:r>
      <w:r>
        <w:rPr>
          <w:spacing w:val="-2"/>
        </w:rPr>
        <w:t> </w:t>
      </w:r>
      <w:r>
        <w:rPr/>
        <w:t>lyrebirds</w:t>
      </w:r>
      <w:r>
        <w:rPr>
          <w:spacing w:val="-2"/>
        </w:rPr>
        <w:t> </w:t>
      </w:r>
      <w:r>
        <w:rPr/>
        <w:t>(</w:t>
      </w:r>
      <w:r>
        <w:rPr>
          <w:i/>
        </w:rPr>
        <w:t>Menura</w:t>
      </w:r>
      <w:r>
        <w:rPr>
          <w:i/>
          <w:spacing w:val="-2"/>
        </w:rPr>
        <w:t> </w:t>
      </w:r>
      <w:r>
        <w:rPr/>
        <w:t>spp.)</w:t>
      </w:r>
      <w:r>
        <w:rPr>
          <w:spacing w:val="-2"/>
        </w:rPr>
        <w:t> </w:t>
      </w:r>
      <w:r>
        <w:rPr/>
        <w:t>in</w:t>
      </w:r>
      <w:r>
        <w:rPr>
          <w:spacing w:val="-3"/>
        </w:rPr>
        <w:t> </w:t>
      </w:r>
      <w:r>
        <w:rPr/>
        <w:t>southern</w:t>
      </w:r>
      <w:r>
        <w:rPr>
          <w:spacing w:val="-3"/>
        </w:rPr>
        <w:t> </w:t>
      </w:r>
      <w:r>
        <w:rPr/>
        <w:t>NSW</w:t>
      </w:r>
      <w:r>
        <w:rPr>
          <w:spacing w:val="-2"/>
        </w:rPr>
        <w:t> </w:t>
      </w:r>
      <w:r>
        <w:rPr/>
        <w:t>(Claridge</w:t>
      </w:r>
      <w:r>
        <w:rPr>
          <w:spacing w:val="-4"/>
        </w:rPr>
        <w:t> </w:t>
      </w:r>
      <w:r>
        <w:rPr/>
        <w:t>et</w:t>
      </w:r>
      <w:r>
        <w:rPr>
          <w:spacing w:val="-3"/>
        </w:rPr>
        <w:t> </w:t>
      </w:r>
      <w:r>
        <w:rPr/>
        <w:t>al.</w:t>
      </w:r>
      <w:r>
        <w:rPr>
          <w:spacing w:val="-3"/>
        </w:rPr>
        <w:t> </w:t>
      </w:r>
      <w:r>
        <w:rPr/>
        <w:t>2010).</w:t>
      </w:r>
      <w:r>
        <w:rPr>
          <w:spacing w:val="-2"/>
        </w:rPr>
        <w:t> </w:t>
      </w:r>
      <w:r>
        <w:rPr/>
        <w:t>As</w:t>
      </w:r>
      <w:r>
        <w:rPr>
          <w:spacing w:val="-2"/>
        </w:rPr>
        <w:t> </w:t>
      </w:r>
      <w:r>
        <w:rPr/>
        <w:t>noted</w:t>
      </w:r>
      <w:r>
        <w:rPr>
          <w:spacing w:val="-2"/>
        </w:rPr>
        <w:t> </w:t>
      </w:r>
      <w:r>
        <w:rPr/>
        <w:t>previously,</w:t>
      </w:r>
      <w:r>
        <w:rPr>
          <w:spacing w:val="-3"/>
        </w:rPr>
        <w:t> </w:t>
      </w:r>
      <w:r>
        <w:rPr/>
        <w:t>several studies have demonstrated increased measures of abundance of a range of native mammal and reptile species in response to the implementation of successful fox control using 1080 baits, suggesting a positive impact on those native species (e.g. Dexter and Murray 2009; Hunter and Lagisz 2018; Jessop et al. 2016; Robley et al. 2014; de Tores 2020). Given the benefits to many non-target species of removing feral predators by baiting</w:t>
      </w:r>
      <w:r>
        <w:rPr>
          <w:spacing w:val="-1"/>
        </w:rPr>
        <w:t> </w:t>
      </w:r>
      <w:r>
        <w:rPr/>
        <w:t>(e.g. Kinnear et al. 1988; Kinnear et al. 2002; Morris et al. 2003), the net effect on their populations is more likely to be positive, despite the potential loss of some individuals.</w:t>
      </w:r>
    </w:p>
    <w:p>
      <w:pPr>
        <w:pStyle w:val="BodyText"/>
        <w:spacing w:before="122"/>
        <w:ind w:left="112" w:right="222"/>
      </w:pPr>
      <w:r>
        <w:rPr/>
        <w:t>In</w:t>
      </w:r>
      <w:r>
        <w:rPr>
          <w:spacing w:val="-4"/>
        </w:rPr>
        <w:t> </w:t>
      </w:r>
      <w:r>
        <w:rPr/>
        <w:t>Victoria,</w:t>
      </w:r>
      <w:r>
        <w:rPr>
          <w:spacing w:val="-3"/>
        </w:rPr>
        <w:t> </w:t>
      </w:r>
      <w:r>
        <w:rPr/>
        <w:t>it</w:t>
      </w:r>
      <w:r>
        <w:rPr>
          <w:spacing w:val="-3"/>
        </w:rPr>
        <w:t> </w:t>
      </w:r>
      <w:r>
        <w:rPr/>
        <w:t>is</w:t>
      </w:r>
      <w:r>
        <w:rPr>
          <w:spacing w:val="-2"/>
        </w:rPr>
        <w:t> </w:t>
      </w:r>
      <w:r>
        <w:rPr/>
        <w:t>a</w:t>
      </w:r>
      <w:r>
        <w:rPr>
          <w:spacing w:val="-1"/>
        </w:rPr>
        <w:t> </w:t>
      </w:r>
      <w:r>
        <w:rPr/>
        <w:t>permit</w:t>
      </w:r>
      <w:r>
        <w:rPr>
          <w:spacing w:val="-3"/>
        </w:rPr>
        <w:t> </w:t>
      </w:r>
      <w:r>
        <w:rPr/>
        <w:t>condition</w:t>
      </w:r>
      <w:r>
        <w:rPr>
          <w:spacing w:val="-3"/>
        </w:rPr>
        <w:t> </w:t>
      </w:r>
      <w:r>
        <w:rPr/>
        <w:t>that</w:t>
      </w:r>
      <w:r>
        <w:rPr>
          <w:spacing w:val="-3"/>
        </w:rPr>
        <w:t> </w:t>
      </w:r>
      <w:r>
        <w:rPr/>
        <w:t>baits</w:t>
      </w:r>
      <w:r>
        <w:rPr>
          <w:spacing w:val="-2"/>
        </w:rPr>
        <w:t> </w:t>
      </w:r>
      <w:r>
        <w:rPr/>
        <w:t>used</w:t>
      </w:r>
      <w:r>
        <w:rPr>
          <w:spacing w:val="-3"/>
        </w:rPr>
        <w:t> </w:t>
      </w:r>
      <w:r>
        <w:rPr/>
        <w:t>in</w:t>
      </w:r>
      <w:r>
        <w:rPr>
          <w:spacing w:val="-3"/>
        </w:rPr>
        <w:t> </w:t>
      </w:r>
      <w:r>
        <w:rPr/>
        <w:t>ground-based</w:t>
      </w:r>
      <w:r>
        <w:rPr>
          <w:spacing w:val="-2"/>
        </w:rPr>
        <w:t> </w:t>
      </w:r>
      <w:r>
        <w:rPr/>
        <w:t>operations</w:t>
      </w:r>
      <w:r>
        <w:rPr>
          <w:spacing w:val="-2"/>
        </w:rPr>
        <w:t> </w:t>
      </w:r>
      <w:r>
        <w:rPr/>
        <w:t>for</w:t>
      </w:r>
      <w:r>
        <w:rPr>
          <w:spacing w:val="-2"/>
        </w:rPr>
        <w:t> </w:t>
      </w:r>
      <w:r>
        <w:rPr/>
        <w:t>the</w:t>
      </w:r>
      <w:r>
        <w:rPr>
          <w:spacing w:val="-4"/>
        </w:rPr>
        <w:t> </w:t>
      </w:r>
      <w:r>
        <w:rPr/>
        <w:t>control</w:t>
      </w:r>
      <w:r>
        <w:rPr>
          <w:spacing w:val="-4"/>
        </w:rPr>
        <w:t> </w:t>
      </w:r>
      <w:r>
        <w:rPr/>
        <w:t>of Dingoes</w:t>
      </w:r>
      <w:r>
        <w:rPr>
          <w:spacing w:val="-2"/>
        </w:rPr>
        <w:t> </w:t>
      </w:r>
      <w:r>
        <w:rPr/>
        <w:t>and Wild Dogs, and</w:t>
      </w:r>
      <w:r>
        <w:rPr>
          <w:spacing w:val="-1"/>
        </w:rPr>
        <w:t> </w:t>
      </w:r>
      <w:r>
        <w:rPr/>
        <w:t>foxes, are burred</w:t>
      </w:r>
      <w:r>
        <w:rPr>
          <w:spacing w:val="-1"/>
        </w:rPr>
        <w:t> </w:t>
      </w:r>
      <w:r>
        <w:rPr/>
        <w:t>to a depth of 8 - 10 cm to</w:t>
      </w:r>
      <w:r>
        <w:rPr>
          <w:spacing w:val="-1"/>
        </w:rPr>
        <w:t> </w:t>
      </w:r>
      <w:r>
        <w:rPr/>
        <w:t>further manage</w:t>
      </w:r>
      <w:r>
        <w:rPr>
          <w:spacing w:val="-1"/>
        </w:rPr>
        <w:t> </w:t>
      </w:r>
      <w:r>
        <w:rPr/>
        <w:t>the</w:t>
      </w:r>
      <w:r>
        <w:rPr>
          <w:spacing w:val="-1"/>
        </w:rPr>
        <w:t> </w:t>
      </w:r>
      <w:r>
        <w:rPr/>
        <w:t>risk (Bloomfield 1999). The burial of baits has been found to reduce the uptake by non-target animals (Allen et al. 1989; Glen and Dickman 2003a). However, some non-target individuals have been observed</w:t>
      </w:r>
      <w:r>
        <w:rPr>
          <w:spacing w:val="-1"/>
        </w:rPr>
        <w:t> </w:t>
      </w:r>
      <w:r>
        <w:rPr/>
        <w:t>to excavate</w:t>
      </w:r>
      <w:r>
        <w:rPr>
          <w:spacing w:val="-1"/>
        </w:rPr>
        <w:t> </w:t>
      </w:r>
      <w:r>
        <w:rPr/>
        <w:t>buried baits (e.g. Fleming</w:t>
      </w:r>
      <w:r>
        <w:rPr>
          <w:spacing w:val="-1"/>
        </w:rPr>
        <w:t> </w:t>
      </w:r>
      <w:r>
        <w:rPr/>
        <w:t>1996;</w:t>
      </w:r>
      <w:r>
        <w:rPr>
          <w:spacing w:val="-1"/>
        </w:rPr>
        <w:t> </w:t>
      </w:r>
      <w:r>
        <w:rPr/>
        <w:t>Belcher</w:t>
      </w:r>
      <w:r>
        <w:rPr>
          <w:spacing w:val="-2"/>
        </w:rPr>
        <w:t> </w:t>
      </w:r>
      <w:r>
        <w:rPr/>
        <w:t>1998;</w:t>
      </w:r>
      <w:r>
        <w:rPr>
          <w:spacing w:val="-3"/>
        </w:rPr>
        <w:t> </w:t>
      </w:r>
      <w:r>
        <w:rPr/>
        <w:t>Dexter and</w:t>
      </w:r>
      <w:r>
        <w:rPr>
          <w:spacing w:val="-1"/>
        </w:rPr>
        <w:t> </w:t>
      </w:r>
      <w:r>
        <w:rPr/>
        <w:t>Meek</w:t>
      </w:r>
      <w:r>
        <w:rPr>
          <w:spacing w:val="-2"/>
        </w:rPr>
        <w:t> </w:t>
      </w:r>
      <w:r>
        <w:rPr/>
        <w:t>1998;</w:t>
      </w:r>
      <w:r>
        <w:rPr>
          <w:spacing w:val="-1"/>
        </w:rPr>
        <w:t> </w:t>
      </w:r>
      <w:r>
        <w:rPr/>
        <w:t>Glen</w:t>
      </w:r>
      <w:r>
        <w:rPr>
          <w:spacing w:val="-2"/>
        </w:rPr>
        <w:t> </w:t>
      </w:r>
      <w:r>
        <w:rPr/>
        <w:t>and</w:t>
      </w:r>
      <w:r>
        <w:rPr>
          <w:spacing w:val="-1"/>
        </w:rPr>
        <w:t> </w:t>
      </w:r>
      <w:r>
        <w:rPr/>
        <w:t>Dickman</w:t>
      </w:r>
      <w:r>
        <w:rPr>
          <w:spacing w:val="-3"/>
        </w:rPr>
        <w:t> </w:t>
      </w:r>
      <w:r>
        <w:rPr/>
        <w:t>2003b;</w:t>
      </w:r>
      <w:r>
        <w:rPr>
          <w:spacing w:val="-1"/>
        </w:rPr>
        <w:t> </w:t>
      </w:r>
      <w:r>
        <w:rPr/>
        <w:t>Robley et</w:t>
      </w:r>
      <w:r>
        <w:rPr>
          <w:spacing w:val="-1"/>
        </w:rPr>
        <w:t> </w:t>
      </w:r>
      <w:r>
        <w:rPr/>
        <w:t>al. 2009,</w:t>
      </w:r>
      <w:r>
        <w:rPr>
          <w:spacing w:val="-1"/>
        </w:rPr>
        <w:t> </w:t>
      </w:r>
      <w:r>
        <w:rPr/>
        <w:t>Mason et al. 2025), and burial may also reduce the consumption of baits by target animals (Robley et al. 2009; Thomson and Kok 2002).</w:t>
      </w:r>
    </w:p>
    <w:p>
      <w:pPr>
        <w:pStyle w:val="Heading6"/>
        <w:spacing w:line="252" w:lineRule="exact" w:before="122"/>
        <w:rPr>
          <w:i/>
        </w:rPr>
      </w:pPr>
      <w:r>
        <w:rPr>
          <w:i/>
        </w:rPr>
        <w:t>PAPP</w:t>
      </w:r>
      <w:r>
        <w:rPr>
          <w:i/>
          <w:spacing w:val="-4"/>
        </w:rPr>
        <w:t> </w:t>
      </w:r>
      <w:r>
        <w:rPr>
          <w:i/>
          <w:spacing w:val="-2"/>
        </w:rPr>
        <w:t>baits</w:t>
      </w:r>
    </w:p>
    <w:p>
      <w:pPr>
        <w:pStyle w:val="BodyText"/>
        <w:ind w:left="112" w:right="375"/>
      </w:pPr>
      <w:r>
        <w:rPr/>
        <w:t>There are two products containing PAPP for the management of foxes and Dingoes and Wild Dogs in Victoria,</w:t>
      </w:r>
      <w:r>
        <w:rPr>
          <w:spacing w:val="-4"/>
        </w:rPr>
        <w:t> </w:t>
      </w:r>
      <w:r>
        <w:rPr/>
        <w:t>FOXECUTE</w:t>
      </w:r>
      <w:r>
        <w:rPr>
          <w:spacing w:val="-4"/>
        </w:rPr>
        <w:t> </w:t>
      </w:r>
      <w:r>
        <w:rPr/>
        <w:t>(35</w:t>
      </w:r>
      <w:r>
        <w:rPr>
          <w:spacing w:val="-4"/>
        </w:rPr>
        <w:t> </w:t>
      </w:r>
      <w:r>
        <w:rPr/>
        <w:t>g</w:t>
      </w:r>
      <w:r>
        <w:rPr>
          <w:spacing w:val="-3"/>
        </w:rPr>
        <w:t> </w:t>
      </w:r>
      <w:r>
        <w:rPr/>
        <w:t>fox</w:t>
      </w:r>
      <w:r>
        <w:rPr>
          <w:spacing w:val="-3"/>
        </w:rPr>
        <w:t> </w:t>
      </w:r>
      <w:r>
        <w:rPr/>
        <w:t>bait</w:t>
      </w:r>
      <w:r>
        <w:rPr>
          <w:spacing w:val="-4"/>
        </w:rPr>
        <w:t> </w:t>
      </w:r>
      <w:r>
        <w:rPr/>
        <w:t>containing</w:t>
      </w:r>
      <w:r>
        <w:rPr>
          <w:spacing w:val="-4"/>
        </w:rPr>
        <w:t> </w:t>
      </w:r>
      <w:r>
        <w:rPr/>
        <w:t>400</w:t>
      </w:r>
      <w:r>
        <w:rPr>
          <w:spacing w:val="-2"/>
        </w:rPr>
        <w:t> </w:t>
      </w:r>
      <w:r>
        <w:rPr/>
        <w:t>mg</w:t>
      </w:r>
      <w:r>
        <w:rPr>
          <w:spacing w:val="-2"/>
        </w:rPr>
        <w:t> </w:t>
      </w:r>
      <w:r>
        <w:rPr/>
        <w:t>PAPP)</w:t>
      </w:r>
      <w:r>
        <w:rPr>
          <w:spacing w:val="-1"/>
        </w:rPr>
        <w:t> </w:t>
      </w:r>
      <w:r>
        <w:rPr/>
        <w:t>and DOGABAIT</w:t>
      </w:r>
      <w:r>
        <w:rPr>
          <w:spacing w:val="-1"/>
        </w:rPr>
        <w:t> </w:t>
      </w:r>
      <w:r>
        <w:rPr/>
        <w:t>PAPP</w:t>
      </w:r>
      <w:r>
        <w:rPr>
          <w:spacing w:val="-2"/>
        </w:rPr>
        <w:t> </w:t>
      </w:r>
      <w:r>
        <w:rPr/>
        <w:t>Bait</w:t>
      </w:r>
      <w:r>
        <w:rPr>
          <w:spacing w:val="-4"/>
        </w:rPr>
        <w:t> </w:t>
      </w:r>
      <w:r>
        <w:rPr/>
        <w:t>(60</w:t>
      </w:r>
      <w:r>
        <w:rPr>
          <w:spacing w:val="-3"/>
        </w:rPr>
        <w:t> </w:t>
      </w:r>
      <w:r>
        <w:rPr/>
        <w:t>g</w:t>
      </w:r>
      <w:r>
        <w:rPr>
          <w:spacing w:val="-2"/>
        </w:rPr>
        <w:t> </w:t>
      </w:r>
      <w:r>
        <w:rPr/>
        <w:t>Wild</w:t>
      </w:r>
      <w:r>
        <w:rPr>
          <w:spacing w:val="-2"/>
        </w:rPr>
        <w:t> </w:t>
      </w:r>
      <w:r>
        <w:rPr/>
        <w:t>Dog bait contains 1000 mg PAPP). PAPP is also available in capsules for use in CPEs.</w:t>
      </w:r>
    </w:p>
    <w:p>
      <w:pPr>
        <w:pStyle w:val="BodyText"/>
        <w:spacing w:before="118"/>
        <w:ind w:left="112" w:right="142"/>
      </w:pPr>
      <w:r>
        <w:rPr/>
        <w:t>We</w:t>
      </w:r>
      <w:r>
        <w:rPr>
          <w:spacing w:val="-4"/>
        </w:rPr>
        <w:t> </w:t>
      </w:r>
      <w:r>
        <w:rPr/>
        <w:t>could</w:t>
      </w:r>
      <w:r>
        <w:rPr>
          <w:spacing w:val="-2"/>
        </w:rPr>
        <w:t> </w:t>
      </w:r>
      <w:r>
        <w:rPr/>
        <w:t>find</w:t>
      </w:r>
      <w:r>
        <w:rPr>
          <w:spacing w:val="-5"/>
        </w:rPr>
        <w:t> </w:t>
      </w:r>
      <w:r>
        <w:rPr/>
        <w:t>no</w:t>
      </w:r>
      <w:r>
        <w:rPr>
          <w:spacing w:val="-4"/>
        </w:rPr>
        <w:t> </w:t>
      </w:r>
      <w:r>
        <w:rPr/>
        <w:t>published</w:t>
      </w:r>
      <w:r>
        <w:rPr>
          <w:spacing w:val="-2"/>
        </w:rPr>
        <w:t> </w:t>
      </w:r>
      <w:r>
        <w:rPr/>
        <w:t>literature</w:t>
      </w:r>
      <w:r>
        <w:rPr>
          <w:spacing w:val="-1"/>
        </w:rPr>
        <w:t> </w:t>
      </w:r>
      <w:r>
        <w:rPr/>
        <w:t>that</w:t>
      </w:r>
      <w:r>
        <w:rPr>
          <w:spacing w:val="-4"/>
        </w:rPr>
        <w:t> </w:t>
      </w:r>
      <w:r>
        <w:rPr/>
        <w:t>quantitatively assessed</w:t>
      </w:r>
      <w:r>
        <w:rPr>
          <w:spacing w:val="-5"/>
        </w:rPr>
        <w:t> </w:t>
      </w:r>
      <w:r>
        <w:rPr/>
        <w:t>the</w:t>
      </w:r>
      <w:r>
        <w:rPr>
          <w:spacing w:val="-2"/>
        </w:rPr>
        <w:t> </w:t>
      </w:r>
      <w:r>
        <w:rPr/>
        <w:t>impact</w:t>
      </w:r>
      <w:r>
        <w:rPr>
          <w:spacing w:val="-4"/>
        </w:rPr>
        <w:t> </w:t>
      </w:r>
      <w:r>
        <w:rPr/>
        <w:t>of</w:t>
      </w:r>
      <w:r>
        <w:rPr>
          <w:spacing w:val="-4"/>
        </w:rPr>
        <w:t> </w:t>
      </w:r>
      <w:r>
        <w:rPr/>
        <w:t>field-based</w:t>
      </w:r>
      <w:r>
        <w:rPr>
          <w:spacing w:val="-3"/>
        </w:rPr>
        <w:t> </w:t>
      </w:r>
      <w:r>
        <w:rPr/>
        <w:t>baiting</w:t>
      </w:r>
      <w:r>
        <w:rPr>
          <w:spacing w:val="-5"/>
        </w:rPr>
        <w:t> </w:t>
      </w:r>
      <w:r>
        <w:rPr/>
        <w:t>operations on native species from FOXECUTE or DOGABAIT PAPP Bait. PAPP bait products are relatively new, and the bait products are more expensive, limiting the broadscale uptake of these products, particularly in Victoria. Consequently, no large-scale programmes have implemented the use of PAPP baits for enough time to robustly monitor population responses in native species.</w:t>
      </w:r>
    </w:p>
    <w:p>
      <w:pPr>
        <w:pStyle w:val="BodyText"/>
        <w:spacing w:before="120"/>
        <w:ind w:left="112"/>
      </w:pPr>
      <w:r>
        <w:rPr/>
        <w:t>As noted for other toxins, testing using direct dosing or using indirect methods (modelled non-lethal dose response curves) has shown that a number of native species are at potential risk from PAPP (Eason et al. 2014; Marks et al. 2023). The most sensitive Australian bird species assessed is the little Australian Raven </w:t>
      </w:r>
      <w:r>
        <w:rPr>
          <w:position w:val="1"/>
        </w:rPr>
        <w:t>(</w:t>
      </w:r>
      <w:r>
        <w:rPr>
          <w:i/>
          <w:position w:val="1"/>
        </w:rPr>
        <w:t>Corvus coronoides</w:t>
      </w:r>
      <w:r>
        <w:rPr>
          <w:position w:val="1"/>
        </w:rPr>
        <w:t>) with an LD</w:t>
      </w:r>
      <w:r>
        <w:rPr>
          <w:sz w:val="13"/>
        </w:rPr>
        <w:t>50</w:t>
      </w:r>
      <w:r>
        <w:rPr>
          <w:spacing w:val="29"/>
          <w:sz w:val="13"/>
        </w:rPr>
        <w:t> </w:t>
      </w:r>
      <w:r>
        <w:rPr>
          <w:position w:val="1"/>
        </w:rPr>
        <w:t>of 130–133 mg/kg, making it moderately sensitive. The Common Crow </w:t>
      </w:r>
      <w:r>
        <w:rPr/>
        <w:t>(</w:t>
      </w:r>
      <w:r>
        <w:rPr>
          <w:i/>
        </w:rPr>
        <w:t>Corvus brachyrhynchos</w:t>
      </w:r>
      <w:r>
        <w:rPr/>
        <w:t>), the Silver Gull </w:t>
      </w:r>
      <w:r>
        <w:rPr>
          <w:i/>
        </w:rPr>
        <w:t>(Larus novaehollandiae</w:t>
      </w:r>
      <w:r>
        <w:rPr/>
        <w:t>) and the Australian Magpie (</w:t>
      </w:r>
      <w:r>
        <w:rPr>
          <w:i/>
        </w:rPr>
        <w:t>Gymnorhina</w:t>
      </w:r>
      <w:r>
        <w:rPr>
          <w:i/>
        </w:rPr>
        <w:t> </w:t>
      </w:r>
      <w:r>
        <w:rPr>
          <w:i/>
          <w:position w:val="1"/>
        </w:rPr>
        <w:t>tibicen</w:t>
      </w:r>
      <w:r>
        <w:rPr>
          <w:position w:val="1"/>
        </w:rPr>
        <w:t>) have a low sensitivity. The Lace Monitor (</w:t>
      </w:r>
      <w:r>
        <w:rPr>
          <w:i/>
          <w:position w:val="1"/>
        </w:rPr>
        <w:t>Varanus varius. </w:t>
      </w:r>
      <w:r>
        <w:rPr>
          <w:position w:val="1"/>
        </w:rPr>
        <w:t>LD</w:t>
      </w:r>
      <w:r>
        <w:rPr>
          <w:sz w:val="13"/>
        </w:rPr>
        <w:t>50</w:t>
      </w:r>
      <w:r>
        <w:rPr>
          <w:spacing w:val="25"/>
          <w:sz w:val="13"/>
        </w:rPr>
        <w:t> </w:t>
      </w:r>
      <w:r>
        <w:rPr>
          <w:position w:val="1"/>
        </w:rPr>
        <w:t>3 mg/kg) and Rosenberg’s Goanna (</w:t>
      </w:r>
      <w:r>
        <w:rPr>
          <w:i/>
          <w:position w:val="1"/>
        </w:rPr>
        <w:t>Varanus</w:t>
      </w:r>
      <w:r>
        <w:rPr>
          <w:i/>
          <w:spacing w:val="-3"/>
          <w:position w:val="1"/>
        </w:rPr>
        <w:t> </w:t>
      </w:r>
      <w:r>
        <w:rPr>
          <w:i/>
          <w:position w:val="1"/>
        </w:rPr>
        <w:t>rosenbergi, </w:t>
      </w:r>
      <w:r>
        <w:rPr>
          <w:position w:val="1"/>
        </w:rPr>
        <w:t>LD</w:t>
      </w:r>
      <w:r>
        <w:rPr>
          <w:sz w:val="13"/>
        </w:rPr>
        <w:t>50</w:t>
      </w:r>
      <w:r>
        <w:rPr>
          <w:spacing w:val="18"/>
          <w:sz w:val="13"/>
        </w:rPr>
        <w:t> </w:t>
      </w:r>
      <w:r>
        <w:rPr>
          <w:position w:val="1"/>
        </w:rPr>
        <w:t>12</w:t>
      </w:r>
      <w:r>
        <w:rPr>
          <w:spacing w:val="-4"/>
          <w:position w:val="1"/>
        </w:rPr>
        <w:t> </w:t>
      </w:r>
      <w:r>
        <w:rPr>
          <w:position w:val="1"/>
        </w:rPr>
        <w:t>mg/kg),</w:t>
      </w:r>
      <w:r>
        <w:rPr>
          <w:spacing w:val="-4"/>
          <w:position w:val="1"/>
        </w:rPr>
        <w:t> </w:t>
      </w:r>
      <w:r>
        <w:rPr>
          <w:position w:val="1"/>
        </w:rPr>
        <w:t>are</w:t>
      </w:r>
      <w:r>
        <w:rPr>
          <w:spacing w:val="-2"/>
          <w:position w:val="1"/>
        </w:rPr>
        <w:t> </w:t>
      </w:r>
      <w:r>
        <w:rPr>
          <w:position w:val="1"/>
        </w:rPr>
        <w:t>highly</w:t>
      </w:r>
      <w:r>
        <w:rPr>
          <w:spacing w:val="-3"/>
          <w:position w:val="1"/>
        </w:rPr>
        <w:t> </w:t>
      </w:r>
      <w:r>
        <w:rPr>
          <w:position w:val="1"/>
        </w:rPr>
        <w:t>sensitive</w:t>
      </w:r>
      <w:r>
        <w:rPr>
          <w:spacing w:val="-4"/>
          <w:position w:val="1"/>
        </w:rPr>
        <w:t> </w:t>
      </w:r>
      <w:r>
        <w:rPr>
          <w:position w:val="1"/>
        </w:rPr>
        <w:t>to</w:t>
      </w:r>
      <w:r>
        <w:rPr>
          <w:spacing w:val="-2"/>
          <w:position w:val="1"/>
        </w:rPr>
        <w:t> </w:t>
      </w:r>
      <w:r>
        <w:rPr>
          <w:position w:val="1"/>
        </w:rPr>
        <w:t>acute</w:t>
      </w:r>
      <w:r>
        <w:rPr>
          <w:spacing w:val="-3"/>
          <w:position w:val="1"/>
        </w:rPr>
        <w:t> </w:t>
      </w:r>
      <w:r>
        <w:rPr>
          <w:position w:val="1"/>
        </w:rPr>
        <w:t>toxicity (Eason</w:t>
      </w:r>
      <w:r>
        <w:rPr>
          <w:spacing w:val="-2"/>
          <w:position w:val="1"/>
        </w:rPr>
        <w:t> </w:t>
      </w:r>
      <w:r>
        <w:rPr>
          <w:position w:val="1"/>
        </w:rPr>
        <w:t>et</w:t>
      </w:r>
      <w:r>
        <w:rPr>
          <w:spacing w:val="-4"/>
          <w:position w:val="1"/>
        </w:rPr>
        <w:t> </w:t>
      </w:r>
      <w:r>
        <w:rPr>
          <w:position w:val="1"/>
        </w:rPr>
        <w:t>al.</w:t>
      </w:r>
      <w:r>
        <w:rPr>
          <w:spacing w:val="-4"/>
          <w:position w:val="1"/>
        </w:rPr>
        <w:t> </w:t>
      </w:r>
      <w:r>
        <w:rPr>
          <w:position w:val="1"/>
        </w:rPr>
        <w:t>2014).</w:t>
      </w:r>
      <w:r>
        <w:rPr>
          <w:spacing w:val="-4"/>
          <w:position w:val="1"/>
        </w:rPr>
        <w:t> </w:t>
      </w:r>
      <w:r>
        <w:rPr>
          <w:position w:val="1"/>
        </w:rPr>
        <w:t>The</w:t>
      </w:r>
      <w:r>
        <w:rPr>
          <w:spacing w:val="-5"/>
          <w:position w:val="1"/>
        </w:rPr>
        <w:t> </w:t>
      </w:r>
      <w:r>
        <w:rPr>
          <w:position w:val="1"/>
        </w:rPr>
        <w:t>southern brown bandicoot (LD</w:t>
      </w:r>
      <w:r>
        <w:rPr>
          <w:sz w:val="13"/>
        </w:rPr>
        <w:t>50</w:t>
      </w:r>
      <w:r>
        <w:rPr>
          <w:position w:val="1"/>
        </w:rPr>
        <w:t>s of 6.4 mg/kg) and Dingo (LD50 8.5 mg/kg) are highly sensitive (LD</w:t>
      </w:r>
      <w:r>
        <w:rPr>
          <w:sz w:val="13"/>
        </w:rPr>
        <w:t>50</w:t>
      </w:r>
      <w:r>
        <w:rPr>
          <w:spacing w:val="26"/>
          <w:sz w:val="13"/>
        </w:rPr>
        <w:t> </w:t>
      </w:r>
      <w:r>
        <w:rPr>
          <w:position w:val="1"/>
        </w:rPr>
        <w:t>&lt;10 mg/kg).</w:t>
      </w:r>
    </w:p>
    <w:p>
      <w:pPr>
        <w:pStyle w:val="BodyText"/>
        <w:spacing w:before="1"/>
        <w:ind w:left="112"/>
      </w:pPr>
      <w:r>
        <w:rPr>
          <w:position w:val="1"/>
        </w:rPr>
        <w:t>The</w:t>
      </w:r>
      <w:r>
        <w:rPr>
          <w:spacing w:val="-8"/>
          <w:position w:val="1"/>
        </w:rPr>
        <w:t> </w:t>
      </w:r>
      <w:r>
        <w:rPr>
          <w:position w:val="1"/>
        </w:rPr>
        <w:t>Spotted-tailed</w:t>
      </w:r>
      <w:r>
        <w:rPr>
          <w:spacing w:val="-7"/>
          <w:position w:val="1"/>
        </w:rPr>
        <w:t> </w:t>
      </w:r>
      <w:r>
        <w:rPr>
          <w:position w:val="1"/>
        </w:rPr>
        <w:t>Quoll</w:t>
      </w:r>
      <w:r>
        <w:rPr>
          <w:spacing w:val="-8"/>
          <w:position w:val="1"/>
        </w:rPr>
        <w:t> </w:t>
      </w:r>
      <w:r>
        <w:rPr>
          <w:position w:val="1"/>
        </w:rPr>
        <w:t>was</w:t>
      </w:r>
      <w:r>
        <w:rPr>
          <w:spacing w:val="-6"/>
          <w:position w:val="1"/>
        </w:rPr>
        <w:t> </w:t>
      </w:r>
      <w:r>
        <w:rPr>
          <w:position w:val="1"/>
        </w:rPr>
        <w:t>the</w:t>
      </w:r>
      <w:r>
        <w:rPr>
          <w:spacing w:val="-5"/>
          <w:position w:val="1"/>
        </w:rPr>
        <w:t> </w:t>
      </w:r>
      <w:r>
        <w:rPr>
          <w:position w:val="1"/>
        </w:rPr>
        <w:t>next</w:t>
      </w:r>
      <w:r>
        <w:rPr>
          <w:spacing w:val="-8"/>
          <w:position w:val="1"/>
        </w:rPr>
        <w:t> </w:t>
      </w:r>
      <w:r>
        <w:rPr>
          <w:position w:val="1"/>
        </w:rPr>
        <w:t>most</w:t>
      </w:r>
      <w:r>
        <w:rPr>
          <w:spacing w:val="-7"/>
          <w:position w:val="1"/>
        </w:rPr>
        <w:t> </w:t>
      </w:r>
      <w:r>
        <w:rPr>
          <w:position w:val="1"/>
        </w:rPr>
        <w:t>sensitive</w:t>
      </w:r>
      <w:r>
        <w:rPr>
          <w:spacing w:val="-5"/>
          <w:position w:val="1"/>
        </w:rPr>
        <w:t> </w:t>
      </w:r>
      <w:r>
        <w:rPr>
          <w:position w:val="1"/>
        </w:rPr>
        <w:t>Australian</w:t>
      </w:r>
      <w:r>
        <w:rPr>
          <w:spacing w:val="-7"/>
          <w:position w:val="1"/>
        </w:rPr>
        <w:t> </w:t>
      </w:r>
      <w:r>
        <w:rPr>
          <w:position w:val="1"/>
        </w:rPr>
        <w:t>native</w:t>
      </w:r>
      <w:r>
        <w:rPr>
          <w:spacing w:val="-7"/>
          <w:position w:val="1"/>
        </w:rPr>
        <w:t> </w:t>
      </w:r>
      <w:r>
        <w:rPr>
          <w:position w:val="1"/>
        </w:rPr>
        <w:t>species</w:t>
      </w:r>
      <w:r>
        <w:rPr>
          <w:spacing w:val="-6"/>
          <w:position w:val="1"/>
        </w:rPr>
        <w:t> </w:t>
      </w:r>
      <w:r>
        <w:rPr>
          <w:position w:val="1"/>
        </w:rPr>
        <w:t>tested,</w:t>
      </w:r>
      <w:r>
        <w:rPr>
          <w:spacing w:val="-8"/>
          <w:position w:val="1"/>
        </w:rPr>
        <w:t> </w:t>
      </w:r>
      <w:r>
        <w:rPr>
          <w:position w:val="1"/>
        </w:rPr>
        <w:t>with</w:t>
      </w:r>
      <w:r>
        <w:rPr>
          <w:spacing w:val="1"/>
          <w:position w:val="1"/>
        </w:rPr>
        <w:t> </w:t>
      </w:r>
      <w:r>
        <w:rPr>
          <w:position w:val="1"/>
        </w:rPr>
        <w:t>an</w:t>
      </w:r>
      <w:r>
        <w:rPr>
          <w:spacing w:val="-7"/>
          <w:position w:val="1"/>
        </w:rPr>
        <w:t> </w:t>
      </w:r>
      <w:r>
        <w:rPr>
          <w:position w:val="1"/>
        </w:rPr>
        <w:t>LD</w:t>
      </w:r>
      <w:r>
        <w:rPr>
          <w:sz w:val="13"/>
        </w:rPr>
        <w:t>50</w:t>
      </w:r>
      <w:r>
        <w:rPr>
          <w:spacing w:val="12"/>
          <w:sz w:val="13"/>
        </w:rPr>
        <w:t> </w:t>
      </w:r>
      <w:r>
        <w:rPr>
          <w:spacing w:val="-5"/>
          <w:position w:val="1"/>
        </w:rPr>
        <w:t>of</w:t>
      </w:r>
    </w:p>
    <w:p>
      <w:pPr>
        <w:spacing w:before="1"/>
        <w:ind w:left="112" w:right="117" w:firstLine="0"/>
        <w:jc w:val="left"/>
        <w:rPr>
          <w:sz w:val="20"/>
        </w:rPr>
      </w:pPr>
      <w:r>
        <w:rPr>
          <w:sz w:val="20"/>
        </w:rPr>
        <w:t>24.8 mg/kg. The toxicity to other native species tested ranged from 89–120 mg/kg for the Dama Wallaby (</w:t>
      </w:r>
      <w:r>
        <w:rPr>
          <w:i/>
          <w:sz w:val="20"/>
        </w:rPr>
        <w:t>Macropus eugenii</w:t>
      </w:r>
      <w:r>
        <w:rPr>
          <w:sz w:val="20"/>
        </w:rPr>
        <w:t>), Fat-tailed Dunnart (</w:t>
      </w:r>
      <w:r>
        <w:rPr>
          <w:i/>
          <w:sz w:val="20"/>
        </w:rPr>
        <w:t>Sminthopsis crassicaudata</w:t>
      </w:r>
      <w:r>
        <w:rPr>
          <w:sz w:val="20"/>
        </w:rPr>
        <w:t>) and Tasmanian Devil (</w:t>
      </w:r>
      <w:r>
        <w:rPr>
          <w:i/>
          <w:sz w:val="20"/>
        </w:rPr>
        <w:t>Sarcophilus</w:t>
      </w:r>
      <w:r>
        <w:rPr>
          <w:i/>
          <w:sz w:val="20"/>
        </w:rPr>
        <w:t> harrisii</w:t>
      </w:r>
      <w:r>
        <w:rPr>
          <w:sz w:val="20"/>
        </w:rPr>
        <w:t>),</w:t>
      </w:r>
      <w:r>
        <w:rPr>
          <w:spacing w:val="-2"/>
          <w:sz w:val="20"/>
        </w:rPr>
        <w:t> </w:t>
      </w:r>
      <w:r>
        <w:rPr>
          <w:sz w:val="20"/>
        </w:rPr>
        <w:t>and</w:t>
      </w:r>
      <w:r>
        <w:rPr>
          <w:spacing w:val="-4"/>
          <w:sz w:val="20"/>
        </w:rPr>
        <w:t> </w:t>
      </w:r>
      <w:r>
        <w:rPr>
          <w:sz w:val="20"/>
        </w:rPr>
        <w:t>&gt;</w:t>
      </w:r>
      <w:r>
        <w:rPr>
          <w:spacing w:val="-3"/>
          <w:sz w:val="20"/>
        </w:rPr>
        <w:t> </w:t>
      </w:r>
      <w:r>
        <w:rPr>
          <w:sz w:val="20"/>
        </w:rPr>
        <w:t>500</w:t>
      </w:r>
      <w:r>
        <w:rPr>
          <w:spacing w:val="-4"/>
          <w:sz w:val="20"/>
        </w:rPr>
        <w:t> </w:t>
      </w:r>
      <w:r>
        <w:rPr>
          <w:sz w:val="20"/>
        </w:rPr>
        <w:t>mg/kg</w:t>
      </w:r>
      <w:r>
        <w:rPr>
          <w:spacing w:val="-4"/>
          <w:sz w:val="20"/>
        </w:rPr>
        <w:t> </w:t>
      </w:r>
      <w:r>
        <w:rPr>
          <w:sz w:val="20"/>
        </w:rPr>
        <w:t>for</w:t>
      </w:r>
      <w:r>
        <w:rPr>
          <w:spacing w:val="-2"/>
          <w:sz w:val="20"/>
        </w:rPr>
        <w:t> </w:t>
      </w:r>
      <w:r>
        <w:rPr>
          <w:sz w:val="20"/>
        </w:rPr>
        <w:t>the</w:t>
      </w:r>
      <w:r>
        <w:rPr>
          <w:spacing w:val="-3"/>
          <w:sz w:val="20"/>
        </w:rPr>
        <w:t> </w:t>
      </w:r>
      <w:r>
        <w:rPr>
          <w:sz w:val="20"/>
        </w:rPr>
        <w:t>Brushtail</w:t>
      </w:r>
      <w:r>
        <w:rPr>
          <w:spacing w:val="-4"/>
          <w:sz w:val="20"/>
        </w:rPr>
        <w:t> </w:t>
      </w:r>
      <w:r>
        <w:rPr>
          <w:sz w:val="20"/>
        </w:rPr>
        <w:t>Possum</w:t>
      </w:r>
      <w:r>
        <w:rPr>
          <w:spacing w:val="-4"/>
          <w:sz w:val="20"/>
        </w:rPr>
        <w:t> </w:t>
      </w:r>
      <w:r>
        <w:rPr>
          <w:sz w:val="20"/>
        </w:rPr>
        <w:t>(</w:t>
      </w:r>
      <w:r>
        <w:rPr>
          <w:i/>
          <w:sz w:val="20"/>
        </w:rPr>
        <w:t>Trichosurus</w:t>
      </w:r>
      <w:r>
        <w:rPr>
          <w:i/>
          <w:spacing w:val="-2"/>
          <w:sz w:val="20"/>
        </w:rPr>
        <w:t> </w:t>
      </w:r>
      <w:r>
        <w:rPr>
          <w:i/>
          <w:sz w:val="20"/>
        </w:rPr>
        <w:t>vulpecula</w:t>
      </w:r>
      <w:r>
        <w:rPr>
          <w:sz w:val="20"/>
        </w:rPr>
        <w:t>),</w:t>
      </w:r>
      <w:r>
        <w:rPr>
          <w:spacing w:val="-1"/>
          <w:sz w:val="20"/>
        </w:rPr>
        <w:t> </w:t>
      </w:r>
      <w:r>
        <w:rPr>
          <w:sz w:val="20"/>
        </w:rPr>
        <w:t>Brown</w:t>
      </w:r>
      <w:r>
        <w:rPr>
          <w:spacing w:val="-4"/>
          <w:sz w:val="20"/>
        </w:rPr>
        <w:t> </w:t>
      </w:r>
      <w:r>
        <w:rPr>
          <w:sz w:val="20"/>
        </w:rPr>
        <w:t>Antechinus</w:t>
      </w:r>
      <w:r>
        <w:rPr>
          <w:spacing w:val="-3"/>
          <w:sz w:val="20"/>
        </w:rPr>
        <w:t> </w:t>
      </w:r>
      <w:r>
        <w:rPr>
          <w:sz w:val="20"/>
        </w:rPr>
        <w:t>and Bush</w:t>
      </w:r>
      <w:r>
        <w:rPr>
          <w:spacing w:val="-2"/>
          <w:sz w:val="20"/>
        </w:rPr>
        <w:t> </w:t>
      </w:r>
      <w:r>
        <w:rPr>
          <w:sz w:val="20"/>
        </w:rPr>
        <w:t>Rat (</w:t>
      </w:r>
      <w:r>
        <w:rPr>
          <w:i/>
          <w:sz w:val="20"/>
        </w:rPr>
        <w:t>Rattus fuscipes</w:t>
      </w:r>
      <w:r>
        <w:rPr>
          <w:sz w:val="20"/>
        </w:rPr>
        <w:t>).</w:t>
      </w:r>
    </w:p>
    <w:p>
      <w:pPr>
        <w:pStyle w:val="Heading5"/>
        <w:numPr>
          <w:ilvl w:val="2"/>
          <w:numId w:val="22"/>
        </w:numPr>
        <w:tabs>
          <w:tab w:pos="831" w:val="left" w:leader="none"/>
        </w:tabs>
        <w:spacing w:line="240" w:lineRule="auto" w:before="139" w:after="0"/>
        <w:ind w:left="831" w:right="0" w:hanging="719"/>
        <w:jc w:val="left"/>
      </w:pPr>
      <w:r>
        <w:rPr/>
        <w:t>Risk</w:t>
      </w:r>
      <w:r>
        <w:rPr>
          <w:spacing w:val="-4"/>
        </w:rPr>
        <w:t> </w:t>
      </w:r>
      <w:r>
        <w:rPr/>
        <w:t>of</w:t>
      </w:r>
      <w:r>
        <w:rPr>
          <w:spacing w:val="-5"/>
        </w:rPr>
        <w:t> </w:t>
      </w:r>
      <w:r>
        <w:rPr/>
        <w:t>secondary</w:t>
      </w:r>
      <w:r>
        <w:rPr>
          <w:spacing w:val="-5"/>
        </w:rPr>
        <w:t> </w:t>
      </w:r>
      <w:r>
        <w:rPr>
          <w:spacing w:val="-2"/>
        </w:rPr>
        <w:t>poisoning</w:t>
      </w:r>
    </w:p>
    <w:p>
      <w:pPr>
        <w:pStyle w:val="BodyText"/>
        <w:spacing w:before="58"/>
        <w:ind w:left="112" w:right="135"/>
      </w:pPr>
      <w:r>
        <w:rPr/>
        <w:t>Secondary poisoning can be a risk for non-target species during poison control operations. For example, some Feral Pigs will vomit after ingesting 1080 poison, with vomit likely to contain concentrations of 1080</w:t>
      </w:r>
      <w:r>
        <w:rPr>
          <w:spacing w:val="40"/>
        </w:rPr>
        <w:t> </w:t>
      </w:r>
      <w:r>
        <w:rPr/>
        <w:t>that would be hazardous to many non-target species if ingested (O’Brien et al. 1986). Carcasses of Feral Pigs killed by 1080 poisoning also showed residues of 1080 poison in all tissues tested, although the concentrations were minimal except in the digestive tract. This suggests that secondary poisoning from carcasses is unlikely for most Australian species except for Dingoes and invasive carnivores (Gentle et al. 2005;</w:t>
      </w:r>
      <w:r>
        <w:rPr>
          <w:spacing w:val="-1"/>
        </w:rPr>
        <w:t> </w:t>
      </w:r>
      <w:r>
        <w:rPr/>
        <w:t>Twigg et</w:t>
      </w:r>
      <w:r>
        <w:rPr>
          <w:spacing w:val="-1"/>
        </w:rPr>
        <w:t> </w:t>
      </w:r>
      <w:r>
        <w:rPr/>
        <w:t>al.</w:t>
      </w:r>
      <w:r>
        <w:rPr>
          <w:spacing w:val="-1"/>
        </w:rPr>
        <w:t> </w:t>
      </w:r>
      <w:r>
        <w:rPr/>
        <w:t>2005). However,</w:t>
      </w:r>
      <w:r>
        <w:rPr>
          <w:spacing w:val="-1"/>
        </w:rPr>
        <w:t> </w:t>
      </w:r>
      <w:r>
        <w:rPr/>
        <w:t>in</w:t>
      </w:r>
      <w:r>
        <w:rPr>
          <w:spacing w:val="-1"/>
        </w:rPr>
        <w:t> </w:t>
      </w:r>
      <w:r>
        <w:rPr/>
        <w:t>a</w:t>
      </w:r>
      <w:r>
        <w:rPr>
          <w:spacing w:val="-2"/>
        </w:rPr>
        <w:t> </w:t>
      </w:r>
      <w:r>
        <w:rPr/>
        <w:t>study on</w:t>
      </w:r>
      <w:r>
        <w:rPr>
          <w:spacing w:val="-1"/>
        </w:rPr>
        <w:t> </w:t>
      </w:r>
      <w:r>
        <w:rPr/>
        <w:t>the</w:t>
      </w:r>
      <w:r>
        <w:rPr>
          <w:spacing w:val="-1"/>
        </w:rPr>
        <w:t> </w:t>
      </w:r>
      <w:r>
        <w:rPr/>
        <w:t>use</w:t>
      </w:r>
      <w:r>
        <w:rPr>
          <w:spacing w:val="-1"/>
        </w:rPr>
        <w:t> </w:t>
      </w:r>
      <w:r>
        <w:rPr/>
        <w:t>of</w:t>
      </w:r>
      <w:r>
        <w:rPr>
          <w:spacing w:val="-1"/>
        </w:rPr>
        <w:t> </w:t>
      </w:r>
      <w:r>
        <w:rPr/>
        <w:t>deer carcasses by Dingoes, foxes and</w:t>
      </w:r>
      <w:r>
        <w:rPr>
          <w:spacing w:val="-1"/>
        </w:rPr>
        <w:t> </w:t>
      </w:r>
      <w:r>
        <w:rPr/>
        <w:t>feral</w:t>
      </w:r>
      <w:r>
        <w:rPr>
          <w:spacing w:val="-2"/>
        </w:rPr>
        <w:t> </w:t>
      </w:r>
      <w:r>
        <w:rPr/>
        <w:t>cats, Forsyth et al. (2014) found that Dingoes did not feed on carcasses for long periods and the amount of</w:t>
      </w:r>
      <w:r>
        <w:rPr>
          <w:spacing w:val="40"/>
        </w:rPr>
        <w:t> </w:t>
      </w:r>
      <w:r>
        <w:rPr/>
        <w:t>feeding</w:t>
      </w:r>
      <w:r>
        <w:rPr>
          <w:spacing w:val="-2"/>
        </w:rPr>
        <w:t> </w:t>
      </w:r>
      <w:r>
        <w:rPr/>
        <w:t>activity</w:t>
      </w:r>
      <w:r>
        <w:rPr>
          <w:spacing w:val="-3"/>
        </w:rPr>
        <w:t> </w:t>
      </w:r>
      <w:r>
        <w:rPr/>
        <w:t>was</w:t>
      </w:r>
      <w:r>
        <w:rPr>
          <w:spacing w:val="-3"/>
        </w:rPr>
        <w:t> </w:t>
      </w:r>
      <w:r>
        <w:rPr/>
        <w:t>a</w:t>
      </w:r>
      <w:r>
        <w:rPr>
          <w:spacing w:val="-2"/>
        </w:rPr>
        <w:t> </w:t>
      </w:r>
      <w:r>
        <w:rPr/>
        <w:t>less</w:t>
      </w:r>
      <w:r>
        <w:rPr>
          <w:spacing w:val="-3"/>
        </w:rPr>
        <w:t> </w:t>
      </w:r>
      <w:r>
        <w:rPr/>
        <w:t>important</w:t>
      </w:r>
      <w:r>
        <w:rPr>
          <w:spacing w:val="-4"/>
        </w:rPr>
        <w:t> </w:t>
      </w:r>
      <w:r>
        <w:rPr/>
        <w:t>predictor</w:t>
      </w:r>
      <w:r>
        <w:rPr>
          <w:spacing w:val="-4"/>
        </w:rPr>
        <w:t> </w:t>
      </w:r>
      <w:r>
        <w:rPr/>
        <w:t>of</w:t>
      </w:r>
      <w:r>
        <w:rPr>
          <w:spacing w:val="-4"/>
        </w:rPr>
        <w:t> </w:t>
      </w:r>
      <w:r>
        <w:rPr/>
        <w:t>the</w:t>
      </w:r>
      <w:r>
        <w:rPr>
          <w:spacing w:val="-3"/>
        </w:rPr>
        <w:t> </w:t>
      </w:r>
      <w:r>
        <w:rPr/>
        <w:t>loss</w:t>
      </w:r>
      <w:r>
        <w:rPr>
          <w:spacing w:val="-3"/>
        </w:rPr>
        <w:t> </w:t>
      </w:r>
      <w:r>
        <w:rPr/>
        <w:t>of</w:t>
      </w:r>
      <w:r>
        <w:rPr>
          <w:spacing w:val="-4"/>
        </w:rPr>
        <w:t> </w:t>
      </w:r>
      <w:r>
        <w:rPr/>
        <w:t>edible</w:t>
      </w:r>
      <w:r>
        <w:rPr>
          <w:spacing w:val="-4"/>
        </w:rPr>
        <w:t> </w:t>
      </w:r>
      <w:r>
        <w:rPr/>
        <w:t>biomass</w:t>
      </w:r>
      <w:r>
        <w:rPr>
          <w:spacing w:val="-3"/>
        </w:rPr>
        <w:t> </w:t>
      </w:r>
      <w:r>
        <w:rPr/>
        <w:t>than</w:t>
      </w:r>
      <w:r>
        <w:rPr>
          <w:spacing w:val="-2"/>
        </w:rPr>
        <w:t> </w:t>
      </w:r>
      <w:r>
        <w:rPr/>
        <w:t>season.</w:t>
      </w:r>
      <w:r>
        <w:rPr>
          <w:spacing w:val="-2"/>
        </w:rPr>
        <w:t> </w:t>
      </w:r>
      <w:r>
        <w:rPr/>
        <w:t>Reasons</w:t>
      </w:r>
      <w:r>
        <w:rPr>
          <w:spacing w:val="-3"/>
        </w:rPr>
        <w:t> </w:t>
      </w:r>
      <w:r>
        <w:rPr/>
        <w:t>for</w:t>
      </w:r>
      <w:r>
        <w:rPr>
          <w:spacing w:val="-3"/>
        </w:rPr>
        <w:t> </w:t>
      </w:r>
      <w:r>
        <w:rPr/>
        <w:t>the</w:t>
      </w:r>
      <w:r>
        <w:rPr>
          <w:spacing w:val="-4"/>
        </w:rPr>
        <w:t> </w:t>
      </w:r>
      <w:r>
        <w:rPr/>
        <w:t>low impacts included the spatially and temporally unpredictable distribution of carcasses in the landscape, the rapid rate of edible biomass decomposition in warm periods, low Dingo densities, and the availability of alternative food resources.</w:t>
      </w:r>
    </w:p>
    <w:p>
      <w:pPr>
        <w:pStyle w:val="BodyText"/>
        <w:spacing w:before="119"/>
        <w:ind w:left="112" w:right="142"/>
      </w:pPr>
      <w:r>
        <w:rPr/>
        <w:t>Similarly, measurements of sodium</w:t>
      </w:r>
      <w:r>
        <w:rPr>
          <w:spacing w:val="-1"/>
        </w:rPr>
        <w:t> </w:t>
      </w:r>
      <w:r>
        <w:rPr/>
        <w:t>nitrite</w:t>
      </w:r>
      <w:r>
        <w:rPr>
          <w:spacing w:val="-1"/>
        </w:rPr>
        <w:t> </w:t>
      </w:r>
      <w:r>
        <w:rPr/>
        <w:t>residue in</w:t>
      </w:r>
      <w:r>
        <w:rPr>
          <w:spacing w:val="-1"/>
        </w:rPr>
        <w:t> </w:t>
      </w:r>
      <w:r>
        <w:rPr/>
        <w:t>carcasses of Feral Pigs killed by HOGGONE</w:t>
      </w:r>
      <w:r>
        <w:rPr>
          <w:spacing w:val="-1"/>
        </w:rPr>
        <w:t> </w:t>
      </w:r>
      <w:r>
        <w:rPr/>
        <w:t>poisoning showed that only scavengers that consume the digestive tract would be at risk of secondary poisoning (Lapidge</w:t>
      </w:r>
      <w:r>
        <w:rPr>
          <w:spacing w:val="-2"/>
        </w:rPr>
        <w:t> </w:t>
      </w:r>
      <w:r>
        <w:rPr/>
        <w:t>et</w:t>
      </w:r>
      <w:r>
        <w:rPr>
          <w:spacing w:val="-2"/>
        </w:rPr>
        <w:t> </w:t>
      </w:r>
      <w:r>
        <w:rPr/>
        <w:t>al.</w:t>
      </w:r>
      <w:r>
        <w:rPr>
          <w:spacing w:val="-2"/>
        </w:rPr>
        <w:t> </w:t>
      </w:r>
      <w:r>
        <w:rPr/>
        <w:t>2012;</w:t>
      </w:r>
      <w:r>
        <w:rPr>
          <w:spacing w:val="-2"/>
        </w:rPr>
        <w:t> </w:t>
      </w:r>
      <w:r>
        <w:rPr/>
        <w:t>Snow</w:t>
      </w:r>
      <w:r>
        <w:rPr>
          <w:spacing w:val="-2"/>
        </w:rPr>
        <w:t> </w:t>
      </w:r>
      <w:r>
        <w:rPr/>
        <w:t>et</w:t>
      </w:r>
      <w:r>
        <w:rPr>
          <w:spacing w:val="-4"/>
        </w:rPr>
        <w:t> </w:t>
      </w:r>
      <w:r>
        <w:rPr/>
        <w:t>al.</w:t>
      </w:r>
      <w:r>
        <w:rPr>
          <w:spacing w:val="-4"/>
        </w:rPr>
        <w:t> </w:t>
      </w:r>
      <w:r>
        <w:rPr/>
        <w:t>2018,</w:t>
      </w:r>
      <w:r>
        <w:rPr>
          <w:spacing w:val="-2"/>
        </w:rPr>
        <w:t> </w:t>
      </w:r>
      <w:r>
        <w:rPr/>
        <w:t>2019).</w:t>
      </w:r>
      <w:r>
        <w:rPr>
          <w:spacing w:val="-4"/>
        </w:rPr>
        <w:t> </w:t>
      </w:r>
      <w:r>
        <w:rPr/>
        <w:t>The</w:t>
      </w:r>
      <w:r>
        <w:rPr>
          <w:spacing w:val="-4"/>
        </w:rPr>
        <w:t> </w:t>
      </w:r>
      <w:r>
        <w:rPr/>
        <w:t>incidence</w:t>
      </w:r>
      <w:r>
        <w:rPr>
          <w:spacing w:val="-2"/>
        </w:rPr>
        <w:t> </w:t>
      </w:r>
      <w:r>
        <w:rPr/>
        <w:t>of</w:t>
      </w:r>
      <w:r>
        <w:rPr>
          <w:spacing w:val="-4"/>
        </w:rPr>
        <w:t> </w:t>
      </w:r>
      <w:r>
        <w:rPr/>
        <w:t>vomiting after</w:t>
      </w:r>
      <w:r>
        <w:rPr>
          <w:spacing w:val="-4"/>
        </w:rPr>
        <w:t> </w:t>
      </w:r>
      <w:r>
        <w:rPr/>
        <w:t>consuming</w:t>
      </w:r>
      <w:r>
        <w:rPr>
          <w:spacing w:val="-4"/>
        </w:rPr>
        <w:t> </w:t>
      </w:r>
      <w:r>
        <w:rPr/>
        <w:t>sodium</w:t>
      </w:r>
      <w:r>
        <w:rPr>
          <w:spacing w:val="-2"/>
        </w:rPr>
        <w:t> </w:t>
      </w:r>
      <w:r>
        <w:rPr/>
        <w:t>nitrite</w:t>
      </w:r>
      <w:r>
        <w:rPr>
          <w:spacing w:val="-2"/>
        </w:rPr>
        <w:t> </w:t>
      </w:r>
      <w:r>
        <w:rPr/>
        <w:t>prior to death is lower than for 1080, which should also reduce secondary poisoning risks (Lapidge and Eason 2010). There is no literature on the use of Feral Pig carcasses by Dingoes, and therefore, this is an area requiring further investigation.</w:t>
      </w:r>
    </w:p>
    <w:p>
      <w:pPr>
        <w:spacing w:after="0"/>
        <w:sectPr>
          <w:pgSz w:w="11910" w:h="16850"/>
          <w:pgMar w:header="0" w:footer="688" w:top="1060" w:bottom="880" w:left="1020" w:right="1020"/>
        </w:sectPr>
      </w:pPr>
    </w:p>
    <w:p>
      <w:pPr>
        <w:pStyle w:val="BodyText"/>
        <w:spacing w:before="71"/>
        <w:ind w:left="112" w:right="142"/>
      </w:pPr>
      <w:r>
        <w:rPr/>
        <w:t>Secondary poisoning from rabbits targeted with 1080 is also a possibility. McIlroy and Gifford (1992) assessed the potential hazards that poisoned rabbits present to different carrion-eating animals by</w:t>
      </w:r>
      <w:r>
        <w:rPr/>
        <w:t> comparing the amounts of 1080 that carrion-eaters could ingest from feeding on poisoned corpses with their measured sensitivity to the poison. Foxes, Dingoes, and feral cats faced a greater risk of secondary poisoning than other animals. The extent of secondary poisoning to some birds and small dasyurids, may depend on their feeding habits, particularly what and how much of the different tissues and organs of poisoned animals they eat, and whether they vomit or regurgitate partly digested food. Twigg et al. (2003) investigated the amount of residual 1080 in rabbits poisoned by 1080 oats. They concluded that, except for eutherian</w:t>
      </w:r>
      <w:r>
        <w:rPr>
          <w:spacing w:val="-4"/>
        </w:rPr>
        <w:t> </w:t>
      </w:r>
      <w:r>
        <w:rPr/>
        <w:t>carnivores,</w:t>
      </w:r>
      <w:r>
        <w:rPr>
          <w:spacing w:val="-2"/>
        </w:rPr>
        <w:t> </w:t>
      </w:r>
      <w:r>
        <w:rPr/>
        <w:t>which</w:t>
      </w:r>
      <w:r>
        <w:rPr>
          <w:spacing w:val="-2"/>
        </w:rPr>
        <w:t> </w:t>
      </w:r>
      <w:r>
        <w:rPr/>
        <w:t>are</w:t>
      </w:r>
      <w:r>
        <w:rPr>
          <w:spacing w:val="-4"/>
        </w:rPr>
        <w:t> </w:t>
      </w:r>
      <w:r>
        <w:rPr/>
        <w:t>highly</w:t>
      </w:r>
      <w:r>
        <w:rPr>
          <w:spacing w:val="-3"/>
        </w:rPr>
        <w:t> </w:t>
      </w:r>
      <w:r>
        <w:rPr/>
        <w:t>sensitive</w:t>
      </w:r>
      <w:r>
        <w:rPr>
          <w:spacing w:val="-4"/>
        </w:rPr>
        <w:t> </w:t>
      </w:r>
      <w:r>
        <w:rPr/>
        <w:t>to</w:t>
      </w:r>
      <w:r>
        <w:rPr>
          <w:spacing w:val="-4"/>
        </w:rPr>
        <w:t> </w:t>
      </w:r>
      <w:r>
        <w:rPr/>
        <w:t>1080,</w:t>
      </w:r>
      <w:r>
        <w:rPr>
          <w:spacing w:val="-4"/>
        </w:rPr>
        <w:t> </w:t>
      </w:r>
      <w:r>
        <w:rPr/>
        <w:t>there</w:t>
      </w:r>
      <w:r>
        <w:rPr>
          <w:spacing w:val="-4"/>
        </w:rPr>
        <w:t> </w:t>
      </w:r>
      <w:r>
        <w:rPr/>
        <w:t>is</w:t>
      </w:r>
      <w:r>
        <w:rPr>
          <w:spacing w:val="-1"/>
        </w:rPr>
        <w:t> </w:t>
      </w:r>
      <w:r>
        <w:rPr/>
        <w:t>little</w:t>
      </w:r>
      <w:r>
        <w:rPr>
          <w:spacing w:val="-2"/>
        </w:rPr>
        <w:t> </w:t>
      </w:r>
      <w:r>
        <w:rPr/>
        <w:t>potential</w:t>
      </w:r>
      <w:r>
        <w:rPr>
          <w:spacing w:val="-5"/>
        </w:rPr>
        <w:t> </w:t>
      </w:r>
      <w:r>
        <w:rPr/>
        <w:t>risk</w:t>
      </w:r>
      <w:r>
        <w:rPr>
          <w:spacing w:val="-3"/>
        </w:rPr>
        <w:t> </w:t>
      </w:r>
      <w:r>
        <w:rPr/>
        <w:t>of</w:t>
      </w:r>
      <w:r>
        <w:rPr>
          <w:spacing w:val="-4"/>
        </w:rPr>
        <w:t> </w:t>
      </w:r>
      <w:r>
        <w:rPr/>
        <w:t>secondary</w:t>
      </w:r>
      <w:r>
        <w:rPr>
          <w:spacing w:val="-2"/>
        </w:rPr>
        <w:t> </w:t>
      </w:r>
      <w:r>
        <w:rPr/>
        <w:t>poisoning to native wildlife with the correct use of 1080 baits in pest-control programmes.</w:t>
      </w:r>
    </w:p>
    <w:p>
      <w:pPr>
        <w:pStyle w:val="BodyText"/>
        <w:spacing w:before="122"/>
        <w:ind w:left="112" w:right="405"/>
      </w:pPr>
      <w:r>
        <w:rPr/>
        <w:t>Fisher et al. (2015) looked at the residual amounts of pindone in rabbit tissue and the risk to non-target species. They found</w:t>
      </w:r>
      <w:r>
        <w:rPr>
          <w:spacing w:val="-1"/>
        </w:rPr>
        <w:t> </w:t>
      </w:r>
      <w:r>
        <w:rPr/>
        <w:t>that the highest concentrations of pindone residues were in the liver and fat tissue of poisoned</w:t>
      </w:r>
      <w:r>
        <w:rPr>
          <w:spacing w:val="-4"/>
        </w:rPr>
        <w:t> </w:t>
      </w:r>
      <w:r>
        <w:rPr/>
        <w:t>rabbits,</w:t>
      </w:r>
      <w:r>
        <w:rPr>
          <w:spacing w:val="-4"/>
        </w:rPr>
        <w:t> </w:t>
      </w:r>
      <w:r>
        <w:rPr/>
        <w:t>with</w:t>
      </w:r>
      <w:r>
        <w:rPr>
          <w:spacing w:val="-5"/>
        </w:rPr>
        <w:t> </w:t>
      </w:r>
      <w:r>
        <w:rPr/>
        <w:t>consistently</w:t>
      </w:r>
      <w:r>
        <w:rPr>
          <w:spacing w:val="-3"/>
        </w:rPr>
        <w:t> </w:t>
      </w:r>
      <w:r>
        <w:rPr/>
        <w:t>lower</w:t>
      </w:r>
      <w:r>
        <w:rPr>
          <w:spacing w:val="-3"/>
        </w:rPr>
        <w:t> </w:t>
      </w:r>
      <w:r>
        <w:rPr/>
        <w:t>concentrations</w:t>
      </w:r>
      <w:r>
        <w:rPr>
          <w:spacing w:val="-3"/>
        </w:rPr>
        <w:t> </w:t>
      </w:r>
      <w:r>
        <w:rPr/>
        <w:t>in</w:t>
      </w:r>
      <w:r>
        <w:rPr>
          <w:spacing w:val="-4"/>
        </w:rPr>
        <w:t> </w:t>
      </w:r>
      <w:r>
        <w:rPr/>
        <w:t>muscle</w:t>
      </w:r>
      <w:r>
        <w:rPr>
          <w:spacing w:val="-4"/>
        </w:rPr>
        <w:t> </w:t>
      </w:r>
      <w:r>
        <w:rPr/>
        <w:t>tissue. Rabbit</w:t>
      </w:r>
      <w:r>
        <w:rPr>
          <w:spacing w:val="-4"/>
        </w:rPr>
        <w:t> </w:t>
      </w:r>
      <w:r>
        <w:rPr/>
        <w:t>carcasses</w:t>
      </w:r>
      <w:r>
        <w:rPr>
          <w:spacing w:val="-3"/>
        </w:rPr>
        <w:t> </w:t>
      </w:r>
      <w:r>
        <w:rPr/>
        <w:t>collected</w:t>
      </w:r>
      <w:r>
        <w:rPr>
          <w:spacing w:val="-4"/>
        </w:rPr>
        <w:t> </w:t>
      </w:r>
      <w:r>
        <w:rPr/>
        <w:t>after field-baiting operations had generally higher pindone residue concentrations than did laboratory rabbits.</w:t>
      </w:r>
    </w:p>
    <w:p>
      <w:pPr>
        <w:pStyle w:val="BodyText"/>
        <w:ind w:left="112" w:right="117"/>
      </w:pPr>
      <w:r>
        <w:rPr/>
        <w:t>Concentrations of residual pindone in fat and liver of poisoned rabbits suggest that the risk of secondary poisoning</w:t>
      </w:r>
      <w:r>
        <w:rPr>
          <w:spacing w:val="-2"/>
        </w:rPr>
        <w:t> </w:t>
      </w:r>
      <w:r>
        <w:rPr/>
        <w:t>(i.e.</w:t>
      </w:r>
      <w:r>
        <w:rPr>
          <w:spacing w:val="-3"/>
        </w:rPr>
        <w:t> </w:t>
      </w:r>
      <w:r>
        <w:rPr/>
        <w:t>from</w:t>
      </w:r>
      <w:r>
        <w:rPr>
          <w:spacing w:val="-3"/>
        </w:rPr>
        <w:t> </w:t>
      </w:r>
      <w:r>
        <w:rPr/>
        <w:t>the</w:t>
      </w:r>
      <w:r>
        <w:rPr>
          <w:spacing w:val="-3"/>
        </w:rPr>
        <w:t> </w:t>
      </w:r>
      <w:r>
        <w:rPr/>
        <w:t>potential</w:t>
      </w:r>
      <w:r>
        <w:rPr>
          <w:spacing w:val="-2"/>
        </w:rPr>
        <w:t> </w:t>
      </w:r>
      <w:r>
        <w:rPr/>
        <w:t>toxicity of</w:t>
      </w:r>
      <w:r>
        <w:rPr>
          <w:spacing w:val="-3"/>
        </w:rPr>
        <w:t> </w:t>
      </w:r>
      <w:r>
        <w:rPr/>
        <w:t>the</w:t>
      </w:r>
      <w:r>
        <w:rPr>
          <w:spacing w:val="-3"/>
        </w:rPr>
        <w:t> </w:t>
      </w:r>
      <w:r>
        <w:rPr/>
        <w:t>material and</w:t>
      </w:r>
      <w:r>
        <w:rPr>
          <w:spacing w:val="-3"/>
        </w:rPr>
        <w:t> </w:t>
      </w:r>
      <w:r>
        <w:rPr/>
        <w:t>not</w:t>
      </w:r>
      <w:r>
        <w:rPr>
          <w:spacing w:val="-3"/>
        </w:rPr>
        <w:t> </w:t>
      </w:r>
      <w:r>
        <w:rPr/>
        <w:t>the</w:t>
      </w:r>
      <w:r>
        <w:rPr>
          <w:spacing w:val="-3"/>
        </w:rPr>
        <w:t> </w:t>
      </w:r>
      <w:r>
        <w:rPr/>
        <w:t>probability</w:t>
      </w:r>
      <w:r>
        <w:rPr>
          <w:spacing w:val="-2"/>
        </w:rPr>
        <w:t> </w:t>
      </w:r>
      <w:r>
        <w:rPr/>
        <w:t>of</w:t>
      </w:r>
      <w:r>
        <w:rPr>
          <w:spacing w:val="-1"/>
        </w:rPr>
        <w:t> </w:t>
      </w:r>
      <w:r>
        <w:rPr/>
        <w:t>it</w:t>
      </w:r>
      <w:r>
        <w:rPr>
          <w:spacing w:val="-1"/>
        </w:rPr>
        <w:t> </w:t>
      </w:r>
      <w:r>
        <w:rPr/>
        <w:t>being</w:t>
      </w:r>
      <w:r>
        <w:rPr>
          <w:spacing w:val="-2"/>
        </w:rPr>
        <w:t> </w:t>
      </w:r>
      <w:r>
        <w:rPr/>
        <w:t>eaten)</w:t>
      </w:r>
      <w:r>
        <w:rPr>
          <w:spacing w:val="-2"/>
        </w:rPr>
        <w:t> </w:t>
      </w:r>
      <w:r>
        <w:rPr/>
        <w:t>to</w:t>
      </w:r>
      <w:r>
        <w:rPr>
          <w:spacing w:val="-4"/>
        </w:rPr>
        <w:t> </w:t>
      </w:r>
      <w:r>
        <w:rPr/>
        <w:t>some</w:t>
      </w:r>
      <w:r>
        <w:rPr>
          <w:spacing w:val="-1"/>
        </w:rPr>
        <w:t> </w:t>
      </w:r>
      <w:r>
        <w:rPr/>
        <w:t>non- target predators and scavengers is high. The lack of field-based assessments of the non-target impacts of pindone is a marked information gap that needs to be addressed.</w:t>
      </w:r>
    </w:p>
    <w:p>
      <w:pPr>
        <w:pStyle w:val="BodyText"/>
        <w:spacing w:before="154"/>
      </w:pPr>
    </w:p>
    <w:p>
      <w:pPr>
        <w:pStyle w:val="Heading3"/>
        <w:numPr>
          <w:ilvl w:val="1"/>
          <w:numId w:val="22"/>
        </w:numPr>
        <w:tabs>
          <w:tab w:pos="686" w:val="left" w:leader="none"/>
        </w:tabs>
        <w:spacing w:line="240" w:lineRule="auto" w:before="1" w:after="0"/>
        <w:ind w:left="686" w:right="0" w:hanging="574"/>
        <w:jc w:val="left"/>
      </w:pPr>
      <w:r>
        <w:rPr>
          <w:color w:val="2D1E66"/>
        </w:rPr>
        <w:t>Livestock</w:t>
      </w:r>
      <w:r>
        <w:rPr>
          <w:color w:val="2D1E66"/>
          <w:spacing w:val="-5"/>
        </w:rPr>
        <w:t> </w:t>
      </w:r>
      <w:r>
        <w:rPr>
          <w:color w:val="2D1E66"/>
        </w:rPr>
        <w:t>guardian</w:t>
      </w:r>
      <w:r>
        <w:rPr>
          <w:color w:val="2D1E66"/>
          <w:spacing w:val="-4"/>
        </w:rPr>
        <w:t> </w:t>
      </w:r>
      <w:r>
        <w:rPr>
          <w:color w:val="2D1E66"/>
          <w:spacing w:val="-2"/>
        </w:rPr>
        <w:t>animals</w:t>
      </w:r>
    </w:p>
    <w:p>
      <w:pPr>
        <w:pStyle w:val="BodyText"/>
        <w:spacing w:before="111"/>
        <w:ind w:left="112" w:right="140"/>
      </w:pPr>
      <w:r>
        <w:rPr/>
        <w:t>In</w:t>
      </w:r>
      <w:r>
        <w:rPr>
          <w:spacing w:val="-4"/>
        </w:rPr>
        <w:t> </w:t>
      </w:r>
      <w:r>
        <w:rPr/>
        <w:t>recent</w:t>
      </w:r>
      <w:r>
        <w:rPr>
          <w:spacing w:val="-3"/>
        </w:rPr>
        <w:t> </w:t>
      </w:r>
      <w:r>
        <w:rPr/>
        <w:t>years</w:t>
      </w:r>
      <w:r>
        <w:rPr>
          <w:spacing w:val="-1"/>
        </w:rPr>
        <w:t> </w:t>
      </w:r>
      <w:r>
        <w:rPr/>
        <w:t>in</w:t>
      </w:r>
      <w:r>
        <w:rPr>
          <w:spacing w:val="-1"/>
        </w:rPr>
        <w:t> </w:t>
      </w:r>
      <w:r>
        <w:rPr/>
        <w:t>Australia</w:t>
      </w:r>
      <w:r>
        <w:rPr>
          <w:spacing w:val="-1"/>
        </w:rPr>
        <w:t> </w:t>
      </w:r>
      <w:r>
        <w:rPr/>
        <w:t>and</w:t>
      </w:r>
      <w:r>
        <w:rPr>
          <w:spacing w:val="-1"/>
        </w:rPr>
        <w:t> </w:t>
      </w:r>
      <w:r>
        <w:rPr/>
        <w:t>overseas,</w:t>
      </w:r>
      <w:r>
        <w:rPr>
          <w:spacing w:val="-3"/>
        </w:rPr>
        <w:t> </w:t>
      </w:r>
      <w:r>
        <w:rPr/>
        <w:t>there</w:t>
      </w:r>
      <w:r>
        <w:rPr>
          <w:spacing w:val="-3"/>
        </w:rPr>
        <w:t> </w:t>
      </w:r>
      <w:r>
        <w:rPr/>
        <w:t>has been</w:t>
      </w:r>
      <w:r>
        <w:rPr>
          <w:spacing w:val="-4"/>
        </w:rPr>
        <w:t> </w:t>
      </w:r>
      <w:r>
        <w:rPr/>
        <w:t>an</w:t>
      </w:r>
      <w:r>
        <w:rPr>
          <w:spacing w:val="-3"/>
        </w:rPr>
        <w:t> </w:t>
      </w:r>
      <w:r>
        <w:rPr/>
        <w:t>increase</w:t>
      </w:r>
      <w:r>
        <w:rPr>
          <w:spacing w:val="-3"/>
        </w:rPr>
        <w:t> </w:t>
      </w:r>
      <w:r>
        <w:rPr/>
        <w:t>in</w:t>
      </w:r>
      <w:r>
        <w:rPr>
          <w:spacing w:val="-3"/>
        </w:rPr>
        <w:t> </w:t>
      </w:r>
      <w:r>
        <w:rPr/>
        <w:t>the</w:t>
      </w:r>
      <w:r>
        <w:rPr>
          <w:spacing w:val="-3"/>
        </w:rPr>
        <w:t> </w:t>
      </w:r>
      <w:r>
        <w:rPr/>
        <w:t>literature</w:t>
      </w:r>
      <w:r>
        <w:rPr>
          <w:spacing w:val="-3"/>
        </w:rPr>
        <w:t> </w:t>
      </w:r>
      <w:r>
        <w:rPr/>
        <w:t>reporting</w:t>
      </w:r>
      <w:r>
        <w:rPr>
          <w:spacing w:val="-3"/>
        </w:rPr>
        <w:t> </w:t>
      </w:r>
      <w:r>
        <w:rPr/>
        <w:t>on</w:t>
      </w:r>
      <w:r>
        <w:rPr>
          <w:spacing w:val="-1"/>
        </w:rPr>
        <w:t> </w:t>
      </w:r>
      <w:r>
        <w:rPr/>
        <w:t>the</w:t>
      </w:r>
      <w:r>
        <w:rPr>
          <w:spacing w:val="-1"/>
        </w:rPr>
        <w:t> </w:t>
      </w:r>
      <w:r>
        <w:rPr/>
        <w:t>impact of LGAs on pest predators, non-target species and in some cases the animals they are charged with protecting. LGDs have been reported killing a range of predator and prey species, including Cheetahs (</w:t>
      </w:r>
      <w:r>
        <w:rPr>
          <w:i/>
        </w:rPr>
        <w:t>Acinonyx jubatus), </w:t>
      </w:r>
      <w:r>
        <w:rPr/>
        <w:t>Coyotes, and Black-backed Jackals (</w:t>
      </w:r>
      <w:r>
        <w:rPr>
          <w:i/>
        </w:rPr>
        <w:t>Canis mesomelas</w:t>
      </w:r>
      <w:r>
        <w:rPr/>
        <w:t>), deer fawns (</w:t>
      </w:r>
      <w:r>
        <w:rPr>
          <w:i/>
        </w:rPr>
        <w:t>Odocoileus</w:t>
      </w:r>
      <w:r>
        <w:rPr>
          <w:i/>
        </w:rPr>
        <w:t> hemionus</w:t>
      </w:r>
      <w:r>
        <w:rPr/>
        <w:t>), and Marmots (</w:t>
      </w:r>
      <w:r>
        <w:rPr>
          <w:i/>
        </w:rPr>
        <w:t>Marmotta </w:t>
      </w:r>
      <w:r>
        <w:rPr/>
        <w:t>spp.) (Black and Green 1985; Hansen and Smith 1999; Potgieter et al. 2016; Whitehouse-Tedd et al. 2020). Furthermore, (Drufke 2000) documented lethal incidents involving guardian Llamas in the United States and Canada, noting that Llamas killed 9% of predators and injured</w:t>
      </w:r>
      <w:r>
        <w:rPr>
          <w:spacing w:val="40"/>
        </w:rPr>
        <w:t> </w:t>
      </w:r>
      <w:r>
        <w:rPr/>
        <w:t>16% during flock protection.</w:t>
      </w:r>
    </w:p>
    <w:p>
      <w:pPr>
        <w:pStyle w:val="BodyText"/>
        <w:spacing w:before="121"/>
        <w:ind w:left="112" w:right="212"/>
      </w:pPr>
      <w:r>
        <w:rPr/>
        <w:t>LGAs could also chase or otherwise harass wildlife. Harassment of wildlife, including predators, by LGDs is evidently</w:t>
      </w:r>
      <w:r>
        <w:rPr>
          <w:spacing w:val="-2"/>
        </w:rPr>
        <w:t> </w:t>
      </w:r>
      <w:r>
        <w:rPr/>
        <w:t>common</w:t>
      </w:r>
      <w:r>
        <w:rPr>
          <w:spacing w:val="-3"/>
        </w:rPr>
        <w:t> </w:t>
      </w:r>
      <w:r>
        <w:rPr/>
        <w:t>(e.g.</w:t>
      </w:r>
      <w:r>
        <w:rPr>
          <w:spacing w:val="-3"/>
        </w:rPr>
        <w:t> </w:t>
      </w:r>
      <w:r>
        <w:rPr/>
        <w:t>Coppinger et</w:t>
      </w:r>
      <w:r>
        <w:rPr>
          <w:spacing w:val="-3"/>
        </w:rPr>
        <w:t> </w:t>
      </w:r>
      <w:r>
        <w:rPr/>
        <w:t>al.</w:t>
      </w:r>
      <w:r>
        <w:rPr>
          <w:spacing w:val="-3"/>
        </w:rPr>
        <w:t> </w:t>
      </w:r>
      <w:r>
        <w:rPr/>
        <w:t>1988;</w:t>
      </w:r>
      <w:r>
        <w:rPr>
          <w:spacing w:val="-3"/>
        </w:rPr>
        <w:t> </w:t>
      </w:r>
      <w:r>
        <w:rPr/>
        <w:t>Hansen</w:t>
      </w:r>
      <w:r>
        <w:rPr>
          <w:spacing w:val="-3"/>
        </w:rPr>
        <w:t> </w:t>
      </w:r>
      <w:r>
        <w:rPr/>
        <w:t>and</w:t>
      </w:r>
      <w:r>
        <w:rPr>
          <w:spacing w:val="-3"/>
        </w:rPr>
        <w:t> </w:t>
      </w:r>
      <w:r>
        <w:rPr/>
        <w:t>Smith</w:t>
      </w:r>
      <w:r>
        <w:rPr>
          <w:spacing w:val="-3"/>
        </w:rPr>
        <w:t> </w:t>
      </w:r>
      <w:r>
        <w:rPr/>
        <w:t>1999;</w:t>
      </w:r>
      <w:r>
        <w:rPr>
          <w:spacing w:val="-1"/>
        </w:rPr>
        <w:t> </w:t>
      </w:r>
      <w:r>
        <w:rPr/>
        <w:t>Gingold et</w:t>
      </w:r>
      <w:r>
        <w:rPr>
          <w:spacing w:val="-3"/>
        </w:rPr>
        <w:t> </w:t>
      </w:r>
      <w:r>
        <w:rPr/>
        <w:t>al.</w:t>
      </w:r>
      <w:r>
        <w:rPr>
          <w:spacing w:val="-3"/>
        </w:rPr>
        <w:t> </w:t>
      </w:r>
      <w:r>
        <w:rPr/>
        <w:t>2009).</w:t>
      </w:r>
      <w:r>
        <w:rPr>
          <w:spacing w:val="-3"/>
        </w:rPr>
        <w:t> </w:t>
      </w:r>
      <w:r>
        <w:rPr/>
        <w:t>Harassment</w:t>
      </w:r>
      <w:r>
        <w:rPr>
          <w:spacing w:val="-3"/>
        </w:rPr>
        <w:t> </w:t>
      </w:r>
      <w:r>
        <w:rPr/>
        <w:t>is most likely to be directed at medium-to-large-sized animals that are easily detected, or predators that might be perceived as threatening to livestock. van Bommel and Johnson (2016) reported evidence of LGDs altering the behaviour of herbivores and foxes. Swamp Wallabies and Sambar Deer were excluded from areas occupied by LGDs; Grey Kangaroos (</w:t>
      </w:r>
      <w:r>
        <w:rPr>
          <w:i/>
        </w:rPr>
        <w:t>Macropus giganteus</w:t>
      </w:r>
      <w:r>
        <w:rPr/>
        <w:t>) showed strong spatial and temporal avoidance of LGD areas; and foxes showed moderately strong spatial and temporal avoidance of LGD </w:t>
      </w:r>
      <w:r>
        <w:rPr>
          <w:spacing w:val="-2"/>
        </w:rPr>
        <w:t>areas.</w:t>
      </w:r>
    </w:p>
    <w:p>
      <w:pPr>
        <w:pStyle w:val="BodyText"/>
        <w:spacing w:before="157"/>
      </w:pPr>
    </w:p>
    <w:p>
      <w:pPr>
        <w:pStyle w:val="Heading3"/>
        <w:numPr>
          <w:ilvl w:val="1"/>
          <w:numId w:val="22"/>
        </w:numPr>
        <w:tabs>
          <w:tab w:pos="686" w:val="left" w:leader="none"/>
        </w:tabs>
        <w:spacing w:line="240" w:lineRule="auto" w:before="0" w:after="0"/>
        <w:ind w:left="686" w:right="0" w:hanging="574"/>
        <w:jc w:val="left"/>
      </w:pPr>
      <w:bookmarkStart w:name="_TOC_250020" w:id="96"/>
      <w:bookmarkEnd w:id="96"/>
      <w:r>
        <w:rPr>
          <w:color w:val="2D1E66"/>
          <w:spacing w:val="-2"/>
        </w:rPr>
        <w:t>Shooting</w:t>
      </w:r>
    </w:p>
    <w:p>
      <w:pPr>
        <w:pStyle w:val="BodyText"/>
        <w:spacing w:before="112"/>
        <w:ind w:left="112" w:right="173"/>
      </w:pPr>
      <w:r>
        <w:rPr/>
        <w:t>Shooting is generally regarded as target specific and does not generally directly impact on other species. However, there is a risk of injuring or killing non-target animals, including livestock, if shots are taken at movement, colour, shape, sound or, when spotlighting, eye reflection (‘eye shine’). Standard operating procedures advise that operators only shoot at a target animal once it has been positively identified. Shots are never to be taken over the top of hills or ridges as other animals or people may be out of sight beyond the hill within the firearm danger zone. There can be negative animal welfare impacts on any dependent young,</w:t>
      </w:r>
      <w:r>
        <w:rPr>
          <w:spacing w:val="-2"/>
        </w:rPr>
        <w:t> </w:t>
      </w:r>
      <w:r>
        <w:rPr/>
        <w:t>where</w:t>
      </w:r>
      <w:r>
        <w:rPr>
          <w:spacing w:val="-2"/>
        </w:rPr>
        <w:t> </w:t>
      </w:r>
      <w:r>
        <w:rPr/>
        <w:t>practical</w:t>
      </w:r>
      <w:r>
        <w:rPr>
          <w:spacing w:val="-5"/>
        </w:rPr>
        <w:t> </w:t>
      </w:r>
      <w:r>
        <w:rPr/>
        <w:t>shooting</w:t>
      </w:r>
      <w:r>
        <w:rPr>
          <w:spacing w:val="-4"/>
        </w:rPr>
        <w:t> </w:t>
      </w:r>
      <w:r>
        <w:rPr/>
        <w:t>is</w:t>
      </w:r>
      <w:r>
        <w:rPr>
          <w:spacing w:val="-1"/>
        </w:rPr>
        <w:t> </w:t>
      </w:r>
      <w:r>
        <w:rPr/>
        <w:t>generally</w:t>
      </w:r>
      <w:r>
        <w:rPr>
          <w:spacing w:val="-3"/>
        </w:rPr>
        <w:t> </w:t>
      </w:r>
      <w:r>
        <w:rPr/>
        <w:t>undertaken</w:t>
      </w:r>
      <w:r>
        <w:rPr>
          <w:spacing w:val="-4"/>
        </w:rPr>
        <w:t> </w:t>
      </w:r>
      <w:r>
        <w:rPr/>
        <w:t>at</w:t>
      </w:r>
      <w:r>
        <w:rPr>
          <w:spacing w:val="-4"/>
        </w:rPr>
        <w:t> </w:t>
      </w:r>
      <w:r>
        <w:rPr/>
        <w:t>times</w:t>
      </w:r>
      <w:r>
        <w:rPr>
          <w:spacing w:val="-3"/>
        </w:rPr>
        <w:t> </w:t>
      </w:r>
      <w:r>
        <w:rPr/>
        <w:t>of</w:t>
      </w:r>
      <w:r>
        <w:rPr>
          <w:spacing w:val="-4"/>
        </w:rPr>
        <w:t> </w:t>
      </w:r>
      <w:r>
        <w:rPr/>
        <w:t>the</w:t>
      </w:r>
      <w:r>
        <w:rPr>
          <w:spacing w:val="-5"/>
        </w:rPr>
        <w:t> </w:t>
      </w:r>
      <w:r>
        <w:rPr/>
        <w:t>year</w:t>
      </w:r>
      <w:r>
        <w:rPr>
          <w:spacing w:val="-1"/>
        </w:rPr>
        <w:t> </w:t>
      </w:r>
      <w:r>
        <w:rPr/>
        <w:t>when</w:t>
      </w:r>
      <w:r>
        <w:rPr>
          <w:spacing w:val="-2"/>
        </w:rPr>
        <w:t> </w:t>
      </w:r>
      <w:r>
        <w:rPr/>
        <w:t>dependent</w:t>
      </w:r>
      <w:r>
        <w:rPr>
          <w:spacing w:val="-4"/>
        </w:rPr>
        <w:t> </w:t>
      </w:r>
      <w:r>
        <w:rPr/>
        <w:t>young</w:t>
      </w:r>
      <w:r>
        <w:rPr>
          <w:spacing w:val="-2"/>
        </w:rPr>
        <w:t> </w:t>
      </w:r>
      <w:r>
        <w:rPr/>
        <w:t>are</w:t>
      </w:r>
      <w:r>
        <w:rPr>
          <w:spacing w:val="-2"/>
        </w:rPr>
        <w:t> </w:t>
      </w:r>
      <w:r>
        <w:rPr/>
        <w:t>less likely to be impacted.</w:t>
      </w:r>
    </w:p>
    <w:p>
      <w:pPr>
        <w:pStyle w:val="BodyText"/>
        <w:spacing w:before="119"/>
        <w:ind w:left="112" w:right="222"/>
      </w:pPr>
      <w:r>
        <w:rPr/>
        <w:t>The primary risk to non-target species during Feral Pig shooting programmes is indirectly from lead poisoning from consuming contaminated carcasses (Hampton et al. 2018). Lead is a heavy metal that is toxic to all animals, even in small concentrations, and which can build up in the body through repeated exposures (Pain et al. 2019). Despite these dangers, shotgun pellets and rifle bullets are primarily made of lead, both of which leave tiny, easily consumed fragments dispersed in carcass tissue. High lead concentrations</w:t>
      </w:r>
      <w:r>
        <w:rPr>
          <w:spacing w:val="-1"/>
        </w:rPr>
        <w:t> </w:t>
      </w:r>
      <w:r>
        <w:rPr/>
        <w:t>and</w:t>
      </w:r>
      <w:r>
        <w:rPr>
          <w:spacing w:val="-2"/>
        </w:rPr>
        <w:t> </w:t>
      </w:r>
      <w:r>
        <w:rPr/>
        <w:t>many</w:t>
      </w:r>
      <w:r>
        <w:rPr>
          <w:spacing w:val="-3"/>
        </w:rPr>
        <w:t> </w:t>
      </w:r>
      <w:r>
        <w:rPr/>
        <w:t>lead</w:t>
      </w:r>
      <w:r>
        <w:rPr>
          <w:spacing w:val="-5"/>
        </w:rPr>
        <w:t> </w:t>
      </w:r>
      <w:r>
        <w:rPr/>
        <w:t>fragments</w:t>
      </w:r>
      <w:r>
        <w:rPr>
          <w:spacing w:val="-3"/>
        </w:rPr>
        <w:t> </w:t>
      </w:r>
      <w:r>
        <w:rPr/>
        <w:t>have</w:t>
      </w:r>
      <w:r>
        <w:rPr>
          <w:spacing w:val="-2"/>
        </w:rPr>
        <w:t> </w:t>
      </w:r>
      <w:r>
        <w:rPr/>
        <w:t>been</w:t>
      </w:r>
      <w:r>
        <w:rPr>
          <w:spacing w:val="-4"/>
        </w:rPr>
        <w:t> </w:t>
      </w:r>
      <w:r>
        <w:rPr/>
        <w:t>documented</w:t>
      </w:r>
      <w:r>
        <w:rPr>
          <w:spacing w:val="-3"/>
        </w:rPr>
        <w:t> </w:t>
      </w:r>
      <w:r>
        <w:rPr/>
        <w:t>in</w:t>
      </w:r>
      <w:r>
        <w:rPr>
          <w:spacing w:val="-4"/>
        </w:rPr>
        <w:t> </w:t>
      </w:r>
      <w:r>
        <w:rPr/>
        <w:t>culled</w:t>
      </w:r>
      <w:r>
        <w:rPr>
          <w:spacing w:val="-5"/>
        </w:rPr>
        <w:t> </w:t>
      </w:r>
      <w:r>
        <w:rPr/>
        <w:t>pig</w:t>
      </w:r>
      <w:r>
        <w:rPr>
          <w:spacing w:val="-4"/>
        </w:rPr>
        <w:t> </w:t>
      </w:r>
      <w:r>
        <w:rPr/>
        <w:t>carcasses (Dobrowolska</w:t>
      </w:r>
      <w:r>
        <w:rPr>
          <w:spacing w:val="-4"/>
        </w:rPr>
        <w:t> </w:t>
      </w:r>
      <w:r>
        <w:rPr/>
        <w:t>and Melosik 2008; Hampton et al. 2021), and these lead accumulations may be subsequently consumed by a range of scavenger species (O’Brien et al. 2007).</w:t>
      </w:r>
    </w:p>
    <w:p>
      <w:pPr>
        <w:pStyle w:val="BodyText"/>
        <w:spacing w:before="121"/>
        <w:ind w:left="112" w:right="142"/>
      </w:pPr>
      <w:r>
        <w:rPr/>
        <w:t>Scavenging birds are particularly at risk due to their ability to search large areas for carcasses, increasing their potential</w:t>
      </w:r>
      <w:r>
        <w:rPr>
          <w:spacing w:val="-2"/>
        </w:rPr>
        <w:t> </w:t>
      </w:r>
      <w:r>
        <w:rPr/>
        <w:t>exposure (Hampton</w:t>
      </w:r>
      <w:r>
        <w:rPr>
          <w:spacing w:val="-4"/>
        </w:rPr>
        <w:t> </w:t>
      </w:r>
      <w:r>
        <w:rPr/>
        <w:t>et</w:t>
      </w:r>
      <w:r>
        <w:rPr>
          <w:spacing w:val="-3"/>
        </w:rPr>
        <w:t> </w:t>
      </w:r>
      <w:r>
        <w:rPr/>
        <w:t>al.</w:t>
      </w:r>
      <w:r>
        <w:rPr>
          <w:spacing w:val="-3"/>
        </w:rPr>
        <w:t> </w:t>
      </w:r>
      <w:r>
        <w:rPr/>
        <w:t>2018).</w:t>
      </w:r>
      <w:r>
        <w:rPr>
          <w:spacing w:val="-1"/>
        </w:rPr>
        <w:t> </w:t>
      </w:r>
      <w:r>
        <w:rPr/>
        <w:t>Elevated</w:t>
      </w:r>
      <w:r>
        <w:rPr>
          <w:spacing w:val="-4"/>
        </w:rPr>
        <w:t> </w:t>
      </w:r>
      <w:r>
        <w:rPr/>
        <w:t>lead</w:t>
      </w:r>
      <w:r>
        <w:rPr>
          <w:spacing w:val="-1"/>
        </w:rPr>
        <w:t> </w:t>
      </w:r>
      <w:r>
        <w:rPr/>
        <w:t>has</w:t>
      </w:r>
      <w:r>
        <w:rPr>
          <w:spacing w:val="-2"/>
        </w:rPr>
        <w:t> </w:t>
      </w:r>
      <w:r>
        <w:rPr/>
        <w:t>been</w:t>
      </w:r>
      <w:r>
        <w:rPr>
          <w:spacing w:val="-1"/>
        </w:rPr>
        <w:t> </w:t>
      </w:r>
      <w:r>
        <w:rPr/>
        <w:t>documented</w:t>
      </w:r>
      <w:r>
        <w:rPr>
          <w:spacing w:val="-2"/>
        </w:rPr>
        <w:t> </w:t>
      </w:r>
      <w:r>
        <w:rPr/>
        <w:t>in</w:t>
      </w:r>
      <w:r>
        <w:rPr>
          <w:spacing w:val="-3"/>
        </w:rPr>
        <w:t> </w:t>
      </w:r>
      <w:r>
        <w:rPr/>
        <w:t>10–13%</w:t>
      </w:r>
      <w:r>
        <w:rPr>
          <w:spacing w:val="-3"/>
        </w:rPr>
        <w:t> </w:t>
      </w:r>
      <w:r>
        <w:rPr/>
        <w:t>of</w:t>
      </w:r>
      <w:r>
        <w:rPr>
          <w:spacing w:val="-2"/>
        </w:rPr>
        <w:t> </w:t>
      </w:r>
      <w:r>
        <w:rPr/>
        <w:t>Wedge- tailed Eagle (</w:t>
      </w:r>
      <w:r>
        <w:rPr>
          <w:i/>
        </w:rPr>
        <w:t>Aquila audax</w:t>
      </w:r>
      <w:r>
        <w:rPr/>
        <w:t>) carcasses tested on the mainland and Tasmania, with high enough concentrations</w:t>
      </w:r>
      <w:r>
        <w:rPr>
          <w:spacing w:val="-4"/>
        </w:rPr>
        <w:t> </w:t>
      </w:r>
      <w:r>
        <w:rPr/>
        <w:t>to</w:t>
      </w:r>
      <w:r>
        <w:rPr>
          <w:spacing w:val="-5"/>
        </w:rPr>
        <w:t> </w:t>
      </w:r>
      <w:r>
        <w:rPr/>
        <w:t>cause</w:t>
      </w:r>
      <w:r>
        <w:rPr>
          <w:spacing w:val="-3"/>
        </w:rPr>
        <w:t> </w:t>
      </w:r>
      <w:r>
        <w:rPr/>
        <w:t>negative</w:t>
      </w:r>
      <w:r>
        <w:rPr>
          <w:spacing w:val="-3"/>
        </w:rPr>
        <w:t> </w:t>
      </w:r>
      <w:r>
        <w:rPr/>
        <w:t>individual</w:t>
      </w:r>
      <w:r>
        <w:rPr>
          <w:spacing w:val="-4"/>
        </w:rPr>
        <w:t> </w:t>
      </w:r>
      <w:r>
        <w:rPr/>
        <w:t>impacts</w:t>
      </w:r>
      <w:r>
        <w:rPr>
          <w:spacing w:val="-4"/>
        </w:rPr>
        <w:t> </w:t>
      </w:r>
      <w:r>
        <w:rPr/>
        <w:t>and</w:t>
      </w:r>
      <w:r>
        <w:rPr>
          <w:spacing w:val="-5"/>
        </w:rPr>
        <w:t> </w:t>
      </w:r>
      <w:r>
        <w:rPr/>
        <w:t>possibly</w:t>
      </w:r>
      <w:r>
        <w:rPr>
          <w:spacing w:val="-4"/>
        </w:rPr>
        <w:t> </w:t>
      </w:r>
      <w:r>
        <w:rPr/>
        <w:t>negative</w:t>
      </w:r>
      <w:r>
        <w:rPr>
          <w:spacing w:val="-5"/>
        </w:rPr>
        <w:t> </w:t>
      </w:r>
      <w:r>
        <w:rPr/>
        <w:t>population</w:t>
      </w:r>
      <w:r>
        <w:rPr>
          <w:spacing w:val="-4"/>
        </w:rPr>
        <w:t> </w:t>
      </w:r>
      <w:r>
        <w:rPr/>
        <w:t>impacts (Hampton</w:t>
      </w:r>
      <w:r>
        <w:rPr>
          <w:spacing w:val="-5"/>
        </w:rPr>
        <w:t> </w:t>
      </w:r>
      <w:r>
        <w:rPr/>
        <w:t>et</w:t>
      </w:r>
    </w:p>
    <w:p>
      <w:pPr>
        <w:spacing w:after="0"/>
        <w:sectPr>
          <w:pgSz w:w="11910" w:h="16850"/>
          <w:pgMar w:header="0" w:footer="688" w:top="1060" w:bottom="880" w:left="1020" w:right="1020"/>
        </w:sectPr>
      </w:pPr>
    </w:p>
    <w:p>
      <w:pPr>
        <w:pStyle w:val="BodyText"/>
        <w:spacing w:before="71"/>
        <w:ind w:left="112" w:right="222"/>
      </w:pPr>
      <w:r>
        <w:rPr/>
        <w:t>al.</w:t>
      </w:r>
      <w:r>
        <w:rPr>
          <w:spacing w:val="-1"/>
        </w:rPr>
        <w:t> </w:t>
      </w:r>
      <w:r>
        <w:rPr/>
        <w:t>2023;</w:t>
      </w:r>
      <w:r>
        <w:rPr>
          <w:spacing w:val="-3"/>
        </w:rPr>
        <w:t> </w:t>
      </w:r>
      <w:r>
        <w:rPr/>
        <w:t>Pay</w:t>
      </w:r>
      <w:r>
        <w:rPr>
          <w:spacing w:val="-2"/>
        </w:rPr>
        <w:t> </w:t>
      </w:r>
      <w:r>
        <w:rPr/>
        <w:t>et</w:t>
      </w:r>
      <w:r>
        <w:rPr>
          <w:spacing w:val="-1"/>
        </w:rPr>
        <w:t> </w:t>
      </w:r>
      <w:r>
        <w:rPr/>
        <w:t>al.</w:t>
      </w:r>
      <w:r>
        <w:rPr>
          <w:spacing w:val="-1"/>
        </w:rPr>
        <w:t> </w:t>
      </w:r>
      <w:r>
        <w:rPr/>
        <w:t>2021).</w:t>
      </w:r>
      <w:r>
        <w:rPr>
          <w:spacing w:val="-1"/>
        </w:rPr>
        <w:t> </w:t>
      </w:r>
      <w:r>
        <w:rPr/>
        <w:t>Other</w:t>
      </w:r>
      <w:r>
        <w:rPr>
          <w:spacing w:val="-2"/>
        </w:rPr>
        <w:t> </w:t>
      </w:r>
      <w:r>
        <w:rPr/>
        <w:t>raptors,</w:t>
      </w:r>
      <w:r>
        <w:rPr>
          <w:spacing w:val="-3"/>
        </w:rPr>
        <w:t> </w:t>
      </w:r>
      <w:r>
        <w:rPr/>
        <w:t>corvids,</w:t>
      </w:r>
      <w:r>
        <w:rPr>
          <w:spacing w:val="-3"/>
        </w:rPr>
        <w:t> </w:t>
      </w:r>
      <w:r>
        <w:rPr/>
        <w:t>varanids</w:t>
      </w:r>
      <w:r>
        <w:rPr>
          <w:spacing w:val="-2"/>
        </w:rPr>
        <w:t> </w:t>
      </w:r>
      <w:r>
        <w:rPr/>
        <w:t>and</w:t>
      </w:r>
      <w:r>
        <w:rPr>
          <w:spacing w:val="-4"/>
        </w:rPr>
        <w:t> </w:t>
      </w:r>
      <w:r>
        <w:rPr/>
        <w:t>carnivorous mammals</w:t>
      </w:r>
      <w:r>
        <w:rPr>
          <w:spacing w:val="-2"/>
        </w:rPr>
        <w:t> </w:t>
      </w:r>
      <w:r>
        <w:rPr/>
        <w:t>are</w:t>
      </w:r>
      <w:r>
        <w:rPr>
          <w:spacing w:val="-3"/>
        </w:rPr>
        <w:t> </w:t>
      </w:r>
      <w:r>
        <w:rPr/>
        <w:t>also</w:t>
      </w:r>
      <w:r>
        <w:rPr>
          <w:spacing w:val="-3"/>
        </w:rPr>
        <w:t> </w:t>
      </w:r>
      <w:r>
        <w:rPr/>
        <w:t>likely</w:t>
      </w:r>
      <w:r>
        <w:rPr>
          <w:spacing w:val="-2"/>
        </w:rPr>
        <w:t> </w:t>
      </w:r>
      <w:r>
        <w:rPr/>
        <w:t>to</w:t>
      </w:r>
      <w:r>
        <w:rPr>
          <w:spacing w:val="-3"/>
        </w:rPr>
        <w:t> </w:t>
      </w:r>
      <w:r>
        <w:rPr/>
        <w:t>be</w:t>
      </w:r>
      <w:r>
        <w:rPr>
          <w:spacing w:val="-3"/>
        </w:rPr>
        <w:t> </w:t>
      </w:r>
      <w:r>
        <w:rPr/>
        <w:t>at risk.</w:t>
      </w:r>
      <w:r>
        <w:rPr>
          <w:spacing w:val="-4"/>
        </w:rPr>
        <w:t> </w:t>
      </w:r>
      <w:r>
        <w:rPr/>
        <w:t>For</w:t>
      </w:r>
      <w:r>
        <w:rPr>
          <w:spacing w:val="-3"/>
        </w:rPr>
        <w:t> </w:t>
      </w:r>
      <w:r>
        <w:rPr/>
        <w:t>example,</w:t>
      </w:r>
      <w:r>
        <w:rPr>
          <w:spacing w:val="-3"/>
        </w:rPr>
        <w:t> </w:t>
      </w:r>
      <w:r>
        <w:rPr/>
        <w:t>O’Brien</w:t>
      </w:r>
      <w:r>
        <w:rPr>
          <w:spacing w:val="-2"/>
        </w:rPr>
        <w:t> </w:t>
      </w:r>
      <w:r>
        <w:rPr/>
        <w:t>et</w:t>
      </w:r>
      <w:r>
        <w:rPr>
          <w:spacing w:val="-4"/>
        </w:rPr>
        <w:t> </w:t>
      </w:r>
      <w:r>
        <w:rPr/>
        <w:t>al.</w:t>
      </w:r>
      <w:r>
        <w:rPr>
          <w:spacing w:val="-3"/>
        </w:rPr>
        <w:t> </w:t>
      </w:r>
      <w:r>
        <w:rPr/>
        <w:t>(2007)</w:t>
      </w:r>
      <w:r>
        <w:rPr>
          <w:spacing w:val="-3"/>
        </w:rPr>
        <w:t> </w:t>
      </w:r>
      <w:r>
        <w:rPr/>
        <w:t>documented</w:t>
      </w:r>
      <w:r>
        <w:rPr>
          <w:spacing w:val="-4"/>
        </w:rPr>
        <w:t> </w:t>
      </w:r>
      <w:r>
        <w:rPr/>
        <w:t>that</w:t>
      </w:r>
      <w:r>
        <w:rPr>
          <w:spacing w:val="-4"/>
        </w:rPr>
        <w:t> </w:t>
      </w:r>
      <w:r>
        <w:rPr/>
        <w:t>pig</w:t>
      </w:r>
      <w:r>
        <w:rPr>
          <w:spacing w:val="-4"/>
        </w:rPr>
        <w:t> </w:t>
      </w:r>
      <w:r>
        <w:rPr/>
        <w:t>carcasses</w:t>
      </w:r>
      <w:r>
        <w:rPr>
          <w:spacing w:val="-3"/>
        </w:rPr>
        <w:t> </w:t>
      </w:r>
      <w:r>
        <w:rPr/>
        <w:t>were</w:t>
      </w:r>
      <w:r>
        <w:rPr>
          <w:spacing w:val="-4"/>
        </w:rPr>
        <w:t> </w:t>
      </w:r>
      <w:r>
        <w:rPr/>
        <w:t>scavenged</w:t>
      </w:r>
      <w:r>
        <w:rPr>
          <w:spacing w:val="-4"/>
        </w:rPr>
        <w:t> </w:t>
      </w:r>
      <w:r>
        <w:rPr/>
        <w:t>by</w:t>
      </w:r>
      <w:r>
        <w:rPr>
          <w:spacing w:val="-3"/>
        </w:rPr>
        <w:t> </w:t>
      </w:r>
      <w:r>
        <w:rPr/>
        <w:t>a</w:t>
      </w:r>
      <w:r>
        <w:rPr>
          <w:spacing w:val="-2"/>
        </w:rPr>
        <w:t> </w:t>
      </w:r>
      <w:r>
        <w:rPr/>
        <w:t>range</w:t>
      </w:r>
      <w:r>
        <w:rPr>
          <w:spacing w:val="-4"/>
        </w:rPr>
        <w:t> </w:t>
      </w:r>
      <w:r>
        <w:rPr/>
        <w:t>of</w:t>
      </w:r>
      <w:r>
        <w:rPr>
          <w:spacing w:val="-2"/>
        </w:rPr>
        <w:t> </w:t>
      </w:r>
      <w:r>
        <w:rPr/>
        <w:t>avian species as well as bandicoots, possums, rodents, frogs, varanids and skinks in south-west Western </w:t>
      </w:r>
      <w:r>
        <w:rPr>
          <w:spacing w:val="-2"/>
        </w:rPr>
        <w:t>Australia.</w:t>
      </w:r>
    </w:p>
    <w:p>
      <w:pPr>
        <w:pStyle w:val="BodyText"/>
        <w:spacing w:before="122"/>
        <w:ind w:left="112" w:right="173"/>
      </w:pPr>
      <w:r>
        <w:rPr/>
        <w:t>Aerial shooting of pigs is likely to increase the risk of lead poisoning in non-target species, because more bullets are typically used per pig than from ground shooting, and carcasses are rarely retrieved, increasing potential</w:t>
      </w:r>
      <w:r>
        <w:rPr>
          <w:spacing w:val="-3"/>
        </w:rPr>
        <w:t> </w:t>
      </w:r>
      <w:r>
        <w:rPr/>
        <w:t>exposure</w:t>
      </w:r>
      <w:r>
        <w:rPr>
          <w:spacing w:val="-2"/>
        </w:rPr>
        <w:t> </w:t>
      </w:r>
      <w:r>
        <w:rPr/>
        <w:t>(Hampton</w:t>
      </w:r>
      <w:r>
        <w:rPr>
          <w:spacing w:val="-5"/>
        </w:rPr>
        <w:t> </w:t>
      </w:r>
      <w:r>
        <w:rPr/>
        <w:t>et</w:t>
      </w:r>
      <w:r>
        <w:rPr>
          <w:spacing w:val="-2"/>
        </w:rPr>
        <w:t> </w:t>
      </w:r>
      <w:r>
        <w:rPr/>
        <w:t>al.</w:t>
      </w:r>
      <w:r>
        <w:rPr>
          <w:spacing w:val="-4"/>
        </w:rPr>
        <w:t> </w:t>
      </w:r>
      <w:r>
        <w:rPr/>
        <w:t>2018a).</w:t>
      </w:r>
      <w:r>
        <w:rPr>
          <w:spacing w:val="-2"/>
        </w:rPr>
        <w:t> </w:t>
      </w:r>
      <w:r>
        <w:rPr/>
        <w:t>Hampton</w:t>
      </w:r>
      <w:r>
        <w:rPr>
          <w:spacing w:val="-2"/>
        </w:rPr>
        <w:t> </w:t>
      </w:r>
      <w:r>
        <w:rPr/>
        <w:t>et</w:t>
      </w:r>
      <w:r>
        <w:rPr>
          <w:spacing w:val="-4"/>
        </w:rPr>
        <w:t> </w:t>
      </w:r>
      <w:r>
        <w:rPr/>
        <w:t>al.</w:t>
      </w:r>
      <w:r>
        <w:rPr>
          <w:spacing w:val="-3"/>
        </w:rPr>
        <w:t> </w:t>
      </w:r>
      <w:r>
        <w:rPr/>
        <w:t>(2021)</w:t>
      </w:r>
      <w:r>
        <w:rPr>
          <w:spacing w:val="-2"/>
        </w:rPr>
        <w:t> </w:t>
      </w:r>
      <w:r>
        <w:rPr/>
        <w:t>estimated</w:t>
      </w:r>
      <w:r>
        <w:rPr>
          <w:spacing w:val="-3"/>
        </w:rPr>
        <w:t> </w:t>
      </w:r>
      <w:r>
        <w:rPr/>
        <w:t>that the</w:t>
      </w:r>
      <w:r>
        <w:rPr>
          <w:spacing w:val="-5"/>
        </w:rPr>
        <w:t> </w:t>
      </w:r>
      <w:r>
        <w:rPr/>
        <w:t>average</w:t>
      </w:r>
      <w:r>
        <w:rPr>
          <w:spacing w:val="-5"/>
        </w:rPr>
        <w:t> </w:t>
      </w:r>
      <w:r>
        <w:rPr/>
        <w:t>~20,000</w:t>
      </w:r>
      <w:r>
        <w:rPr>
          <w:spacing w:val="-2"/>
        </w:rPr>
        <w:t> </w:t>
      </w:r>
      <w:r>
        <w:rPr/>
        <w:t>Feral Pigs that are shot through aerial shooting programmes in New South Wales would contain ~67,000 toxic doses of lead for raptors.</w:t>
      </w:r>
    </w:p>
    <w:p>
      <w:pPr>
        <w:pStyle w:val="BodyText"/>
        <w:spacing w:before="120"/>
        <w:ind w:left="112" w:right="139"/>
      </w:pPr>
      <w:r>
        <w:rPr/>
        <w:t>The</w:t>
      </w:r>
      <w:r>
        <w:rPr>
          <w:spacing w:val="-4"/>
        </w:rPr>
        <w:t> </w:t>
      </w:r>
      <w:r>
        <w:rPr/>
        <w:t>risk</w:t>
      </w:r>
      <w:r>
        <w:rPr>
          <w:spacing w:val="-2"/>
        </w:rPr>
        <w:t> </w:t>
      </w:r>
      <w:r>
        <w:rPr/>
        <w:t>of</w:t>
      </w:r>
      <w:r>
        <w:rPr>
          <w:spacing w:val="-1"/>
        </w:rPr>
        <w:t> </w:t>
      </w:r>
      <w:r>
        <w:rPr/>
        <w:t>lead-poisoning</w:t>
      </w:r>
      <w:r>
        <w:rPr>
          <w:spacing w:val="-2"/>
        </w:rPr>
        <w:t> </w:t>
      </w:r>
      <w:r>
        <w:rPr/>
        <w:t>to</w:t>
      </w:r>
      <w:r>
        <w:rPr>
          <w:spacing w:val="-3"/>
        </w:rPr>
        <w:t> </w:t>
      </w:r>
      <w:r>
        <w:rPr/>
        <w:t>non-target</w:t>
      </w:r>
      <w:r>
        <w:rPr>
          <w:spacing w:val="-1"/>
        </w:rPr>
        <w:t> </w:t>
      </w:r>
      <w:r>
        <w:rPr/>
        <w:t>species</w:t>
      </w:r>
      <w:r>
        <w:rPr>
          <w:spacing w:val="-2"/>
        </w:rPr>
        <w:t> </w:t>
      </w:r>
      <w:r>
        <w:rPr/>
        <w:t>can</w:t>
      </w:r>
      <w:r>
        <w:rPr>
          <w:spacing w:val="-3"/>
        </w:rPr>
        <w:t> </w:t>
      </w:r>
      <w:r>
        <w:rPr/>
        <w:t>be</w:t>
      </w:r>
      <w:r>
        <w:rPr>
          <w:spacing w:val="-3"/>
        </w:rPr>
        <w:t> </w:t>
      </w:r>
      <w:r>
        <w:rPr/>
        <w:t>mitigated</w:t>
      </w:r>
      <w:r>
        <w:rPr>
          <w:spacing w:val="-3"/>
        </w:rPr>
        <w:t> </w:t>
      </w:r>
      <w:r>
        <w:rPr/>
        <w:t>by</w:t>
      </w:r>
      <w:r>
        <w:rPr>
          <w:spacing w:val="-2"/>
        </w:rPr>
        <w:t> </w:t>
      </w:r>
      <w:r>
        <w:rPr/>
        <w:t>switching</w:t>
      </w:r>
      <w:r>
        <w:rPr>
          <w:spacing w:val="-3"/>
        </w:rPr>
        <w:t> </w:t>
      </w:r>
      <w:r>
        <w:rPr/>
        <w:t>to</w:t>
      </w:r>
      <w:r>
        <w:rPr>
          <w:spacing w:val="-1"/>
        </w:rPr>
        <w:t> </w:t>
      </w:r>
      <w:r>
        <w:rPr/>
        <w:t>lead-free</w:t>
      </w:r>
      <w:r>
        <w:rPr>
          <w:spacing w:val="-1"/>
        </w:rPr>
        <w:t> </w:t>
      </w:r>
      <w:r>
        <w:rPr/>
        <w:t>bullets.</w:t>
      </w:r>
      <w:r>
        <w:rPr>
          <w:spacing w:val="-3"/>
        </w:rPr>
        <w:t> </w:t>
      </w:r>
      <w:r>
        <w:rPr/>
        <w:t>There has been</w:t>
      </w:r>
      <w:r>
        <w:rPr>
          <w:spacing w:val="-2"/>
        </w:rPr>
        <w:t> </w:t>
      </w:r>
      <w:r>
        <w:rPr/>
        <w:t>resistance</w:t>
      </w:r>
      <w:r>
        <w:rPr>
          <w:spacing w:val="-2"/>
        </w:rPr>
        <w:t> </w:t>
      </w:r>
      <w:r>
        <w:rPr/>
        <w:t>to</w:t>
      </w:r>
      <w:r>
        <w:rPr>
          <w:spacing w:val="-3"/>
        </w:rPr>
        <w:t> </w:t>
      </w:r>
      <w:r>
        <w:rPr/>
        <w:t>making</w:t>
      </w:r>
      <w:r>
        <w:rPr>
          <w:spacing w:val="-5"/>
        </w:rPr>
        <w:t> </w:t>
      </w:r>
      <w:r>
        <w:rPr/>
        <w:t>this</w:t>
      </w:r>
      <w:r>
        <w:rPr>
          <w:spacing w:val="-3"/>
        </w:rPr>
        <w:t> </w:t>
      </w:r>
      <w:r>
        <w:rPr/>
        <w:t>switch</w:t>
      </w:r>
      <w:r>
        <w:rPr>
          <w:spacing w:val="-2"/>
        </w:rPr>
        <w:t> </w:t>
      </w:r>
      <w:r>
        <w:rPr/>
        <w:t>over</w:t>
      </w:r>
      <w:r>
        <w:rPr>
          <w:spacing w:val="-4"/>
        </w:rPr>
        <w:t> </w:t>
      </w:r>
      <w:r>
        <w:rPr/>
        <w:t>animal</w:t>
      </w:r>
      <w:r>
        <w:rPr>
          <w:spacing w:val="-3"/>
        </w:rPr>
        <w:t> </w:t>
      </w:r>
      <w:r>
        <w:rPr/>
        <w:t>welfare</w:t>
      </w:r>
      <w:r>
        <w:rPr>
          <w:spacing w:val="-4"/>
        </w:rPr>
        <w:t> </w:t>
      </w:r>
      <w:r>
        <w:rPr/>
        <w:t>concerns</w:t>
      </w:r>
      <w:r>
        <w:rPr>
          <w:spacing w:val="-2"/>
        </w:rPr>
        <w:t> </w:t>
      </w:r>
      <w:r>
        <w:rPr/>
        <w:t>(lead-free</w:t>
      </w:r>
      <w:r>
        <w:rPr>
          <w:spacing w:val="-4"/>
        </w:rPr>
        <w:t> </w:t>
      </w:r>
      <w:r>
        <w:rPr/>
        <w:t>bullets</w:t>
      </w:r>
      <w:r>
        <w:rPr>
          <w:spacing w:val="-3"/>
        </w:rPr>
        <w:t> </w:t>
      </w:r>
      <w:r>
        <w:rPr/>
        <w:t>are</w:t>
      </w:r>
      <w:r>
        <w:rPr>
          <w:spacing w:val="-4"/>
        </w:rPr>
        <w:t> </w:t>
      </w:r>
      <w:r>
        <w:rPr/>
        <w:t>perceived</w:t>
      </w:r>
      <w:r>
        <w:rPr>
          <w:spacing w:val="-3"/>
        </w:rPr>
        <w:t> </w:t>
      </w:r>
      <w:r>
        <w:rPr/>
        <w:t>as</w:t>
      </w:r>
      <w:r>
        <w:rPr>
          <w:spacing w:val="-3"/>
        </w:rPr>
        <w:t> </w:t>
      </w:r>
      <w:r>
        <w:rPr/>
        <w:t>killing less efficiently) and increased costs. (Hampton et al. 2021) assessed the efficacy of lead-free bullets in comparison to standard lead bullets during a Feral Pig aerial</w:t>
      </w:r>
      <w:r>
        <w:rPr>
          <w:spacing w:val="-1"/>
        </w:rPr>
        <w:t> </w:t>
      </w:r>
      <w:r>
        <w:rPr/>
        <w:t>shooting programme in New South Wales. The authors found that there was no difference in the number of shots needed per pig, and that the cost difference of lead-free bullets was $1.68 per pig.</w:t>
      </w:r>
    </w:p>
    <w:p>
      <w:pPr>
        <w:pStyle w:val="BodyText"/>
        <w:spacing w:before="156"/>
      </w:pPr>
    </w:p>
    <w:p>
      <w:pPr>
        <w:pStyle w:val="Heading3"/>
        <w:numPr>
          <w:ilvl w:val="1"/>
          <w:numId w:val="22"/>
        </w:numPr>
        <w:tabs>
          <w:tab w:pos="686" w:val="left" w:leader="none"/>
        </w:tabs>
        <w:spacing w:line="240" w:lineRule="auto" w:before="0" w:after="0"/>
        <w:ind w:left="686" w:right="0" w:hanging="574"/>
        <w:jc w:val="left"/>
      </w:pPr>
      <w:bookmarkStart w:name="_TOC_250019" w:id="97"/>
      <w:r>
        <w:rPr>
          <w:color w:val="2D1E66"/>
        </w:rPr>
        <w:t>Den</w:t>
      </w:r>
      <w:r>
        <w:rPr>
          <w:color w:val="2D1E66"/>
          <w:spacing w:val="-8"/>
        </w:rPr>
        <w:t> </w:t>
      </w:r>
      <w:r>
        <w:rPr>
          <w:color w:val="2D1E66"/>
        </w:rPr>
        <w:t>and</w:t>
      </w:r>
      <w:r>
        <w:rPr>
          <w:color w:val="2D1E66"/>
          <w:spacing w:val="-7"/>
        </w:rPr>
        <w:t> </w:t>
      </w:r>
      <w:r>
        <w:rPr>
          <w:color w:val="2D1E66"/>
        </w:rPr>
        <w:t>warren</w:t>
      </w:r>
      <w:r>
        <w:rPr>
          <w:color w:val="2D1E66"/>
          <w:spacing w:val="-7"/>
        </w:rPr>
        <w:t> </w:t>
      </w:r>
      <w:bookmarkEnd w:id="97"/>
      <w:r>
        <w:rPr>
          <w:color w:val="2D1E66"/>
          <w:spacing w:val="-2"/>
        </w:rPr>
        <w:t>fumigations</w:t>
      </w:r>
    </w:p>
    <w:p>
      <w:pPr>
        <w:pStyle w:val="BodyText"/>
        <w:spacing w:before="112"/>
        <w:ind w:left="112" w:right="117"/>
      </w:pPr>
      <w:r>
        <w:rPr/>
        <w:t>We found no research papers that attempted to quantify the impact of den or warren fumigation on non- target species in Australia. The</w:t>
      </w:r>
      <w:r>
        <w:rPr>
          <w:spacing w:val="-1"/>
        </w:rPr>
        <w:t> </w:t>
      </w:r>
      <w:r>
        <w:rPr/>
        <w:t>NSW and National Code</w:t>
      </w:r>
      <w:r>
        <w:rPr>
          <w:spacing w:val="-1"/>
        </w:rPr>
        <w:t> </w:t>
      </w:r>
      <w:r>
        <w:rPr/>
        <w:t>of Practice and Standard Operating Procedures for fox den fumigation (NSW DPI 2022; Sharp 2012d) state that, when used correctly, fumigation of dens is target specific and will have no significant impact on non-target species. They also state that there is no significant</w:t>
      </w:r>
      <w:r>
        <w:rPr>
          <w:spacing w:val="-4"/>
        </w:rPr>
        <w:t> </w:t>
      </w:r>
      <w:r>
        <w:rPr/>
        <w:t>risk</w:t>
      </w:r>
      <w:r>
        <w:rPr>
          <w:spacing w:val="-3"/>
        </w:rPr>
        <w:t> </w:t>
      </w:r>
      <w:r>
        <w:rPr/>
        <w:t>of</w:t>
      </w:r>
      <w:r>
        <w:rPr>
          <w:spacing w:val="-4"/>
        </w:rPr>
        <w:t> </w:t>
      </w:r>
      <w:r>
        <w:rPr/>
        <w:t>secondary</w:t>
      </w:r>
      <w:r>
        <w:rPr>
          <w:spacing w:val="-3"/>
        </w:rPr>
        <w:t> </w:t>
      </w:r>
      <w:r>
        <w:rPr/>
        <w:t>poisoning</w:t>
      </w:r>
      <w:r>
        <w:rPr>
          <w:spacing w:val="-4"/>
        </w:rPr>
        <w:t> </w:t>
      </w:r>
      <w:r>
        <w:rPr/>
        <w:t>if</w:t>
      </w:r>
      <w:r>
        <w:rPr>
          <w:spacing w:val="-2"/>
        </w:rPr>
        <w:t> </w:t>
      </w:r>
      <w:r>
        <w:rPr/>
        <w:t>carcasses</w:t>
      </w:r>
      <w:r>
        <w:rPr>
          <w:spacing w:val="-3"/>
        </w:rPr>
        <w:t> </w:t>
      </w:r>
      <w:r>
        <w:rPr/>
        <w:t>of</w:t>
      </w:r>
      <w:r>
        <w:rPr>
          <w:spacing w:val="-2"/>
        </w:rPr>
        <w:t> </w:t>
      </w:r>
      <w:r>
        <w:rPr/>
        <w:t>gassed</w:t>
      </w:r>
      <w:r>
        <w:rPr>
          <w:spacing w:val="-5"/>
        </w:rPr>
        <w:t> </w:t>
      </w:r>
      <w:r>
        <w:rPr/>
        <w:t>animals</w:t>
      </w:r>
      <w:r>
        <w:rPr>
          <w:spacing w:val="-1"/>
        </w:rPr>
        <w:t> </w:t>
      </w:r>
      <w:r>
        <w:rPr/>
        <w:t>are</w:t>
      </w:r>
      <w:r>
        <w:rPr>
          <w:spacing w:val="-4"/>
        </w:rPr>
        <w:t> </w:t>
      </w:r>
      <w:r>
        <w:rPr/>
        <w:t>consumed</w:t>
      </w:r>
      <w:r>
        <w:rPr>
          <w:spacing w:val="-2"/>
        </w:rPr>
        <w:t> </w:t>
      </w:r>
      <w:r>
        <w:rPr/>
        <w:t>by</w:t>
      </w:r>
      <w:r>
        <w:rPr>
          <w:spacing w:val="-3"/>
        </w:rPr>
        <w:t> </w:t>
      </w:r>
      <w:r>
        <w:rPr/>
        <w:t>non-target</w:t>
      </w:r>
      <w:r>
        <w:rPr>
          <w:spacing w:val="-2"/>
        </w:rPr>
        <w:t> </w:t>
      </w:r>
      <w:r>
        <w:rPr/>
        <w:t>predatory or scavenger species.</w:t>
      </w:r>
    </w:p>
    <w:p>
      <w:pPr>
        <w:pStyle w:val="BodyText"/>
        <w:spacing w:before="120"/>
        <w:ind w:left="112" w:right="245"/>
      </w:pPr>
      <w:r>
        <w:rPr/>
        <w:t>The</w:t>
      </w:r>
      <w:r>
        <w:rPr>
          <w:spacing w:val="-5"/>
        </w:rPr>
        <w:t> </w:t>
      </w:r>
      <w:r>
        <w:rPr/>
        <w:t>National</w:t>
      </w:r>
      <w:r>
        <w:rPr>
          <w:spacing w:val="-5"/>
        </w:rPr>
        <w:t> </w:t>
      </w:r>
      <w:r>
        <w:rPr/>
        <w:t>Standard</w:t>
      </w:r>
      <w:r>
        <w:rPr>
          <w:spacing w:val="-4"/>
        </w:rPr>
        <w:t> </w:t>
      </w:r>
      <w:r>
        <w:rPr/>
        <w:t>Operating</w:t>
      </w:r>
      <w:r>
        <w:rPr>
          <w:spacing w:val="-2"/>
        </w:rPr>
        <w:t> </w:t>
      </w:r>
      <w:r>
        <w:rPr/>
        <w:t>Procedures</w:t>
      </w:r>
      <w:r>
        <w:rPr>
          <w:spacing w:val="-3"/>
        </w:rPr>
        <w:t> </w:t>
      </w:r>
      <w:r>
        <w:rPr/>
        <w:t>for</w:t>
      </w:r>
      <w:r>
        <w:rPr>
          <w:spacing w:val="-1"/>
        </w:rPr>
        <w:t> </w:t>
      </w:r>
      <w:r>
        <w:rPr/>
        <w:t>diffusion</w:t>
      </w:r>
      <w:r>
        <w:rPr>
          <w:spacing w:val="-5"/>
        </w:rPr>
        <w:t> </w:t>
      </w:r>
      <w:r>
        <w:rPr/>
        <w:t>fumigation</w:t>
      </w:r>
      <w:r>
        <w:rPr>
          <w:spacing w:val="-2"/>
        </w:rPr>
        <w:t> </w:t>
      </w:r>
      <w:r>
        <w:rPr/>
        <w:t>of</w:t>
      </w:r>
      <w:r>
        <w:rPr>
          <w:spacing w:val="-4"/>
        </w:rPr>
        <w:t> </w:t>
      </w:r>
      <w:r>
        <w:rPr/>
        <w:t>rabbit</w:t>
      </w:r>
      <w:r>
        <w:rPr>
          <w:spacing w:val="-4"/>
        </w:rPr>
        <w:t> </w:t>
      </w:r>
      <w:r>
        <w:rPr/>
        <w:t>warrens</w:t>
      </w:r>
      <w:r>
        <w:rPr>
          <w:spacing w:val="-3"/>
        </w:rPr>
        <w:t> </w:t>
      </w:r>
      <w:r>
        <w:rPr/>
        <w:t>using</w:t>
      </w:r>
      <w:r>
        <w:rPr>
          <w:spacing w:val="-4"/>
        </w:rPr>
        <w:t> </w:t>
      </w:r>
      <w:r>
        <w:rPr/>
        <w:t>phosphine</w:t>
      </w:r>
      <w:r>
        <w:rPr>
          <w:spacing w:val="-4"/>
        </w:rPr>
        <w:t> </w:t>
      </w:r>
      <w:r>
        <w:rPr/>
        <w:t>gas (Sharp 2012f) states that fumigation must</w:t>
      </w:r>
      <w:r>
        <w:rPr>
          <w:spacing w:val="-1"/>
        </w:rPr>
        <w:t> </w:t>
      </w:r>
      <w:r>
        <w:rPr/>
        <w:t>not</w:t>
      </w:r>
      <w:r>
        <w:rPr>
          <w:spacing w:val="-1"/>
        </w:rPr>
        <w:t> </w:t>
      </w:r>
      <w:r>
        <w:rPr/>
        <w:t>be</w:t>
      </w:r>
      <w:r>
        <w:rPr>
          <w:spacing w:val="-1"/>
        </w:rPr>
        <w:t> </w:t>
      </w:r>
      <w:r>
        <w:rPr/>
        <w:t>performed if</w:t>
      </w:r>
      <w:r>
        <w:rPr>
          <w:spacing w:val="-1"/>
        </w:rPr>
        <w:t> </w:t>
      </w:r>
      <w:r>
        <w:rPr/>
        <w:t>a warren appears not to</w:t>
      </w:r>
      <w:r>
        <w:rPr>
          <w:spacing w:val="-2"/>
        </w:rPr>
        <w:t> </w:t>
      </w:r>
      <w:r>
        <w:rPr/>
        <w:t>be</w:t>
      </w:r>
      <w:r>
        <w:rPr>
          <w:spacing w:val="-1"/>
        </w:rPr>
        <w:t> </w:t>
      </w:r>
      <w:r>
        <w:rPr/>
        <w:t>empty or possibly occupied by a non-target species (e.g. wombats, Dingoes, lizards, snakes). They also state that there appears to be no significant risk of secondary poisoning if carcasses of gassed animals are consumed by non-target predatory or scavenger species.</w:t>
      </w:r>
    </w:p>
    <w:p>
      <w:pPr>
        <w:pStyle w:val="BodyText"/>
        <w:spacing w:before="155"/>
      </w:pPr>
    </w:p>
    <w:p>
      <w:pPr>
        <w:pStyle w:val="Heading3"/>
        <w:numPr>
          <w:ilvl w:val="1"/>
          <w:numId w:val="22"/>
        </w:numPr>
        <w:tabs>
          <w:tab w:pos="686" w:val="left" w:leader="none"/>
        </w:tabs>
        <w:spacing w:line="240" w:lineRule="auto" w:before="0" w:after="0"/>
        <w:ind w:left="686" w:right="0" w:hanging="574"/>
        <w:jc w:val="left"/>
      </w:pPr>
      <w:bookmarkStart w:name="_TOC_250018" w:id="98"/>
      <w:bookmarkStart w:name="_bookmark21" w:id="99"/>
      <w:r>
        <w:rPr>
          <w:b w:val="0"/>
        </w:rPr>
      </w:r>
      <w:r>
        <w:rPr>
          <w:color w:val="2D1E66"/>
        </w:rPr>
        <w:t>Canid</w:t>
      </w:r>
      <w:r>
        <w:rPr>
          <w:color w:val="2D1E66"/>
          <w:spacing w:val="-1"/>
        </w:rPr>
        <w:t> </w:t>
      </w:r>
      <w:r>
        <w:rPr>
          <w:color w:val="2D1E66"/>
        </w:rPr>
        <w:t>pest </w:t>
      </w:r>
      <w:bookmarkEnd w:id="98"/>
      <w:r>
        <w:rPr>
          <w:color w:val="2D1E66"/>
          <w:spacing w:val="-2"/>
        </w:rPr>
        <w:t>ejectors</w:t>
      </w:r>
    </w:p>
    <w:p>
      <w:pPr>
        <w:pStyle w:val="BodyText"/>
        <w:spacing w:before="112"/>
        <w:ind w:left="112" w:right="142"/>
      </w:pPr>
      <w:r>
        <w:rPr/>
        <w:t>Studies</w:t>
      </w:r>
      <w:r>
        <w:rPr>
          <w:spacing w:val="-2"/>
        </w:rPr>
        <w:t> </w:t>
      </w:r>
      <w:r>
        <w:rPr/>
        <w:t>on</w:t>
      </w:r>
      <w:r>
        <w:rPr>
          <w:spacing w:val="-3"/>
        </w:rPr>
        <w:t> </w:t>
      </w:r>
      <w:r>
        <w:rPr/>
        <w:t>non-target</w:t>
      </w:r>
      <w:r>
        <w:rPr>
          <w:spacing w:val="-1"/>
        </w:rPr>
        <w:t> </w:t>
      </w:r>
      <w:r>
        <w:rPr/>
        <w:t>impacts</w:t>
      </w:r>
      <w:r>
        <w:rPr>
          <w:spacing w:val="-2"/>
        </w:rPr>
        <w:t> </w:t>
      </w:r>
      <w:r>
        <w:rPr/>
        <w:t>of</w:t>
      </w:r>
      <w:r>
        <w:rPr>
          <w:spacing w:val="-3"/>
        </w:rPr>
        <w:t> </w:t>
      </w:r>
      <w:r>
        <w:rPr/>
        <w:t>CPEs</w:t>
      </w:r>
      <w:r>
        <w:rPr>
          <w:spacing w:val="-2"/>
        </w:rPr>
        <w:t> </w:t>
      </w:r>
      <w:r>
        <w:rPr/>
        <w:t>or</w:t>
      </w:r>
      <w:r>
        <w:rPr>
          <w:spacing w:val="-2"/>
        </w:rPr>
        <w:t> </w:t>
      </w:r>
      <w:r>
        <w:rPr/>
        <w:t>those</w:t>
      </w:r>
      <w:r>
        <w:rPr>
          <w:spacing w:val="-3"/>
        </w:rPr>
        <w:t> </w:t>
      </w:r>
      <w:r>
        <w:rPr/>
        <w:t>that</w:t>
      </w:r>
      <w:r>
        <w:rPr>
          <w:spacing w:val="-3"/>
        </w:rPr>
        <w:t> </w:t>
      </w:r>
      <w:r>
        <w:rPr/>
        <w:t>have</w:t>
      </w:r>
      <w:r>
        <w:rPr>
          <w:spacing w:val="-3"/>
        </w:rPr>
        <w:t> </w:t>
      </w:r>
      <w:r>
        <w:rPr/>
        <w:t>reported</w:t>
      </w:r>
      <w:r>
        <w:rPr>
          <w:spacing w:val="-4"/>
        </w:rPr>
        <w:t> </w:t>
      </w:r>
      <w:r>
        <w:rPr/>
        <w:t>non-target</w:t>
      </w:r>
      <w:r>
        <w:rPr>
          <w:spacing w:val="-3"/>
        </w:rPr>
        <w:t> </w:t>
      </w:r>
      <w:r>
        <w:rPr/>
        <w:t>triggering</w:t>
      </w:r>
      <w:r>
        <w:rPr>
          <w:spacing w:val="-3"/>
        </w:rPr>
        <w:t> </w:t>
      </w:r>
      <w:r>
        <w:rPr/>
        <w:t>as incidental</w:t>
      </w:r>
      <w:r>
        <w:rPr>
          <w:spacing w:val="-4"/>
        </w:rPr>
        <w:t> </w:t>
      </w:r>
      <w:r>
        <w:rPr/>
        <w:t>to</w:t>
      </w:r>
      <w:r>
        <w:rPr>
          <w:spacing w:val="-3"/>
        </w:rPr>
        <w:t> </w:t>
      </w:r>
      <w:r>
        <w:rPr/>
        <w:t>the main aim, have been limited. Previous studies have documented corvids, feral cats and varanids pulling, triggering</w:t>
      </w:r>
      <w:r>
        <w:rPr>
          <w:spacing w:val="-1"/>
        </w:rPr>
        <w:t> </w:t>
      </w:r>
      <w:r>
        <w:rPr/>
        <w:t>or</w:t>
      </w:r>
      <w:r>
        <w:rPr>
          <w:spacing w:val="-3"/>
        </w:rPr>
        <w:t> </w:t>
      </w:r>
      <w:r>
        <w:rPr/>
        <w:t>dismantling</w:t>
      </w:r>
      <w:r>
        <w:rPr>
          <w:spacing w:val="-1"/>
        </w:rPr>
        <w:t> </w:t>
      </w:r>
      <w:r>
        <w:rPr/>
        <w:t>ejector</w:t>
      </w:r>
      <w:r>
        <w:rPr>
          <w:spacing w:val="-3"/>
        </w:rPr>
        <w:t> </w:t>
      </w:r>
      <w:r>
        <w:rPr/>
        <w:t>devices,</w:t>
      </w:r>
      <w:r>
        <w:rPr>
          <w:spacing w:val="-1"/>
        </w:rPr>
        <w:t> </w:t>
      </w:r>
      <w:r>
        <w:rPr/>
        <w:t>but</w:t>
      </w:r>
      <w:r>
        <w:rPr>
          <w:spacing w:val="-3"/>
        </w:rPr>
        <w:t> </w:t>
      </w:r>
      <w:r>
        <w:rPr/>
        <w:t>fatality</w:t>
      </w:r>
      <w:r>
        <w:rPr>
          <w:spacing w:val="-2"/>
        </w:rPr>
        <w:t> </w:t>
      </w:r>
      <w:r>
        <w:rPr/>
        <w:t>has</w:t>
      </w:r>
      <w:r>
        <w:rPr>
          <w:spacing w:val="-2"/>
        </w:rPr>
        <w:t> </w:t>
      </w:r>
      <w:r>
        <w:rPr/>
        <w:t>been</w:t>
      </w:r>
      <w:r>
        <w:rPr>
          <w:spacing w:val="-3"/>
        </w:rPr>
        <w:t> </w:t>
      </w:r>
      <w:r>
        <w:rPr/>
        <w:t>recorded</w:t>
      </w:r>
      <w:r>
        <w:rPr>
          <w:spacing w:val="-3"/>
        </w:rPr>
        <w:t> </w:t>
      </w:r>
      <w:r>
        <w:rPr/>
        <w:t>only</w:t>
      </w:r>
      <w:r>
        <w:rPr>
          <w:spacing w:val="-2"/>
        </w:rPr>
        <w:t> </w:t>
      </w:r>
      <w:r>
        <w:rPr/>
        <w:t>for</w:t>
      </w:r>
      <w:r>
        <w:rPr>
          <w:spacing w:val="-2"/>
        </w:rPr>
        <w:t> </w:t>
      </w:r>
      <w:r>
        <w:rPr/>
        <w:t>cats</w:t>
      </w:r>
      <w:r>
        <w:rPr>
          <w:spacing w:val="-2"/>
        </w:rPr>
        <w:t> </w:t>
      </w:r>
      <w:r>
        <w:rPr/>
        <w:t>and</w:t>
      </w:r>
      <w:r>
        <w:rPr>
          <w:spacing w:val="-1"/>
        </w:rPr>
        <w:t> </w:t>
      </w:r>
      <w:r>
        <w:rPr/>
        <w:t>canids</w:t>
      </w:r>
      <w:r>
        <w:rPr>
          <w:spacing w:val="-2"/>
        </w:rPr>
        <w:t> </w:t>
      </w:r>
      <w:r>
        <w:rPr/>
        <w:t>in</w:t>
      </w:r>
      <w:r>
        <w:rPr>
          <w:spacing w:val="-1"/>
        </w:rPr>
        <w:t> </w:t>
      </w:r>
      <w:r>
        <w:rPr/>
        <w:t>Australia (Connolly 1988; Gil-Fernández et al. 2021; Hunt 2010; Kreplins et al. 2021; van Polanen Petel et al. 2004; van</w:t>
      </w:r>
      <w:r>
        <w:rPr>
          <w:spacing w:val="-1"/>
        </w:rPr>
        <w:t> </w:t>
      </w:r>
      <w:r>
        <w:rPr/>
        <w:t>Polanen Petel et al. 2001; Young</w:t>
      </w:r>
      <w:r>
        <w:rPr>
          <w:spacing w:val="-1"/>
        </w:rPr>
        <w:t> </w:t>
      </w:r>
      <w:r>
        <w:rPr/>
        <w:t>et al. 2024; F. Gigliotti, unpubl. data, as cited in van Polanen Petel et al. 2004). These have mostly been undertaken using uncollared CPEs. Nicholson and Gigliotti (2005) designed but did not trial an alternative collar for CPEs that exploited differences in head morphology between foxes, and the Spotted-tailed Quoll and Tasmanian Devil, but not Dingoes or domestic dogs. The addition</w:t>
      </w:r>
      <w:r>
        <w:rPr>
          <w:spacing w:val="-4"/>
        </w:rPr>
        <w:t> </w:t>
      </w:r>
      <w:r>
        <w:rPr/>
        <w:t>of</w:t>
      </w:r>
      <w:r>
        <w:rPr>
          <w:spacing w:val="-3"/>
        </w:rPr>
        <w:t> </w:t>
      </w:r>
      <w:r>
        <w:rPr/>
        <w:t>a</w:t>
      </w:r>
      <w:r>
        <w:rPr>
          <w:spacing w:val="-4"/>
        </w:rPr>
        <w:t> </w:t>
      </w:r>
      <w:r>
        <w:rPr/>
        <w:t>collar</w:t>
      </w:r>
      <w:r>
        <w:rPr>
          <w:spacing w:val="-3"/>
        </w:rPr>
        <w:t> </w:t>
      </w:r>
      <w:r>
        <w:rPr/>
        <w:t>surrounding</w:t>
      </w:r>
      <w:r>
        <w:rPr>
          <w:spacing w:val="-3"/>
        </w:rPr>
        <w:t> </w:t>
      </w:r>
      <w:r>
        <w:rPr/>
        <w:t>the</w:t>
      </w:r>
      <w:r>
        <w:rPr>
          <w:spacing w:val="-3"/>
        </w:rPr>
        <w:t> </w:t>
      </w:r>
      <w:r>
        <w:rPr/>
        <w:t>lure</w:t>
      </w:r>
      <w:r>
        <w:rPr>
          <w:spacing w:val="-3"/>
        </w:rPr>
        <w:t> </w:t>
      </w:r>
      <w:r>
        <w:rPr/>
        <w:t>head</w:t>
      </w:r>
      <w:r>
        <w:rPr>
          <w:spacing w:val="-1"/>
        </w:rPr>
        <w:t> </w:t>
      </w:r>
      <w:r>
        <w:rPr/>
        <w:t>has</w:t>
      </w:r>
      <w:r>
        <w:rPr>
          <w:spacing w:val="-2"/>
        </w:rPr>
        <w:t> </w:t>
      </w:r>
      <w:r>
        <w:rPr/>
        <w:t>been</w:t>
      </w:r>
      <w:r>
        <w:rPr>
          <w:spacing w:val="-3"/>
        </w:rPr>
        <w:t> </w:t>
      </w:r>
      <w:r>
        <w:rPr/>
        <w:t>shown</w:t>
      </w:r>
      <w:r>
        <w:rPr>
          <w:spacing w:val="-1"/>
        </w:rPr>
        <w:t> </w:t>
      </w:r>
      <w:r>
        <w:rPr/>
        <w:t>to</w:t>
      </w:r>
      <w:r>
        <w:rPr>
          <w:spacing w:val="-2"/>
        </w:rPr>
        <w:t> </w:t>
      </w:r>
      <w:r>
        <w:rPr/>
        <w:t>limit</w:t>
      </w:r>
      <w:r>
        <w:rPr>
          <w:spacing w:val="-1"/>
        </w:rPr>
        <w:t> </w:t>
      </w:r>
      <w:r>
        <w:rPr/>
        <w:t>access</w:t>
      </w:r>
      <w:r>
        <w:rPr>
          <w:spacing w:val="-2"/>
        </w:rPr>
        <w:t> </w:t>
      </w:r>
      <w:r>
        <w:rPr/>
        <w:t>to</w:t>
      </w:r>
      <w:r>
        <w:rPr>
          <w:spacing w:val="-4"/>
        </w:rPr>
        <w:t> </w:t>
      </w:r>
      <w:r>
        <w:rPr/>
        <w:t>the</w:t>
      </w:r>
      <w:r>
        <w:rPr>
          <w:spacing w:val="-4"/>
        </w:rPr>
        <w:t> </w:t>
      </w:r>
      <w:r>
        <w:rPr/>
        <w:t>lure</w:t>
      </w:r>
      <w:r>
        <w:rPr>
          <w:spacing w:val="-3"/>
        </w:rPr>
        <w:t> </w:t>
      </w:r>
      <w:r>
        <w:rPr/>
        <w:t>head</w:t>
      </w:r>
      <w:r>
        <w:rPr>
          <w:spacing w:val="-1"/>
        </w:rPr>
        <w:t> </w:t>
      </w:r>
      <w:r>
        <w:rPr/>
        <w:t>to</w:t>
      </w:r>
      <w:r>
        <w:rPr>
          <w:spacing w:val="-4"/>
        </w:rPr>
        <w:t> </w:t>
      </w:r>
      <w:r>
        <w:rPr/>
        <w:t>foxes</w:t>
      </w:r>
      <w:r>
        <w:rPr>
          <w:spacing w:val="-2"/>
        </w:rPr>
        <w:t> </w:t>
      </w:r>
      <w:r>
        <w:rPr/>
        <w:t>while excluding Dingoes and Wild Dogs (Young et al. 2024).</w:t>
      </w:r>
    </w:p>
    <w:p>
      <w:pPr>
        <w:pStyle w:val="BodyText"/>
        <w:spacing w:before="119"/>
        <w:ind w:left="112" w:right="151"/>
      </w:pPr>
      <w:r>
        <w:rPr/>
        <w:t>Field research undertaken from 2005 to 2010 by DECCW Pest Management Unit (Hunt 2010) with 99,190 (891 non-lethal, 10,520 cyanide and 87,779 1080) uncollared ejector night presentations across seven monitoring periods identified consistent activation of ejectors by Wild Dogs and foxes with very few non- target</w:t>
      </w:r>
      <w:r>
        <w:rPr>
          <w:spacing w:val="-2"/>
        </w:rPr>
        <w:t> </w:t>
      </w:r>
      <w:r>
        <w:rPr/>
        <w:t>activations.</w:t>
      </w:r>
      <w:r>
        <w:rPr>
          <w:spacing w:val="-2"/>
        </w:rPr>
        <w:t> </w:t>
      </w:r>
      <w:r>
        <w:rPr/>
        <w:t>A</w:t>
      </w:r>
      <w:r>
        <w:rPr>
          <w:spacing w:val="-4"/>
        </w:rPr>
        <w:t> </w:t>
      </w:r>
      <w:r>
        <w:rPr/>
        <w:t>combination</w:t>
      </w:r>
      <w:r>
        <w:rPr>
          <w:spacing w:val="-3"/>
        </w:rPr>
        <w:t> </w:t>
      </w:r>
      <w:r>
        <w:rPr/>
        <w:t>of</w:t>
      </w:r>
      <w:r>
        <w:rPr>
          <w:spacing w:val="-4"/>
        </w:rPr>
        <w:t> </w:t>
      </w:r>
      <w:r>
        <w:rPr/>
        <w:t>animal</w:t>
      </w:r>
      <w:r>
        <w:rPr>
          <w:spacing w:val="-3"/>
        </w:rPr>
        <w:t> </w:t>
      </w:r>
      <w:r>
        <w:rPr/>
        <w:t>signs on</w:t>
      </w:r>
      <w:r>
        <w:rPr>
          <w:spacing w:val="-5"/>
        </w:rPr>
        <w:t> </w:t>
      </w:r>
      <w:r>
        <w:rPr/>
        <w:t>sand</w:t>
      </w:r>
      <w:r>
        <w:rPr>
          <w:spacing w:val="-2"/>
        </w:rPr>
        <w:t> </w:t>
      </w:r>
      <w:r>
        <w:rPr/>
        <w:t>plots</w:t>
      </w:r>
      <w:r>
        <w:rPr>
          <w:spacing w:val="-3"/>
        </w:rPr>
        <w:t> </w:t>
      </w:r>
      <w:r>
        <w:rPr/>
        <w:t>at</w:t>
      </w:r>
      <w:r>
        <w:rPr>
          <w:spacing w:val="-4"/>
        </w:rPr>
        <w:t> </w:t>
      </w:r>
      <w:r>
        <w:rPr/>
        <w:t>ejector</w:t>
      </w:r>
      <w:r>
        <w:rPr>
          <w:spacing w:val="-4"/>
        </w:rPr>
        <w:t> </w:t>
      </w:r>
      <w:r>
        <w:rPr/>
        <w:t>sites,</w:t>
      </w:r>
      <w:r>
        <w:rPr>
          <w:spacing w:val="-4"/>
        </w:rPr>
        <w:t> </w:t>
      </w:r>
      <w:r>
        <w:rPr/>
        <w:t>remote</w:t>
      </w:r>
      <w:r>
        <w:rPr>
          <w:spacing w:val="-5"/>
        </w:rPr>
        <w:t> </w:t>
      </w:r>
      <w:r>
        <w:rPr/>
        <w:t>cameras,</w:t>
      </w:r>
      <w:r>
        <w:rPr>
          <w:spacing w:val="-2"/>
        </w:rPr>
        <w:t> </w:t>
      </w:r>
      <w:r>
        <w:rPr/>
        <w:t>and</w:t>
      </w:r>
      <w:r>
        <w:rPr>
          <w:spacing w:val="-2"/>
        </w:rPr>
        <w:t> </w:t>
      </w:r>
      <w:r>
        <w:rPr/>
        <w:t>carcass recovery were used to assess target and non-target activations of uncollared CPEs. Brush-tailed Possums were</w:t>
      </w:r>
      <w:r>
        <w:rPr>
          <w:spacing w:val="-1"/>
        </w:rPr>
        <w:t> </w:t>
      </w:r>
      <w:r>
        <w:rPr/>
        <w:t>the</w:t>
      </w:r>
      <w:r>
        <w:rPr>
          <w:spacing w:val="-1"/>
        </w:rPr>
        <w:t> </w:t>
      </w:r>
      <w:r>
        <w:rPr/>
        <w:t>primary non-target</w:t>
      </w:r>
      <w:r>
        <w:rPr>
          <w:spacing w:val="-1"/>
        </w:rPr>
        <w:t> </w:t>
      </w:r>
      <w:r>
        <w:rPr/>
        <w:t>species interacting</w:t>
      </w:r>
      <w:r>
        <w:rPr>
          <w:spacing w:val="-1"/>
        </w:rPr>
        <w:t> </w:t>
      </w:r>
      <w:r>
        <w:rPr/>
        <w:t>with</w:t>
      </w:r>
      <w:r>
        <w:rPr>
          <w:spacing w:val="-2"/>
        </w:rPr>
        <w:t> </w:t>
      </w:r>
      <w:r>
        <w:rPr/>
        <w:t>ejectors during</w:t>
      </w:r>
      <w:r>
        <w:rPr>
          <w:spacing w:val="-1"/>
        </w:rPr>
        <w:t> </w:t>
      </w:r>
      <w:r>
        <w:rPr/>
        <w:t>the</w:t>
      </w:r>
      <w:r>
        <w:rPr>
          <w:spacing w:val="-1"/>
        </w:rPr>
        <w:t> </w:t>
      </w:r>
      <w:r>
        <w:rPr/>
        <w:t>field</w:t>
      </w:r>
      <w:r>
        <w:rPr>
          <w:spacing w:val="-1"/>
        </w:rPr>
        <w:t> </w:t>
      </w:r>
      <w:r>
        <w:rPr/>
        <w:t>trials. Five</w:t>
      </w:r>
      <w:r>
        <w:rPr>
          <w:spacing w:val="-1"/>
        </w:rPr>
        <w:t> </w:t>
      </w:r>
      <w:r>
        <w:rPr/>
        <w:t>Brush-tailed Possum carcasses (1.7% of visits to a</w:t>
      </w:r>
      <w:r>
        <w:rPr>
          <w:spacing w:val="-1"/>
        </w:rPr>
        <w:t> </w:t>
      </w:r>
      <w:r>
        <w:rPr/>
        <w:t>cyanide</w:t>
      </w:r>
      <w:r>
        <w:rPr>
          <w:spacing w:val="-1"/>
        </w:rPr>
        <w:t> </w:t>
      </w:r>
      <w:r>
        <w:rPr/>
        <w:t>ejector, n=10520 nights) were retrieved. Single lethal</w:t>
      </w:r>
      <w:r>
        <w:rPr>
          <w:spacing w:val="-1"/>
        </w:rPr>
        <w:t> </w:t>
      </w:r>
      <w:r>
        <w:rPr/>
        <w:t>activations were recorded for one goanna (</w:t>
      </w:r>
      <w:r>
        <w:rPr>
          <w:i/>
        </w:rPr>
        <w:t>Varanid </w:t>
      </w:r>
      <w:r>
        <w:rPr/>
        <w:t>sp., 1,050 cyanide nights) and one Black Wallaby (</w:t>
      </w:r>
      <w:r>
        <w:rPr>
          <w:i/>
        </w:rPr>
        <w:t>Wallabia bicolor)</w:t>
      </w:r>
      <w:r>
        <w:rPr>
          <w:i/>
          <w:spacing w:val="40"/>
        </w:rPr>
        <w:t> </w:t>
      </w:r>
      <w:r>
        <w:rPr/>
        <w:t>(3,510 cyanide nights; 0.3% of recorded visits).</w:t>
      </w:r>
    </w:p>
    <w:p>
      <w:pPr>
        <w:pStyle w:val="BodyText"/>
        <w:spacing w:before="122"/>
        <w:ind w:left="112" w:right="117"/>
      </w:pPr>
      <w:r>
        <w:rPr/>
        <w:t>Hunt (2010) also undertook a small trial investigating the potential impact on Spotted-tailed Quolls. They reported on uncollared ejector deployments over 28 nights, where ejectors were spaced at 500 m intervals with two ejectors per site, each containing 0.2 ml</w:t>
      </w:r>
      <w:r>
        <w:rPr>
          <w:spacing w:val="-1"/>
        </w:rPr>
        <w:t> </w:t>
      </w:r>
      <w:r>
        <w:rPr/>
        <w:t>(6 mg) of 1080, giving a</w:t>
      </w:r>
      <w:r>
        <w:rPr>
          <w:spacing w:val="-1"/>
        </w:rPr>
        <w:t> </w:t>
      </w:r>
      <w:r>
        <w:rPr/>
        <w:t>possible total of 1008 ejector night presentations.</w:t>
      </w:r>
      <w:r>
        <w:rPr>
          <w:spacing w:val="-4"/>
        </w:rPr>
        <w:t> </w:t>
      </w:r>
      <w:r>
        <w:rPr/>
        <w:t>Over</w:t>
      </w:r>
      <w:r>
        <w:rPr>
          <w:spacing w:val="-4"/>
        </w:rPr>
        <w:t> </w:t>
      </w:r>
      <w:r>
        <w:rPr/>
        <w:t>the</w:t>
      </w:r>
      <w:r>
        <w:rPr>
          <w:spacing w:val="-2"/>
        </w:rPr>
        <w:t> </w:t>
      </w:r>
      <w:r>
        <w:rPr/>
        <w:t>28</w:t>
      </w:r>
      <w:r>
        <w:rPr>
          <w:spacing w:val="-2"/>
        </w:rPr>
        <w:t> </w:t>
      </w:r>
      <w:r>
        <w:rPr/>
        <w:t>nights,</w:t>
      </w:r>
      <w:r>
        <w:rPr>
          <w:spacing w:val="-4"/>
        </w:rPr>
        <w:t> </w:t>
      </w:r>
      <w:r>
        <w:rPr/>
        <w:t>Spotted-tailed</w:t>
      </w:r>
      <w:r>
        <w:rPr>
          <w:spacing w:val="-5"/>
        </w:rPr>
        <w:t> </w:t>
      </w:r>
      <w:r>
        <w:rPr/>
        <w:t>Quolls</w:t>
      </w:r>
      <w:r>
        <w:rPr>
          <w:spacing w:val="-3"/>
        </w:rPr>
        <w:t> </w:t>
      </w:r>
      <w:r>
        <w:rPr/>
        <w:t>were</w:t>
      </w:r>
      <w:r>
        <w:rPr>
          <w:spacing w:val="-4"/>
        </w:rPr>
        <w:t> </w:t>
      </w:r>
      <w:r>
        <w:rPr/>
        <w:t>identified</w:t>
      </w:r>
      <w:r>
        <w:rPr>
          <w:spacing w:val="-3"/>
        </w:rPr>
        <w:t> </w:t>
      </w:r>
      <w:r>
        <w:rPr/>
        <w:t>from</w:t>
      </w:r>
      <w:r>
        <w:rPr>
          <w:spacing w:val="-4"/>
        </w:rPr>
        <w:t> </w:t>
      </w:r>
      <w:r>
        <w:rPr/>
        <w:t>remote</w:t>
      </w:r>
      <w:r>
        <w:rPr>
          <w:spacing w:val="-5"/>
        </w:rPr>
        <w:t> </w:t>
      </w:r>
      <w:r>
        <w:rPr/>
        <w:t>camera</w:t>
      </w:r>
      <w:r>
        <w:rPr>
          <w:spacing w:val="-4"/>
        </w:rPr>
        <w:t> </w:t>
      </w:r>
      <w:r>
        <w:rPr/>
        <w:t>images</w:t>
      </w:r>
      <w:r>
        <w:rPr>
          <w:spacing w:val="-3"/>
        </w:rPr>
        <w:t> </w:t>
      </w:r>
      <w:r>
        <w:rPr/>
        <w:t>as</w:t>
      </w:r>
      <w:r>
        <w:rPr>
          <w:spacing w:val="-3"/>
        </w:rPr>
        <w:t> </w:t>
      </w:r>
      <w:r>
        <w:rPr/>
        <w:t>being present within &lt; 1 m of an ejector on five occasions at different locations, with no activations recorded.</w:t>
      </w:r>
    </w:p>
    <w:p>
      <w:pPr>
        <w:pStyle w:val="BodyText"/>
        <w:spacing w:before="120"/>
        <w:ind w:left="112" w:right="303"/>
        <w:jc w:val="both"/>
      </w:pPr>
      <w:r>
        <w:rPr/>
        <w:t>In</w:t>
      </w:r>
      <w:r>
        <w:rPr>
          <w:spacing w:val="-1"/>
        </w:rPr>
        <w:t> </w:t>
      </w:r>
      <w:r>
        <w:rPr/>
        <w:t>a study assessing</w:t>
      </w:r>
      <w:r>
        <w:rPr>
          <w:spacing w:val="-1"/>
        </w:rPr>
        <w:t> </w:t>
      </w:r>
      <w:r>
        <w:rPr/>
        <w:t>the</w:t>
      </w:r>
      <w:r>
        <w:rPr>
          <w:spacing w:val="-1"/>
        </w:rPr>
        <w:t> </w:t>
      </w:r>
      <w:r>
        <w:rPr/>
        <w:t>required pulling force to</w:t>
      </w:r>
      <w:r>
        <w:rPr>
          <w:spacing w:val="-1"/>
        </w:rPr>
        <w:t> </w:t>
      </w:r>
      <w:r>
        <w:rPr/>
        <w:t>trigger an ejector, Marks and Wilson (2005) found that an ejector</w:t>
      </w:r>
      <w:r>
        <w:rPr>
          <w:spacing w:val="-3"/>
        </w:rPr>
        <w:t> </w:t>
      </w:r>
      <w:r>
        <w:rPr/>
        <w:t>trigger</w:t>
      </w:r>
      <w:r>
        <w:rPr>
          <w:spacing w:val="-3"/>
        </w:rPr>
        <w:t> </w:t>
      </w:r>
      <w:r>
        <w:rPr/>
        <w:t>force</w:t>
      </w:r>
      <w:r>
        <w:rPr>
          <w:spacing w:val="-3"/>
        </w:rPr>
        <w:t> </w:t>
      </w:r>
      <w:r>
        <w:rPr/>
        <w:t>of</w:t>
      </w:r>
      <w:r>
        <w:rPr>
          <w:spacing w:val="-3"/>
        </w:rPr>
        <w:t> </w:t>
      </w:r>
      <w:r>
        <w:rPr/>
        <w:t>26.46</w:t>
      </w:r>
      <w:r>
        <w:rPr>
          <w:spacing w:val="-3"/>
        </w:rPr>
        <w:t> </w:t>
      </w:r>
      <w:r>
        <w:rPr/>
        <w:t>N</w:t>
      </w:r>
      <w:r>
        <w:rPr>
          <w:spacing w:val="-3"/>
        </w:rPr>
        <w:t> </w:t>
      </w:r>
      <w:r>
        <w:rPr/>
        <w:t>was needed</w:t>
      </w:r>
      <w:r>
        <w:rPr>
          <w:spacing w:val="-1"/>
        </w:rPr>
        <w:t> </w:t>
      </w:r>
      <w:r>
        <w:rPr/>
        <w:t>for</w:t>
      </w:r>
      <w:r>
        <w:rPr>
          <w:spacing w:val="-3"/>
        </w:rPr>
        <w:t> </w:t>
      </w:r>
      <w:r>
        <w:rPr/>
        <w:t>foxes of</w:t>
      </w:r>
      <w:r>
        <w:rPr>
          <w:spacing w:val="-3"/>
        </w:rPr>
        <w:t> </w:t>
      </w:r>
      <w:r>
        <w:rPr/>
        <w:t>&gt;</w:t>
      </w:r>
      <w:r>
        <w:rPr>
          <w:spacing w:val="-2"/>
        </w:rPr>
        <w:t> </w:t>
      </w:r>
      <w:r>
        <w:rPr/>
        <w:t>3</w:t>
      </w:r>
      <w:r>
        <w:rPr>
          <w:spacing w:val="-3"/>
        </w:rPr>
        <w:t> </w:t>
      </w:r>
      <w:r>
        <w:rPr/>
        <w:t>kg</w:t>
      </w:r>
      <w:r>
        <w:rPr>
          <w:spacing w:val="-3"/>
        </w:rPr>
        <w:t> </w:t>
      </w:r>
      <w:r>
        <w:rPr/>
        <w:t>to</w:t>
      </w:r>
      <w:r>
        <w:rPr>
          <w:spacing w:val="-3"/>
        </w:rPr>
        <w:t> </w:t>
      </w:r>
      <w:r>
        <w:rPr/>
        <w:t>set</w:t>
      </w:r>
      <w:r>
        <w:rPr>
          <w:spacing w:val="-3"/>
        </w:rPr>
        <w:t> </w:t>
      </w:r>
      <w:r>
        <w:rPr/>
        <w:t>off</w:t>
      </w:r>
      <w:r>
        <w:rPr>
          <w:spacing w:val="-1"/>
        </w:rPr>
        <w:t> </w:t>
      </w:r>
      <w:r>
        <w:rPr/>
        <w:t>an</w:t>
      </w:r>
      <w:r>
        <w:rPr>
          <w:spacing w:val="-2"/>
        </w:rPr>
        <w:t> </w:t>
      </w:r>
      <w:r>
        <w:rPr/>
        <w:t>ejector.</w:t>
      </w:r>
      <w:r>
        <w:rPr>
          <w:spacing w:val="-3"/>
        </w:rPr>
        <w:t> </w:t>
      </w:r>
      <w:r>
        <w:rPr/>
        <w:t>This</w:t>
      </w:r>
      <w:r>
        <w:rPr>
          <w:spacing w:val="-2"/>
        </w:rPr>
        <w:t> </w:t>
      </w:r>
      <w:r>
        <w:rPr/>
        <w:t>pull</w:t>
      </w:r>
      <w:r>
        <w:rPr>
          <w:spacing w:val="-4"/>
        </w:rPr>
        <w:t> </w:t>
      </w:r>
      <w:r>
        <w:rPr/>
        <w:t>force</w:t>
      </w:r>
      <w:r>
        <w:rPr>
          <w:spacing w:val="-1"/>
        </w:rPr>
        <w:t> </w:t>
      </w:r>
      <w:r>
        <w:rPr/>
        <w:t>excluded 26 of 31 native species that were considered to have the potential to set off an ejector. At their heaviest</w:t>
      </w:r>
    </w:p>
    <w:p>
      <w:pPr>
        <w:spacing w:after="0"/>
        <w:jc w:val="both"/>
        <w:sectPr>
          <w:pgSz w:w="11910" w:h="16850"/>
          <w:pgMar w:header="0" w:footer="688" w:top="1060" w:bottom="880" w:left="1020" w:right="1020"/>
        </w:sectPr>
      </w:pPr>
    </w:p>
    <w:p>
      <w:pPr>
        <w:pStyle w:val="BodyText"/>
        <w:spacing w:before="71"/>
        <w:ind w:left="112" w:right="142"/>
      </w:pPr>
      <w:r>
        <w:rPr/>
        <w:t>recorded</w:t>
      </w:r>
      <w:r>
        <w:rPr>
          <w:spacing w:val="-1"/>
        </w:rPr>
        <w:t> </w:t>
      </w:r>
      <w:r>
        <w:rPr/>
        <w:t>weight, Spotted-tailed</w:t>
      </w:r>
      <w:r>
        <w:rPr>
          <w:spacing w:val="-1"/>
        </w:rPr>
        <w:t> </w:t>
      </w:r>
      <w:r>
        <w:rPr/>
        <w:t>Quolls were estimated to be</w:t>
      </w:r>
      <w:r>
        <w:rPr>
          <w:spacing w:val="-1"/>
        </w:rPr>
        <w:t> </w:t>
      </w:r>
      <w:r>
        <w:rPr/>
        <w:t>able to exert a pull</w:t>
      </w:r>
      <w:r>
        <w:rPr>
          <w:spacing w:val="-1"/>
        </w:rPr>
        <w:t> </w:t>
      </w:r>
      <w:r>
        <w:rPr/>
        <w:t>force capable of triggering a CPE. However, these trials were conducted on pull force only and did not assess species’ ability to access collared</w:t>
      </w:r>
      <w:r>
        <w:rPr>
          <w:spacing w:val="-5"/>
        </w:rPr>
        <w:t> </w:t>
      </w:r>
      <w:r>
        <w:rPr/>
        <w:t>CPEs.</w:t>
      </w:r>
      <w:r>
        <w:rPr>
          <w:spacing w:val="-4"/>
        </w:rPr>
        <w:t> </w:t>
      </w:r>
      <w:r>
        <w:rPr/>
        <w:t>In</w:t>
      </w:r>
      <w:r>
        <w:rPr>
          <w:spacing w:val="-4"/>
        </w:rPr>
        <w:t> </w:t>
      </w:r>
      <w:r>
        <w:rPr/>
        <w:t>addition,</w:t>
      </w:r>
      <w:r>
        <w:rPr>
          <w:spacing w:val="-2"/>
        </w:rPr>
        <w:t> </w:t>
      </w:r>
      <w:r>
        <w:rPr/>
        <w:t>Marks</w:t>
      </w:r>
      <w:r>
        <w:rPr>
          <w:spacing w:val="-3"/>
        </w:rPr>
        <w:t> </w:t>
      </w:r>
      <w:r>
        <w:rPr/>
        <w:t>and</w:t>
      </w:r>
      <w:r>
        <w:rPr>
          <w:spacing w:val="-2"/>
        </w:rPr>
        <w:t> </w:t>
      </w:r>
      <w:r>
        <w:rPr/>
        <w:t>Wilson</w:t>
      </w:r>
      <w:r>
        <w:rPr>
          <w:spacing w:val="-3"/>
        </w:rPr>
        <w:t> </w:t>
      </w:r>
      <w:r>
        <w:rPr/>
        <w:t>(2005)</w:t>
      </w:r>
      <w:r>
        <w:rPr>
          <w:spacing w:val="-3"/>
        </w:rPr>
        <w:t> </w:t>
      </w:r>
      <w:r>
        <w:rPr/>
        <w:t>noted</w:t>
      </w:r>
      <w:r>
        <w:rPr>
          <w:spacing w:val="-2"/>
        </w:rPr>
        <w:t> </w:t>
      </w:r>
      <w:r>
        <w:rPr/>
        <w:t>that</w:t>
      </w:r>
      <w:r>
        <w:rPr>
          <w:spacing w:val="-2"/>
        </w:rPr>
        <w:t> </w:t>
      </w:r>
      <w:r>
        <w:rPr/>
        <w:t>several</w:t>
      </w:r>
      <w:r>
        <w:rPr>
          <w:spacing w:val="-3"/>
        </w:rPr>
        <w:t> </w:t>
      </w:r>
      <w:r>
        <w:rPr/>
        <w:t>other</w:t>
      </w:r>
      <w:r>
        <w:rPr>
          <w:spacing w:val="-4"/>
        </w:rPr>
        <w:t> </w:t>
      </w:r>
      <w:r>
        <w:rPr/>
        <w:t>factors</w:t>
      </w:r>
      <w:r>
        <w:rPr>
          <w:spacing w:val="-2"/>
        </w:rPr>
        <w:t> </w:t>
      </w:r>
      <w:r>
        <w:rPr/>
        <w:t>would</w:t>
      </w:r>
      <w:r>
        <w:rPr>
          <w:spacing w:val="-4"/>
        </w:rPr>
        <w:t> </w:t>
      </w:r>
      <w:r>
        <w:rPr/>
        <w:t>influence</w:t>
      </w:r>
      <w:r>
        <w:rPr>
          <w:spacing w:val="-2"/>
        </w:rPr>
        <w:t> </w:t>
      </w:r>
      <w:r>
        <w:rPr/>
        <w:t>the</w:t>
      </w:r>
      <w:r>
        <w:rPr>
          <w:spacing w:val="-2"/>
        </w:rPr>
        <w:t> </w:t>
      </w:r>
      <w:r>
        <w:rPr/>
        <w:t>risk of non-target species, such as the animal’s ability to firmly grasp the lure head. Future work should specifically investigate the risk to Spotted-tailed Quolls in Victoria.</w:t>
      </w:r>
    </w:p>
    <w:p>
      <w:pPr>
        <w:spacing w:after="0"/>
        <w:sectPr>
          <w:pgSz w:w="11910" w:h="16850"/>
          <w:pgMar w:header="0" w:footer="688" w:top="1060" w:bottom="880" w:left="1020" w:right="1020"/>
        </w:sectPr>
      </w:pPr>
    </w:p>
    <w:p>
      <w:pPr>
        <w:pStyle w:val="Heading2"/>
        <w:numPr>
          <w:ilvl w:val="0"/>
          <w:numId w:val="14"/>
        </w:numPr>
        <w:tabs>
          <w:tab w:pos="679" w:val="left" w:leader="none"/>
        </w:tabs>
        <w:spacing w:line="182" w:lineRule="auto" w:before="149" w:after="0"/>
        <w:ind w:left="679" w:right="188" w:hanging="567"/>
        <w:jc w:val="left"/>
      </w:pPr>
      <w:bookmarkStart w:name="_TOC_250017" w:id="100"/>
      <w:r>
        <w:rPr>
          <w:color w:val="001F5F"/>
        </w:rPr>
        <w:t>Cultural and social considerations of managing European Rabbits,</w:t>
      </w:r>
      <w:r>
        <w:rPr>
          <w:color w:val="001F5F"/>
          <w:spacing w:val="-3"/>
        </w:rPr>
        <w:t> </w:t>
      </w:r>
      <w:r>
        <w:rPr>
          <w:color w:val="001F5F"/>
        </w:rPr>
        <w:t>Feral</w:t>
      </w:r>
      <w:r>
        <w:rPr>
          <w:color w:val="001F5F"/>
          <w:spacing w:val="-5"/>
        </w:rPr>
        <w:t> </w:t>
      </w:r>
      <w:r>
        <w:rPr>
          <w:color w:val="001F5F"/>
        </w:rPr>
        <w:t>Pigs,</w:t>
      </w:r>
      <w:r>
        <w:rPr>
          <w:color w:val="001F5F"/>
          <w:spacing w:val="-5"/>
        </w:rPr>
        <w:t> </w:t>
      </w:r>
      <w:r>
        <w:rPr>
          <w:color w:val="001F5F"/>
        </w:rPr>
        <w:t>Red</w:t>
      </w:r>
      <w:r>
        <w:rPr>
          <w:color w:val="001F5F"/>
          <w:spacing w:val="-5"/>
        </w:rPr>
        <w:t> </w:t>
      </w:r>
      <w:r>
        <w:rPr>
          <w:color w:val="001F5F"/>
        </w:rPr>
        <w:t>Foxes</w:t>
      </w:r>
      <w:r>
        <w:rPr>
          <w:color w:val="001F5F"/>
          <w:spacing w:val="-3"/>
        </w:rPr>
        <w:t> </w:t>
      </w:r>
      <w:r>
        <w:rPr>
          <w:color w:val="001F5F"/>
        </w:rPr>
        <w:t>and</w:t>
      </w:r>
      <w:r>
        <w:rPr>
          <w:color w:val="001F5F"/>
          <w:spacing w:val="-5"/>
        </w:rPr>
        <w:t> </w:t>
      </w:r>
      <w:r>
        <w:rPr>
          <w:color w:val="001F5F"/>
        </w:rPr>
        <w:t>Dingoes</w:t>
      </w:r>
      <w:r>
        <w:rPr>
          <w:color w:val="001F5F"/>
          <w:spacing w:val="-5"/>
        </w:rPr>
        <w:t> </w:t>
      </w:r>
      <w:r>
        <w:rPr>
          <w:color w:val="001F5F"/>
        </w:rPr>
        <w:t>and</w:t>
      </w:r>
      <w:r>
        <w:rPr>
          <w:color w:val="001F5F"/>
          <w:spacing w:val="-5"/>
        </w:rPr>
        <w:t> </w:t>
      </w:r>
      <w:r>
        <w:rPr>
          <w:color w:val="001F5F"/>
        </w:rPr>
        <w:t>Wild</w:t>
      </w:r>
      <w:r>
        <w:rPr>
          <w:color w:val="001F5F"/>
          <w:spacing w:val="-5"/>
        </w:rPr>
        <w:t> </w:t>
      </w:r>
      <w:bookmarkEnd w:id="100"/>
      <w:r>
        <w:rPr>
          <w:color w:val="001F5F"/>
        </w:rPr>
        <w:t>Dogs</w:t>
      </w:r>
    </w:p>
    <w:p>
      <w:pPr>
        <w:pStyle w:val="BodyText"/>
        <w:spacing w:before="237"/>
        <w:rPr>
          <w:b/>
          <w:sz w:val="32"/>
        </w:rPr>
      </w:pPr>
    </w:p>
    <w:p>
      <w:pPr>
        <w:pStyle w:val="BodyText"/>
        <w:ind w:left="112" w:right="117"/>
      </w:pPr>
      <w:r>
        <w:rPr/>
        <w:t>Although</w:t>
      </w:r>
      <w:r>
        <w:rPr>
          <w:spacing w:val="-5"/>
        </w:rPr>
        <w:t> </w:t>
      </w:r>
      <w:r>
        <w:rPr/>
        <w:t>social</w:t>
      </w:r>
      <w:r>
        <w:rPr>
          <w:spacing w:val="-3"/>
        </w:rPr>
        <w:t> </w:t>
      </w:r>
      <w:r>
        <w:rPr/>
        <w:t>and</w:t>
      </w:r>
      <w:r>
        <w:rPr>
          <w:spacing w:val="-2"/>
        </w:rPr>
        <w:t> </w:t>
      </w:r>
      <w:r>
        <w:rPr/>
        <w:t>cultural</w:t>
      </w:r>
      <w:r>
        <w:rPr>
          <w:spacing w:val="-2"/>
        </w:rPr>
        <w:t> </w:t>
      </w:r>
      <w:r>
        <w:rPr/>
        <w:t>considerations</w:t>
      </w:r>
      <w:r>
        <w:rPr>
          <w:spacing w:val="-3"/>
        </w:rPr>
        <w:t> </w:t>
      </w:r>
      <w:r>
        <w:rPr/>
        <w:t>are</w:t>
      </w:r>
      <w:r>
        <w:rPr>
          <w:spacing w:val="-4"/>
        </w:rPr>
        <w:t> </w:t>
      </w:r>
      <w:r>
        <w:rPr/>
        <w:t>connected</w:t>
      </w:r>
      <w:r>
        <w:rPr>
          <w:spacing w:val="-5"/>
        </w:rPr>
        <w:t> </w:t>
      </w:r>
      <w:r>
        <w:rPr/>
        <w:t>to</w:t>
      </w:r>
      <w:r>
        <w:rPr>
          <w:spacing w:val="-2"/>
        </w:rPr>
        <w:t> </w:t>
      </w:r>
      <w:r>
        <w:rPr/>
        <w:t>humaneness</w:t>
      </w:r>
      <w:r>
        <w:rPr>
          <w:spacing w:val="-3"/>
        </w:rPr>
        <w:t> </w:t>
      </w:r>
      <w:r>
        <w:rPr/>
        <w:t>and animal</w:t>
      </w:r>
      <w:r>
        <w:rPr>
          <w:spacing w:val="-2"/>
        </w:rPr>
        <w:t> </w:t>
      </w:r>
      <w:r>
        <w:rPr/>
        <w:t>welfare</w:t>
      </w:r>
      <w:r>
        <w:rPr>
          <w:spacing w:val="-3"/>
        </w:rPr>
        <w:t> </w:t>
      </w:r>
      <w:r>
        <w:rPr/>
        <w:t>(with</w:t>
      </w:r>
      <w:r>
        <w:rPr>
          <w:spacing w:val="-2"/>
        </w:rPr>
        <w:t> </w:t>
      </w:r>
      <w:r>
        <w:rPr/>
        <w:t>the</w:t>
      </w:r>
      <w:r>
        <w:rPr>
          <w:spacing w:val="-2"/>
        </w:rPr>
        <w:t> </w:t>
      </w:r>
      <w:r>
        <w:rPr/>
        <w:t>latter being an expression of societies cultural values), they have been presented separately in this review for clarity. The humaneness and animal welfare implications of using 1080, along with lethal and non-lethal alternatives are reviewed in Section’s </w:t>
      </w:r>
      <w:hyperlink w:history="true" w:anchor="_bookmark22">
        <w:r>
          <w:rPr/>
          <w:t>15</w:t>
        </w:r>
      </w:hyperlink>
      <w:r>
        <w:rPr/>
        <w:t> and </w:t>
      </w:r>
      <w:hyperlink w:history="true" w:anchor="_bookmark17">
        <w:r>
          <w:rPr/>
          <w:t>12.</w:t>
        </w:r>
      </w:hyperlink>
    </w:p>
    <w:p>
      <w:pPr>
        <w:pStyle w:val="BodyText"/>
        <w:spacing w:before="119"/>
        <w:ind w:left="112"/>
      </w:pPr>
      <w:r>
        <w:rPr/>
        <w:t>Social and cultural factors are themselves also interconnected. The term ‘social’ encompasses a broad spectrum of human experiences at both individual and collective levels, affecting families, groups, communities,</w:t>
      </w:r>
      <w:r>
        <w:rPr>
          <w:spacing w:val="-3"/>
        </w:rPr>
        <w:t> </w:t>
      </w:r>
      <w:r>
        <w:rPr/>
        <w:t>and</w:t>
      </w:r>
      <w:r>
        <w:rPr>
          <w:spacing w:val="-4"/>
        </w:rPr>
        <w:t> </w:t>
      </w:r>
      <w:r>
        <w:rPr/>
        <w:t>society</w:t>
      </w:r>
      <w:r>
        <w:rPr>
          <w:spacing w:val="-2"/>
        </w:rPr>
        <w:t> </w:t>
      </w:r>
      <w:r>
        <w:rPr/>
        <w:t>as</w:t>
      </w:r>
      <w:r>
        <w:rPr>
          <w:spacing w:val="-2"/>
        </w:rPr>
        <w:t> </w:t>
      </w:r>
      <w:r>
        <w:rPr/>
        <w:t>a</w:t>
      </w:r>
      <w:r>
        <w:rPr>
          <w:spacing w:val="-4"/>
        </w:rPr>
        <w:t> </w:t>
      </w:r>
      <w:r>
        <w:rPr/>
        <w:t>whole (Vanclay</w:t>
      </w:r>
      <w:r>
        <w:rPr>
          <w:spacing w:val="-2"/>
        </w:rPr>
        <w:t> </w:t>
      </w:r>
      <w:r>
        <w:rPr/>
        <w:t>2002).</w:t>
      </w:r>
      <w:r>
        <w:rPr>
          <w:spacing w:val="-1"/>
        </w:rPr>
        <w:t> </w:t>
      </w:r>
      <w:r>
        <w:rPr/>
        <w:t>The</w:t>
      </w:r>
      <w:r>
        <w:rPr>
          <w:spacing w:val="-4"/>
        </w:rPr>
        <w:t> </w:t>
      </w:r>
      <w:r>
        <w:rPr/>
        <w:t>way</w:t>
      </w:r>
      <w:r>
        <w:rPr>
          <w:spacing w:val="-2"/>
        </w:rPr>
        <w:t> </w:t>
      </w:r>
      <w:r>
        <w:rPr/>
        <w:t>culture</w:t>
      </w:r>
      <w:r>
        <w:rPr>
          <w:spacing w:val="-1"/>
        </w:rPr>
        <w:t> </w:t>
      </w:r>
      <w:r>
        <w:rPr/>
        <w:t>is</w:t>
      </w:r>
      <w:r>
        <w:rPr>
          <w:spacing w:val="-2"/>
        </w:rPr>
        <w:t> </w:t>
      </w:r>
      <w:r>
        <w:rPr/>
        <w:t>defined</w:t>
      </w:r>
      <w:r>
        <w:rPr>
          <w:spacing w:val="-2"/>
        </w:rPr>
        <w:t> </w:t>
      </w:r>
      <w:r>
        <w:rPr/>
        <w:t>is</w:t>
      </w:r>
      <w:r>
        <w:rPr>
          <w:spacing w:val="-2"/>
        </w:rPr>
        <w:t> </w:t>
      </w:r>
      <w:r>
        <w:rPr/>
        <w:t>diverse</w:t>
      </w:r>
      <w:r>
        <w:rPr>
          <w:spacing w:val="-1"/>
        </w:rPr>
        <w:t> </w:t>
      </w:r>
      <w:r>
        <w:rPr/>
        <w:t>and</w:t>
      </w:r>
      <w:r>
        <w:rPr>
          <w:spacing w:val="-3"/>
        </w:rPr>
        <w:t> </w:t>
      </w:r>
      <w:r>
        <w:rPr/>
        <w:t>rarely</w:t>
      </w:r>
      <w:r>
        <w:rPr>
          <w:spacing w:val="-2"/>
        </w:rPr>
        <w:t> </w:t>
      </w:r>
      <w:r>
        <w:rPr/>
        <w:t>agreed upon in the literature. Kroeber and Kluckhohn (1952, cited in Spencer-Oatey 2012), critically reviewed concepts and definitions of culture, and compiled a list of 164 different definitions. Broadly, culture has been defined as a way of life of a group of people – the behaviours, beliefs, values, and symbols that they accept, generally without thinking about them, and that are passed along by communication and imitation from one generation to the next, although this is far from the definitive definition.</w:t>
      </w:r>
    </w:p>
    <w:p>
      <w:pPr>
        <w:pStyle w:val="BodyText"/>
        <w:spacing w:before="122"/>
        <w:ind w:left="112" w:right="126"/>
      </w:pPr>
      <w:r>
        <w:rPr/>
        <w:t>We acknowledge that Indigenous Australians’ views on introduced species are diverse, nuanced, and dynamic (Seebens 2024; Vaarzon</w:t>
      </w:r>
      <w:r>
        <w:rPr>
          <w:rFonts w:ascii="Cambria Math" w:hAnsi="Cambria Math"/>
        </w:rPr>
        <w:t>‐</w:t>
      </w:r>
      <w:r>
        <w:rPr/>
        <w:t>Morel and Edwards 2012), and that the relationship between Indigenous Australians and Dingoes is particularly significant. We discovered very little reference material in the published</w:t>
      </w:r>
      <w:r>
        <w:rPr>
          <w:spacing w:val="-4"/>
        </w:rPr>
        <w:t> </w:t>
      </w:r>
      <w:r>
        <w:rPr/>
        <w:t>literature</w:t>
      </w:r>
      <w:r>
        <w:rPr>
          <w:spacing w:val="-2"/>
        </w:rPr>
        <w:t> </w:t>
      </w:r>
      <w:r>
        <w:rPr/>
        <w:t>that</w:t>
      </w:r>
      <w:r>
        <w:rPr>
          <w:spacing w:val="-2"/>
        </w:rPr>
        <w:t> </w:t>
      </w:r>
      <w:r>
        <w:rPr/>
        <w:t>discusses</w:t>
      </w:r>
      <w:r>
        <w:rPr>
          <w:spacing w:val="-3"/>
        </w:rPr>
        <w:t> </w:t>
      </w:r>
      <w:r>
        <w:rPr/>
        <w:t>indigenous</w:t>
      </w:r>
      <w:r>
        <w:rPr>
          <w:spacing w:val="-3"/>
        </w:rPr>
        <w:t> </w:t>
      </w:r>
      <w:r>
        <w:rPr/>
        <w:t>Australia’s</w:t>
      </w:r>
      <w:r>
        <w:rPr>
          <w:spacing w:val="-3"/>
        </w:rPr>
        <w:t> </w:t>
      </w:r>
      <w:r>
        <w:rPr/>
        <w:t>relationship</w:t>
      </w:r>
      <w:r>
        <w:rPr>
          <w:spacing w:val="-4"/>
        </w:rPr>
        <w:t> </w:t>
      </w:r>
      <w:r>
        <w:rPr/>
        <w:t>with</w:t>
      </w:r>
      <w:r>
        <w:rPr>
          <w:spacing w:val="-2"/>
        </w:rPr>
        <w:t> </w:t>
      </w:r>
      <w:r>
        <w:rPr/>
        <w:t>Dingoes. How</w:t>
      </w:r>
      <w:r>
        <w:rPr>
          <w:spacing w:val="-4"/>
        </w:rPr>
        <w:t> </w:t>
      </w:r>
      <w:r>
        <w:rPr/>
        <w:t>the</w:t>
      </w:r>
      <w:r>
        <w:rPr>
          <w:spacing w:val="-4"/>
        </w:rPr>
        <w:t> </w:t>
      </w:r>
      <w:r>
        <w:rPr/>
        <w:t>use</w:t>
      </w:r>
      <w:r>
        <w:rPr>
          <w:spacing w:val="-2"/>
        </w:rPr>
        <w:t> </w:t>
      </w:r>
      <w:r>
        <w:rPr/>
        <w:t>of</w:t>
      </w:r>
      <w:r>
        <w:rPr>
          <w:spacing w:val="-4"/>
        </w:rPr>
        <w:t> </w:t>
      </w:r>
      <w:r>
        <w:rPr/>
        <w:t>1080 and its alternatives impact on cultural values is a specialised, complex and nuanced topic, and an in-depth analysis and review was beyond the scope of this report.</w:t>
      </w:r>
    </w:p>
    <w:p>
      <w:pPr>
        <w:pStyle w:val="BodyText"/>
        <w:spacing w:before="118"/>
        <w:ind w:left="112" w:right="173"/>
      </w:pPr>
      <w:r>
        <w:rPr/>
        <w:t>For the purposes of this review, we focused on the potential social impacts of lethal control for the management of the four pest species. Social impacts can refer to changes in various aspects of life, including</w:t>
      </w:r>
      <w:r>
        <w:rPr>
          <w:spacing w:val="-4"/>
        </w:rPr>
        <w:t> </w:t>
      </w:r>
      <w:r>
        <w:rPr/>
        <w:t>lifestyle,</w:t>
      </w:r>
      <w:r>
        <w:rPr>
          <w:spacing w:val="-5"/>
        </w:rPr>
        <w:t> </w:t>
      </w:r>
      <w:r>
        <w:rPr/>
        <w:t>community</w:t>
      </w:r>
      <w:r>
        <w:rPr>
          <w:spacing w:val="-4"/>
        </w:rPr>
        <w:t> </w:t>
      </w:r>
      <w:r>
        <w:rPr/>
        <w:t>cohesion,</w:t>
      </w:r>
      <w:r>
        <w:rPr>
          <w:spacing w:val="-5"/>
        </w:rPr>
        <w:t> </w:t>
      </w:r>
      <w:r>
        <w:rPr/>
        <w:t>the</w:t>
      </w:r>
      <w:r>
        <w:rPr>
          <w:spacing w:val="-5"/>
        </w:rPr>
        <w:t> </w:t>
      </w:r>
      <w:r>
        <w:rPr/>
        <w:t>physical</w:t>
      </w:r>
      <w:r>
        <w:rPr>
          <w:spacing w:val="-6"/>
        </w:rPr>
        <w:t> </w:t>
      </w:r>
      <w:r>
        <w:rPr/>
        <w:t>environment,</w:t>
      </w:r>
      <w:r>
        <w:rPr>
          <w:spacing w:val="-3"/>
        </w:rPr>
        <w:t> </w:t>
      </w:r>
      <w:r>
        <w:rPr/>
        <w:t>economic</w:t>
      </w:r>
      <w:r>
        <w:rPr>
          <w:spacing w:val="-4"/>
        </w:rPr>
        <w:t> </w:t>
      </w:r>
      <w:r>
        <w:rPr/>
        <w:t>structures,</w:t>
      </w:r>
      <w:r>
        <w:rPr>
          <w:spacing w:val="-5"/>
        </w:rPr>
        <w:t> </w:t>
      </w:r>
      <w:r>
        <w:rPr/>
        <w:t>and</w:t>
      </w:r>
      <w:r>
        <w:rPr>
          <w:spacing w:val="-5"/>
        </w:rPr>
        <w:t> </w:t>
      </w:r>
      <w:r>
        <w:rPr/>
        <w:t>overall</w:t>
      </w:r>
      <w:r>
        <w:rPr>
          <w:spacing w:val="-4"/>
        </w:rPr>
        <w:t> </w:t>
      </w:r>
      <w:r>
        <w:rPr/>
        <w:t>physical, and psychological wellbeing. These impacts can be felt at the individual or local-community level, affecting neighbouring properties or a community of land managers.</w:t>
      </w:r>
    </w:p>
    <w:p>
      <w:pPr>
        <w:pStyle w:val="BodyText"/>
        <w:spacing w:before="122"/>
        <w:ind w:left="112" w:right="94"/>
      </w:pPr>
      <w:r>
        <w:rPr/>
        <w:t>The social impact of pest animal control has received little attention in Australia, with no studies or reports found specifically addressing the social impact of using 1080, or alternative lethal or non-lethal control options.</w:t>
      </w:r>
      <w:r>
        <w:rPr>
          <w:spacing w:val="-2"/>
        </w:rPr>
        <w:t> </w:t>
      </w:r>
      <w:r>
        <w:rPr/>
        <w:t>The</w:t>
      </w:r>
      <w:r>
        <w:rPr>
          <w:spacing w:val="-3"/>
        </w:rPr>
        <w:t> </w:t>
      </w:r>
      <w:r>
        <w:rPr/>
        <w:t>literature</w:t>
      </w:r>
      <w:r>
        <w:rPr>
          <w:spacing w:val="-3"/>
        </w:rPr>
        <w:t> </w:t>
      </w:r>
      <w:r>
        <w:rPr/>
        <w:t>that</w:t>
      </w:r>
      <w:r>
        <w:rPr>
          <w:spacing w:val="-1"/>
        </w:rPr>
        <w:t> </w:t>
      </w:r>
      <w:r>
        <w:rPr/>
        <w:t>exists</w:t>
      </w:r>
      <w:r>
        <w:rPr>
          <w:spacing w:val="-2"/>
        </w:rPr>
        <w:t> </w:t>
      </w:r>
      <w:r>
        <w:rPr/>
        <w:t>focuses</w:t>
      </w:r>
      <w:r>
        <w:rPr>
          <w:spacing w:val="-2"/>
        </w:rPr>
        <w:t> </w:t>
      </w:r>
      <w:r>
        <w:rPr/>
        <w:t>on</w:t>
      </w:r>
      <w:r>
        <w:rPr>
          <w:spacing w:val="-2"/>
        </w:rPr>
        <w:t> </w:t>
      </w:r>
      <w:r>
        <w:rPr/>
        <w:t>the</w:t>
      </w:r>
      <w:r>
        <w:rPr>
          <w:spacing w:val="-4"/>
        </w:rPr>
        <w:t> </w:t>
      </w:r>
      <w:r>
        <w:rPr/>
        <w:t>social</w:t>
      </w:r>
      <w:r>
        <w:rPr>
          <w:spacing w:val="-2"/>
        </w:rPr>
        <w:t> </w:t>
      </w:r>
      <w:r>
        <w:rPr/>
        <w:t>impacts</w:t>
      </w:r>
      <w:r>
        <w:rPr>
          <w:spacing w:val="-1"/>
        </w:rPr>
        <w:t> </w:t>
      </w:r>
      <w:r>
        <w:rPr/>
        <w:t>of</w:t>
      </w:r>
      <w:r>
        <w:rPr>
          <w:spacing w:val="-3"/>
        </w:rPr>
        <w:t> </w:t>
      </w:r>
      <w:r>
        <w:rPr/>
        <w:t>the</w:t>
      </w:r>
      <w:r>
        <w:rPr>
          <w:spacing w:val="-4"/>
        </w:rPr>
        <w:t> </w:t>
      </w:r>
      <w:r>
        <w:rPr/>
        <w:t>pest</w:t>
      </w:r>
      <w:r>
        <w:rPr>
          <w:spacing w:val="-3"/>
        </w:rPr>
        <w:t> </w:t>
      </w:r>
      <w:r>
        <w:rPr/>
        <w:t>species and</w:t>
      </w:r>
      <w:r>
        <w:rPr>
          <w:spacing w:val="-3"/>
        </w:rPr>
        <w:t> </w:t>
      </w:r>
      <w:r>
        <w:rPr/>
        <w:t>not</w:t>
      </w:r>
      <w:r>
        <w:rPr>
          <w:spacing w:val="-3"/>
        </w:rPr>
        <w:t> </w:t>
      </w:r>
      <w:r>
        <w:rPr/>
        <w:t>the</w:t>
      </w:r>
      <w:r>
        <w:rPr>
          <w:spacing w:val="-2"/>
        </w:rPr>
        <w:t> </w:t>
      </w:r>
      <w:r>
        <w:rPr/>
        <w:t>impacts</w:t>
      </w:r>
      <w:r>
        <w:rPr>
          <w:spacing w:val="-2"/>
        </w:rPr>
        <w:t> </w:t>
      </w:r>
      <w:r>
        <w:rPr/>
        <w:t>of</w:t>
      </w:r>
      <w:r>
        <w:rPr>
          <w:spacing w:val="-3"/>
        </w:rPr>
        <w:t> </w:t>
      </w:r>
      <w:r>
        <w:rPr/>
        <w:t>the </w:t>
      </w:r>
      <w:r>
        <w:rPr>
          <w:spacing w:val="-2"/>
        </w:rPr>
        <w:t>tools.</w:t>
      </w:r>
    </w:p>
    <w:p>
      <w:pPr>
        <w:pStyle w:val="BodyText"/>
        <w:spacing w:before="120"/>
        <w:ind w:left="112" w:right="162"/>
      </w:pPr>
      <w:r>
        <w:rPr/>
        <w:t>In</w:t>
      </w:r>
      <w:r>
        <w:rPr>
          <w:spacing w:val="-5"/>
        </w:rPr>
        <w:t> </w:t>
      </w:r>
      <w:r>
        <w:rPr/>
        <w:t>a</w:t>
      </w:r>
      <w:r>
        <w:rPr>
          <w:spacing w:val="-4"/>
        </w:rPr>
        <w:t> </w:t>
      </w:r>
      <w:r>
        <w:rPr/>
        <w:t>reassessment</w:t>
      </w:r>
      <w:r>
        <w:rPr>
          <w:spacing w:val="-4"/>
        </w:rPr>
        <w:t> </w:t>
      </w:r>
      <w:r>
        <w:rPr/>
        <w:t>of</w:t>
      </w:r>
      <w:r>
        <w:rPr>
          <w:spacing w:val="-4"/>
        </w:rPr>
        <w:t> </w:t>
      </w:r>
      <w:r>
        <w:rPr/>
        <w:t>the</w:t>
      </w:r>
      <w:r>
        <w:rPr>
          <w:spacing w:val="-4"/>
        </w:rPr>
        <w:t> </w:t>
      </w:r>
      <w:r>
        <w:rPr/>
        <w:t>use</w:t>
      </w:r>
      <w:r>
        <w:rPr>
          <w:spacing w:val="-4"/>
        </w:rPr>
        <w:t> </w:t>
      </w:r>
      <w:r>
        <w:rPr/>
        <w:t>of</w:t>
      </w:r>
      <w:r>
        <w:rPr>
          <w:spacing w:val="-4"/>
        </w:rPr>
        <w:t> </w:t>
      </w:r>
      <w:r>
        <w:rPr/>
        <w:t>1080</w:t>
      </w:r>
      <w:r>
        <w:rPr>
          <w:spacing w:val="-2"/>
        </w:rPr>
        <w:t> </w:t>
      </w:r>
      <w:r>
        <w:rPr/>
        <w:t>in</w:t>
      </w:r>
      <w:r>
        <w:rPr>
          <w:spacing w:val="-2"/>
        </w:rPr>
        <w:t> </w:t>
      </w:r>
      <w:r>
        <w:rPr/>
        <w:t>New</w:t>
      </w:r>
      <w:r>
        <w:rPr>
          <w:spacing w:val="-4"/>
        </w:rPr>
        <w:t> </w:t>
      </w:r>
      <w:r>
        <w:rPr/>
        <w:t>Zealand (Environmental</w:t>
      </w:r>
      <w:r>
        <w:rPr>
          <w:spacing w:val="-3"/>
        </w:rPr>
        <w:t> </w:t>
      </w:r>
      <w:r>
        <w:rPr/>
        <w:t>Risk</w:t>
      </w:r>
      <w:r>
        <w:rPr>
          <w:spacing w:val="-3"/>
        </w:rPr>
        <w:t> </w:t>
      </w:r>
      <w:r>
        <w:rPr/>
        <w:t>Management</w:t>
      </w:r>
      <w:r>
        <w:rPr>
          <w:spacing w:val="-2"/>
        </w:rPr>
        <w:t> </w:t>
      </w:r>
      <w:r>
        <w:rPr/>
        <w:t>Authority</w:t>
      </w:r>
      <w:r>
        <w:rPr>
          <w:spacing w:val="-1"/>
        </w:rPr>
        <w:t> </w:t>
      </w:r>
      <w:r>
        <w:rPr/>
        <w:t>2007),</w:t>
      </w:r>
      <w:r>
        <w:rPr>
          <w:spacing w:val="-4"/>
        </w:rPr>
        <w:t> </w:t>
      </w:r>
      <w:r>
        <w:rPr/>
        <w:t>the benefits to society of using 1080 were identified as being a reduced concern about native ecosystem degradation, benefits to farming communities from reduced incidences of Bovine Tuberculosis, and enhanced enjoyment of recreational activities that rely on healthy forests and native biodiversity. The reassessment also identified several effects of using</w:t>
      </w:r>
      <w:r>
        <w:rPr>
          <w:spacing w:val="-1"/>
        </w:rPr>
        <w:t> </w:t>
      </w:r>
      <w:r>
        <w:rPr/>
        <w:t>1080 on</w:t>
      </w:r>
      <w:r>
        <w:rPr>
          <w:spacing w:val="-1"/>
        </w:rPr>
        <w:t> </w:t>
      </w:r>
      <w:r>
        <w:rPr/>
        <w:t>society and communities. These were the loss of opportunity to hunt because of reduced deer and pig populations; anxiety resulting from disagreement between pest control agencies and the hunting community about the best way to manage pests; and</w:t>
      </w:r>
      <w:r>
        <w:rPr>
          <w:spacing w:val="40"/>
        </w:rPr>
        <w:t> </w:t>
      </w:r>
      <w:r>
        <w:rPr/>
        <w:t>concern for the welfare of target and non-target animals exposed to 1080. The assessment also identified several positive and negative effects on Māori society.</w:t>
      </w:r>
    </w:p>
    <w:p>
      <w:pPr>
        <w:pStyle w:val="BodyText"/>
        <w:spacing w:before="119"/>
        <w:ind w:left="112" w:right="189"/>
      </w:pPr>
      <w:r>
        <w:rPr/>
        <w:t>While no studies in Australia were found to assess the social impact of the use of 1080, it is reasonable to assume similar potential impacts. As noted above, Indigenous Australian’s highly value Dingoes because they are part of dreamtime stories, and the impacts on traditional owner social values arising from the destruction of Dingoes can be significant. In a review and case study of the social impacts of invasive animals in Australia, Fitzgerald and Wilkinson (2009) allude to the social impact of using control tools indirectly by stating that the increasing diversity of rural land use and rural residents may also cause intracommunity conflicts. Based on interviews with a range of stakeholders, they found that the main challenges faced by the agriculture sector in managing pest species included ‘interference’ in farming by urban-based</w:t>
      </w:r>
      <w:r>
        <w:rPr>
          <w:spacing w:val="-3"/>
        </w:rPr>
        <w:t> </w:t>
      </w:r>
      <w:r>
        <w:rPr/>
        <w:t>interests</w:t>
      </w:r>
      <w:r>
        <w:rPr>
          <w:spacing w:val="-2"/>
        </w:rPr>
        <w:t> </w:t>
      </w:r>
      <w:r>
        <w:rPr/>
        <w:t>(such</w:t>
      </w:r>
      <w:r>
        <w:rPr>
          <w:spacing w:val="-4"/>
        </w:rPr>
        <w:t> </w:t>
      </w:r>
      <w:r>
        <w:rPr/>
        <w:t>as</w:t>
      </w:r>
      <w:r>
        <w:rPr>
          <w:spacing w:val="-3"/>
        </w:rPr>
        <w:t> </w:t>
      </w:r>
      <w:r>
        <w:rPr/>
        <w:t>animal</w:t>
      </w:r>
      <w:r>
        <w:rPr>
          <w:spacing w:val="-3"/>
        </w:rPr>
        <w:t> </w:t>
      </w:r>
      <w:r>
        <w:rPr/>
        <w:t>welfarists</w:t>
      </w:r>
      <w:r>
        <w:rPr>
          <w:spacing w:val="-3"/>
        </w:rPr>
        <w:t> </w:t>
      </w:r>
      <w:r>
        <w:rPr/>
        <w:t>and</w:t>
      </w:r>
      <w:r>
        <w:rPr>
          <w:spacing w:val="-3"/>
        </w:rPr>
        <w:t> </w:t>
      </w:r>
      <w:r>
        <w:rPr/>
        <w:t>environmentalists —</w:t>
      </w:r>
      <w:r>
        <w:rPr>
          <w:spacing w:val="-4"/>
        </w:rPr>
        <w:t> </w:t>
      </w:r>
      <w:r>
        <w:rPr/>
        <w:t>who</w:t>
      </w:r>
      <w:r>
        <w:rPr>
          <w:spacing w:val="-3"/>
        </w:rPr>
        <w:t> </w:t>
      </w:r>
      <w:r>
        <w:rPr/>
        <w:t>are</w:t>
      </w:r>
      <w:r>
        <w:rPr>
          <w:spacing w:val="-3"/>
        </w:rPr>
        <w:t> </w:t>
      </w:r>
      <w:r>
        <w:rPr/>
        <w:t>often</w:t>
      </w:r>
      <w:r>
        <w:rPr>
          <w:spacing w:val="-4"/>
        </w:rPr>
        <w:t> </w:t>
      </w:r>
      <w:r>
        <w:rPr/>
        <w:t>opposed</w:t>
      </w:r>
      <w:r>
        <w:rPr>
          <w:spacing w:val="-4"/>
        </w:rPr>
        <w:t> </w:t>
      </w:r>
      <w:r>
        <w:rPr/>
        <w:t>to</w:t>
      </w:r>
      <w:r>
        <w:rPr>
          <w:spacing w:val="-2"/>
        </w:rPr>
        <w:t> </w:t>
      </w:r>
      <w:r>
        <w:rPr/>
        <w:t>the</w:t>
      </w:r>
      <w:r>
        <w:rPr>
          <w:spacing w:val="-3"/>
        </w:rPr>
        <w:t> </w:t>
      </w:r>
      <w:r>
        <w:rPr/>
        <w:t>use of toxins), and adapting to the changing nature of the rural population, with increases in smallholdings and hobby farms (and with them, a greater diversity of values and attitudes towards farming and community — and attendant conflicts).</w:t>
      </w:r>
    </w:p>
    <w:p>
      <w:pPr>
        <w:pStyle w:val="BodyText"/>
        <w:spacing w:line="259" w:lineRule="auto" w:before="120"/>
        <w:ind w:left="112" w:right="173"/>
      </w:pPr>
      <w:r>
        <w:rPr/>
        <w:t>The</w:t>
      </w:r>
      <w:r>
        <w:rPr>
          <w:spacing w:val="-5"/>
        </w:rPr>
        <w:t> </w:t>
      </w:r>
      <w:r>
        <w:rPr/>
        <w:t>social</w:t>
      </w:r>
      <w:r>
        <w:rPr>
          <w:spacing w:val="-5"/>
        </w:rPr>
        <w:t> </w:t>
      </w:r>
      <w:r>
        <w:rPr/>
        <w:t>dimensions</w:t>
      </w:r>
      <w:r>
        <w:rPr>
          <w:spacing w:val="-3"/>
        </w:rPr>
        <w:t> </w:t>
      </w:r>
      <w:r>
        <w:rPr/>
        <w:t>of using</w:t>
      </w:r>
      <w:r>
        <w:rPr>
          <w:spacing w:val="-5"/>
        </w:rPr>
        <w:t> </w:t>
      </w:r>
      <w:r>
        <w:rPr/>
        <w:t>different pest</w:t>
      </w:r>
      <w:r>
        <w:rPr>
          <w:spacing w:val="-4"/>
        </w:rPr>
        <w:t> </w:t>
      </w:r>
      <w:r>
        <w:rPr/>
        <w:t>management</w:t>
      </w:r>
      <w:r>
        <w:rPr>
          <w:spacing w:val="-1"/>
        </w:rPr>
        <w:t> </w:t>
      </w:r>
      <w:r>
        <w:rPr/>
        <w:t>tools</w:t>
      </w:r>
      <w:r>
        <w:rPr>
          <w:spacing w:val="-2"/>
        </w:rPr>
        <w:t> </w:t>
      </w:r>
      <w:r>
        <w:rPr/>
        <w:t>are</w:t>
      </w:r>
      <w:r>
        <w:rPr>
          <w:spacing w:val="-4"/>
        </w:rPr>
        <w:t> </w:t>
      </w:r>
      <w:r>
        <w:rPr/>
        <w:t>complex,</w:t>
      </w:r>
      <w:r>
        <w:rPr>
          <w:spacing w:val="-4"/>
        </w:rPr>
        <w:t> </w:t>
      </w:r>
      <w:r>
        <w:rPr/>
        <w:t>with</w:t>
      </w:r>
      <w:r>
        <w:rPr>
          <w:spacing w:val="-4"/>
        </w:rPr>
        <w:t> </w:t>
      </w:r>
      <w:r>
        <w:rPr/>
        <w:t>wide-ranging</w:t>
      </w:r>
      <w:r>
        <w:rPr>
          <w:spacing w:val="-4"/>
        </w:rPr>
        <w:t> </w:t>
      </w:r>
      <w:r>
        <w:rPr/>
        <w:t>impacts</w:t>
      </w:r>
      <w:r>
        <w:rPr>
          <w:spacing w:val="-3"/>
        </w:rPr>
        <w:t> </w:t>
      </w:r>
      <w:r>
        <w:rPr/>
        <w:t>on individuals and communities. Future work should explore the social impacts of using lethal control options and</w:t>
      </w:r>
      <w:r>
        <w:rPr>
          <w:spacing w:val="-1"/>
        </w:rPr>
        <w:t> </w:t>
      </w:r>
      <w:r>
        <w:rPr/>
        <w:t>how</w:t>
      </w:r>
      <w:r>
        <w:rPr>
          <w:spacing w:val="-3"/>
        </w:rPr>
        <w:t> </w:t>
      </w:r>
      <w:r>
        <w:rPr/>
        <w:t>transitioning</w:t>
      </w:r>
      <w:r>
        <w:rPr>
          <w:spacing w:val="-3"/>
        </w:rPr>
        <w:t> </w:t>
      </w:r>
      <w:r>
        <w:rPr/>
        <w:t>to</w:t>
      </w:r>
      <w:r>
        <w:rPr>
          <w:spacing w:val="-1"/>
        </w:rPr>
        <w:t> </w:t>
      </w:r>
      <w:r>
        <w:rPr/>
        <w:t>non-lethal</w:t>
      </w:r>
      <w:r>
        <w:rPr>
          <w:spacing w:val="-2"/>
        </w:rPr>
        <w:t> </w:t>
      </w:r>
      <w:r>
        <w:rPr/>
        <w:t>methods might mitigate the</w:t>
      </w:r>
      <w:r>
        <w:rPr>
          <w:spacing w:val="-1"/>
        </w:rPr>
        <w:t> </w:t>
      </w:r>
      <w:r>
        <w:rPr/>
        <w:t>impacts</w:t>
      </w:r>
      <w:r>
        <w:rPr>
          <w:spacing w:val="-2"/>
        </w:rPr>
        <w:t> </w:t>
      </w:r>
      <w:r>
        <w:rPr/>
        <w:t>while</w:t>
      </w:r>
      <w:r>
        <w:rPr>
          <w:spacing w:val="-3"/>
        </w:rPr>
        <w:t> </w:t>
      </w:r>
      <w:r>
        <w:rPr/>
        <w:t>respecting</w:t>
      </w:r>
      <w:r>
        <w:rPr>
          <w:spacing w:val="-1"/>
        </w:rPr>
        <w:t> </w:t>
      </w:r>
      <w:r>
        <w:rPr/>
        <w:t>cultural</w:t>
      </w:r>
      <w:r>
        <w:rPr>
          <w:spacing w:val="-4"/>
        </w:rPr>
        <w:t> </w:t>
      </w:r>
      <w:r>
        <w:rPr/>
        <w:t>values</w:t>
      </w:r>
      <w:r>
        <w:rPr>
          <w:spacing w:val="-2"/>
        </w:rPr>
        <w:t> </w:t>
      </w:r>
      <w:r>
        <w:rPr/>
        <w:t>and enhancing community wellbeing. The influence of social media and other communication platforms has on the</w:t>
      </w:r>
      <w:r>
        <w:rPr>
          <w:spacing w:val="-3"/>
        </w:rPr>
        <w:t> </w:t>
      </w:r>
      <w:r>
        <w:rPr/>
        <w:t>social</w:t>
      </w:r>
      <w:r>
        <w:rPr>
          <w:spacing w:val="-2"/>
        </w:rPr>
        <w:t> </w:t>
      </w:r>
      <w:r>
        <w:rPr/>
        <w:t>licence</w:t>
      </w:r>
      <w:r>
        <w:rPr>
          <w:spacing w:val="-3"/>
        </w:rPr>
        <w:t> </w:t>
      </w:r>
      <w:r>
        <w:rPr/>
        <w:t>to</w:t>
      </w:r>
      <w:r>
        <w:rPr>
          <w:spacing w:val="-1"/>
        </w:rPr>
        <w:t> </w:t>
      </w:r>
      <w:r>
        <w:rPr/>
        <w:t>use</w:t>
      </w:r>
      <w:r>
        <w:rPr>
          <w:spacing w:val="-1"/>
        </w:rPr>
        <w:t> </w:t>
      </w:r>
      <w:r>
        <w:rPr/>
        <w:t>lethal and</w:t>
      </w:r>
      <w:r>
        <w:rPr>
          <w:spacing w:val="-1"/>
        </w:rPr>
        <w:t> </w:t>
      </w:r>
      <w:r>
        <w:rPr/>
        <w:t>non-lethal</w:t>
      </w:r>
      <w:r>
        <w:rPr>
          <w:spacing w:val="-3"/>
        </w:rPr>
        <w:t> </w:t>
      </w:r>
      <w:r>
        <w:rPr/>
        <w:t>control</w:t>
      </w:r>
      <w:r>
        <w:rPr>
          <w:spacing w:val="-4"/>
        </w:rPr>
        <w:t> </w:t>
      </w:r>
      <w:r>
        <w:rPr/>
        <w:t>tools is</w:t>
      </w:r>
      <w:r>
        <w:rPr>
          <w:spacing w:val="-2"/>
        </w:rPr>
        <w:t> </w:t>
      </w:r>
      <w:r>
        <w:rPr/>
        <w:t>also an</w:t>
      </w:r>
      <w:r>
        <w:rPr>
          <w:spacing w:val="-2"/>
        </w:rPr>
        <w:t> </w:t>
      </w:r>
      <w:r>
        <w:rPr/>
        <w:t>area</w:t>
      </w:r>
      <w:r>
        <w:rPr>
          <w:spacing w:val="-3"/>
        </w:rPr>
        <w:t> </w:t>
      </w:r>
      <w:r>
        <w:rPr/>
        <w:t>with</w:t>
      </w:r>
      <w:r>
        <w:rPr>
          <w:spacing w:val="-1"/>
        </w:rPr>
        <w:t> </w:t>
      </w:r>
      <w:r>
        <w:rPr/>
        <w:t>little</w:t>
      </w:r>
      <w:r>
        <w:rPr>
          <w:spacing w:val="-2"/>
        </w:rPr>
        <w:t> </w:t>
      </w:r>
      <w:r>
        <w:rPr/>
        <w:t>quantitative</w:t>
      </w:r>
      <w:r>
        <w:rPr>
          <w:spacing w:val="-3"/>
        </w:rPr>
        <w:t> </w:t>
      </w:r>
      <w:r>
        <w:rPr/>
        <w:t>information.</w:t>
      </w:r>
    </w:p>
    <w:p>
      <w:pPr>
        <w:spacing w:after="0" w:line="259" w:lineRule="auto"/>
        <w:sectPr>
          <w:pgSz w:w="11910" w:h="16850"/>
          <w:pgMar w:header="0" w:footer="688" w:top="980" w:bottom="880" w:left="1020" w:right="1020"/>
        </w:sectPr>
      </w:pPr>
    </w:p>
    <w:p>
      <w:pPr>
        <w:pStyle w:val="Heading2"/>
        <w:numPr>
          <w:ilvl w:val="0"/>
          <w:numId w:val="14"/>
        </w:numPr>
        <w:tabs>
          <w:tab w:pos="679" w:val="left" w:leader="none"/>
          <w:tab w:pos="768" w:val="left" w:leader="none"/>
        </w:tabs>
        <w:spacing w:line="300" w:lineRule="auto" w:before="61" w:after="0"/>
        <w:ind w:left="679" w:right="187" w:hanging="567"/>
        <w:jc w:val="left"/>
      </w:pPr>
      <w:bookmarkStart w:name="_TOC_250016" w:id="101"/>
      <w:r>
        <w:rPr>
          <w:color w:val="001F5F"/>
        </w:rPr>
        <w:tab/>
      </w:r>
      <w:bookmarkStart w:name="_bookmark22" w:id="102"/>
      <w:bookmarkEnd w:id="102"/>
      <w:r>
        <w:rPr>
          <w:color w:val="001F5F"/>
        </w:rPr>
        <w:t>Hu</w:t>
      </w:r>
      <w:r>
        <w:rPr>
          <w:color w:val="001F5F"/>
        </w:rPr>
        <w:t>maneness and animal welfare issues when managing European</w:t>
      </w:r>
      <w:r>
        <w:rPr>
          <w:color w:val="001F5F"/>
          <w:spacing w:val="-5"/>
        </w:rPr>
        <w:t> </w:t>
      </w:r>
      <w:r>
        <w:rPr>
          <w:color w:val="001F5F"/>
        </w:rPr>
        <w:t>Rabbits,</w:t>
      </w:r>
      <w:r>
        <w:rPr>
          <w:color w:val="001F5F"/>
          <w:spacing w:val="-4"/>
        </w:rPr>
        <w:t> </w:t>
      </w:r>
      <w:r>
        <w:rPr>
          <w:color w:val="001F5F"/>
        </w:rPr>
        <w:t>Feral</w:t>
      </w:r>
      <w:r>
        <w:rPr>
          <w:color w:val="001F5F"/>
          <w:spacing w:val="-5"/>
        </w:rPr>
        <w:t> </w:t>
      </w:r>
      <w:r>
        <w:rPr>
          <w:color w:val="001F5F"/>
        </w:rPr>
        <w:t>Pigs,</w:t>
      </w:r>
      <w:r>
        <w:rPr>
          <w:color w:val="001F5F"/>
          <w:spacing w:val="-5"/>
        </w:rPr>
        <w:t> </w:t>
      </w:r>
      <w:r>
        <w:rPr>
          <w:color w:val="001F5F"/>
        </w:rPr>
        <w:t>Red</w:t>
      </w:r>
      <w:r>
        <w:rPr>
          <w:color w:val="001F5F"/>
          <w:spacing w:val="-5"/>
        </w:rPr>
        <w:t> </w:t>
      </w:r>
      <w:r>
        <w:rPr>
          <w:color w:val="001F5F"/>
        </w:rPr>
        <w:t>Foxes,</w:t>
      </w:r>
      <w:r>
        <w:rPr>
          <w:color w:val="001F5F"/>
          <w:spacing w:val="-5"/>
        </w:rPr>
        <w:t> </w:t>
      </w:r>
      <w:r>
        <w:rPr>
          <w:color w:val="001F5F"/>
        </w:rPr>
        <w:t>and</w:t>
      </w:r>
      <w:r>
        <w:rPr>
          <w:color w:val="001F5F"/>
          <w:spacing w:val="-3"/>
        </w:rPr>
        <w:t> </w:t>
      </w:r>
      <w:r>
        <w:rPr>
          <w:color w:val="001F5F"/>
        </w:rPr>
        <w:t>Dingoes</w:t>
      </w:r>
      <w:r>
        <w:rPr>
          <w:color w:val="001F5F"/>
          <w:spacing w:val="-5"/>
        </w:rPr>
        <w:t> </w:t>
      </w:r>
      <w:bookmarkEnd w:id="101"/>
      <w:r>
        <w:rPr>
          <w:color w:val="001F5F"/>
        </w:rPr>
        <w:t>and Wild Dogs</w:t>
      </w:r>
    </w:p>
    <w:p>
      <w:pPr>
        <w:pStyle w:val="BodyText"/>
        <w:spacing w:before="163"/>
        <w:rPr>
          <w:b/>
          <w:sz w:val="32"/>
        </w:rPr>
      </w:pPr>
    </w:p>
    <w:p>
      <w:pPr>
        <w:pStyle w:val="BodyText"/>
        <w:ind w:left="112" w:right="173"/>
      </w:pPr>
      <w:r>
        <w:rPr/>
        <w:t>Animal welfare is a consideration of the social licence for activities or operations that involve the management</w:t>
      </w:r>
      <w:r>
        <w:rPr>
          <w:spacing w:val="-2"/>
        </w:rPr>
        <w:t> </w:t>
      </w:r>
      <w:r>
        <w:rPr/>
        <w:t>or</w:t>
      </w:r>
      <w:r>
        <w:rPr>
          <w:spacing w:val="-4"/>
        </w:rPr>
        <w:t> </w:t>
      </w:r>
      <w:r>
        <w:rPr/>
        <w:t>use</w:t>
      </w:r>
      <w:r>
        <w:rPr>
          <w:spacing w:val="-2"/>
        </w:rPr>
        <w:t> </w:t>
      </w:r>
      <w:r>
        <w:rPr/>
        <w:t>of</w:t>
      </w:r>
      <w:r>
        <w:rPr>
          <w:spacing w:val="-4"/>
        </w:rPr>
        <w:t> </w:t>
      </w:r>
      <w:r>
        <w:rPr/>
        <w:t>animals (Hampton</w:t>
      </w:r>
      <w:r>
        <w:rPr>
          <w:spacing w:val="-1"/>
        </w:rPr>
        <w:t> </w:t>
      </w:r>
      <w:r>
        <w:rPr/>
        <w:t>et</w:t>
      </w:r>
      <w:r>
        <w:rPr>
          <w:spacing w:val="-4"/>
        </w:rPr>
        <w:t> </w:t>
      </w:r>
      <w:r>
        <w:rPr/>
        <w:t>al.</w:t>
      </w:r>
      <w:r>
        <w:rPr>
          <w:spacing w:val="-4"/>
        </w:rPr>
        <w:t> </w:t>
      </w:r>
      <w:r>
        <w:rPr/>
        <w:t>2020)</w:t>
      </w:r>
      <w:r>
        <w:rPr>
          <w:spacing w:val="-1"/>
        </w:rPr>
        <w:t> </w:t>
      </w:r>
      <w:r>
        <w:rPr/>
        <w:t>including</w:t>
      </w:r>
      <w:r>
        <w:rPr>
          <w:spacing w:val="-3"/>
        </w:rPr>
        <w:t> </w:t>
      </w:r>
      <w:r>
        <w:rPr/>
        <w:t>lethal</w:t>
      </w:r>
      <w:r>
        <w:rPr>
          <w:spacing w:val="-5"/>
        </w:rPr>
        <w:t> </w:t>
      </w:r>
      <w:r>
        <w:rPr/>
        <w:t>control</w:t>
      </w:r>
      <w:r>
        <w:rPr>
          <w:spacing w:val="-5"/>
        </w:rPr>
        <w:t> </w:t>
      </w:r>
      <w:r>
        <w:rPr/>
        <w:t>of wild</w:t>
      </w:r>
      <w:r>
        <w:rPr>
          <w:spacing w:val="-4"/>
        </w:rPr>
        <w:t> </w:t>
      </w:r>
      <w:r>
        <w:rPr/>
        <w:t>animals</w:t>
      </w:r>
      <w:r>
        <w:rPr>
          <w:spacing w:val="-1"/>
        </w:rPr>
        <w:t> </w:t>
      </w:r>
      <w:r>
        <w:rPr/>
        <w:t>in</w:t>
      </w:r>
      <w:r>
        <w:rPr>
          <w:spacing w:val="-4"/>
        </w:rPr>
        <w:t> </w:t>
      </w:r>
      <w:r>
        <w:rPr/>
        <w:t>biosecurity contexts (von Esson and Redmalm 2023)</w:t>
      </w:r>
    </w:p>
    <w:p>
      <w:pPr>
        <w:pStyle w:val="BodyText"/>
        <w:spacing w:before="121"/>
        <w:ind w:left="112"/>
      </w:pPr>
      <w:r>
        <w:rPr/>
        <w:t>A</w:t>
      </w:r>
      <w:r>
        <w:rPr>
          <w:spacing w:val="-1"/>
        </w:rPr>
        <w:t> </w:t>
      </w:r>
      <w:r>
        <w:rPr/>
        <w:t>model</w:t>
      </w:r>
      <w:r>
        <w:rPr>
          <w:spacing w:val="-2"/>
        </w:rPr>
        <w:t> </w:t>
      </w:r>
      <w:r>
        <w:rPr/>
        <w:t>for assessing</w:t>
      </w:r>
      <w:r>
        <w:rPr>
          <w:spacing w:val="-2"/>
        </w:rPr>
        <w:t> </w:t>
      </w:r>
      <w:r>
        <w:rPr/>
        <w:t>welfare/humaneness was developed to be</w:t>
      </w:r>
      <w:r>
        <w:rPr>
          <w:spacing w:val="-2"/>
        </w:rPr>
        <w:t> </w:t>
      </w:r>
      <w:r>
        <w:rPr/>
        <w:t>applicable to</w:t>
      </w:r>
      <w:r>
        <w:rPr>
          <w:spacing w:val="-2"/>
        </w:rPr>
        <w:t> </w:t>
      </w:r>
      <w:r>
        <w:rPr/>
        <w:t>the</w:t>
      </w:r>
      <w:r>
        <w:rPr>
          <w:spacing w:val="-1"/>
        </w:rPr>
        <w:t> </w:t>
      </w:r>
      <w:r>
        <w:rPr/>
        <w:t>range of lethal</w:t>
      </w:r>
      <w:r>
        <w:rPr>
          <w:spacing w:val="-2"/>
        </w:rPr>
        <w:t> </w:t>
      </w:r>
      <w:r>
        <w:rPr/>
        <w:t>and</w:t>
      </w:r>
      <w:r>
        <w:rPr>
          <w:spacing w:val="-2"/>
        </w:rPr>
        <w:t> </w:t>
      </w:r>
      <w:r>
        <w:rPr/>
        <w:t>non- lethal</w:t>
      </w:r>
      <w:r>
        <w:rPr>
          <w:spacing w:val="-3"/>
        </w:rPr>
        <w:t> </w:t>
      </w:r>
      <w:r>
        <w:rPr/>
        <w:t>pest</w:t>
      </w:r>
      <w:r>
        <w:rPr>
          <w:spacing w:val="-4"/>
        </w:rPr>
        <w:t> </w:t>
      </w:r>
      <w:r>
        <w:rPr/>
        <w:t>animal</w:t>
      </w:r>
      <w:r>
        <w:rPr>
          <w:spacing w:val="-5"/>
        </w:rPr>
        <w:t> </w:t>
      </w:r>
      <w:r>
        <w:rPr/>
        <w:t>control</w:t>
      </w:r>
      <w:r>
        <w:rPr>
          <w:spacing w:val="-5"/>
        </w:rPr>
        <w:t> </w:t>
      </w:r>
      <w:r>
        <w:rPr/>
        <w:t>techniques</w:t>
      </w:r>
      <w:r>
        <w:rPr>
          <w:spacing w:val="-3"/>
        </w:rPr>
        <w:t> </w:t>
      </w:r>
      <w:r>
        <w:rPr/>
        <w:t>used</w:t>
      </w:r>
      <w:r>
        <w:rPr>
          <w:spacing w:val="-2"/>
        </w:rPr>
        <w:t> </w:t>
      </w:r>
      <w:r>
        <w:rPr/>
        <w:t>in</w:t>
      </w:r>
      <w:r>
        <w:rPr>
          <w:spacing w:val="-2"/>
        </w:rPr>
        <w:t> </w:t>
      </w:r>
      <w:r>
        <w:rPr/>
        <w:t>Australia (Sharp</w:t>
      </w:r>
      <w:r>
        <w:rPr>
          <w:spacing w:val="-2"/>
        </w:rPr>
        <w:t> </w:t>
      </w:r>
      <w:r>
        <w:rPr/>
        <w:t>and</w:t>
      </w:r>
      <w:r>
        <w:rPr>
          <w:spacing w:val="-2"/>
        </w:rPr>
        <w:t> </w:t>
      </w:r>
      <w:r>
        <w:rPr/>
        <w:t>Saunders</w:t>
      </w:r>
      <w:r>
        <w:rPr>
          <w:spacing w:val="-2"/>
        </w:rPr>
        <w:t> </w:t>
      </w:r>
      <w:r>
        <w:rPr/>
        <w:t>2011).</w:t>
      </w:r>
      <w:r>
        <w:rPr>
          <w:spacing w:val="-4"/>
        </w:rPr>
        <w:t> </w:t>
      </w:r>
      <w:r>
        <w:rPr/>
        <w:t>In</w:t>
      </w:r>
      <w:r>
        <w:rPr>
          <w:spacing w:val="-5"/>
        </w:rPr>
        <w:t> </w:t>
      </w:r>
      <w:r>
        <w:rPr/>
        <w:t>this</w:t>
      </w:r>
      <w:r>
        <w:rPr>
          <w:spacing w:val="-3"/>
        </w:rPr>
        <w:t> </w:t>
      </w:r>
      <w:r>
        <w:rPr/>
        <w:t>context,</w:t>
      </w:r>
      <w:r>
        <w:rPr>
          <w:spacing w:val="-2"/>
        </w:rPr>
        <w:t> </w:t>
      </w:r>
      <w:r>
        <w:rPr/>
        <w:t>the</w:t>
      </w:r>
      <w:r>
        <w:rPr>
          <w:spacing w:val="-2"/>
        </w:rPr>
        <w:t> </w:t>
      </w:r>
      <w:r>
        <w:rPr/>
        <w:t>term ‘animal welfare’ covers a complex construct including objective and subjective aspects of the physical and mental well-being of animals, while the term ‘humaneness’ of a pest animal control method relates to minimising pain and reducing time to death wherever possible. The model uses scientific and technical information combined with expert opinion to assess the negative impacts that a control method has on an animal’s welfare and, if a lethal method, how the animal is killed. The assessment of overall animal welfare impact is based on five domains:</w:t>
      </w:r>
    </w:p>
    <w:p>
      <w:pPr>
        <w:pStyle w:val="ListParagraph"/>
        <w:numPr>
          <w:ilvl w:val="0"/>
          <w:numId w:val="23"/>
        </w:numPr>
        <w:tabs>
          <w:tab w:pos="831" w:val="left" w:leader="none"/>
        </w:tabs>
        <w:spacing w:line="240" w:lineRule="auto" w:before="150" w:after="0"/>
        <w:ind w:left="831" w:right="0" w:hanging="358"/>
        <w:jc w:val="left"/>
        <w:rPr>
          <w:sz w:val="20"/>
        </w:rPr>
      </w:pPr>
      <w:r>
        <w:rPr>
          <w:spacing w:val="-2"/>
          <w:sz w:val="20"/>
        </w:rPr>
        <w:t>Thirst/hunger/malnutrition</w:t>
      </w:r>
    </w:p>
    <w:p>
      <w:pPr>
        <w:pStyle w:val="ListParagraph"/>
        <w:numPr>
          <w:ilvl w:val="0"/>
          <w:numId w:val="23"/>
        </w:numPr>
        <w:tabs>
          <w:tab w:pos="831" w:val="left" w:leader="none"/>
        </w:tabs>
        <w:spacing w:line="240" w:lineRule="auto" w:before="42" w:after="0"/>
        <w:ind w:left="831" w:right="0" w:hanging="358"/>
        <w:jc w:val="left"/>
        <w:rPr>
          <w:sz w:val="20"/>
        </w:rPr>
      </w:pPr>
      <w:r>
        <w:rPr>
          <w:spacing w:val="-2"/>
          <w:sz w:val="20"/>
        </w:rPr>
        <w:t>Environmental</w:t>
      </w:r>
      <w:r>
        <w:rPr>
          <w:spacing w:val="8"/>
          <w:sz w:val="20"/>
        </w:rPr>
        <w:t> </w:t>
      </w:r>
      <w:r>
        <w:rPr>
          <w:spacing w:val="-2"/>
          <w:sz w:val="20"/>
        </w:rPr>
        <w:t>challenge</w:t>
      </w:r>
    </w:p>
    <w:p>
      <w:pPr>
        <w:pStyle w:val="ListParagraph"/>
        <w:numPr>
          <w:ilvl w:val="0"/>
          <w:numId w:val="23"/>
        </w:numPr>
        <w:tabs>
          <w:tab w:pos="831" w:val="left" w:leader="none"/>
        </w:tabs>
        <w:spacing w:line="240" w:lineRule="auto" w:before="39" w:after="0"/>
        <w:ind w:left="831" w:right="0" w:hanging="358"/>
        <w:jc w:val="left"/>
        <w:rPr>
          <w:sz w:val="20"/>
        </w:rPr>
      </w:pPr>
      <w:r>
        <w:rPr>
          <w:spacing w:val="-2"/>
          <w:sz w:val="20"/>
        </w:rPr>
        <w:t>Injury/disease/functional</w:t>
      </w:r>
      <w:r>
        <w:rPr>
          <w:spacing w:val="21"/>
          <w:sz w:val="20"/>
        </w:rPr>
        <w:t> </w:t>
      </w:r>
      <w:r>
        <w:rPr>
          <w:spacing w:val="-2"/>
          <w:sz w:val="20"/>
        </w:rPr>
        <w:t>impairment</w:t>
      </w:r>
    </w:p>
    <w:p>
      <w:pPr>
        <w:pStyle w:val="ListParagraph"/>
        <w:numPr>
          <w:ilvl w:val="0"/>
          <w:numId w:val="23"/>
        </w:numPr>
        <w:tabs>
          <w:tab w:pos="831" w:val="left" w:leader="none"/>
        </w:tabs>
        <w:spacing w:line="240" w:lineRule="auto" w:before="41" w:after="0"/>
        <w:ind w:left="831" w:right="0" w:hanging="358"/>
        <w:jc w:val="left"/>
        <w:rPr>
          <w:sz w:val="20"/>
        </w:rPr>
      </w:pPr>
      <w:r>
        <w:rPr>
          <w:spacing w:val="-2"/>
          <w:sz w:val="20"/>
        </w:rPr>
        <w:t>Behavioural/interactive</w:t>
      </w:r>
      <w:r>
        <w:rPr>
          <w:spacing w:val="18"/>
          <w:sz w:val="20"/>
        </w:rPr>
        <w:t> </w:t>
      </w:r>
      <w:r>
        <w:rPr>
          <w:spacing w:val="-2"/>
          <w:sz w:val="20"/>
        </w:rPr>
        <w:t>restriction</w:t>
      </w:r>
    </w:p>
    <w:p>
      <w:pPr>
        <w:pStyle w:val="ListParagraph"/>
        <w:numPr>
          <w:ilvl w:val="0"/>
          <w:numId w:val="23"/>
        </w:numPr>
        <w:tabs>
          <w:tab w:pos="831" w:val="left" w:leader="none"/>
        </w:tabs>
        <w:spacing w:line="240" w:lineRule="auto" w:before="41" w:after="0"/>
        <w:ind w:left="831" w:right="0" w:hanging="358"/>
        <w:jc w:val="left"/>
        <w:rPr>
          <w:sz w:val="20"/>
        </w:rPr>
      </w:pPr>
      <w:r>
        <w:rPr>
          <w:spacing w:val="-2"/>
          <w:sz w:val="20"/>
        </w:rPr>
        <w:t>Anxiety/fear/pain/distress.</w:t>
      </w:r>
    </w:p>
    <w:p>
      <w:pPr>
        <w:pStyle w:val="BodyText"/>
        <w:spacing w:before="128"/>
        <w:ind w:left="112"/>
      </w:pPr>
      <w:r>
        <w:rPr/>
        <w:t>Under the Sharp and Saunders (2011) model, humaneness of a pest animal control method refers to the overall welfare impact that the method has on an individual animal rated from 1–8, with higher numbers representing increased welfare impacts prior to death. The model assessment process also considers the impacts</w:t>
      </w:r>
      <w:r>
        <w:rPr>
          <w:spacing w:val="-2"/>
        </w:rPr>
        <w:t> </w:t>
      </w:r>
      <w:r>
        <w:rPr/>
        <w:t>of</w:t>
      </w:r>
      <w:r>
        <w:rPr>
          <w:spacing w:val="-3"/>
        </w:rPr>
        <w:t> </w:t>
      </w:r>
      <w:r>
        <w:rPr/>
        <w:t>a</w:t>
      </w:r>
      <w:r>
        <w:rPr>
          <w:spacing w:val="-4"/>
        </w:rPr>
        <w:t> </w:t>
      </w:r>
      <w:r>
        <w:rPr/>
        <w:t>control</w:t>
      </w:r>
      <w:r>
        <w:rPr>
          <w:spacing w:val="-4"/>
        </w:rPr>
        <w:t> </w:t>
      </w:r>
      <w:r>
        <w:rPr/>
        <w:t>method</w:t>
      </w:r>
      <w:r>
        <w:rPr>
          <w:spacing w:val="-3"/>
        </w:rPr>
        <w:t> </w:t>
      </w:r>
      <w:r>
        <w:rPr/>
        <w:t>on the</w:t>
      </w:r>
      <w:r>
        <w:rPr>
          <w:spacing w:val="-4"/>
        </w:rPr>
        <w:t> </w:t>
      </w:r>
      <w:r>
        <w:rPr/>
        <w:t>suffering</w:t>
      </w:r>
      <w:r>
        <w:rPr>
          <w:spacing w:val="-2"/>
        </w:rPr>
        <w:t> </w:t>
      </w:r>
      <w:r>
        <w:rPr/>
        <w:t>experienced</w:t>
      </w:r>
      <w:r>
        <w:rPr>
          <w:spacing w:val="-4"/>
        </w:rPr>
        <w:t> </w:t>
      </w:r>
      <w:r>
        <w:rPr/>
        <w:t>by</w:t>
      </w:r>
      <w:r>
        <w:rPr>
          <w:spacing w:val="-2"/>
        </w:rPr>
        <w:t> </w:t>
      </w:r>
      <w:r>
        <w:rPr/>
        <w:t>the affected</w:t>
      </w:r>
      <w:r>
        <w:rPr>
          <w:spacing w:val="-2"/>
        </w:rPr>
        <w:t> </w:t>
      </w:r>
      <w:r>
        <w:rPr/>
        <w:t>animals rated</w:t>
      </w:r>
      <w:r>
        <w:rPr>
          <w:spacing w:val="-3"/>
        </w:rPr>
        <w:t> </w:t>
      </w:r>
      <w:r>
        <w:rPr/>
        <w:t>from</w:t>
      </w:r>
      <w:r>
        <w:rPr>
          <w:spacing w:val="-1"/>
        </w:rPr>
        <w:t> </w:t>
      </w:r>
      <w:r>
        <w:rPr/>
        <w:t>A–G.</w:t>
      </w:r>
      <w:r>
        <w:rPr>
          <w:spacing w:val="-3"/>
        </w:rPr>
        <w:t> </w:t>
      </w:r>
      <w:r>
        <w:rPr/>
        <w:t>Combining these ratings is used to determine an overall humaneness score. The model was not designed to provide an absolute measure of humaneness but allows comparisons of relative humaneness among different control methods. There is no one pest control method that does not have some sort of impact on an animal.</w:t>
      </w:r>
    </w:p>
    <w:p>
      <w:pPr>
        <w:pStyle w:val="BodyText"/>
        <w:ind w:left="112"/>
      </w:pPr>
      <w:r>
        <w:rPr/>
        <w:t>However,</w:t>
      </w:r>
      <w:r>
        <w:rPr>
          <w:spacing w:val="-6"/>
        </w:rPr>
        <w:t> </w:t>
      </w:r>
      <w:r>
        <w:rPr/>
        <w:t>a</w:t>
      </w:r>
      <w:r>
        <w:rPr>
          <w:spacing w:val="-8"/>
        </w:rPr>
        <w:t> </w:t>
      </w:r>
      <w:r>
        <w:rPr/>
        <w:t>relatively</w:t>
      </w:r>
      <w:r>
        <w:rPr>
          <w:spacing w:val="-6"/>
        </w:rPr>
        <w:t> </w:t>
      </w:r>
      <w:r>
        <w:rPr/>
        <w:t>more</w:t>
      </w:r>
      <w:r>
        <w:rPr>
          <w:spacing w:val="-6"/>
        </w:rPr>
        <w:t> </w:t>
      </w:r>
      <w:r>
        <w:rPr/>
        <w:t>humane</w:t>
      </w:r>
      <w:r>
        <w:rPr>
          <w:spacing w:val="-7"/>
        </w:rPr>
        <w:t> </w:t>
      </w:r>
      <w:r>
        <w:rPr/>
        <w:t>method</w:t>
      </w:r>
      <w:r>
        <w:rPr>
          <w:spacing w:val="-6"/>
        </w:rPr>
        <w:t> </w:t>
      </w:r>
      <w:r>
        <w:rPr/>
        <w:t>will</w:t>
      </w:r>
      <w:r>
        <w:rPr>
          <w:spacing w:val="-6"/>
        </w:rPr>
        <w:t> </w:t>
      </w:r>
      <w:r>
        <w:rPr/>
        <w:t>have</w:t>
      </w:r>
      <w:r>
        <w:rPr>
          <w:spacing w:val="-6"/>
        </w:rPr>
        <w:t> </w:t>
      </w:r>
      <w:r>
        <w:rPr/>
        <w:t>less</w:t>
      </w:r>
      <w:r>
        <w:rPr>
          <w:spacing w:val="-7"/>
        </w:rPr>
        <w:t> </w:t>
      </w:r>
      <w:r>
        <w:rPr/>
        <w:t>impact</w:t>
      </w:r>
      <w:r>
        <w:rPr>
          <w:spacing w:val="-5"/>
        </w:rPr>
        <w:t> </w:t>
      </w:r>
      <w:r>
        <w:rPr/>
        <w:t>than</w:t>
      </w:r>
      <w:r>
        <w:rPr>
          <w:spacing w:val="-8"/>
        </w:rPr>
        <w:t> </w:t>
      </w:r>
      <w:r>
        <w:rPr/>
        <w:t>a</w:t>
      </w:r>
      <w:r>
        <w:rPr>
          <w:spacing w:val="-8"/>
        </w:rPr>
        <w:t> </w:t>
      </w:r>
      <w:r>
        <w:rPr/>
        <w:t>relatively</w:t>
      </w:r>
      <w:r>
        <w:rPr>
          <w:spacing w:val="-4"/>
        </w:rPr>
        <w:t> </w:t>
      </w:r>
      <w:r>
        <w:rPr/>
        <w:t>less</w:t>
      </w:r>
      <w:r>
        <w:rPr>
          <w:spacing w:val="-7"/>
        </w:rPr>
        <w:t> </w:t>
      </w:r>
      <w:r>
        <w:rPr/>
        <w:t>humane</w:t>
      </w:r>
      <w:r>
        <w:rPr>
          <w:spacing w:val="-8"/>
        </w:rPr>
        <w:t> </w:t>
      </w:r>
      <w:r>
        <w:rPr>
          <w:spacing w:val="-2"/>
        </w:rPr>
        <w:t>method.</w:t>
      </w:r>
    </w:p>
    <w:p>
      <w:pPr>
        <w:pStyle w:val="BodyText"/>
        <w:spacing w:before="121"/>
        <w:ind w:left="112" w:right="219"/>
      </w:pPr>
      <w:r>
        <w:rPr/>
        <w:t>The application of the model process produces a ‘humaneness matrix’ which represents a relative humaneness score for vertebrate pest species (</w:t>
      </w:r>
      <w:hyperlink r:id="rId19">
        <w:r>
          <w:rPr>
            <w:color w:val="0000FF"/>
            <w:u w:val="single" w:color="0000FF"/>
          </w:rPr>
          <w:t>https://pestsmart.org.au/</w:t>
        </w:r>
      </w:hyperlink>
      <w:r>
        <w:rPr>
          <w:u w:val="none"/>
        </w:rPr>
        <w:t>). We have summarised the outcome</w:t>
      </w:r>
      <w:r>
        <w:rPr>
          <w:spacing w:val="-3"/>
          <w:u w:val="none"/>
        </w:rPr>
        <w:t> </w:t>
      </w:r>
      <w:r>
        <w:rPr>
          <w:u w:val="none"/>
        </w:rPr>
        <w:t>of</w:t>
      </w:r>
      <w:r>
        <w:rPr>
          <w:spacing w:val="-1"/>
          <w:u w:val="none"/>
        </w:rPr>
        <w:t> </w:t>
      </w:r>
      <w:r>
        <w:rPr>
          <w:u w:val="none"/>
        </w:rPr>
        <w:t>the</w:t>
      </w:r>
      <w:r>
        <w:rPr>
          <w:spacing w:val="-2"/>
          <w:u w:val="none"/>
        </w:rPr>
        <w:t> </w:t>
      </w:r>
      <w:r>
        <w:rPr>
          <w:u w:val="none"/>
        </w:rPr>
        <w:t>model</w:t>
      </w:r>
      <w:r>
        <w:rPr>
          <w:spacing w:val="-2"/>
          <w:u w:val="none"/>
        </w:rPr>
        <w:t> </w:t>
      </w:r>
      <w:r>
        <w:rPr>
          <w:u w:val="none"/>
        </w:rPr>
        <w:t>process</w:t>
      </w:r>
      <w:r>
        <w:rPr>
          <w:spacing w:val="-2"/>
          <w:u w:val="none"/>
        </w:rPr>
        <w:t> </w:t>
      </w:r>
      <w:r>
        <w:rPr>
          <w:u w:val="none"/>
        </w:rPr>
        <w:t>in Table 12</w:t>
      </w:r>
      <w:r>
        <w:rPr>
          <w:spacing w:val="-3"/>
          <w:u w:val="none"/>
        </w:rPr>
        <w:t> </w:t>
      </w:r>
      <w:r>
        <w:rPr>
          <w:u w:val="none"/>
        </w:rPr>
        <w:t>to</w:t>
      </w:r>
      <w:r>
        <w:rPr>
          <w:spacing w:val="-3"/>
          <w:u w:val="none"/>
        </w:rPr>
        <w:t> </w:t>
      </w:r>
      <w:r>
        <w:rPr>
          <w:u w:val="none"/>
        </w:rPr>
        <w:t>show</w:t>
      </w:r>
      <w:r>
        <w:rPr>
          <w:spacing w:val="-3"/>
          <w:u w:val="none"/>
        </w:rPr>
        <w:t> </w:t>
      </w:r>
      <w:r>
        <w:rPr>
          <w:u w:val="none"/>
        </w:rPr>
        <w:t>the</w:t>
      </w:r>
      <w:r>
        <w:rPr>
          <w:spacing w:val="-1"/>
          <w:u w:val="none"/>
        </w:rPr>
        <w:t> </w:t>
      </w:r>
      <w:r>
        <w:rPr>
          <w:u w:val="none"/>
        </w:rPr>
        <w:t>relative</w:t>
      </w:r>
      <w:r>
        <w:rPr>
          <w:spacing w:val="-3"/>
          <w:u w:val="none"/>
        </w:rPr>
        <w:t> </w:t>
      </w:r>
      <w:r>
        <w:rPr>
          <w:u w:val="none"/>
        </w:rPr>
        <w:t>difference</w:t>
      </w:r>
      <w:r>
        <w:rPr>
          <w:spacing w:val="-1"/>
          <w:u w:val="none"/>
        </w:rPr>
        <w:t> </w:t>
      </w:r>
      <w:r>
        <w:rPr>
          <w:u w:val="none"/>
        </w:rPr>
        <w:t>in</w:t>
      </w:r>
      <w:r>
        <w:rPr>
          <w:spacing w:val="-3"/>
          <w:u w:val="none"/>
        </w:rPr>
        <w:t> </w:t>
      </w:r>
      <w:r>
        <w:rPr>
          <w:u w:val="none"/>
        </w:rPr>
        <w:t>overall</w:t>
      </w:r>
      <w:r>
        <w:rPr>
          <w:spacing w:val="-4"/>
          <w:u w:val="none"/>
        </w:rPr>
        <w:t> </w:t>
      </w:r>
      <w:r>
        <w:rPr>
          <w:u w:val="none"/>
        </w:rPr>
        <w:t>humaneness</w:t>
      </w:r>
      <w:r>
        <w:rPr>
          <w:spacing w:val="-2"/>
          <w:u w:val="none"/>
        </w:rPr>
        <w:t> </w:t>
      </w:r>
      <w:r>
        <w:rPr>
          <w:u w:val="none"/>
        </w:rPr>
        <w:t>score</w:t>
      </w:r>
      <w:r>
        <w:rPr>
          <w:spacing w:val="-3"/>
          <w:u w:val="none"/>
        </w:rPr>
        <w:t> </w:t>
      </w:r>
      <w:r>
        <w:rPr>
          <w:u w:val="none"/>
        </w:rPr>
        <w:t>of other control methods compared to 1080.</w:t>
      </w:r>
    </w:p>
    <w:p>
      <w:pPr>
        <w:spacing w:after="0"/>
        <w:sectPr>
          <w:pgSz w:w="11910" w:h="16850"/>
          <w:pgMar w:header="0" w:footer="688" w:top="1140" w:bottom="880" w:left="1020" w:right="1020"/>
        </w:sectPr>
      </w:pPr>
    </w:p>
    <w:p>
      <w:pPr>
        <w:pStyle w:val="Heading7"/>
        <w:spacing w:line="242" w:lineRule="auto"/>
        <w:ind w:left="132" w:right="120"/>
      </w:pPr>
      <w:bookmarkStart w:name="_bookmark23" w:id="103"/>
      <w:bookmarkEnd w:id="103"/>
      <w:r>
        <w:rPr>
          <w:b w:val="0"/>
        </w:rPr>
      </w:r>
      <w:r>
        <w:rPr>
          <w:color w:val="1F1546"/>
        </w:rPr>
        <w:t>Table</w:t>
      </w:r>
      <w:r>
        <w:rPr>
          <w:color w:val="1F1546"/>
          <w:spacing w:val="-1"/>
        </w:rPr>
        <w:t> </w:t>
      </w:r>
      <w:r>
        <w:rPr>
          <w:color w:val="1F1546"/>
        </w:rPr>
        <w:t>12.</w:t>
      </w:r>
      <w:r>
        <w:rPr>
          <w:color w:val="1F1546"/>
          <w:spacing w:val="-2"/>
        </w:rPr>
        <w:t> </w:t>
      </w:r>
      <w:r>
        <w:rPr>
          <w:color w:val="1F1546"/>
        </w:rPr>
        <w:t>Relative</w:t>
      </w:r>
      <w:r>
        <w:rPr>
          <w:color w:val="1F1546"/>
          <w:spacing w:val="-1"/>
        </w:rPr>
        <w:t> </w:t>
      </w:r>
      <w:r>
        <w:rPr>
          <w:color w:val="1F1546"/>
        </w:rPr>
        <w:t>humaneness</w:t>
      </w:r>
      <w:r>
        <w:rPr>
          <w:color w:val="1F1546"/>
          <w:spacing w:val="-1"/>
        </w:rPr>
        <w:t> </w:t>
      </w:r>
      <w:r>
        <w:rPr>
          <w:color w:val="1F1546"/>
        </w:rPr>
        <w:t>scores</w:t>
      </w:r>
      <w:r>
        <w:rPr>
          <w:color w:val="1F1546"/>
          <w:spacing w:val="-3"/>
        </w:rPr>
        <w:t> </w:t>
      </w:r>
      <w:r>
        <w:rPr>
          <w:color w:val="1F1546"/>
        </w:rPr>
        <w:t>derived</w:t>
      </w:r>
      <w:r>
        <w:rPr>
          <w:color w:val="1F1546"/>
          <w:spacing w:val="-1"/>
        </w:rPr>
        <w:t> </w:t>
      </w:r>
      <w:r>
        <w:rPr>
          <w:color w:val="1F1546"/>
        </w:rPr>
        <w:t>using</w:t>
      </w:r>
      <w:r>
        <w:rPr>
          <w:color w:val="1F1546"/>
          <w:spacing w:val="-1"/>
        </w:rPr>
        <w:t> </w:t>
      </w:r>
      <w:r>
        <w:rPr>
          <w:color w:val="1F1546"/>
        </w:rPr>
        <w:t>the</w:t>
      </w:r>
      <w:r>
        <w:rPr>
          <w:color w:val="1F1546"/>
          <w:spacing w:val="-2"/>
        </w:rPr>
        <w:t> </w:t>
      </w:r>
      <w:r>
        <w:rPr>
          <w:color w:val="1F1546"/>
        </w:rPr>
        <w:t>Sharp and</w:t>
      </w:r>
      <w:r>
        <w:rPr>
          <w:color w:val="1F1546"/>
          <w:spacing w:val="-1"/>
        </w:rPr>
        <w:t> </w:t>
      </w:r>
      <w:r>
        <w:rPr>
          <w:color w:val="1F1546"/>
        </w:rPr>
        <w:t>Saunders</w:t>
      </w:r>
      <w:r>
        <w:rPr>
          <w:color w:val="1F1546"/>
          <w:spacing w:val="-2"/>
        </w:rPr>
        <w:t> </w:t>
      </w:r>
      <w:r>
        <w:rPr>
          <w:color w:val="1F1546"/>
        </w:rPr>
        <w:t>(2011)</w:t>
      </w:r>
      <w:r>
        <w:rPr>
          <w:color w:val="1F1546"/>
          <w:spacing w:val="-1"/>
        </w:rPr>
        <w:t> </w:t>
      </w:r>
      <w:r>
        <w:rPr>
          <w:color w:val="1F1546"/>
        </w:rPr>
        <w:t>model</w:t>
      </w:r>
      <w:r>
        <w:rPr>
          <w:color w:val="1F1546"/>
          <w:spacing w:val="-1"/>
        </w:rPr>
        <w:t> </w:t>
      </w:r>
      <w:r>
        <w:rPr>
          <w:color w:val="1F1546"/>
        </w:rPr>
        <w:t>process</w:t>
      </w:r>
      <w:r>
        <w:rPr>
          <w:color w:val="1F1546"/>
          <w:spacing w:val="-2"/>
        </w:rPr>
        <w:t> </w:t>
      </w:r>
      <w:r>
        <w:rPr>
          <w:color w:val="1F1546"/>
        </w:rPr>
        <w:t>to</w:t>
      </w:r>
      <w:r>
        <w:rPr>
          <w:color w:val="1F1546"/>
          <w:spacing w:val="-1"/>
        </w:rPr>
        <w:t> </w:t>
      </w:r>
      <w:r>
        <w:rPr>
          <w:color w:val="1F1546"/>
        </w:rPr>
        <w:t>assess</w:t>
      </w:r>
      <w:r>
        <w:rPr>
          <w:color w:val="1F1546"/>
          <w:spacing w:val="-3"/>
        </w:rPr>
        <w:t> </w:t>
      </w:r>
      <w:r>
        <w:rPr>
          <w:color w:val="1F1546"/>
        </w:rPr>
        <w:t>lethal</w:t>
      </w:r>
      <w:r>
        <w:rPr>
          <w:color w:val="1F1546"/>
          <w:spacing w:val="-2"/>
        </w:rPr>
        <w:t> </w:t>
      </w:r>
      <w:r>
        <w:rPr>
          <w:color w:val="1F1546"/>
        </w:rPr>
        <w:t>control</w:t>
      </w:r>
      <w:r>
        <w:rPr>
          <w:color w:val="1F1546"/>
          <w:spacing w:val="-2"/>
        </w:rPr>
        <w:t> </w:t>
      </w:r>
      <w:r>
        <w:rPr>
          <w:color w:val="1F1546"/>
        </w:rPr>
        <w:t>methods</w:t>
      </w:r>
      <w:r>
        <w:rPr>
          <w:color w:val="1F1546"/>
          <w:spacing w:val="-2"/>
        </w:rPr>
        <w:t> </w:t>
      </w:r>
      <w:r>
        <w:rPr>
          <w:color w:val="1F1546"/>
        </w:rPr>
        <w:t>for</w:t>
      </w:r>
      <w:r>
        <w:rPr>
          <w:color w:val="1F1546"/>
          <w:spacing w:val="-2"/>
        </w:rPr>
        <w:t> </w:t>
      </w:r>
      <w:r>
        <w:rPr>
          <w:color w:val="1F1546"/>
        </w:rPr>
        <w:t>European Rabbits, foxes, Feral Pigs, and Dingoes and Wild Dogs.</w:t>
      </w:r>
    </w:p>
    <w:p>
      <w:pPr>
        <w:pStyle w:val="BodyText"/>
        <w:spacing w:before="117"/>
        <w:ind w:left="132" w:right="120"/>
      </w:pPr>
      <w:r>
        <w:rPr/>
        <w:t>Higher</w:t>
      </w:r>
      <w:r>
        <w:rPr>
          <w:spacing w:val="-3"/>
        </w:rPr>
        <w:t> </w:t>
      </w:r>
      <w:r>
        <w:rPr/>
        <w:t>numbers –</w:t>
      </w:r>
      <w:r>
        <w:rPr>
          <w:spacing w:val="-1"/>
        </w:rPr>
        <w:t> </w:t>
      </w:r>
      <w:r>
        <w:rPr/>
        <w:t>increasing</w:t>
      </w:r>
      <w:r>
        <w:rPr>
          <w:spacing w:val="-3"/>
        </w:rPr>
        <w:t> </w:t>
      </w:r>
      <w:r>
        <w:rPr/>
        <w:t>welfare</w:t>
      </w:r>
      <w:r>
        <w:rPr>
          <w:spacing w:val="-1"/>
        </w:rPr>
        <w:t> </w:t>
      </w:r>
      <w:r>
        <w:rPr/>
        <w:t>impact,</w:t>
      </w:r>
      <w:r>
        <w:rPr>
          <w:spacing w:val="-3"/>
        </w:rPr>
        <w:t> </w:t>
      </w:r>
      <w:r>
        <w:rPr/>
        <w:t>ascending</w:t>
      </w:r>
      <w:r>
        <w:rPr>
          <w:spacing w:val="-3"/>
        </w:rPr>
        <w:t> </w:t>
      </w:r>
      <w:r>
        <w:rPr/>
        <w:t>letters –</w:t>
      </w:r>
      <w:r>
        <w:rPr>
          <w:spacing w:val="-1"/>
        </w:rPr>
        <w:t> </w:t>
      </w:r>
      <w:r>
        <w:rPr/>
        <w:t>increased</w:t>
      </w:r>
      <w:r>
        <w:rPr>
          <w:spacing w:val="-1"/>
        </w:rPr>
        <w:t> </w:t>
      </w:r>
      <w:r>
        <w:rPr/>
        <w:t>suffering.</w:t>
      </w:r>
      <w:r>
        <w:rPr>
          <w:spacing w:val="-3"/>
        </w:rPr>
        <w:t> </w:t>
      </w:r>
      <w:r>
        <w:rPr/>
        <w:t>Red</w:t>
      </w:r>
      <w:r>
        <w:rPr>
          <w:spacing w:val="-1"/>
        </w:rPr>
        <w:t> </w:t>
      </w:r>
      <w:r>
        <w:rPr/>
        <w:t>–</w:t>
      </w:r>
      <w:r>
        <w:rPr>
          <w:spacing w:val="-1"/>
        </w:rPr>
        <w:t> </w:t>
      </w:r>
      <w:r>
        <w:rPr/>
        <w:t>relatively</w:t>
      </w:r>
      <w:r>
        <w:rPr>
          <w:spacing w:val="-2"/>
        </w:rPr>
        <w:t> </w:t>
      </w:r>
      <w:r>
        <w:rPr/>
        <w:t>more</w:t>
      </w:r>
      <w:r>
        <w:rPr>
          <w:spacing w:val="-1"/>
        </w:rPr>
        <w:t> </w:t>
      </w:r>
      <w:r>
        <w:rPr/>
        <w:t>welfare</w:t>
      </w:r>
      <w:r>
        <w:rPr>
          <w:spacing w:val="-1"/>
        </w:rPr>
        <w:t> </w:t>
      </w:r>
      <w:r>
        <w:rPr/>
        <w:t>impact</w:t>
      </w:r>
      <w:r>
        <w:rPr>
          <w:spacing w:val="-1"/>
        </w:rPr>
        <w:t> </w:t>
      </w:r>
      <w:r>
        <w:rPr/>
        <w:t>and</w:t>
      </w:r>
      <w:r>
        <w:rPr>
          <w:spacing w:val="-3"/>
        </w:rPr>
        <w:t> </w:t>
      </w:r>
      <w:r>
        <w:rPr/>
        <w:t>suffering</w:t>
      </w:r>
      <w:r>
        <w:rPr>
          <w:spacing w:val="-2"/>
        </w:rPr>
        <w:t> </w:t>
      </w:r>
      <w:r>
        <w:rPr/>
        <w:t>compared</w:t>
      </w:r>
      <w:r>
        <w:rPr>
          <w:spacing w:val="-3"/>
        </w:rPr>
        <w:t> </w:t>
      </w:r>
      <w:r>
        <w:rPr/>
        <w:t>to</w:t>
      </w:r>
      <w:r>
        <w:rPr>
          <w:spacing w:val="-1"/>
        </w:rPr>
        <w:t> </w:t>
      </w:r>
      <w:r>
        <w:rPr/>
        <w:t>1080,</w:t>
      </w:r>
      <w:r>
        <w:rPr>
          <w:spacing w:val="-3"/>
        </w:rPr>
        <w:t> </w:t>
      </w:r>
      <w:r>
        <w:rPr/>
        <w:t>Green – relatively less welfare impact and suffering compared to 1080. NA – method not applicable.</w:t>
      </w:r>
    </w:p>
    <w:p>
      <w:pPr>
        <w:pStyle w:val="BodyText"/>
        <w:spacing w:before="1"/>
        <w:rPr>
          <w:sz w:val="10"/>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6"/>
        <w:gridCol w:w="1020"/>
        <w:gridCol w:w="1020"/>
        <w:gridCol w:w="1020"/>
        <w:gridCol w:w="1077"/>
        <w:gridCol w:w="1077"/>
        <w:gridCol w:w="1416"/>
        <w:gridCol w:w="1303"/>
        <w:gridCol w:w="1701"/>
        <w:gridCol w:w="1701"/>
        <w:gridCol w:w="1302"/>
      </w:tblGrid>
      <w:tr>
        <w:trPr>
          <w:trHeight w:val="859" w:hRule="atLeast"/>
        </w:trPr>
        <w:tc>
          <w:tcPr>
            <w:tcW w:w="1496" w:type="dxa"/>
            <w:shd w:val="clear" w:color="auto" w:fill="004B96"/>
          </w:tcPr>
          <w:p>
            <w:pPr>
              <w:pStyle w:val="TableParagraph"/>
              <w:spacing w:before="151"/>
              <w:ind w:left="122"/>
              <w:rPr>
                <w:b/>
                <w:sz w:val="20"/>
              </w:rPr>
            </w:pPr>
            <w:r>
              <w:rPr>
                <w:b/>
                <w:color w:val="FFFFFF"/>
                <w:spacing w:val="-2"/>
                <w:sz w:val="20"/>
              </w:rPr>
              <w:t>Species</w:t>
            </w:r>
          </w:p>
        </w:tc>
        <w:tc>
          <w:tcPr>
            <w:tcW w:w="1020" w:type="dxa"/>
            <w:shd w:val="clear" w:color="auto" w:fill="004B96"/>
          </w:tcPr>
          <w:p>
            <w:pPr>
              <w:pStyle w:val="TableParagraph"/>
              <w:spacing w:before="55"/>
              <w:rPr>
                <w:sz w:val="20"/>
              </w:rPr>
            </w:pPr>
          </w:p>
          <w:p>
            <w:pPr>
              <w:pStyle w:val="TableParagraph"/>
              <w:ind w:left="2" w:right="3"/>
              <w:jc w:val="center"/>
              <w:rPr>
                <w:b/>
                <w:sz w:val="20"/>
              </w:rPr>
            </w:pPr>
            <w:r>
              <w:rPr>
                <w:b/>
                <w:color w:val="FFFFFF"/>
                <w:spacing w:val="-4"/>
                <w:sz w:val="20"/>
              </w:rPr>
              <w:t>1080</w:t>
            </w:r>
          </w:p>
        </w:tc>
        <w:tc>
          <w:tcPr>
            <w:tcW w:w="1020" w:type="dxa"/>
            <w:shd w:val="clear" w:color="auto" w:fill="004B96"/>
          </w:tcPr>
          <w:p>
            <w:pPr>
              <w:pStyle w:val="TableParagraph"/>
              <w:spacing w:before="55"/>
              <w:rPr>
                <w:sz w:val="20"/>
              </w:rPr>
            </w:pPr>
          </w:p>
          <w:p>
            <w:pPr>
              <w:pStyle w:val="TableParagraph"/>
              <w:ind w:left="3" w:right="3"/>
              <w:jc w:val="center"/>
              <w:rPr>
                <w:b/>
                <w:sz w:val="20"/>
              </w:rPr>
            </w:pPr>
            <w:r>
              <w:rPr>
                <w:b/>
                <w:color w:val="FFFFFF"/>
                <w:spacing w:val="-4"/>
                <w:sz w:val="20"/>
              </w:rPr>
              <w:t>PAPP</w:t>
            </w:r>
          </w:p>
        </w:tc>
        <w:tc>
          <w:tcPr>
            <w:tcW w:w="1020" w:type="dxa"/>
            <w:shd w:val="clear" w:color="auto" w:fill="004B96"/>
          </w:tcPr>
          <w:p>
            <w:pPr>
              <w:pStyle w:val="TableParagraph"/>
              <w:spacing w:line="283" w:lineRule="auto" w:before="151"/>
              <w:ind w:left="220" w:right="135" w:hanging="77"/>
              <w:rPr>
                <w:b/>
                <w:sz w:val="20"/>
              </w:rPr>
            </w:pPr>
            <w:r>
              <w:rPr>
                <w:b/>
                <w:color w:val="FFFFFF"/>
                <w:spacing w:val="-2"/>
                <w:sz w:val="20"/>
              </w:rPr>
              <w:t>Sodium Nitrite</w:t>
            </w:r>
          </w:p>
        </w:tc>
        <w:tc>
          <w:tcPr>
            <w:tcW w:w="1077" w:type="dxa"/>
            <w:shd w:val="clear" w:color="auto" w:fill="004B96"/>
          </w:tcPr>
          <w:p>
            <w:pPr>
              <w:pStyle w:val="TableParagraph"/>
              <w:spacing w:before="55"/>
              <w:rPr>
                <w:sz w:val="20"/>
              </w:rPr>
            </w:pPr>
          </w:p>
          <w:p>
            <w:pPr>
              <w:pStyle w:val="TableParagraph"/>
              <w:ind w:left="1" w:right="2"/>
              <w:jc w:val="center"/>
              <w:rPr>
                <w:b/>
                <w:sz w:val="20"/>
              </w:rPr>
            </w:pPr>
            <w:r>
              <w:rPr>
                <w:b/>
                <w:color w:val="FFFFFF"/>
                <w:spacing w:val="-2"/>
                <w:sz w:val="20"/>
              </w:rPr>
              <w:t>Pindone</w:t>
            </w:r>
          </w:p>
        </w:tc>
        <w:tc>
          <w:tcPr>
            <w:tcW w:w="1077" w:type="dxa"/>
            <w:shd w:val="clear" w:color="auto" w:fill="004B96"/>
          </w:tcPr>
          <w:p>
            <w:pPr>
              <w:pStyle w:val="TableParagraph"/>
              <w:spacing w:line="283" w:lineRule="auto" w:before="151"/>
              <w:ind w:left="199" w:right="185" w:hanging="5"/>
              <w:rPr>
                <w:b/>
                <w:sz w:val="20"/>
              </w:rPr>
            </w:pPr>
            <w:r>
              <w:rPr>
                <w:b/>
                <w:color w:val="FFFFFF"/>
                <w:spacing w:val="-2"/>
                <w:sz w:val="20"/>
              </w:rPr>
              <w:t>Warren ripping</w:t>
            </w:r>
          </w:p>
        </w:tc>
        <w:tc>
          <w:tcPr>
            <w:tcW w:w="1416" w:type="dxa"/>
            <w:shd w:val="clear" w:color="auto" w:fill="004B96"/>
          </w:tcPr>
          <w:p>
            <w:pPr>
              <w:pStyle w:val="TableParagraph"/>
              <w:spacing w:line="283" w:lineRule="auto" w:before="151"/>
              <w:ind w:left="169" w:firstLine="196"/>
              <w:rPr>
                <w:b/>
                <w:sz w:val="20"/>
              </w:rPr>
            </w:pPr>
            <w:r>
              <w:rPr>
                <w:b/>
                <w:color w:val="FFFFFF"/>
                <w:spacing w:val="-2"/>
                <w:sz w:val="20"/>
              </w:rPr>
              <w:t>Warren Fumigation</w:t>
            </w:r>
          </w:p>
        </w:tc>
        <w:tc>
          <w:tcPr>
            <w:tcW w:w="1303" w:type="dxa"/>
            <w:shd w:val="clear" w:color="auto" w:fill="004B96"/>
          </w:tcPr>
          <w:p>
            <w:pPr>
              <w:pStyle w:val="TableParagraph"/>
              <w:spacing w:line="283" w:lineRule="auto" w:before="151"/>
              <w:ind w:left="140" w:right="140" w:firstLine="12"/>
              <w:rPr>
                <w:b/>
                <w:sz w:val="20"/>
              </w:rPr>
            </w:pPr>
            <w:r>
              <w:rPr>
                <w:b/>
                <w:color w:val="FFFFFF"/>
                <w:spacing w:val="-2"/>
                <w:sz w:val="20"/>
              </w:rPr>
              <w:t>Biocontrol (RHDV-</w:t>
            </w:r>
            <w:r>
              <w:rPr>
                <w:b/>
                <w:color w:val="FFFFFF"/>
                <w:spacing w:val="-5"/>
                <w:sz w:val="20"/>
              </w:rPr>
              <w:t>K5)</w:t>
            </w:r>
          </w:p>
        </w:tc>
        <w:tc>
          <w:tcPr>
            <w:tcW w:w="1701" w:type="dxa"/>
            <w:shd w:val="clear" w:color="auto" w:fill="004B96"/>
          </w:tcPr>
          <w:p>
            <w:pPr>
              <w:pStyle w:val="TableParagraph"/>
              <w:spacing w:before="55"/>
              <w:rPr>
                <w:sz w:val="20"/>
              </w:rPr>
            </w:pPr>
          </w:p>
          <w:p>
            <w:pPr>
              <w:pStyle w:val="TableParagraph"/>
              <w:ind w:left="419"/>
              <w:rPr>
                <w:b/>
                <w:sz w:val="20"/>
              </w:rPr>
            </w:pPr>
            <w:r>
              <w:rPr>
                <w:b/>
                <w:color w:val="FFFFFF"/>
                <w:spacing w:val="-2"/>
                <w:sz w:val="20"/>
              </w:rPr>
              <w:t>Shooting</w:t>
            </w:r>
          </w:p>
        </w:tc>
        <w:tc>
          <w:tcPr>
            <w:tcW w:w="1701" w:type="dxa"/>
            <w:shd w:val="clear" w:color="auto" w:fill="004B96"/>
          </w:tcPr>
          <w:p>
            <w:pPr>
              <w:pStyle w:val="TableParagraph"/>
              <w:spacing w:before="55"/>
              <w:rPr>
                <w:sz w:val="20"/>
              </w:rPr>
            </w:pPr>
          </w:p>
          <w:p>
            <w:pPr>
              <w:pStyle w:val="TableParagraph"/>
              <w:ind w:left="3"/>
              <w:jc w:val="center"/>
              <w:rPr>
                <w:b/>
                <w:sz w:val="20"/>
              </w:rPr>
            </w:pPr>
            <w:r>
              <w:rPr>
                <w:b/>
                <w:color w:val="FFFFFF"/>
                <w:spacing w:val="-2"/>
                <w:sz w:val="20"/>
              </w:rPr>
              <w:t>Trapping</w:t>
            </w:r>
          </w:p>
        </w:tc>
        <w:tc>
          <w:tcPr>
            <w:tcW w:w="1302" w:type="dxa"/>
            <w:shd w:val="clear" w:color="auto" w:fill="004B96"/>
          </w:tcPr>
          <w:p>
            <w:pPr>
              <w:pStyle w:val="TableParagraph"/>
              <w:spacing w:before="55"/>
              <w:rPr>
                <w:sz w:val="20"/>
              </w:rPr>
            </w:pPr>
          </w:p>
          <w:p>
            <w:pPr>
              <w:pStyle w:val="TableParagraph"/>
              <w:ind w:left="7"/>
              <w:jc w:val="center"/>
              <w:rPr>
                <w:b/>
                <w:sz w:val="20"/>
              </w:rPr>
            </w:pPr>
            <w:r>
              <w:rPr>
                <w:b/>
                <w:color w:val="FFFFFF"/>
                <w:spacing w:val="-5"/>
                <w:sz w:val="20"/>
              </w:rPr>
              <w:t>CPE</w:t>
            </w:r>
          </w:p>
        </w:tc>
      </w:tr>
      <w:tr>
        <w:trPr>
          <w:trHeight w:val="1601" w:hRule="atLeast"/>
        </w:trPr>
        <w:tc>
          <w:tcPr>
            <w:tcW w:w="1496" w:type="dxa"/>
            <w:tcBorders>
              <w:bottom w:val="single" w:sz="4" w:space="0" w:color="000000"/>
            </w:tcBorders>
          </w:tcPr>
          <w:p>
            <w:pPr>
              <w:pStyle w:val="TableParagraph"/>
              <w:spacing w:line="283" w:lineRule="auto" w:before="150"/>
              <w:ind w:left="122" w:right="447"/>
              <w:rPr>
                <w:b/>
                <w:sz w:val="20"/>
              </w:rPr>
            </w:pPr>
            <w:r>
              <w:rPr>
                <w:b/>
                <w:spacing w:val="-2"/>
                <w:sz w:val="20"/>
              </w:rPr>
              <w:t>European Rabbit</w:t>
            </w:r>
          </w:p>
        </w:tc>
        <w:tc>
          <w:tcPr>
            <w:tcW w:w="1020" w:type="dxa"/>
            <w:tcBorders>
              <w:bottom w:val="single" w:sz="4" w:space="0" w:color="000000"/>
            </w:tcBorders>
            <w:shd w:val="clear" w:color="auto" w:fill="CCDBEA"/>
          </w:tcPr>
          <w:p>
            <w:pPr>
              <w:pStyle w:val="TableParagraph"/>
              <w:rPr>
                <w:sz w:val="20"/>
              </w:rPr>
            </w:pPr>
          </w:p>
          <w:p>
            <w:pPr>
              <w:pStyle w:val="TableParagraph"/>
              <w:spacing w:before="197"/>
              <w:rPr>
                <w:sz w:val="20"/>
              </w:rPr>
            </w:pPr>
          </w:p>
          <w:p>
            <w:pPr>
              <w:pStyle w:val="TableParagraph"/>
              <w:ind w:right="3"/>
              <w:jc w:val="center"/>
              <w:rPr>
                <w:sz w:val="20"/>
              </w:rPr>
            </w:pPr>
            <w:r>
              <w:rPr>
                <w:spacing w:val="-2"/>
                <w:sz w:val="20"/>
              </w:rPr>
              <w:t>1D-</w:t>
            </w:r>
            <w:r>
              <w:rPr>
                <w:spacing w:val="-5"/>
                <w:sz w:val="20"/>
              </w:rPr>
              <w:t>1E</w:t>
            </w:r>
          </w:p>
        </w:tc>
        <w:tc>
          <w:tcPr>
            <w:tcW w:w="1020" w:type="dxa"/>
            <w:tcBorders>
              <w:bottom w:val="single" w:sz="4" w:space="0" w:color="000000"/>
            </w:tcBorders>
          </w:tcPr>
          <w:p>
            <w:pPr>
              <w:pStyle w:val="TableParagraph"/>
              <w:rPr>
                <w:sz w:val="20"/>
              </w:rPr>
            </w:pPr>
          </w:p>
          <w:p>
            <w:pPr>
              <w:pStyle w:val="TableParagraph"/>
              <w:spacing w:before="197"/>
              <w:rPr>
                <w:sz w:val="20"/>
              </w:rPr>
            </w:pPr>
          </w:p>
          <w:p>
            <w:pPr>
              <w:pStyle w:val="TableParagraph"/>
              <w:ind w:left="1" w:right="3"/>
              <w:jc w:val="center"/>
              <w:rPr>
                <w:sz w:val="20"/>
              </w:rPr>
            </w:pPr>
            <w:r>
              <w:rPr>
                <w:spacing w:val="-5"/>
                <w:sz w:val="20"/>
              </w:rPr>
              <w:t>NA</w:t>
            </w:r>
          </w:p>
        </w:tc>
        <w:tc>
          <w:tcPr>
            <w:tcW w:w="1020" w:type="dxa"/>
            <w:tcBorders>
              <w:bottom w:val="single" w:sz="4" w:space="0" w:color="000000"/>
            </w:tcBorders>
            <w:shd w:val="clear" w:color="auto" w:fill="CCDBEA"/>
          </w:tcPr>
          <w:p>
            <w:pPr>
              <w:pStyle w:val="TableParagraph"/>
              <w:rPr>
                <w:sz w:val="20"/>
              </w:rPr>
            </w:pPr>
          </w:p>
          <w:p>
            <w:pPr>
              <w:pStyle w:val="TableParagraph"/>
              <w:spacing w:before="197"/>
              <w:rPr>
                <w:sz w:val="20"/>
              </w:rPr>
            </w:pPr>
          </w:p>
          <w:p>
            <w:pPr>
              <w:pStyle w:val="TableParagraph"/>
              <w:ind w:left="1" w:right="3"/>
              <w:jc w:val="center"/>
              <w:rPr>
                <w:sz w:val="20"/>
              </w:rPr>
            </w:pPr>
            <w:r>
              <w:rPr>
                <w:spacing w:val="-5"/>
                <w:sz w:val="20"/>
              </w:rPr>
              <w:t>NA</w:t>
            </w:r>
          </w:p>
        </w:tc>
        <w:tc>
          <w:tcPr>
            <w:tcW w:w="1077" w:type="dxa"/>
            <w:tcBorders>
              <w:bottom w:val="single" w:sz="4" w:space="0" w:color="000000"/>
            </w:tcBorders>
          </w:tcPr>
          <w:p>
            <w:pPr>
              <w:pStyle w:val="TableParagraph"/>
              <w:rPr>
                <w:sz w:val="20"/>
              </w:rPr>
            </w:pPr>
          </w:p>
          <w:p>
            <w:pPr>
              <w:pStyle w:val="TableParagraph"/>
              <w:spacing w:before="197"/>
              <w:rPr>
                <w:sz w:val="20"/>
              </w:rPr>
            </w:pPr>
          </w:p>
          <w:p>
            <w:pPr>
              <w:pStyle w:val="TableParagraph"/>
              <w:ind w:left="1" w:right="1"/>
              <w:jc w:val="center"/>
              <w:rPr>
                <w:sz w:val="20"/>
              </w:rPr>
            </w:pPr>
            <w:r>
              <w:rPr>
                <w:color w:val="FF0000"/>
                <w:spacing w:val="-5"/>
                <w:sz w:val="20"/>
              </w:rPr>
              <w:t>1G</w:t>
            </w:r>
          </w:p>
        </w:tc>
        <w:tc>
          <w:tcPr>
            <w:tcW w:w="1077" w:type="dxa"/>
            <w:tcBorders>
              <w:bottom w:val="single" w:sz="4" w:space="0" w:color="000000"/>
            </w:tcBorders>
            <w:shd w:val="clear" w:color="auto" w:fill="CCDBEA"/>
          </w:tcPr>
          <w:p>
            <w:pPr>
              <w:pStyle w:val="TableParagraph"/>
              <w:rPr>
                <w:sz w:val="20"/>
              </w:rPr>
            </w:pPr>
          </w:p>
          <w:p>
            <w:pPr>
              <w:pStyle w:val="TableParagraph"/>
              <w:spacing w:before="197"/>
              <w:rPr>
                <w:sz w:val="20"/>
              </w:rPr>
            </w:pPr>
          </w:p>
          <w:p>
            <w:pPr>
              <w:pStyle w:val="TableParagraph"/>
              <w:ind w:left="2" w:right="1"/>
              <w:jc w:val="center"/>
              <w:rPr>
                <w:sz w:val="20"/>
              </w:rPr>
            </w:pPr>
            <w:r>
              <w:rPr>
                <w:color w:val="FF0000"/>
                <w:spacing w:val="-5"/>
                <w:sz w:val="20"/>
              </w:rPr>
              <w:t>3F</w:t>
            </w:r>
          </w:p>
        </w:tc>
        <w:tc>
          <w:tcPr>
            <w:tcW w:w="1416" w:type="dxa"/>
            <w:tcBorders>
              <w:bottom w:val="single" w:sz="4" w:space="0" w:color="000000"/>
            </w:tcBorders>
          </w:tcPr>
          <w:p>
            <w:pPr>
              <w:pStyle w:val="TableParagraph"/>
              <w:spacing w:line="283" w:lineRule="auto" w:before="150"/>
              <w:ind w:left="591" w:right="112" w:hanging="478"/>
              <w:rPr>
                <w:sz w:val="20"/>
              </w:rPr>
            </w:pPr>
            <w:r>
              <w:rPr>
                <w:color w:val="FF0000"/>
                <w:sz w:val="20"/>
              </w:rPr>
              <w:t>Chloropicrin</w:t>
            </w:r>
            <w:r>
              <w:rPr>
                <w:color w:val="FF0000"/>
                <w:spacing w:val="-14"/>
                <w:sz w:val="20"/>
              </w:rPr>
              <w:t> </w:t>
            </w:r>
            <w:r>
              <w:rPr>
                <w:color w:val="FF0000"/>
                <w:sz w:val="20"/>
              </w:rPr>
              <w:t>- </w:t>
            </w:r>
            <w:r>
              <w:rPr>
                <w:color w:val="FF0000"/>
                <w:spacing w:val="-6"/>
                <w:sz w:val="20"/>
              </w:rPr>
              <w:t>3F</w:t>
            </w:r>
          </w:p>
          <w:p>
            <w:pPr>
              <w:pStyle w:val="TableParagraph"/>
              <w:spacing w:line="283" w:lineRule="auto" w:before="197"/>
              <w:ind w:left="579" w:right="169" w:hanging="406"/>
              <w:rPr>
                <w:sz w:val="20"/>
              </w:rPr>
            </w:pPr>
            <w:r>
              <w:rPr>
                <w:color w:val="FF0000"/>
                <w:sz w:val="20"/>
              </w:rPr>
              <w:t>Phosphine</w:t>
            </w:r>
            <w:r>
              <w:rPr>
                <w:color w:val="FF0000"/>
                <w:spacing w:val="-14"/>
                <w:sz w:val="20"/>
              </w:rPr>
              <w:t> </w:t>
            </w:r>
            <w:r>
              <w:rPr>
                <w:color w:val="FF0000"/>
                <w:sz w:val="20"/>
              </w:rPr>
              <w:t>- </w:t>
            </w:r>
            <w:r>
              <w:rPr>
                <w:color w:val="FF0000"/>
                <w:spacing w:val="-6"/>
                <w:sz w:val="20"/>
              </w:rPr>
              <w:t>3D</w:t>
            </w:r>
          </w:p>
        </w:tc>
        <w:tc>
          <w:tcPr>
            <w:tcW w:w="1303" w:type="dxa"/>
            <w:tcBorders>
              <w:bottom w:val="single" w:sz="4" w:space="0" w:color="000000"/>
            </w:tcBorders>
            <w:shd w:val="clear" w:color="auto" w:fill="CCDBEA"/>
          </w:tcPr>
          <w:p>
            <w:pPr>
              <w:pStyle w:val="TableParagraph"/>
              <w:rPr>
                <w:sz w:val="20"/>
              </w:rPr>
            </w:pPr>
          </w:p>
          <w:p>
            <w:pPr>
              <w:pStyle w:val="TableParagraph"/>
              <w:spacing w:before="197"/>
              <w:rPr>
                <w:sz w:val="20"/>
              </w:rPr>
            </w:pPr>
          </w:p>
          <w:p>
            <w:pPr>
              <w:pStyle w:val="TableParagraph"/>
              <w:jc w:val="center"/>
              <w:rPr>
                <w:sz w:val="20"/>
              </w:rPr>
            </w:pPr>
            <w:r>
              <w:rPr>
                <w:spacing w:val="-2"/>
                <w:sz w:val="20"/>
              </w:rPr>
              <w:t>1E-</w:t>
            </w:r>
            <w:r>
              <w:rPr>
                <w:spacing w:val="-5"/>
                <w:sz w:val="20"/>
              </w:rPr>
              <w:t>1F</w:t>
            </w:r>
          </w:p>
        </w:tc>
        <w:tc>
          <w:tcPr>
            <w:tcW w:w="1701" w:type="dxa"/>
            <w:tcBorders>
              <w:bottom w:val="single" w:sz="4" w:space="0" w:color="000000"/>
            </w:tcBorders>
          </w:tcPr>
          <w:p>
            <w:pPr>
              <w:pStyle w:val="TableParagraph"/>
              <w:spacing w:before="191"/>
              <w:rPr>
                <w:sz w:val="20"/>
              </w:rPr>
            </w:pPr>
          </w:p>
          <w:p>
            <w:pPr>
              <w:pStyle w:val="TableParagraph"/>
              <w:spacing w:line="491" w:lineRule="auto" w:before="1"/>
              <w:ind w:left="357" w:right="351" w:firstLine="21"/>
              <w:rPr>
                <w:sz w:val="20"/>
              </w:rPr>
            </w:pPr>
            <w:r>
              <w:rPr>
                <w:color w:val="00AF50"/>
                <w:sz w:val="20"/>
              </w:rPr>
              <w:t>Head</w:t>
            </w:r>
            <w:r>
              <w:rPr>
                <w:color w:val="00AF50"/>
                <w:spacing w:val="-8"/>
                <w:sz w:val="20"/>
              </w:rPr>
              <w:t> </w:t>
            </w:r>
            <w:r>
              <w:rPr>
                <w:color w:val="00AF50"/>
                <w:sz w:val="20"/>
              </w:rPr>
              <w:t>–</w:t>
            </w:r>
            <w:r>
              <w:rPr>
                <w:color w:val="00AF50"/>
                <w:spacing w:val="-10"/>
                <w:sz w:val="20"/>
              </w:rPr>
              <w:t> </w:t>
            </w:r>
            <w:r>
              <w:rPr>
                <w:color w:val="00AF50"/>
                <w:sz w:val="20"/>
              </w:rPr>
              <w:t>2A Chest</w:t>
            </w:r>
            <w:r>
              <w:rPr>
                <w:color w:val="00AF50"/>
                <w:spacing w:val="-5"/>
                <w:sz w:val="20"/>
              </w:rPr>
              <w:t> </w:t>
            </w:r>
            <w:r>
              <w:rPr>
                <w:color w:val="00AF50"/>
                <w:sz w:val="20"/>
              </w:rPr>
              <w:t>–</w:t>
            </w:r>
            <w:r>
              <w:rPr>
                <w:color w:val="00AF50"/>
                <w:spacing w:val="-2"/>
                <w:sz w:val="20"/>
              </w:rPr>
              <w:t> </w:t>
            </w:r>
            <w:r>
              <w:rPr>
                <w:color w:val="00AF50"/>
                <w:spacing w:val="-5"/>
                <w:sz w:val="20"/>
              </w:rPr>
              <w:t>1A</w:t>
            </w:r>
          </w:p>
        </w:tc>
        <w:tc>
          <w:tcPr>
            <w:tcW w:w="1701" w:type="dxa"/>
            <w:tcBorders>
              <w:bottom w:val="single" w:sz="4" w:space="0" w:color="000000"/>
            </w:tcBorders>
            <w:shd w:val="clear" w:color="auto" w:fill="CCDBEA"/>
          </w:tcPr>
          <w:p>
            <w:pPr>
              <w:pStyle w:val="TableParagraph"/>
              <w:rPr>
                <w:sz w:val="20"/>
              </w:rPr>
            </w:pPr>
          </w:p>
          <w:p>
            <w:pPr>
              <w:pStyle w:val="TableParagraph"/>
              <w:spacing w:before="197"/>
              <w:rPr>
                <w:sz w:val="20"/>
              </w:rPr>
            </w:pPr>
          </w:p>
          <w:p>
            <w:pPr>
              <w:pStyle w:val="TableParagraph"/>
              <w:ind w:left="3"/>
              <w:jc w:val="center"/>
              <w:rPr>
                <w:sz w:val="20"/>
              </w:rPr>
            </w:pPr>
            <w:r>
              <w:rPr>
                <w:spacing w:val="-5"/>
                <w:sz w:val="20"/>
              </w:rPr>
              <w:t>NA</w:t>
            </w:r>
          </w:p>
        </w:tc>
        <w:tc>
          <w:tcPr>
            <w:tcW w:w="1302" w:type="dxa"/>
            <w:tcBorders>
              <w:bottom w:val="single" w:sz="4" w:space="0" w:color="000000"/>
            </w:tcBorders>
          </w:tcPr>
          <w:p>
            <w:pPr>
              <w:pStyle w:val="TableParagraph"/>
              <w:rPr>
                <w:sz w:val="20"/>
              </w:rPr>
            </w:pPr>
          </w:p>
          <w:p>
            <w:pPr>
              <w:pStyle w:val="TableParagraph"/>
              <w:spacing w:before="197"/>
              <w:rPr>
                <w:sz w:val="20"/>
              </w:rPr>
            </w:pPr>
          </w:p>
          <w:p>
            <w:pPr>
              <w:pStyle w:val="TableParagraph"/>
              <w:ind w:left="7" w:right="2"/>
              <w:jc w:val="center"/>
              <w:rPr>
                <w:sz w:val="20"/>
              </w:rPr>
            </w:pPr>
            <w:r>
              <w:rPr>
                <w:spacing w:val="-5"/>
                <w:sz w:val="20"/>
              </w:rPr>
              <w:t>NA</w:t>
            </w:r>
          </w:p>
        </w:tc>
      </w:tr>
      <w:tr>
        <w:trPr>
          <w:trHeight w:val="2340" w:hRule="atLeast"/>
        </w:trPr>
        <w:tc>
          <w:tcPr>
            <w:tcW w:w="1496" w:type="dxa"/>
            <w:tcBorders>
              <w:top w:val="single" w:sz="4" w:space="0" w:color="000000"/>
              <w:bottom w:val="single" w:sz="4" w:space="0" w:color="000000"/>
            </w:tcBorders>
          </w:tcPr>
          <w:p>
            <w:pPr>
              <w:pStyle w:val="TableParagraph"/>
              <w:spacing w:before="150"/>
              <w:ind w:left="122"/>
              <w:rPr>
                <w:b/>
                <w:sz w:val="20"/>
              </w:rPr>
            </w:pPr>
            <w:r>
              <w:rPr>
                <w:b/>
                <w:sz w:val="20"/>
              </w:rPr>
              <w:t>Feral</w:t>
            </w:r>
            <w:r>
              <w:rPr>
                <w:b/>
                <w:spacing w:val="-7"/>
                <w:sz w:val="20"/>
              </w:rPr>
              <w:t> </w:t>
            </w:r>
            <w:r>
              <w:rPr>
                <w:b/>
                <w:spacing w:val="-5"/>
                <w:sz w:val="20"/>
              </w:rPr>
              <w:t>Pig</w:t>
            </w:r>
          </w:p>
        </w:tc>
        <w:tc>
          <w:tcPr>
            <w:tcW w:w="1020" w:type="dxa"/>
            <w:tcBorders>
              <w:top w:val="single" w:sz="4" w:space="0" w:color="000000"/>
              <w:bottom w:val="single" w:sz="4" w:space="0" w:color="000000"/>
            </w:tcBorders>
            <w:shd w:val="clear" w:color="auto" w:fill="CCDBEA"/>
          </w:tcPr>
          <w:p>
            <w:pPr>
              <w:pStyle w:val="TableParagraph"/>
              <w:rPr>
                <w:sz w:val="20"/>
              </w:rPr>
            </w:pPr>
          </w:p>
          <w:p>
            <w:pPr>
              <w:pStyle w:val="TableParagraph"/>
              <w:rPr>
                <w:sz w:val="20"/>
              </w:rPr>
            </w:pPr>
          </w:p>
          <w:p>
            <w:pPr>
              <w:pStyle w:val="TableParagraph"/>
              <w:rPr>
                <w:sz w:val="20"/>
              </w:rPr>
            </w:pPr>
          </w:p>
          <w:p>
            <w:pPr>
              <w:pStyle w:val="TableParagraph"/>
              <w:spacing w:before="106"/>
              <w:rPr>
                <w:sz w:val="20"/>
              </w:rPr>
            </w:pPr>
          </w:p>
          <w:p>
            <w:pPr>
              <w:pStyle w:val="TableParagraph"/>
              <w:ind w:left="1" w:right="3"/>
              <w:jc w:val="center"/>
              <w:rPr>
                <w:sz w:val="20"/>
              </w:rPr>
            </w:pPr>
            <w:r>
              <w:rPr>
                <w:spacing w:val="-2"/>
                <w:sz w:val="20"/>
              </w:rPr>
              <w:t>1E-</w:t>
            </w:r>
            <w:r>
              <w:rPr>
                <w:spacing w:val="-5"/>
                <w:sz w:val="20"/>
              </w:rPr>
              <w:t>1F</w:t>
            </w:r>
          </w:p>
        </w:tc>
        <w:tc>
          <w:tcPr>
            <w:tcW w:w="1020"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06"/>
              <w:rPr>
                <w:sz w:val="20"/>
              </w:rPr>
            </w:pPr>
          </w:p>
          <w:p>
            <w:pPr>
              <w:pStyle w:val="TableParagraph"/>
              <w:ind w:left="1" w:right="3"/>
              <w:jc w:val="center"/>
              <w:rPr>
                <w:sz w:val="20"/>
              </w:rPr>
            </w:pPr>
            <w:r>
              <w:rPr>
                <w:spacing w:val="-5"/>
                <w:sz w:val="20"/>
              </w:rPr>
              <w:t>NA</w:t>
            </w:r>
          </w:p>
        </w:tc>
        <w:tc>
          <w:tcPr>
            <w:tcW w:w="1020" w:type="dxa"/>
            <w:tcBorders>
              <w:top w:val="single" w:sz="4" w:space="0" w:color="000000"/>
              <w:bottom w:val="single" w:sz="4" w:space="0" w:color="000000"/>
            </w:tcBorders>
            <w:shd w:val="clear" w:color="auto" w:fill="CCDBEA"/>
          </w:tcPr>
          <w:p>
            <w:pPr>
              <w:pStyle w:val="TableParagraph"/>
              <w:rPr>
                <w:sz w:val="20"/>
              </w:rPr>
            </w:pPr>
          </w:p>
          <w:p>
            <w:pPr>
              <w:pStyle w:val="TableParagraph"/>
              <w:rPr>
                <w:sz w:val="20"/>
              </w:rPr>
            </w:pPr>
          </w:p>
          <w:p>
            <w:pPr>
              <w:pStyle w:val="TableParagraph"/>
              <w:rPr>
                <w:sz w:val="20"/>
              </w:rPr>
            </w:pPr>
          </w:p>
          <w:p>
            <w:pPr>
              <w:pStyle w:val="TableParagraph"/>
              <w:spacing w:before="106"/>
              <w:rPr>
                <w:sz w:val="20"/>
              </w:rPr>
            </w:pPr>
          </w:p>
          <w:p>
            <w:pPr>
              <w:pStyle w:val="TableParagraph"/>
              <w:ind w:left="2" w:right="3"/>
              <w:jc w:val="center"/>
              <w:rPr>
                <w:sz w:val="20"/>
              </w:rPr>
            </w:pPr>
            <w:r>
              <w:rPr>
                <w:color w:val="00AF50"/>
                <w:spacing w:val="-5"/>
                <w:sz w:val="20"/>
              </w:rPr>
              <w:t>1D</w:t>
            </w:r>
          </w:p>
        </w:tc>
        <w:tc>
          <w:tcPr>
            <w:tcW w:w="1077"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06"/>
              <w:rPr>
                <w:sz w:val="20"/>
              </w:rPr>
            </w:pPr>
          </w:p>
          <w:p>
            <w:pPr>
              <w:pStyle w:val="TableParagraph"/>
              <w:ind w:left="1" w:right="1"/>
              <w:jc w:val="center"/>
              <w:rPr>
                <w:sz w:val="20"/>
              </w:rPr>
            </w:pPr>
            <w:r>
              <w:rPr>
                <w:spacing w:val="-5"/>
                <w:sz w:val="20"/>
              </w:rPr>
              <w:t>NA</w:t>
            </w:r>
          </w:p>
        </w:tc>
        <w:tc>
          <w:tcPr>
            <w:tcW w:w="1077" w:type="dxa"/>
            <w:tcBorders>
              <w:top w:val="single" w:sz="4" w:space="0" w:color="000000"/>
              <w:bottom w:val="single" w:sz="4" w:space="0" w:color="000000"/>
            </w:tcBorders>
            <w:shd w:val="clear" w:color="auto" w:fill="CCDBEA"/>
          </w:tcPr>
          <w:p>
            <w:pPr>
              <w:pStyle w:val="TableParagraph"/>
              <w:rPr>
                <w:sz w:val="20"/>
              </w:rPr>
            </w:pPr>
          </w:p>
          <w:p>
            <w:pPr>
              <w:pStyle w:val="TableParagraph"/>
              <w:rPr>
                <w:sz w:val="20"/>
              </w:rPr>
            </w:pPr>
          </w:p>
          <w:p>
            <w:pPr>
              <w:pStyle w:val="TableParagraph"/>
              <w:rPr>
                <w:sz w:val="20"/>
              </w:rPr>
            </w:pPr>
          </w:p>
          <w:p>
            <w:pPr>
              <w:pStyle w:val="TableParagraph"/>
              <w:spacing w:before="106"/>
              <w:rPr>
                <w:sz w:val="20"/>
              </w:rPr>
            </w:pPr>
          </w:p>
          <w:p>
            <w:pPr>
              <w:pStyle w:val="TableParagraph"/>
              <w:ind w:left="1" w:right="2"/>
              <w:jc w:val="center"/>
              <w:rPr>
                <w:sz w:val="20"/>
              </w:rPr>
            </w:pPr>
            <w:r>
              <w:rPr>
                <w:spacing w:val="-5"/>
                <w:sz w:val="20"/>
              </w:rPr>
              <w:t>NA</w:t>
            </w:r>
          </w:p>
        </w:tc>
        <w:tc>
          <w:tcPr>
            <w:tcW w:w="1416"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06"/>
              <w:rPr>
                <w:sz w:val="20"/>
              </w:rPr>
            </w:pPr>
          </w:p>
          <w:p>
            <w:pPr>
              <w:pStyle w:val="TableParagraph"/>
              <w:ind w:left="1"/>
              <w:jc w:val="center"/>
              <w:rPr>
                <w:sz w:val="20"/>
              </w:rPr>
            </w:pPr>
            <w:r>
              <w:rPr>
                <w:spacing w:val="-5"/>
                <w:sz w:val="20"/>
              </w:rPr>
              <w:t>NA</w:t>
            </w:r>
          </w:p>
        </w:tc>
        <w:tc>
          <w:tcPr>
            <w:tcW w:w="1303" w:type="dxa"/>
            <w:tcBorders>
              <w:top w:val="single" w:sz="4" w:space="0" w:color="000000"/>
              <w:bottom w:val="single" w:sz="4" w:space="0" w:color="000000"/>
            </w:tcBorders>
            <w:shd w:val="clear" w:color="auto" w:fill="CCDBEA"/>
          </w:tcPr>
          <w:p>
            <w:pPr>
              <w:pStyle w:val="TableParagraph"/>
              <w:rPr>
                <w:sz w:val="20"/>
              </w:rPr>
            </w:pPr>
          </w:p>
          <w:p>
            <w:pPr>
              <w:pStyle w:val="TableParagraph"/>
              <w:rPr>
                <w:sz w:val="20"/>
              </w:rPr>
            </w:pPr>
          </w:p>
          <w:p>
            <w:pPr>
              <w:pStyle w:val="TableParagraph"/>
              <w:rPr>
                <w:sz w:val="20"/>
              </w:rPr>
            </w:pPr>
          </w:p>
          <w:p>
            <w:pPr>
              <w:pStyle w:val="TableParagraph"/>
              <w:spacing w:before="106"/>
              <w:rPr>
                <w:sz w:val="20"/>
              </w:rPr>
            </w:pPr>
          </w:p>
          <w:p>
            <w:pPr>
              <w:pStyle w:val="TableParagraph"/>
              <w:jc w:val="center"/>
              <w:rPr>
                <w:sz w:val="20"/>
              </w:rPr>
            </w:pPr>
            <w:r>
              <w:rPr>
                <w:spacing w:val="-5"/>
                <w:sz w:val="20"/>
              </w:rPr>
              <w:t>NA</w:t>
            </w:r>
          </w:p>
        </w:tc>
        <w:tc>
          <w:tcPr>
            <w:tcW w:w="1701" w:type="dxa"/>
            <w:tcBorders>
              <w:top w:val="single" w:sz="4" w:space="0" w:color="000000"/>
              <w:bottom w:val="single" w:sz="4" w:space="0" w:color="000000"/>
            </w:tcBorders>
          </w:tcPr>
          <w:p>
            <w:pPr>
              <w:pStyle w:val="TableParagraph"/>
              <w:spacing w:line="283" w:lineRule="auto" w:before="150"/>
              <w:ind w:left="729" w:hanging="605"/>
              <w:rPr>
                <w:sz w:val="20"/>
              </w:rPr>
            </w:pPr>
            <w:r>
              <w:rPr>
                <w:color w:val="00AF50"/>
                <w:sz w:val="20"/>
              </w:rPr>
              <w:t>Head</w:t>
            </w:r>
            <w:r>
              <w:rPr>
                <w:color w:val="00AF50"/>
                <w:spacing w:val="-14"/>
                <w:sz w:val="20"/>
              </w:rPr>
              <w:t> </w:t>
            </w:r>
            <w:r>
              <w:rPr>
                <w:color w:val="00AF50"/>
                <w:sz w:val="20"/>
              </w:rPr>
              <w:t>(ground)</w:t>
            </w:r>
            <w:r>
              <w:rPr>
                <w:color w:val="00AF50"/>
                <w:spacing w:val="-14"/>
                <w:sz w:val="20"/>
              </w:rPr>
              <w:t> </w:t>
            </w:r>
            <w:r>
              <w:rPr>
                <w:color w:val="00AF50"/>
                <w:sz w:val="20"/>
              </w:rPr>
              <w:t>– </w:t>
            </w:r>
            <w:r>
              <w:rPr>
                <w:color w:val="00AF50"/>
                <w:spacing w:val="-6"/>
                <w:sz w:val="20"/>
              </w:rPr>
              <w:t>2A</w:t>
            </w:r>
          </w:p>
          <w:p>
            <w:pPr>
              <w:pStyle w:val="TableParagraph"/>
              <w:spacing w:line="283" w:lineRule="auto" w:before="197"/>
              <w:ind w:left="640" w:right="175" w:hanging="454"/>
              <w:rPr>
                <w:sz w:val="20"/>
              </w:rPr>
            </w:pPr>
            <w:r>
              <w:rPr>
                <w:color w:val="00AF50"/>
                <w:sz w:val="20"/>
              </w:rPr>
              <w:t>Chest</w:t>
            </w:r>
            <w:r>
              <w:rPr>
                <w:color w:val="00AF50"/>
                <w:spacing w:val="-14"/>
                <w:sz w:val="20"/>
              </w:rPr>
              <w:t> </w:t>
            </w:r>
            <w:r>
              <w:rPr>
                <w:color w:val="00AF50"/>
                <w:sz w:val="20"/>
              </w:rPr>
              <w:t>(ground) – 2D</w:t>
            </w:r>
          </w:p>
          <w:p>
            <w:pPr>
              <w:pStyle w:val="TableParagraph"/>
              <w:spacing w:line="283" w:lineRule="auto" w:before="197"/>
              <w:ind w:left="729" w:hanging="560"/>
              <w:rPr>
                <w:sz w:val="20"/>
              </w:rPr>
            </w:pPr>
            <w:r>
              <w:rPr>
                <w:color w:val="00AF50"/>
                <w:sz w:val="20"/>
              </w:rPr>
              <w:t>Chest</w:t>
            </w:r>
            <w:r>
              <w:rPr>
                <w:color w:val="00AF50"/>
                <w:spacing w:val="-14"/>
                <w:sz w:val="20"/>
              </w:rPr>
              <w:t> </w:t>
            </w:r>
            <w:r>
              <w:rPr>
                <w:color w:val="00AF50"/>
                <w:sz w:val="20"/>
              </w:rPr>
              <w:t>(aerial)</w:t>
            </w:r>
            <w:r>
              <w:rPr>
                <w:color w:val="00AF50"/>
                <w:spacing w:val="-14"/>
                <w:sz w:val="20"/>
              </w:rPr>
              <w:t> </w:t>
            </w:r>
            <w:r>
              <w:rPr>
                <w:color w:val="00AF50"/>
                <w:sz w:val="20"/>
              </w:rPr>
              <w:t>– </w:t>
            </w:r>
            <w:r>
              <w:rPr>
                <w:color w:val="00AF50"/>
                <w:spacing w:val="-6"/>
                <w:sz w:val="20"/>
              </w:rPr>
              <w:t>4B</w:t>
            </w:r>
          </w:p>
        </w:tc>
        <w:tc>
          <w:tcPr>
            <w:tcW w:w="1701" w:type="dxa"/>
            <w:tcBorders>
              <w:top w:val="single" w:sz="4" w:space="0" w:color="000000"/>
              <w:bottom w:val="single" w:sz="4" w:space="0" w:color="000000"/>
            </w:tcBorders>
            <w:shd w:val="clear" w:color="auto" w:fill="CCDBEA"/>
          </w:tcPr>
          <w:p>
            <w:pPr>
              <w:pStyle w:val="TableParagraph"/>
              <w:rPr>
                <w:sz w:val="20"/>
              </w:rPr>
            </w:pPr>
          </w:p>
          <w:p>
            <w:pPr>
              <w:pStyle w:val="TableParagraph"/>
              <w:rPr>
                <w:sz w:val="20"/>
              </w:rPr>
            </w:pPr>
          </w:p>
          <w:p>
            <w:pPr>
              <w:pStyle w:val="TableParagraph"/>
              <w:rPr>
                <w:sz w:val="20"/>
              </w:rPr>
            </w:pPr>
          </w:p>
          <w:p>
            <w:pPr>
              <w:pStyle w:val="TableParagraph"/>
              <w:spacing w:before="106"/>
              <w:rPr>
                <w:sz w:val="20"/>
              </w:rPr>
            </w:pPr>
          </w:p>
          <w:p>
            <w:pPr>
              <w:pStyle w:val="TableParagraph"/>
              <w:ind w:left="3" w:right="1"/>
              <w:jc w:val="center"/>
              <w:rPr>
                <w:sz w:val="20"/>
              </w:rPr>
            </w:pPr>
            <w:r>
              <w:rPr>
                <w:color w:val="00AF50"/>
                <w:spacing w:val="-5"/>
                <w:sz w:val="20"/>
              </w:rPr>
              <w:t>4A</w:t>
            </w:r>
          </w:p>
        </w:tc>
        <w:tc>
          <w:tcPr>
            <w:tcW w:w="1302"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06"/>
              <w:rPr>
                <w:sz w:val="20"/>
              </w:rPr>
            </w:pPr>
          </w:p>
          <w:p>
            <w:pPr>
              <w:pStyle w:val="TableParagraph"/>
              <w:ind w:left="7" w:right="2"/>
              <w:jc w:val="center"/>
              <w:rPr>
                <w:sz w:val="20"/>
              </w:rPr>
            </w:pPr>
            <w:r>
              <w:rPr>
                <w:spacing w:val="-5"/>
                <w:sz w:val="20"/>
              </w:rPr>
              <w:t>NA</w:t>
            </w:r>
          </w:p>
        </w:tc>
      </w:tr>
      <w:tr>
        <w:trPr>
          <w:trHeight w:val="1600" w:hRule="atLeast"/>
        </w:trPr>
        <w:tc>
          <w:tcPr>
            <w:tcW w:w="1496" w:type="dxa"/>
            <w:tcBorders>
              <w:top w:val="single" w:sz="4" w:space="0" w:color="000000"/>
              <w:bottom w:val="single" w:sz="4" w:space="0" w:color="000000"/>
            </w:tcBorders>
          </w:tcPr>
          <w:p>
            <w:pPr>
              <w:pStyle w:val="TableParagraph"/>
              <w:spacing w:before="150"/>
              <w:ind w:left="122"/>
              <w:rPr>
                <w:b/>
                <w:sz w:val="20"/>
              </w:rPr>
            </w:pPr>
            <w:r>
              <w:rPr>
                <w:b/>
                <w:sz w:val="20"/>
              </w:rPr>
              <w:t>Red</w:t>
            </w:r>
            <w:r>
              <w:rPr>
                <w:b/>
                <w:spacing w:val="-5"/>
                <w:sz w:val="20"/>
              </w:rPr>
              <w:t> Fox</w:t>
            </w:r>
          </w:p>
        </w:tc>
        <w:tc>
          <w:tcPr>
            <w:tcW w:w="1020" w:type="dxa"/>
            <w:tcBorders>
              <w:top w:val="single" w:sz="4" w:space="0" w:color="000000"/>
              <w:bottom w:val="single" w:sz="4" w:space="0" w:color="000000"/>
            </w:tcBorders>
            <w:shd w:val="clear" w:color="auto" w:fill="CCDBEA"/>
          </w:tcPr>
          <w:p>
            <w:pPr>
              <w:pStyle w:val="TableParagraph"/>
              <w:rPr>
                <w:sz w:val="20"/>
              </w:rPr>
            </w:pPr>
          </w:p>
          <w:p>
            <w:pPr>
              <w:pStyle w:val="TableParagraph"/>
              <w:spacing w:before="197"/>
              <w:rPr>
                <w:sz w:val="20"/>
              </w:rPr>
            </w:pPr>
          </w:p>
          <w:p>
            <w:pPr>
              <w:pStyle w:val="TableParagraph"/>
              <w:ind w:left="1" w:right="3"/>
              <w:jc w:val="center"/>
              <w:rPr>
                <w:sz w:val="20"/>
              </w:rPr>
            </w:pPr>
            <w:r>
              <w:rPr>
                <w:spacing w:val="-2"/>
                <w:sz w:val="20"/>
              </w:rPr>
              <w:t>1E-</w:t>
            </w:r>
            <w:r>
              <w:rPr>
                <w:spacing w:val="-5"/>
                <w:sz w:val="20"/>
              </w:rPr>
              <w:t>1F</w:t>
            </w:r>
          </w:p>
        </w:tc>
        <w:tc>
          <w:tcPr>
            <w:tcW w:w="1020" w:type="dxa"/>
            <w:tcBorders>
              <w:top w:val="single" w:sz="4" w:space="0" w:color="000000"/>
              <w:bottom w:val="single" w:sz="4" w:space="0" w:color="000000"/>
            </w:tcBorders>
          </w:tcPr>
          <w:p>
            <w:pPr>
              <w:pStyle w:val="TableParagraph"/>
              <w:rPr>
                <w:sz w:val="20"/>
              </w:rPr>
            </w:pPr>
          </w:p>
          <w:p>
            <w:pPr>
              <w:pStyle w:val="TableParagraph"/>
              <w:spacing w:before="197"/>
              <w:rPr>
                <w:sz w:val="20"/>
              </w:rPr>
            </w:pPr>
          </w:p>
          <w:p>
            <w:pPr>
              <w:pStyle w:val="TableParagraph"/>
              <w:ind w:left="2" w:right="3"/>
              <w:jc w:val="center"/>
              <w:rPr>
                <w:sz w:val="20"/>
              </w:rPr>
            </w:pPr>
            <w:r>
              <w:rPr>
                <w:color w:val="00AF50"/>
                <w:spacing w:val="-2"/>
                <w:sz w:val="20"/>
              </w:rPr>
              <w:t>1C-</w:t>
            </w:r>
            <w:r>
              <w:rPr>
                <w:color w:val="00AF50"/>
                <w:spacing w:val="-5"/>
                <w:sz w:val="20"/>
              </w:rPr>
              <w:t>1D</w:t>
            </w:r>
          </w:p>
        </w:tc>
        <w:tc>
          <w:tcPr>
            <w:tcW w:w="1020" w:type="dxa"/>
            <w:tcBorders>
              <w:top w:val="single" w:sz="4" w:space="0" w:color="000000"/>
              <w:bottom w:val="single" w:sz="4" w:space="0" w:color="000000"/>
            </w:tcBorders>
            <w:shd w:val="clear" w:color="auto" w:fill="CCDBEA"/>
          </w:tcPr>
          <w:p>
            <w:pPr>
              <w:pStyle w:val="TableParagraph"/>
              <w:rPr>
                <w:sz w:val="20"/>
              </w:rPr>
            </w:pPr>
          </w:p>
          <w:p>
            <w:pPr>
              <w:pStyle w:val="TableParagraph"/>
              <w:spacing w:before="197"/>
              <w:rPr>
                <w:sz w:val="20"/>
              </w:rPr>
            </w:pPr>
          </w:p>
          <w:p>
            <w:pPr>
              <w:pStyle w:val="TableParagraph"/>
              <w:ind w:left="1" w:right="3"/>
              <w:jc w:val="center"/>
              <w:rPr>
                <w:sz w:val="20"/>
              </w:rPr>
            </w:pPr>
            <w:r>
              <w:rPr>
                <w:spacing w:val="-5"/>
                <w:sz w:val="20"/>
              </w:rPr>
              <w:t>NA</w:t>
            </w:r>
          </w:p>
        </w:tc>
        <w:tc>
          <w:tcPr>
            <w:tcW w:w="1077" w:type="dxa"/>
            <w:tcBorders>
              <w:top w:val="single" w:sz="4" w:space="0" w:color="000000"/>
              <w:bottom w:val="single" w:sz="4" w:space="0" w:color="000000"/>
            </w:tcBorders>
          </w:tcPr>
          <w:p>
            <w:pPr>
              <w:pStyle w:val="TableParagraph"/>
              <w:rPr>
                <w:sz w:val="20"/>
              </w:rPr>
            </w:pPr>
          </w:p>
          <w:p>
            <w:pPr>
              <w:pStyle w:val="TableParagraph"/>
              <w:spacing w:before="197"/>
              <w:rPr>
                <w:sz w:val="20"/>
              </w:rPr>
            </w:pPr>
          </w:p>
          <w:p>
            <w:pPr>
              <w:pStyle w:val="TableParagraph"/>
              <w:ind w:left="1" w:right="1"/>
              <w:jc w:val="center"/>
              <w:rPr>
                <w:sz w:val="20"/>
              </w:rPr>
            </w:pPr>
            <w:r>
              <w:rPr>
                <w:spacing w:val="-5"/>
                <w:sz w:val="20"/>
              </w:rPr>
              <w:t>NA</w:t>
            </w:r>
          </w:p>
        </w:tc>
        <w:tc>
          <w:tcPr>
            <w:tcW w:w="1077" w:type="dxa"/>
            <w:tcBorders>
              <w:top w:val="single" w:sz="4" w:space="0" w:color="000000"/>
              <w:bottom w:val="single" w:sz="4" w:space="0" w:color="000000"/>
            </w:tcBorders>
            <w:shd w:val="clear" w:color="auto" w:fill="CCDBEA"/>
          </w:tcPr>
          <w:p>
            <w:pPr>
              <w:pStyle w:val="TableParagraph"/>
              <w:rPr>
                <w:sz w:val="20"/>
              </w:rPr>
            </w:pPr>
          </w:p>
          <w:p>
            <w:pPr>
              <w:pStyle w:val="TableParagraph"/>
              <w:spacing w:before="197"/>
              <w:rPr>
                <w:sz w:val="20"/>
              </w:rPr>
            </w:pPr>
          </w:p>
          <w:p>
            <w:pPr>
              <w:pStyle w:val="TableParagraph"/>
              <w:ind w:left="1" w:right="2"/>
              <w:jc w:val="center"/>
              <w:rPr>
                <w:sz w:val="20"/>
              </w:rPr>
            </w:pPr>
            <w:r>
              <w:rPr>
                <w:spacing w:val="-5"/>
                <w:sz w:val="20"/>
              </w:rPr>
              <w:t>NA</w:t>
            </w:r>
          </w:p>
        </w:tc>
        <w:tc>
          <w:tcPr>
            <w:tcW w:w="1416" w:type="dxa"/>
            <w:tcBorders>
              <w:top w:val="single" w:sz="4" w:space="0" w:color="000000"/>
              <w:bottom w:val="single" w:sz="4" w:space="0" w:color="000000"/>
            </w:tcBorders>
          </w:tcPr>
          <w:p>
            <w:pPr>
              <w:pStyle w:val="TableParagraph"/>
              <w:rPr>
                <w:sz w:val="20"/>
              </w:rPr>
            </w:pPr>
          </w:p>
          <w:p>
            <w:pPr>
              <w:pStyle w:val="TableParagraph"/>
              <w:spacing w:before="197"/>
              <w:rPr>
                <w:sz w:val="20"/>
              </w:rPr>
            </w:pPr>
          </w:p>
          <w:p>
            <w:pPr>
              <w:pStyle w:val="TableParagraph"/>
              <w:ind w:left="1" w:right="1"/>
              <w:jc w:val="center"/>
              <w:rPr>
                <w:sz w:val="20"/>
              </w:rPr>
            </w:pPr>
            <w:r>
              <w:rPr>
                <w:color w:val="FF0000"/>
                <w:spacing w:val="-2"/>
                <w:sz w:val="20"/>
              </w:rPr>
              <w:t>3A-</w:t>
            </w:r>
            <w:r>
              <w:rPr>
                <w:color w:val="FF0000"/>
                <w:spacing w:val="-5"/>
                <w:sz w:val="20"/>
              </w:rPr>
              <w:t>3C</w:t>
            </w:r>
          </w:p>
        </w:tc>
        <w:tc>
          <w:tcPr>
            <w:tcW w:w="1303" w:type="dxa"/>
            <w:tcBorders>
              <w:top w:val="single" w:sz="4" w:space="0" w:color="000000"/>
              <w:bottom w:val="single" w:sz="4" w:space="0" w:color="000000"/>
            </w:tcBorders>
            <w:shd w:val="clear" w:color="auto" w:fill="CCDBEA"/>
          </w:tcPr>
          <w:p>
            <w:pPr>
              <w:pStyle w:val="TableParagraph"/>
              <w:rPr>
                <w:sz w:val="20"/>
              </w:rPr>
            </w:pPr>
          </w:p>
          <w:p>
            <w:pPr>
              <w:pStyle w:val="TableParagraph"/>
              <w:spacing w:before="197"/>
              <w:rPr>
                <w:sz w:val="20"/>
              </w:rPr>
            </w:pPr>
          </w:p>
          <w:p>
            <w:pPr>
              <w:pStyle w:val="TableParagraph"/>
              <w:jc w:val="center"/>
              <w:rPr>
                <w:sz w:val="20"/>
              </w:rPr>
            </w:pPr>
            <w:r>
              <w:rPr>
                <w:spacing w:val="-5"/>
                <w:sz w:val="20"/>
              </w:rPr>
              <w:t>NA</w:t>
            </w:r>
          </w:p>
        </w:tc>
        <w:tc>
          <w:tcPr>
            <w:tcW w:w="1701" w:type="dxa"/>
            <w:tcBorders>
              <w:top w:val="single" w:sz="4" w:space="0" w:color="000000"/>
              <w:bottom w:val="single" w:sz="4" w:space="0" w:color="000000"/>
            </w:tcBorders>
          </w:tcPr>
          <w:p>
            <w:pPr>
              <w:pStyle w:val="TableParagraph"/>
              <w:spacing w:before="191"/>
              <w:rPr>
                <w:sz w:val="20"/>
              </w:rPr>
            </w:pPr>
          </w:p>
          <w:p>
            <w:pPr>
              <w:pStyle w:val="TableParagraph"/>
              <w:spacing w:line="491" w:lineRule="auto" w:before="1"/>
              <w:ind w:left="352" w:right="345" w:firstLine="26"/>
              <w:rPr>
                <w:sz w:val="20"/>
              </w:rPr>
            </w:pPr>
            <w:r>
              <w:rPr>
                <w:color w:val="00AF50"/>
                <w:sz w:val="20"/>
              </w:rPr>
              <w:t>Head</w:t>
            </w:r>
            <w:r>
              <w:rPr>
                <w:color w:val="00AF50"/>
                <w:spacing w:val="-5"/>
                <w:sz w:val="20"/>
              </w:rPr>
              <w:t> </w:t>
            </w:r>
            <w:r>
              <w:rPr>
                <w:color w:val="00AF50"/>
                <w:sz w:val="20"/>
              </w:rPr>
              <w:t>–</w:t>
            </w:r>
            <w:r>
              <w:rPr>
                <w:color w:val="00AF50"/>
                <w:spacing w:val="-7"/>
                <w:sz w:val="20"/>
              </w:rPr>
              <w:t> </w:t>
            </w:r>
            <w:r>
              <w:rPr>
                <w:color w:val="00AF50"/>
                <w:sz w:val="20"/>
              </w:rPr>
              <w:t>2A Chest</w:t>
            </w:r>
            <w:r>
              <w:rPr>
                <w:color w:val="00AF50"/>
                <w:spacing w:val="-5"/>
                <w:sz w:val="20"/>
              </w:rPr>
              <w:t> </w:t>
            </w:r>
            <w:r>
              <w:rPr>
                <w:color w:val="00AF50"/>
                <w:sz w:val="20"/>
              </w:rPr>
              <w:t>–</w:t>
            </w:r>
            <w:r>
              <w:rPr>
                <w:color w:val="00AF50"/>
                <w:spacing w:val="-2"/>
                <w:sz w:val="20"/>
              </w:rPr>
              <w:t> </w:t>
            </w:r>
            <w:r>
              <w:rPr>
                <w:color w:val="00AF50"/>
                <w:spacing w:val="-5"/>
                <w:sz w:val="20"/>
              </w:rPr>
              <w:t>2D</w:t>
            </w:r>
          </w:p>
        </w:tc>
        <w:tc>
          <w:tcPr>
            <w:tcW w:w="1701" w:type="dxa"/>
            <w:tcBorders>
              <w:top w:val="single" w:sz="4" w:space="0" w:color="000000"/>
              <w:bottom w:val="single" w:sz="4" w:space="0" w:color="000000"/>
            </w:tcBorders>
            <w:shd w:val="clear" w:color="auto" w:fill="CCDBEA"/>
          </w:tcPr>
          <w:p>
            <w:pPr>
              <w:pStyle w:val="TableParagraph"/>
              <w:spacing w:line="283" w:lineRule="auto" w:before="150"/>
              <w:ind w:left="209" w:right="202" w:hanging="3"/>
              <w:jc w:val="center"/>
              <w:rPr>
                <w:sz w:val="20"/>
              </w:rPr>
            </w:pPr>
            <w:r>
              <w:rPr>
                <w:color w:val="00AF50"/>
                <w:sz w:val="20"/>
              </w:rPr>
              <w:t>Cage (with shooting)</w:t>
            </w:r>
            <w:r>
              <w:rPr>
                <w:color w:val="00AF50"/>
                <w:spacing w:val="-7"/>
                <w:sz w:val="20"/>
              </w:rPr>
              <w:t> </w:t>
            </w:r>
            <w:r>
              <w:rPr>
                <w:color w:val="00AF50"/>
                <w:sz w:val="20"/>
              </w:rPr>
              <w:t>–</w:t>
            </w:r>
            <w:r>
              <w:rPr>
                <w:color w:val="00AF50"/>
                <w:spacing w:val="-6"/>
                <w:sz w:val="20"/>
              </w:rPr>
              <w:t> </w:t>
            </w:r>
            <w:r>
              <w:rPr>
                <w:color w:val="00AF50"/>
                <w:spacing w:val="-7"/>
                <w:sz w:val="20"/>
              </w:rPr>
              <w:t>4B</w:t>
            </w:r>
          </w:p>
          <w:p>
            <w:pPr>
              <w:pStyle w:val="TableParagraph"/>
              <w:spacing w:line="283" w:lineRule="auto" w:before="197"/>
              <w:ind w:left="209" w:right="202" w:hanging="1"/>
              <w:jc w:val="center"/>
              <w:rPr>
                <w:sz w:val="20"/>
              </w:rPr>
            </w:pPr>
            <w:r>
              <w:rPr>
                <w:color w:val="FF0000"/>
                <w:sz w:val="20"/>
              </w:rPr>
              <w:t>Leg-hold</w:t>
            </w:r>
            <w:r>
              <w:rPr>
                <w:color w:val="FF0000"/>
                <w:spacing w:val="-6"/>
                <w:sz w:val="20"/>
              </w:rPr>
              <w:t> </w:t>
            </w:r>
            <w:r>
              <w:rPr>
                <w:color w:val="FF0000"/>
                <w:sz w:val="20"/>
              </w:rPr>
              <w:t>(with shooting)</w:t>
            </w:r>
            <w:r>
              <w:rPr>
                <w:color w:val="FF0000"/>
                <w:spacing w:val="-7"/>
                <w:sz w:val="20"/>
              </w:rPr>
              <w:t> </w:t>
            </w:r>
            <w:r>
              <w:rPr>
                <w:color w:val="FF0000"/>
                <w:sz w:val="20"/>
              </w:rPr>
              <w:t>–</w:t>
            </w:r>
            <w:r>
              <w:rPr>
                <w:color w:val="FF0000"/>
                <w:spacing w:val="-6"/>
                <w:sz w:val="20"/>
              </w:rPr>
              <w:t> </w:t>
            </w:r>
            <w:r>
              <w:rPr>
                <w:color w:val="FF0000"/>
                <w:spacing w:val="-5"/>
                <w:sz w:val="20"/>
              </w:rPr>
              <w:t>5B</w:t>
            </w:r>
          </w:p>
        </w:tc>
        <w:tc>
          <w:tcPr>
            <w:tcW w:w="1302" w:type="dxa"/>
            <w:tcBorders>
              <w:top w:val="single" w:sz="4" w:space="0" w:color="000000"/>
              <w:bottom w:val="single" w:sz="4" w:space="0" w:color="000000"/>
            </w:tcBorders>
          </w:tcPr>
          <w:p>
            <w:pPr>
              <w:pStyle w:val="TableParagraph"/>
              <w:rPr>
                <w:sz w:val="20"/>
              </w:rPr>
            </w:pPr>
          </w:p>
          <w:p>
            <w:pPr>
              <w:pStyle w:val="TableParagraph"/>
              <w:spacing w:before="197"/>
              <w:rPr>
                <w:sz w:val="20"/>
              </w:rPr>
            </w:pPr>
          </w:p>
          <w:p>
            <w:pPr>
              <w:pStyle w:val="TableParagraph"/>
              <w:ind w:left="7" w:right="2"/>
              <w:jc w:val="center"/>
              <w:rPr>
                <w:sz w:val="20"/>
              </w:rPr>
            </w:pPr>
            <w:r>
              <w:rPr>
                <w:spacing w:val="-2"/>
                <w:sz w:val="20"/>
              </w:rPr>
              <w:t>1E-</w:t>
            </w:r>
            <w:r>
              <w:rPr>
                <w:spacing w:val="-5"/>
                <w:sz w:val="20"/>
              </w:rPr>
              <w:t>1F</w:t>
            </w:r>
          </w:p>
        </w:tc>
      </w:tr>
      <w:tr>
        <w:trPr>
          <w:trHeight w:val="1600" w:hRule="atLeast"/>
        </w:trPr>
        <w:tc>
          <w:tcPr>
            <w:tcW w:w="1496" w:type="dxa"/>
            <w:tcBorders>
              <w:top w:val="single" w:sz="4" w:space="0" w:color="000000"/>
              <w:bottom w:val="single" w:sz="4" w:space="0" w:color="000000"/>
            </w:tcBorders>
          </w:tcPr>
          <w:p>
            <w:pPr>
              <w:pStyle w:val="TableParagraph"/>
              <w:spacing w:line="283" w:lineRule="auto" w:before="150"/>
              <w:ind w:left="122" w:right="167"/>
              <w:rPr>
                <w:b/>
                <w:sz w:val="20"/>
              </w:rPr>
            </w:pPr>
            <w:r>
              <w:rPr>
                <w:b/>
                <w:sz w:val="20"/>
              </w:rPr>
              <w:t>Dingoes</w:t>
            </w:r>
            <w:r>
              <w:rPr>
                <w:b/>
                <w:spacing w:val="-14"/>
                <w:sz w:val="20"/>
              </w:rPr>
              <w:t> </w:t>
            </w:r>
            <w:r>
              <w:rPr>
                <w:b/>
                <w:sz w:val="20"/>
              </w:rPr>
              <w:t>and Wild dogs</w:t>
            </w:r>
          </w:p>
        </w:tc>
        <w:tc>
          <w:tcPr>
            <w:tcW w:w="1020" w:type="dxa"/>
            <w:tcBorders>
              <w:top w:val="single" w:sz="4" w:space="0" w:color="000000"/>
              <w:bottom w:val="single" w:sz="4" w:space="0" w:color="000000"/>
            </w:tcBorders>
            <w:shd w:val="clear" w:color="auto" w:fill="CCDBEA"/>
          </w:tcPr>
          <w:p>
            <w:pPr>
              <w:pStyle w:val="TableParagraph"/>
              <w:rPr>
                <w:sz w:val="20"/>
              </w:rPr>
            </w:pPr>
          </w:p>
          <w:p>
            <w:pPr>
              <w:pStyle w:val="TableParagraph"/>
              <w:spacing w:before="197"/>
              <w:rPr>
                <w:sz w:val="20"/>
              </w:rPr>
            </w:pPr>
          </w:p>
          <w:p>
            <w:pPr>
              <w:pStyle w:val="TableParagraph"/>
              <w:ind w:left="1" w:right="3"/>
              <w:jc w:val="center"/>
              <w:rPr>
                <w:sz w:val="20"/>
              </w:rPr>
            </w:pPr>
            <w:r>
              <w:rPr>
                <w:spacing w:val="-2"/>
                <w:sz w:val="20"/>
              </w:rPr>
              <w:t>1E-</w:t>
            </w:r>
            <w:r>
              <w:rPr>
                <w:spacing w:val="-5"/>
                <w:sz w:val="20"/>
              </w:rPr>
              <w:t>1F</w:t>
            </w:r>
          </w:p>
        </w:tc>
        <w:tc>
          <w:tcPr>
            <w:tcW w:w="1020" w:type="dxa"/>
            <w:tcBorders>
              <w:top w:val="single" w:sz="4" w:space="0" w:color="000000"/>
              <w:bottom w:val="single" w:sz="4" w:space="0" w:color="000000"/>
            </w:tcBorders>
          </w:tcPr>
          <w:p>
            <w:pPr>
              <w:pStyle w:val="TableParagraph"/>
              <w:rPr>
                <w:sz w:val="20"/>
              </w:rPr>
            </w:pPr>
          </w:p>
          <w:p>
            <w:pPr>
              <w:pStyle w:val="TableParagraph"/>
              <w:spacing w:before="197"/>
              <w:rPr>
                <w:sz w:val="20"/>
              </w:rPr>
            </w:pPr>
          </w:p>
          <w:p>
            <w:pPr>
              <w:pStyle w:val="TableParagraph"/>
              <w:ind w:left="2" w:right="3"/>
              <w:jc w:val="center"/>
              <w:rPr>
                <w:sz w:val="20"/>
              </w:rPr>
            </w:pPr>
            <w:r>
              <w:rPr>
                <w:color w:val="00AF50"/>
                <w:spacing w:val="-2"/>
                <w:sz w:val="20"/>
              </w:rPr>
              <w:t>1C-</w:t>
            </w:r>
            <w:r>
              <w:rPr>
                <w:color w:val="00AF50"/>
                <w:spacing w:val="-5"/>
                <w:sz w:val="20"/>
              </w:rPr>
              <w:t>1D</w:t>
            </w:r>
          </w:p>
        </w:tc>
        <w:tc>
          <w:tcPr>
            <w:tcW w:w="1020" w:type="dxa"/>
            <w:tcBorders>
              <w:top w:val="single" w:sz="4" w:space="0" w:color="000000"/>
              <w:bottom w:val="single" w:sz="4" w:space="0" w:color="000000"/>
            </w:tcBorders>
            <w:shd w:val="clear" w:color="auto" w:fill="CCDBEA"/>
          </w:tcPr>
          <w:p>
            <w:pPr>
              <w:pStyle w:val="TableParagraph"/>
              <w:rPr>
                <w:sz w:val="20"/>
              </w:rPr>
            </w:pPr>
          </w:p>
          <w:p>
            <w:pPr>
              <w:pStyle w:val="TableParagraph"/>
              <w:spacing w:before="197"/>
              <w:rPr>
                <w:sz w:val="20"/>
              </w:rPr>
            </w:pPr>
          </w:p>
          <w:p>
            <w:pPr>
              <w:pStyle w:val="TableParagraph"/>
              <w:ind w:left="1" w:right="3"/>
              <w:jc w:val="center"/>
              <w:rPr>
                <w:sz w:val="20"/>
              </w:rPr>
            </w:pPr>
            <w:r>
              <w:rPr>
                <w:spacing w:val="-5"/>
                <w:sz w:val="20"/>
              </w:rPr>
              <w:t>NA</w:t>
            </w:r>
          </w:p>
        </w:tc>
        <w:tc>
          <w:tcPr>
            <w:tcW w:w="1077" w:type="dxa"/>
            <w:tcBorders>
              <w:top w:val="single" w:sz="4" w:space="0" w:color="000000"/>
              <w:bottom w:val="single" w:sz="4" w:space="0" w:color="000000"/>
            </w:tcBorders>
          </w:tcPr>
          <w:p>
            <w:pPr>
              <w:pStyle w:val="TableParagraph"/>
              <w:rPr>
                <w:sz w:val="20"/>
              </w:rPr>
            </w:pPr>
          </w:p>
          <w:p>
            <w:pPr>
              <w:pStyle w:val="TableParagraph"/>
              <w:spacing w:before="197"/>
              <w:rPr>
                <w:sz w:val="20"/>
              </w:rPr>
            </w:pPr>
          </w:p>
          <w:p>
            <w:pPr>
              <w:pStyle w:val="TableParagraph"/>
              <w:ind w:left="1" w:right="1"/>
              <w:jc w:val="center"/>
              <w:rPr>
                <w:sz w:val="20"/>
              </w:rPr>
            </w:pPr>
            <w:r>
              <w:rPr>
                <w:spacing w:val="-5"/>
                <w:sz w:val="20"/>
              </w:rPr>
              <w:t>NA</w:t>
            </w:r>
          </w:p>
        </w:tc>
        <w:tc>
          <w:tcPr>
            <w:tcW w:w="1077" w:type="dxa"/>
            <w:tcBorders>
              <w:top w:val="single" w:sz="4" w:space="0" w:color="000000"/>
              <w:bottom w:val="single" w:sz="4" w:space="0" w:color="000000"/>
            </w:tcBorders>
            <w:shd w:val="clear" w:color="auto" w:fill="CCDBEA"/>
          </w:tcPr>
          <w:p>
            <w:pPr>
              <w:pStyle w:val="TableParagraph"/>
              <w:rPr>
                <w:sz w:val="20"/>
              </w:rPr>
            </w:pPr>
          </w:p>
          <w:p>
            <w:pPr>
              <w:pStyle w:val="TableParagraph"/>
              <w:spacing w:before="197"/>
              <w:rPr>
                <w:sz w:val="20"/>
              </w:rPr>
            </w:pPr>
          </w:p>
          <w:p>
            <w:pPr>
              <w:pStyle w:val="TableParagraph"/>
              <w:ind w:left="1" w:right="2"/>
              <w:jc w:val="center"/>
              <w:rPr>
                <w:sz w:val="20"/>
              </w:rPr>
            </w:pPr>
            <w:r>
              <w:rPr>
                <w:spacing w:val="-5"/>
                <w:sz w:val="20"/>
              </w:rPr>
              <w:t>NA</w:t>
            </w:r>
          </w:p>
        </w:tc>
        <w:tc>
          <w:tcPr>
            <w:tcW w:w="1416" w:type="dxa"/>
            <w:tcBorders>
              <w:top w:val="single" w:sz="4" w:space="0" w:color="000000"/>
              <w:bottom w:val="single" w:sz="4" w:space="0" w:color="000000"/>
            </w:tcBorders>
          </w:tcPr>
          <w:p>
            <w:pPr>
              <w:pStyle w:val="TableParagraph"/>
              <w:rPr>
                <w:sz w:val="20"/>
              </w:rPr>
            </w:pPr>
          </w:p>
          <w:p>
            <w:pPr>
              <w:pStyle w:val="TableParagraph"/>
              <w:spacing w:before="197"/>
              <w:rPr>
                <w:sz w:val="20"/>
              </w:rPr>
            </w:pPr>
          </w:p>
          <w:p>
            <w:pPr>
              <w:pStyle w:val="TableParagraph"/>
              <w:ind w:left="1"/>
              <w:jc w:val="center"/>
              <w:rPr>
                <w:sz w:val="20"/>
              </w:rPr>
            </w:pPr>
            <w:r>
              <w:rPr>
                <w:spacing w:val="-5"/>
                <w:sz w:val="20"/>
              </w:rPr>
              <w:t>NA</w:t>
            </w:r>
          </w:p>
        </w:tc>
        <w:tc>
          <w:tcPr>
            <w:tcW w:w="1303" w:type="dxa"/>
            <w:tcBorders>
              <w:top w:val="single" w:sz="4" w:space="0" w:color="000000"/>
              <w:bottom w:val="single" w:sz="4" w:space="0" w:color="000000"/>
            </w:tcBorders>
            <w:shd w:val="clear" w:color="auto" w:fill="CCDBEA"/>
          </w:tcPr>
          <w:p>
            <w:pPr>
              <w:pStyle w:val="TableParagraph"/>
              <w:rPr>
                <w:sz w:val="20"/>
              </w:rPr>
            </w:pPr>
          </w:p>
          <w:p>
            <w:pPr>
              <w:pStyle w:val="TableParagraph"/>
              <w:spacing w:before="197"/>
              <w:rPr>
                <w:sz w:val="20"/>
              </w:rPr>
            </w:pPr>
          </w:p>
          <w:p>
            <w:pPr>
              <w:pStyle w:val="TableParagraph"/>
              <w:jc w:val="center"/>
              <w:rPr>
                <w:sz w:val="20"/>
              </w:rPr>
            </w:pPr>
            <w:r>
              <w:rPr>
                <w:spacing w:val="-5"/>
                <w:sz w:val="20"/>
              </w:rPr>
              <w:t>NA</w:t>
            </w:r>
          </w:p>
        </w:tc>
        <w:tc>
          <w:tcPr>
            <w:tcW w:w="1701" w:type="dxa"/>
            <w:tcBorders>
              <w:top w:val="single" w:sz="4" w:space="0" w:color="000000"/>
              <w:bottom w:val="single" w:sz="4" w:space="0" w:color="000000"/>
            </w:tcBorders>
          </w:tcPr>
          <w:p>
            <w:pPr>
              <w:pStyle w:val="TableParagraph"/>
              <w:spacing w:before="192"/>
              <w:rPr>
                <w:sz w:val="20"/>
              </w:rPr>
            </w:pPr>
          </w:p>
          <w:p>
            <w:pPr>
              <w:pStyle w:val="TableParagraph"/>
              <w:spacing w:line="491" w:lineRule="auto"/>
              <w:ind w:left="352" w:right="345" w:firstLine="26"/>
              <w:rPr>
                <w:sz w:val="20"/>
              </w:rPr>
            </w:pPr>
            <w:r>
              <w:rPr>
                <w:color w:val="00AF50"/>
                <w:sz w:val="20"/>
              </w:rPr>
              <w:t>Head</w:t>
            </w:r>
            <w:r>
              <w:rPr>
                <w:color w:val="00AF50"/>
                <w:spacing w:val="-5"/>
                <w:sz w:val="20"/>
              </w:rPr>
              <w:t> </w:t>
            </w:r>
            <w:r>
              <w:rPr>
                <w:color w:val="00AF50"/>
                <w:sz w:val="20"/>
              </w:rPr>
              <w:t>–</w:t>
            </w:r>
            <w:r>
              <w:rPr>
                <w:color w:val="00AF50"/>
                <w:spacing w:val="-7"/>
                <w:sz w:val="20"/>
              </w:rPr>
              <w:t> </w:t>
            </w:r>
            <w:r>
              <w:rPr>
                <w:color w:val="00AF50"/>
                <w:sz w:val="20"/>
              </w:rPr>
              <w:t>2A Chest</w:t>
            </w:r>
            <w:r>
              <w:rPr>
                <w:color w:val="00AF50"/>
                <w:spacing w:val="-5"/>
                <w:sz w:val="20"/>
              </w:rPr>
              <w:t> </w:t>
            </w:r>
            <w:r>
              <w:rPr>
                <w:color w:val="00AF50"/>
                <w:sz w:val="20"/>
              </w:rPr>
              <w:t>–</w:t>
            </w:r>
            <w:r>
              <w:rPr>
                <w:color w:val="00AF50"/>
                <w:spacing w:val="-2"/>
                <w:sz w:val="20"/>
              </w:rPr>
              <w:t> </w:t>
            </w:r>
            <w:r>
              <w:rPr>
                <w:color w:val="00AF50"/>
                <w:spacing w:val="-5"/>
                <w:sz w:val="20"/>
              </w:rPr>
              <w:t>2D</w:t>
            </w:r>
          </w:p>
        </w:tc>
        <w:tc>
          <w:tcPr>
            <w:tcW w:w="1701" w:type="dxa"/>
            <w:tcBorders>
              <w:top w:val="single" w:sz="4" w:space="0" w:color="000000"/>
              <w:bottom w:val="single" w:sz="4" w:space="0" w:color="000000"/>
            </w:tcBorders>
            <w:shd w:val="clear" w:color="auto" w:fill="CCDBEA"/>
          </w:tcPr>
          <w:p>
            <w:pPr>
              <w:pStyle w:val="TableParagraph"/>
              <w:spacing w:line="283" w:lineRule="auto" w:before="150"/>
              <w:ind w:left="209" w:right="202" w:hanging="4"/>
              <w:jc w:val="center"/>
              <w:rPr>
                <w:sz w:val="20"/>
              </w:rPr>
            </w:pPr>
            <w:r>
              <w:rPr>
                <w:color w:val="00AF50"/>
                <w:sz w:val="20"/>
              </w:rPr>
              <w:t>Cage (with shooting)</w:t>
            </w:r>
            <w:r>
              <w:rPr>
                <w:color w:val="00AF50"/>
                <w:spacing w:val="-7"/>
                <w:sz w:val="20"/>
              </w:rPr>
              <w:t> </w:t>
            </w:r>
            <w:r>
              <w:rPr>
                <w:color w:val="00AF50"/>
                <w:sz w:val="20"/>
              </w:rPr>
              <w:t>–</w:t>
            </w:r>
            <w:r>
              <w:rPr>
                <w:color w:val="00AF50"/>
                <w:spacing w:val="-6"/>
                <w:sz w:val="20"/>
              </w:rPr>
              <w:t> </w:t>
            </w:r>
            <w:r>
              <w:rPr>
                <w:color w:val="00AF50"/>
                <w:spacing w:val="-5"/>
                <w:sz w:val="20"/>
              </w:rPr>
              <w:t>4A</w:t>
            </w:r>
          </w:p>
          <w:p>
            <w:pPr>
              <w:pStyle w:val="TableParagraph"/>
              <w:spacing w:line="283" w:lineRule="auto" w:before="197"/>
              <w:ind w:left="209" w:right="202" w:hanging="1"/>
              <w:jc w:val="center"/>
              <w:rPr>
                <w:sz w:val="20"/>
              </w:rPr>
            </w:pPr>
            <w:r>
              <w:rPr>
                <w:color w:val="FF0000"/>
                <w:sz w:val="20"/>
              </w:rPr>
              <w:t>Leg-hold</w:t>
            </w:r>
            <w:r>
              <w:rPr>
                <w:color w:val="FF0000"/>
                <w:spacing w:val="-6"/>
                <w:sz w:val="20"/>
              </w:rPr>
              <w:t> </w:t>
            </w:r>
            <w:r>
              <w:rPr>
                <w:color w:val="FF0000"/>
                <w:sz w:val="20"/>
              </w:rPr>
              <w:t>(with shooting)</w:t>
            </w:r>
            <w:r>
              <w:rPr>
                <w:color w:val="FF0000"/>
                <w:spacing w:val="-7"/>
                <w:sz w:val="20"/>
              </w:rPr>
              <w:t> </w:t>
            </w:r>
            <w:r>
              <w:rPr>
                <w:color w:val="FF0000"/>
                <w:sz w:val="20"/>
              </w:rPr>
              <w:t>–</w:t>
            </w:r>
            <w:r>
              <w:rPr>
                <w:color w:val="FF0000"/>
                <w:spacing w:val="-6"/>
                <w:sz w:val="20"/>
              </w:rPr>
              <w:t> </w:t>
            </w:r>
            <w:r>
              <w:rPr>
                <w:color w:val="FF0000"/>
                <w:spacing w:val="-5"/>
                <w:sz w:val="20"/>
              </w:rPr>
              <w:t>5B</w:t>
            </w:r>
          </w:p>
        </w:tc>
        <w:tc>
          <w:tcPr>
            <w:tcW w:w="1302" w:type="dxa"/>
            <w:tcBorders>
              <w:top w:val="single" w:sz="4" w:space="0" w:color="000000"/>
              <w:bottom w:val="single" w:sz="4" w:space="0" w:color="000000"/>
            </w:tcBorders>
          </w:tcPr>
          <w:p>
            <w:pPr>
              <w:pStyle w:val="TableParagraph"/>
              <w:rPr>
                <w:sz w:val="20"/>
              </w:rPr>
            </w:pPr>
          </w:p>
          <w:p>
            <w:pPr>
              <w:pStyle w:val="TableParagraph"/>
              <w:spacing w:before="197"/>
              <w:rPr>
                <w:sz w:val="20"/>
              </w:rPr>
            </w:pPr>
          </w:p>
          <w:p>
            <w:pPr>
              <w:pStyle w:val="TableParagraph"/>
              <w:ind w:left="7" w:right="2"/>
              <w:jc w:val="center"/>
              <w:rPr>
                <w:sz w:val="20"/>
              </w:rPr>
            </w:pPr>
            <w:r>
              <w:rPr>
                <w:spacing w:val="-2"/>
                <w:sz w:val="20"/>
              </w:rPr>
              <w:t>1E-</w:t>
            </w:r>
            <w:r>
              <w:rPr>
                <w:spacing w:val="-5"/>
                <w:sz w:val="20"/>
              </w:rPr>
              <w:t>1F</w:t>
            </w:r>
          </w:p>
        </w:tc>
      </w:tr>
    </w:tbl>
    <w:p>
      <w:pPr>
        <w:pStyle w:val="BodyText"/>
        <w:spacing w:before="1"/>
      </w:pPr>
    </w:p>
    <w:p>
      <w:pPr>
        <w:tabs>
          <w:tab w:pos="14705" w:val="right" w:leader="none"/>
        </w:tabs>
        <w:spacing w:before="0"/>
        <w:ind w:left="10274"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83</w:t>
      </w:r>
    </w:p>
    <w:p>
      <w:pPr>
        <w:spacing w:after="0"/>
        <w:jc w:val="left"/>
        <w:rPr>
          <w:sz w:val="20"/>
        </w:rPr>
        <w:sectPr>
          <w:footerReference w:type="default" r:id="rId76"/>
          <w:pgSz w:w="16850" w:h="11910" w:orient="landscape"/>
          <w:pgMar w:header="0" w:footer="0" w:top="1140" w:bottom="280" w:left="1000" w:right="1020"/>
        </w:sectPr>
      </w:pPr>
    </w:p>
    <w:p>
      <w:pPr>
        <w:pStyle w:val="Heading3"/>
        <w:numPr>
          <w:ilvl w:val="1"/>
          <w:numId w:val="24"/>
        </w:numPr>
        <w:tabs>
          <w:tab w:pos="686" w:val="left" w:leader="none"/>
        </w:tabs>
        <w:spacing w:line="240" w:lineRule="auto" w:before="63" w:after="0"/>
        <w:ind w:left="686" w:right="0" w:hanging="574"/>
        <w:jc w:val="left"/>
      </w:pPr>
      <w:bookmarkStart w:name="_TOC_250015" w:id="104"/>
      <w:r>
        <w:rPr>
          <w:color w:val="2D1E66"/>
        </w:rPr>
        <w:t>Toxic</w:t>
      </w:r>
      <w:bookmarkEnd w:id="104"/>
      <w:r>
        <w:rPr>
          <w:color w:val="2D1E66"/>
          <w:spacing w:val="-2"/>
        </w:rPr>
        <w:t> baiting</w:t>
      </w:r>
    </w:p>
    <w:p>
      <w:pPr>
        <w:pStyle w:val="BodyText"/>
        <w:spacing w:before="113"/>
        <w:ind w:left="112" w:right="416"/>
      </w:pPr>
      <w:r>
        <w:rPr/>
        <w:t>Welfare impacts of toxicants used in pest animal control have received increasing research attention in the past two decades (e.g. Beausoleil et al. 2016). There has been a particular focus on the humaneness of 1080,</w:t>
      </w:r>
      <w:r>
        <w:rPr>
          <w:spacing w:val="-3"/>
        </w:rPr>
        <w:t> </w:t>
      </w:r>
      <w:r>
        <w:rPr/>
        <w:t>in</w:t>
      </w:r>
      <w:r>
        <w:rPr>
          <w:spacing w:val="-3"/>
        </w:rPr>
        <w:t> </w:t>
      </w:r>
      <w:r>
        <w:rPr/>
        <w:t>both</w:t>
      </w:r>
      <w:r>
        <w:rPr>
          <w:spacing w:val="-4"/>
        </w:rPr>
        <w:t> </w:t>
      </w:r>
      <w:r>
        <w:rPr/>
        <w:t>social</w:t>
      </w:r>
      <w:r>
        <w:rPr>
          <w:spacing w:val="-2"/>
        </w:rPr>
        <w:t> </w:t>
      </w:r>
      <w:r>
        <w:rPr/>
        <w:t>discourse</w:t>
      </w:r>
      <w:r>
        <w:rPr>
          <w:spacing w:val="-3"/>
        </w:rPr>
        <w:t> </w:t>
      </w:r>
      <w:r>
        <w:rPr/>
        <w:t>and</w:t>
      </w:r>
      <w:r>
        <w:rPr>
          <w:spacing w:val="-2"/>
        </w:rPr>
        <w:t> </w:t>
      </w:r>
      <w:r>
        <w:rPr/>
        <w:t>formal</w:t>
      </w:r>
      <w:r>
        <w:rPr>
          <w:spacing w:val="-4"/>
        </w:rPr>
        <w:t> </w:t>
      </w:r>
      <w:r>
        <w:rPr/>
        <w:t>research</w:t>
      </w:r>
      <w:r>
        <w:rPr>
          <w:spacing w:val="-3"/>
        </w:rPr>
        <w:t> </w:t>
      </w:r>
      <w:r>
        <w:rPr/>
        <w:t>efforts</w:t>
      </w:r>
      <w:r>
        <w:rPr>
          <w:spacing w:val="-2"/>
        </w:rPr>
        <w:t> </w:t>
      </w:r>
      <w:r>
        <w:rPr/>
        <w:t>(e.g.</w:t>
      </w:r>
      <w:r>
        <w:rPr>
          <w:spacing w:val="-3"/>
        </w:rPr>
        <w:t> </w:t>
      </w:r>
      <w:r>
        <w:rPr/>
        <w:t>Sherley</w:t>
      </w:r>
      <w:r>
        <w:rPr>
          <w:spacing w:val="-2"/>
        </w:rPr>
        <w:t> </w:t>
      </w:r>
      <w:r>
        <w:rPr/>
        <w:t>2007;</w:t>
      </w:r>
      <w:r>
        <w:rPr>
          <w:spacing w:val="-3"/>
        </w:rPr>
        <w:t> </w:t>
      </w:r>
      <w:r>
        <w:rPr/>
        <w:t>Twigg</w:t>
      </w:r>
      <w:r>
        <w:rPr>
          <w:spacing w:val="-3"/>
        </w:rPr>
        <w:t> </w:t>
      </w:r>
      <w:r>
        <w:rPr/>
        <w:t>and</w:t>
      </w:r>
      <w:r>
        <w:rPr>
          <w:spacing w:val="-3"/>
        </w:rPr>
        <w:t> </w:t>
      </w:r>
      <w:r>
        <w:rPr/>
        <w:t>Parker</w:t>
      </w:r>
      <w:r>
        <w:rPr>
          <w:spacing w:val="-3"/>
        </w:rPr>
        <w:t> </w:t>
      </w:r>
      <w:r>
        <w:rPr/>
        <w:t>2010).</w:t>
      </w:r>
      <w:r>
        <w:rPr>
          <w:spacing w:val="-3"/>
        </w:rPr>
        <w:t> </w:t>
      </w:r>
      <w:r>
        <w:rPr/>
        <w:t>This focus may be due to various factors including the relatively long history of operational use of 1080 in Australia and New Zealand, the range of vertebrate pest species it is used to control, and its well- documented risk in the unintentional poisoning of domestic dogs (e.g. Zeven et al. 2023).</w:t>
      </w:r>
    </w:p>
    <w:p>
      <w:pPr>
        <w:pStyle w:val="BodyText"/>
        <w:spacing w:before="120"/>
        <w:ind w:left="112" w:right="380"/>
      </w:pPr>
      <w:r>
        <w:rPr/>
        <w:t>Development and registration of PAPP and sodium nitrite formulations was motivated, in part at least, by a need for effective alternatives to 1080, with lower animal welfare impacts for targeted animals (e.g. Fleming et</w:t>
      </w:r>
      <w:r>
        <w:rPr>
          <w:spacing w:val="-4"/>
        </w:rPr>
        <w:t> </w:t>
      </w:r>
      <w:r>
        <w:rPr/>
        <w:t>al.</w:t>
      </w:r>
      <w:r>
        <w:rPr>
          <w:spacing w:val="-3"/>
        </w:rPr>
        <w:t> </w:t>
      </w:r>
      <w:r>
        <w:rPr/>
        <w:t>2006;</w:t>
      </w:r>
      <w:r>
        <w:rPr>
          <w:spacing w:val="-2"/>
        </w:rPr>
        <w:t> </w:t>
      </w:r>
      <w:r>
        <w:rPr/>
        <w:t>Cowled</w:t>
      </w:r>
      <w:r>
        <w:rPr>
          <w:spacing w:val="-2"/>
        </w:rPr>
        <w:t> </w:t>
      </w:r>
      <w:r>
        <w:rPr/>
        <w:t>et</w:t>
      </w:r>
      <w:r>
        <w:rPr>
          <w:spacing w:val="-2"/>
        </w:rPr>
        <w:t> </w:t>
      </w:r>
      <w:r>
        <w:rPr/>
        <w:t>al.</w:t>
      </w:r>
      <w:r>
        <w:rPr>
          <w:spacing w:val="-1"/>
        </w:rPr>
        <w:t> </w:t>
      </w:r>
      <w:r>
        <w:rPr/>
        <w:t>2008).</w:t>
      </w:r>
      <w:r>
        <w:rPr>
          <w:spacing w:val="-1"/>
        </w:rPr>
        <w:t> </w:t>
      </w:r>
      <w:r>
        <w:rPr/>
        <w:t>Application</w:t>
      </w:r>
      <w:r>
        <w:rPr>
          <w:spacing w:val="-4"/>
        </w:rPr>
        <w:t> </w:t>
      </w:r>
      <w:r>
        <w:rPr/>
        <w:t>of</w:t>
      </w:r>
      <w:r>
        <w:rPr>
          <w:spacing w:val="-2"/>
        </w:rPr>
        <w:t> </w:t>
      </w:r>
      <w:r>
        <w:rPr/>
        <w:t>the</w:t>
      </w:r>
      <w:r>
        <w:rPr>
          <w:spacing w:val="-2"/>
        </w:rPr>
        <w:t> </w:t>
      </w:r>
      <w:r>
        <w:rPr/>
        <w:t>Sharp</w:t>
      </w:r>
      <w:r>
        <w:rPr>
          <w:spacing w:val="-4"/>
        </w:rPr>
        <w:t> </w:t>
      </w:r>
      <w:r>
        <w:rPr/>
        <w:t>and</w:t>
      </w:r>
      <w:r>
        <w:rPr>
          <w:spacing w:val="-4"/>
        </w:rPr>
        <w:t> </w:t>
      </w:r>
      <w:r>
        <w:rPr/>
        <w:t>Saunders</w:t>
      </w:r>
      <w:r>
        <w:rPr>
          <w:spacing w:val="-3"/>
        </w:rPr>
        <w:t> </w:t>
      </w:r>
      <w:r>
        <w:rPr/>
        <w:t>(2011)</w:t>
      </w:r>
      <w:r>
        <w:rPr>
          <w:spacing w:val="-3"/>
        </w:rPr>
        <w:t> </w:t>
      </w:r>
      <w:r>
        <w:rPr/>
        <w:t>model</w:t>
      </w:r>
      <w:r>
        <w:rPr>
          <w:spacing w:val="-5"/>
        </w:rPr>
        <w:t> </w:t>
      </w:r>
      <w:r>
        <w:rPr/>
        <w:t>allows an</w:t>
      </w:r>
      <w:r>
        <w:rPr>
          <w:spacing w:val="-2"/>
        </w:rPr>
        <w:t> </w:t>
      </w:r>
      <w:r>
        <w:rPr/>
        <w:t>assessment of the relative humaneness for compounds that have different modes of toxic action.</w:t>
      </w:r>
    </w:p>
    <w:p>
      <w:pPr>
        <w:pStyle w:val="Heading5"/>
        <w:ind w:left="112" w:firstLine="0"/>
      </w:pPr>
      <w:r>
        <w:rPr/>
        <w:t>15.1.1</w:t>
      </w:r>
      <w:r>
        <w:rPr>
          <w:spacing w:val="42"/>
        </w:rPr>
        <w:t> </w:t>
      </w:r>
      <w:r>
        <w:rPr>
          <w:spacing w:val="-4"/>
        </w:rPr>
        <w:t>1080</w:t>
      </w:r>
    </w:p>
    <w:p>
      <w:pPr>
        <w:pStyle w:val="BodyText"/>
        <w:spacing w:before="56"/>
        <w:ind w:left="112"/>
      </w:pPr>
      <w:r>
        <w:rPr/>
        <w:t>After ingestion by an animal, fluoroacetate (the toxic principle of 1080) undergoes metabolic conversion to fluorocitrate.</w:t>
      </w:r>
      <w:r>
        <w:rPr>
          <w:spacing w:val="-2"/>
        </w:rPr>
        <w:t> </w:t>
      </w:r>
      <w:r>
        <w:rPr/>
        <w:t>There is</w:t>
      </w:r>
      <w:r>
        <w:rPr>
          <w:spacing w:val="-1"/>
        </w:rPr>
        <w:t> </w:t>
      </w:r>
      <w:r>
        <w:rPr/>
        <w:t>a</w:t>
      </w:r>
      <w:r>
        <w:rPr>
          <w:spacing w:val="-3"/>
        </w:rPr>
        <w:t> </w:t>
      </w:r>
      <w:r>
        <w:rPr/>
        <w:t>variable</w:t>
      </w:r>
      <w:r>
        <w:rPr>
          <w:spacing w:val="-2"/>
        </w:rPr>
        <w:t> </w:t>
      </w:r>
      <w:r>
        <w:rPr/>
        <w:t>latent</w:t>
      </w:r>
      <w:r>
        <w:rPr>
          <w:spacing w:val="-2"/>
        </w:rPr>
        <w:t> </w:t>
      </w:r>
      <w:r>
        <w:rPr/>
        <w:t>period (30 min to</w:t>
      </w:r>
      <w:r>
        <w:rPr>
          <w:spacing w:val="-2"/>
        </w:rPr>
        <w:t> </w:t>
      </w:r>
      <w:r>
        <w:rPr/>
        <w:t>3</w:t>
      </w:r>
      <w:r>
        <w:rPr>
          <w:spacing w:val="-2"/>
        </w:rPr>
        <w:t> </w:t>
      </w:r>
      <w:r>
        <w:rPr/>
        <w:t>hrs in</w:t>
      </w:r>
      <w:r>
        <w:rPr>
          <w:spacing w:val="-2"/>
        </w:rPr>
        <w:t> </w:t>
      </w:r>
      <w:r>
        <w:rPr/>
        <w:t>mammals) between</w:t>
      </w:r>
      <w:r>
        <w:rPr>
          <w:spacing w:val="-3"/>
        </w:rPr>
        <w:t> </w:t>
      </w:r>
      <w:r>
        <w:rPr/>
        <w:t>the</w:t>
      </w:r>
      <w:r>
        <w:rPr>
          <w:spacing w:val="-2"/>
        </w:rPr>
        <w:t> </w:t>
      </w:r>
      <w:r>
        <w:rPr/>
        <w:t>time fluoroacetate</w:t>
      </w:r>
      <w:r>
        <w:rPr>
          <w:spacing w:val="-1"/>
        </w:rPr>
        <w:t> </w:t>
      </w:r>
      <w:r>
        <w:rPr/>
        <w:t>is ingested and signs of poisoning first appear. This is assumed to be the time required for fluoroacetate to be absorbed,</w:t>
      </w:r>
      <w:r>
        <w:rPr>
          <w:spacing w:val="-3"/>
        </w:rPr>
        <w:t> </w:t>
      </w:r>
      <w:r>
        <w:rPr/>
        <w:t>to</w:t>
      </w:r>
      <w:r>
        <w:rPr>
          <w:spacing w:val="-1"/>
        </w:rPr>
        <w:t> </w:t>
      </w:r>
      <w:r>
        <w:rPr/>
        <w:t>penetrate</w:t>
      </w:r>
      <w:r>
        <w:rPr>
          <w:spacing w:val="-3"/>
        </w:rPr>
        <w:t> </w:t>
      </w:r>
      <w:r>
        <w:rPr/>
        <w:t>cells,</w:t>
      </w:r>
      <w:r>
        <w:rPr>
          <w:spacing w:val="-3"/>
        </w:rPr>
        <w:t> </w:t>
      </w:r>
      <w:r>
        <w:rPr/>
        <w:t>be</w:t>
      </w:r>
      <w:r>
        <w:rPr>
          <w:spacing w:val="-3"/>
        </w:rPr>
        <w:t> </w:t>
      </w:r>
      <w:r>
        <w:rPr/>
        <w:t>metabolised</w:t>
      </w:r>
      <w:r>
        <w:rPr>
          <w:spacing w:val="-2"/>
        </w:rPr>
        <w:t> </w:t>
      </w:r>
      <w:r>
        <w:rPr/>
        <w:t>to</w:t>
      </w:r>
      <w:r>
        <w:rPr>
          <w:spacing w:val="-4"/>
        </w:rPr>
        <w:t> </w:t>
      </w:r>
      <w:r>
        <w:rPr/>
        <w:t>fluorocitrate</w:t>
      </w:r>
      <w:r>
        <w:rPr>
          <w:spacing w:val="-2"/>
        </w:rPr>
        <w:t> </w:t>
      </w:r>
      <w:r>
        <w:rPr/>
        <w:t>in</w:t>
      </w:r>
      <w:r>
        <w:rPr>
          <w:spacing w:val="-1"/>
        </w:rPr>
        <w:t> </w:t>
      </w:r>
      <w:r>
        <w:rPr/>
        <w:t>mitochondria</w:t>
      </w:r>
      <w:r>
        <w:rPr>
          <w:spacing w:val="-3"/>
        </w:rPr>
        <w:t> </w:t>
      </w:r>
      <w:r>
        <w:rPr/>
        <w:t>and</w:t>
      </w:r>
      <w:r>
        <w:rPr>
          <w:spacing w:val="-3"/>
        </w:rPr>
        <w:t> </w:t>
      </w:r>
      <w:r>
        <w:rPr/>
        <w:t>then</w:t>
      </w:r>
      <w:r>
        <w:rPr>
          <w:spacing w:val="-1"/>
        </w:rPr>
        <w:t> </w:t>
      </w:r>
      <w:r>
        <w:rPr/>
        <w:t>begin</w:t>
      </w:r>
      <w:r>
        <w:rPr>
          <w:spacing w:val="-3"/>
        </w:rPr>
        <w:t> </w:t>
      </w:r>
      <w:r>
        <w:rPr/>
        <w:t>to</w:t>
      </w:r>
      <w:r>
        <w:rPr>
          <w:spacing w:val="-3"/>
        </w:rPr>
        <w:t> </w:t>
      </w:r>
      <w:r>
        <w:rPr/>
        <w:t>disrupt</w:t>
      </w:r>
      <w:r>
        <w:rPr>
          <w:spacing w:val="-3"/>
        </w:rPr>
        <w:t> </w:t>
      </w:r>
      <w:r>
        <w:rPr/>
        <w:t>cellular processes. The latent period is likely to be associated with minimal pain or distress (e.g. Marks et al. 2000).</w:t>
      </w:r>
    </w:p>
    <w:p>
      <w:pPr>
        <w:pStyle w:val="BodyText"/>
        <w:spacing w:before="121"/>
        <w:ind w:left="112" w:right="380"/>
      </w:pPr>
      <w:r>
        <w:rPr/>
        <w:t>Fluorocitrate inhibits the tricarboxylic acid cycle (TCA) enzyme aconitase and mitochondrial</w:t>
      </w:r>
      <w:r>
        <w:rPr>
          <w:spacing w:val="-1"/>
        </w:rPr>
        <w:t> </w:t>
      </w:r>
      <w:r>
        <w:rPr/>
        <w:t>citrate transport. The resulting block in the TCA cycle, and the inhibition of citrate transport mechanisms, ultimately result in the accumulation of citrate in the tissues and plasma, energy deprivation and death (Beausoleil et al. 2010). The earliest effects of 1080 poisoning appear to occur in cells or organs with high energy demands, e.g. cardiac muscle. Death is likely a multifactorial event and includes the occurrence of neurotoxic effects in highly sensitive species (e.g. canids). The neurotoxic effects of fluorocitrate may result from citrate as an inhibitor</w:t>
      </w:r>
      <w:r>
        <w:rPr>
          <w:spacing w:val="-4"/>
        </w:rPr>
        <w:t> </w:t>
      </w:r>
      <w:r>
        <w:rPr/>
        <w:t>of</w:t>
      </w:r>
      <w:r>
        <w:rPr>
          <w:spacing w:val="-4"/>
        </w:rPr>
        <w:t> </w:t>
      </w:r>
      <w:r>
        <w:rPr/>
        <w:t>the</w:t>
      </w:r>
      <w:r>
        <w:rPr>
          <w:spacing w:val="-4"/>
        </w:rPr>
        <w:t> </w:t>
      </w:r>
      <w:r>
        <w:rPr/>
        <w:t>production</w:t>
      </w:r>
      <w:r>
        <w:rPr>
          <w:spacing w:val="-5"/>
        </w:rPr>
        <w:t> </w:t>
      </w:r>
      <w:r>
        <w:rPr/>
        <w:t>of</w:t>
      </w:r>
      <w:r>
        <w:rPr>
          <w:spacing w:val="-4"/>
        </w:rPr>
        <w:t> </w:t>
      </w:r>
      <w:r>
        <w:rPr/>
        <w:t>acetylcholine,</w:t>
      </w:r>
      <w:r>
        <w:rPr>
          <w:spacing w:val="-3"/>
        </w:rPr>
        <w:t> </w:t>
      </w:r>
      <w:r>
        <w:rPr/>
        <w:t>the</w:t>
      </w:r>
      <w:r>
        <w:rPr>
          <w:spacing w:val="-3"/>
        </w:rPr>
        <w:t> </w:t>
      </w:r>
      <w:r>
        <w:rPr/>
        <w:t>main</w:t>
      </w:r>
      <w:r>
        <w:rPr>
          <w:spacing w:val="-3"/>
        </w:rPr>
        <w:t> </w:t>
      </w:r>
      <w:r>
        <w:rPr/>
        <w:t>neurotransmitter</w:t>
      </w:r>
      <w:r>
        <w:rPr>
          <w:spacing w:val="-2"/>
        </w:rPr>
        <w:t> </w:t>
      </w:r>
      <w:r>
        <w:rPr/>
        <w:t>involved</w:t>
      </w:r>
      <w:r>
        <w:rPr>
          <w:spacing w:val="-3"/>
        </w:rPr>
        <w:t> </w:t>
      </w:r>
      <w:r>
        <w:rPr/>
        <w:t>in</w:t>
      </w:r>
      <w:r>
        <w:rPr>
          <w:spacing w:val="-4"/>
        </w:rPr>
        <w:t> </w:t>
      </w:r>
      <w:r>
        <w:rPr/>
        <w:t>the</w:t>
      </w:r>
      <w:r>
        <w:rPr>
          <w:spacing w:val="-5"/>
        </w:rPr>
        <w:t> </w:t>
      </w:r>
      <w:r>
        <w:rPr/>
        <w:t>communication</w:t>
      </w:r>
      <w:r>
        <w:rPr>
          <w:spacing w:val="-3"/>
        </w:rPr>
        <w:t> </w:t>
      </w:r>
      <w:r>
        <w:rPr/>
        <w:t>between muscles and their associated nerve junctions (Beausoleil et al. 2010).</w:t>
      </w:r>
    </w:p>
    <w:p>
      <w:pPr>
        <w:pStyle w:val="BodyText"/>
        <w:spacing w:before="121"/>
        <w:ind w:left="112" w:right="295"/>
      </w:pPr>
      <w:r>
        <w:rPr/>
        <w:t>As a generalised observation of signs of 1080 poisoning, herbivores experience cardiac failure, whereas carnivores experience central nervous system (CNS) disturbances and convulsions and die of respiratory failure. Some species, usually omnivores such as pigs, can be equally affected by both CNS and cardiac signs. After the onset of clinical signs when there is little or no CNS disturbance, it is likely that they could experience distress, confusion, anxiety and pain (Marks et al. 2000). In the later stages, when severe CNS dysfunction has developed, it is unknown if animals are perceiving pain. 1080 impairs neurological function (including some pain receptors), so it is difficult to interpret the behaviour of affected animals, or to assess their ability to experience discomfort and pain (Twigg and Parker 2010). Perception of pain by an animal requires that it is conscious, and it is difficult to assess if 1080-affected animals are conscious after collapse and</w:t>
      </w:r>
      <w:r>
        <w:rPr>
          <w:spacing w:val="-2"/>
        </w:rPr>
        <w:t> </w:t>
      </w:r>
      <w:r>
        <w:rPr/>
        <w:t>during</w:t>
      </w:r>
      <w:r>
        <w:rPr>
          <w:spacing w:val="-5"/>
        </w:rPr>
        <w:t> </w:t>
      </w:r>
      <w:r>
        <w:rPr/>
        <w:t>convulsive</w:t>
      </w:r>
      <w:r>
        <w:rPr>
          <w:spacing w:val="-2"/>
        </w:rPr>
        <w:t> </w:t>
      </w:r>
      <w:r>
        <w:rPr/>
        <w:t>episodes</w:t>
      </w:r>
      <w:r>
        <w:rPr>
          <w:spacing w:val="-3"/>
        </w:rPr>
        <w:t> </w:t>
      </w:r>
      <w:r>
        <w:rPr/>
        <w:t>(Sherley</w:t>
      </w:r>
      <w:r>
        <w:rPr>
          <w:spacing w:val="-3"/>
        </w:rPr>
        <w:t> </w:t>
      </w:r>
      <w:r>
        <w:rPr/>
        <w:t>2007).</w:t>
      </w:r>
      <w:r>
        <w:rPr>
          <w:spacing w:val="-4"/>
        </w:rPr>
        <w:t> </w:t>
      </w:r>
      <w:r>
        <w:rPr/>
        <w:t>If</w:t>
      </w:r>
      <w:r>
        <w:rPr>
          <w:spacing w:val="-2"/>
        </w:rPr>
        <w:t> </w:t>
      </w:r>
      <w:r>
        <w:rPr/>
        <w:t>animals</w:t>
      </w:r>
      <w:r>
        <w:rPr>
          <w:spacing w:val="-3"/>
        </w:rPr>
        <w:t> </w:t>
      </w:r>
      <w:r>
        <w:rPr/>
        <w:t>are</w:t>
      </w:r>
      <w:r>
        <w:rPr>
          <w:spacing w:val="-4"/>
        </w:rPr>
        <w:t> </w:t>
      </w:r>
      <w:r>
        <w:rPr/>
        <w:t>conscious</w:t>
      </w:r>
      <w:r>
        <w:rPr>
          <w:spacing w:val="-3"/>
        </w:rPr>
        <w:t> </w:t>
      </w:r>
      <w:r>
        <w:rPr/>
        <w:t>during</w:t>
      </w:r>
      <w:r>
        <w:rPr>
          <w:spacing w:val="-5"/>
        </w:rPr>
        <w:t> </w:t>
      </w:r>
      <w:r>
        <w:rPr/>
        <w:t>the</w:t>
      </w:r>
      <w:r>
        <w:rPr>
          <w:spacing w:val="-5"/>
        </w:rPr>
        <w:t> </w:t>
      </w:r>
      <w:r>
        <w:rPr/>
        <w:t>convulsive</w:t>
      </w:r>
      <w:r>
        <w:rPr>
          <w:spacing w:val="-4"/>
        </w:rPr>
        <w:t> </w:t>
      </w:r>
      <w:r>
        <w:rPr/>
        <w:t>episodes</w:t>
      </w:r>
      <w:r>
        <w:rPr>
          <w:spacing w:val="-3"/>
        </w:rPr>
        <w:t> </w:t>
      </w:r>
      <w:r>
        <w:rPr/>
        <w:t>or</w:t>
      </w:r>
      <w:r>
        <w:rPr>
          <w:spacing w:val="-1"/>
        </w:rPr>
        <w:t> </w:t>
      </w:r>
      <w:r>
        <w:rPr/>
        <w:t>if they become conscious afterwards, it is possible that they may experience pain and/or anxiety.</w:t>
      </w:r>
    </w:p>
    <w:p>
      <w:pPr>
        <w:pStyle w:val="BodyText"/>
        <w:spacing w:before="120"/>
        <w:ind w:left="112" w:right="364"/>
      </w:pPr>
      <w:r>
        <w:rPr/>
        <w:t>As</w:t>
      </w:r>
      <w:r>
        <w:rPr>
          <w:spacing w:val="-3"/>
        </w:rPr>
        <w:t> </w:t>
      </w:r>
      <w:r>
        <w:rPr/>
        <w:t>the</w:t>
      </w:r>
      <w:r>
        <w:rPr>
          <w:spacing w:val="-2"/>
        </w:rPr>
        <w:t> </w:t>
      </w:r>
      <w:r>
        <w:rPr/>
        <w:t>latent</w:t>
      </w:r>
      <w:r>
        <w:rPr>
          <w:spacing w:val="-2"/>
        </w:rPr>
        <w:t> </w:t>
      </w:r>
      <w:r>
        <w:rPr/>
        <w:t>period</w:t>
      </w:r>
      <w:r>
        <w:rPr>
          <w:spacing w:val="-3"/>
        </w:rPr>
        <w:t> </w:t>
      </w:r>
      <w:r>
        <w:rPr/>
        <w:t>of</w:t>
      </w:r>
      <w:r>
        <w:rPr>
          <w:spacing w:val="-4"/>
        </w:rPr>
        <w:t> </w:t>
      </w:r>
      <w:r>
        <w:rPr/>
        <w:t>1080</w:t>
      </w:r>
      <w:r>
        <w:rPr>
          <w:spacing w:val="-2"/>
        </w:rPr>
        <w:t> </w:t>
      </w:r>
      <w:r>
        <w:rPr/>
        <w:t>poisoning</w:t>
      </w:r>
      <w:r>
        <w:rPr>
          <w:spacing w:val="-3"/>
        </w:rPr>
        <w:t> </w:t>
      </w:r>
      <w:r>
        <w:rPr/>
        <w:t>is</w:t>
      </w:r>
      <w:r>
        <w:rPr>
          <w:spacing w:val="-3"/>
        </w:rPr>
        <w:t> </w:t>
      </w:r>
      <w:r>
        <w:rPr/>
        <w:t>variable</w:t>
      </w:r>
      <w:r>
        <w:rPr>
          <w:spacing w:val="-2"/>
        </w:rPr>
        <w:t> </w:t>
      </w:r>
      <w:r>
        <w:rPr/>
        <w:t>between</w:t>
      </w:r>
      <w:r>
        <w:rPr>
          <w:spacing w:val="-4"/>
        </w:rPr>
        <w:t> </w:t>
      </w:r>
      <w:r>
        <w:rPr/>
        <w:t>species</w:t>
      </w:r>
      <w:r>
        <w:rPr>
          <w:spacing w:val="-3"/>
        </w:rPr>
        <w:t> </w:t>
      </w:r>
      <w:r>
        <w:rPr/>
        <w:t>and</w:t>
      </w:r>
      <w:r>
        <w:rPr>
          <w:spacing w:val="-5"/>
        </w:rPr>
        <w:t> </w:t>
      </w:r>
      <w:r>
        <w:rPr/>
        <w:t>between</w:t>
      </w:r>
      <w:r>
        <w:rPr>
          <w:spacing w:val="-2"/>
        </w:rPr>
        <w:t> </w:t>
      </w:r>
      <w:r>
        <w:rPr/>
        <w:t>individual</w:t>
      </w:r>
      <w:r>
        <w:rPr>
          <w:spacing w:val="-5"/>
        </w:rPr>
        <w:t> </w:t>
      </w:r>
      <w:r>
        <w:rPr/>
        <w:t>animals,</w:t>
      </w:r>
      <w:r>
        <w:rPr>
          <w:spacing w:val="-4"/>
        </w:rPr>
        <w:t> </w:t>
      </w:r>
      <w:r>
        <w:rPr/>
        <w:t>so</w:t>
      </w:r>
      <w:r>
        <w:rPr>
          <w:spacing w:val="-4"/>
        </w:rPr>
        <w:t> </w:t>
      </w:r>
      <w:r>
        <w:rPr/>
        <w:t>too</w:t>
      </w:r>
      <w:r>
        <w:rPr>
          <w:spacing w:val="-4"/>
        </w:rPr>
        <w:t> </w:t>
      </w:r>
      <w:r>
        <w:rPr/>
        <w:t>is the time to death. However, the humaneness score for 1080 is the same across species (Table 13). In an experimental study of foxes dosed with 1080 in meat baits, there was a mean time of 4.05 hours between dosage and onset of clinical signs, and a mean of 1.57 hours from the onset of clinical signs until death (Marks et</w:t>
      </w:r>
      <w:r>
        <w:rPr>
          <w:spacing w:val="-2"/>
        </w:rPr>
        <w:t> </w:t>
      </w:r>
      <w:r>
        <w:rPr/>
        <w:t>al. 2000).</w:t>
      </w:r>
      <w:r>
        <w:rPr>
          <w:spacing w:val="-2"/>
        </w:rPr>
        <w:t> </w:t>
      </w:r>
      <w:r>
        <w:rPr/>
        <w:t>McIlroy (1982)</w:t>
      </w:r>
      <w:r>
        <w:rPr>
          <w:spacing w:val="-1"/>
        </w:rPr>
        <w:t> </w:t>
      </w:r>
      <w:r>
        <w:rPr/>
        <w:t>reported</w:t>
      </w:r>
      <w:r>
        <w:rPr>
          <w:spacing w:val="-2"/>
        </w:rPr>
        <w:t> </w:t>
      </w:r>
      <w:r>
        <w:rPr/>
        <w:t>latent</w:t>
      </w:r>
      <w:r>
        <w:rPr>
          <w:spacing w:val="-2"/>
        </w:rPr>
        <w:t> </w:t>
      </w:r>
      <w:r>
        <w:rPr/>
        <w:t>periods</w:t>
      </w:r>
      <w:r>
        <w:rPr>
          <w:spacing w:val="-1"/>
        </w:rPr>
        <w:t> </w:t>
      </w:r>
      <w:r>
        <w:rPr/>
        <w:t>in rabbits</w:t>
      </w:r>
      <w:r>
        <w:rPr>
          <w:spacing w:val="-1"/>
        </w:rPr>
        <w:t> </w:t>
      </w:r>
      <w:r>
        <w:rPr/>
        <w:t>of 1.1–10.1</w:t>
      </w:r>
      <w:r>
        <w:rPr>
          <w:spacing w:val="-2"/>
        </w:rPr>
        <w:t> </w:t>
      </w:r>
      <w:r>
        <w:rPr/>
        <w:t>hours</w:t>
      </w:r>
      <w:r>
        <w:rPr>
          <w:spacing w:val="-1"/>
        </w:rPr>
        <w:t> </w:t>
      </w:r>
      <w:r>
        <w:rPr/>
        <w:t>and times</w:t>
      </w:r>
      <w:r>
        <w:rPr>
          <w:spacing w:val="-1"/>
        </w:rPr>
        <w:t> </w:t>
      </w:r>
      <w:r>
        <w:rPr/>
        <w:t>to</w:t>
      </w:r>
      <w:r>
        <w:rPr>
          <w:spacing w:val="-1"/>
        </w:rPr>
        <w:t> </w:t>
      </w:r>
      <w:r>
        <w:rPr/>
        <w:t>death</w:t>
      </w:r>
      <w:r>
        <w:rPr>
          <w:spacing w:val="-3"/>
        </w:rPr>
        <w:t> </w:t>
      </w:r>
      <w:r>
        <w:rPr/>
        <w:t>of 3.0–44.3 hours. In pigs, first signs of poisoning appeared within 1.9–47.3 hours of dosing with 1080 and deaths occurred 2.8–80.0 hours afterwards (McIlroy 1983). A study involving oral dosing of Dingoes with 1080 recorded latent periods of 4.8–14.6 hours and time until death in the range of 5.3–10.8 hours (McIlroy </w:t>
      </w:r>
      <w:r>
        <w:rPr>
          <w:spacing w:val="-2"/>
        </w:rPr>
        <w:t>1981).</w:t>
      </w:r>
    </w:p>
    <w:p>
      <w:pPr>
        <w:pStyle w:val="Heading5"/>
        <w:numPr>
          <w:ilvl w:val="2"/>
          <w:numId w:val="24"/>
        </w:numPr>
        <w:tabs>
          <w:tab w:pos="831" w:val="left" w:leader="none"/>
        </w:tabs>
        <w:spacing w:line="240" w:lineRule="auto" w:before="139" w:after="0"/>
        <w:ind w:left="831" w:right="0" w:hanging="719"/>
        <w:jc w:val="left"/>
      </w:pPr>
      <w:r>
        <w:rPr>
          <w:spacing w:val="-4"/>
        </w:rPr>
        <w:t>PAPP</w:t>
      </w:r>
    </w:p>
    <w:p>
      <w:pPr>
        <w:pStyle w:val="BodyText"/>
        <w:spacing w:before="59"/>
        <w:ind w:left="112" w:right="247"/>
      </w:pPr>
      <w:r>
        <w:rPr/>
        <w:t>With</w:t>
      </w:r>
      <w:r>
        <w:rPr>
          <w:spacing w:val="-4"/>
        </w:rPr>
        <w:t> </w:t>
      </w:r>
      <w:r>
        <w:rPr/>
        <w:t>PAPP,</w:t>
      </w:r>
      <w:r>
        <w:rPr>
          <w:spacing w:val="-2"/>
        </w:rPr>
        <w:t> </w:t>
      </w:r>
      <w:r>
        <w:rPr/>
        <w:t>insensibility</w:t>
      </w:r>
      <w:r>
        <w:rPr>
          <w:spacing w:val="-3"/>
        </w:rPr>
        <w:t> </w:t>
      </w:r>
      <w:r>
        <w:rPr/>
        <w:t>only</w:t>
      </w:r>
      <w:r>
        <w:rPr>
          <w:spacing w:val="-3"/>
        </w:rPr>
        <w:t> </w:t>
      </w:r>
      <w:r>
        <w:rPr/>
        <w:t>occurs</w:t>
      </w:r>
      <w:r>
        <w:rPr>
          <w:spacing w:val="-2"/>
        </w:rPr>
        <w:t> </w:t>
      </w:r>
      <w:r>
        <w:rPr/>
        <w:t>just</w:t>
      </w:r>
      <w:r>
        <w:rPr>
          <w:spacing w:val="-4"/>
        </w:rPr>
        <w:t> </w:t>
      </w:r>
      <w:r>
        <w:rPr/>
        <w:t>prior</w:t>
      </w:r>
      <w:r>
        <w:rPr>
          <w:spacing w:val="-4"/>
        </w:rPr>
        <w:t> </w:t>
      </w:r>
      <w:r>
        <w:rPr/>
        <w:t>to</w:t>
      </w:r>
      <w:r>
        <w:rPr>
          <w:spacing w:val="-4"/>
        </w:rPr>
        <w:t> </w:t>
      </w:r>
      <w:r>
        <w:rPr/>
        <w:t>death and</w:t>
      </w:r>
      <w:r>
        <w:rPr>
          <w:spacing w:val="-4"/>
        </w:rPr>
        <w:t> </w:t>
      </w:r>
      <w:r>
        <w:rPr/>
        <w:t>the</w:t>
      </w:r>
      <w:r>
        <w:rPr>
          <w:spacing w:val="-3"/>
        </w:rPr>
        <w:t> </w:t>
      </w:r>
      <w:r>
        <w:rPr/>
        <w:t>period</w:t>
      </w:r>
      <w:r>
        <w:rPr>
          <w:spacing w:val="-5"/>
        </w:rPr>
        <w:t> </w:t>
      </w:r>
      <w:r>
        <w:rPr/>
        <w:t>from</w:t>
      </w:r>
      <w:r>
        <w:rPr>
          <w:spacing w:val="-4"/>
        </w:rPr>
        <w:t> </w:t>
      </w:r>
      <w:r>
        <w:rPr/>
        <w:t>collapse</w:t>
      </w:r>
      <w:r>
        <w:rPr>
          <w:spacing w:val="-4"/>
        </w:rPr>
        <w:t> </w:t>
      </w:r>
      <w:r>
        <w:rPr/>
        <w:t>to</w:t>
      </w:r>
      <w:r>
        <w:rPr>
          <w:spacing w:val="-2"/>
        </w:rPr>
        <w:t> </w:t>
      </w:r>
      <w:r>
        <w:rPr/>
        <w:t>death</w:t>
      </w:r>
      <w:r>
        <w:rPr>
          <w:spacing w:val="-4"/>
        </w:rPr>
        <w:t> </w:t>
      </w:r>
      <w:r>
        <w:rPr/>
        <w:t>can</w:t>
      </w:r>
      <w:r>
        <w:rPr>
          <w:spacing w:val="-3"/>
        </w:rPr>
        <w:t> </w:t>
      </w:r>
      <w:r>
        <w:rPr/>
        <w:t>be</w:t>
      </w:r>
      <w:r>
        <w:rPr>
          <w:spacing w:val="-5"/>
        </w:rPr>
        <w:t> </w:t>
      </w:r>
      <w:r>
        <w:rPr/>
        <w:t>variable. During the period from collapse to insensibility, when poisoned canids are incapacitated, they are potentially vulnerable to a range of welfare impacts such as predation, injury, environmental exposure, and distress resulting from not being able to perform normal behaviours. The longer this period of vulnerability, the more severe the welfare impact prior to death.</w:t>
      </w:r>
    </w:p>
    <w:p>
      <w:pPr>
        <w:pStyle w:val="BodyText"/>
        <w:spacing w:before="119"/>
        <w:ind w:left="112" w:right="427"/>
      </w:pPr>
      <w:r>
        <w:rPr/>
        <w:t>As described in the national SOPs for Wild Dogs (</w:t>
      </w:r>
      <w:hyperlink r:id="rId78">
        <w:r>
          <w:rPr>
            <w:color w:val="0000FF"/>
            <w:u w:val="single" w:color="0000FF"/>
          </w:rPr>
          <w:t>https://pestsmart.org.au/toolkit-resource/baiting-of-wild-</w:t>
        </w:r>
      </w:hyperlink>
      <w:r>
        <w:rPr>
          <w:color w:val="0000FF"/>
          <w:u w:val="none"/>
        </w:rPr>
        <w:t> </w:t>
      </w:r>
      <w:hyperlink r:id="rId78">
        <w:r>
          <w:rPr>
            <w:color w:val="0000FF"/>
            <w:u w:val="single" w:color="0000FF"/>
          </w:rPr>
          <w:t>dogs-with-papp/</w:t>
        </w:r>
      </w:hyperlink>
      <w:r>
        <w:rPr>
          <w:color w:val="0000FF"/>
          <w:u w:val="none"/>
        </w:rPr>
        <w:t> </w:t>
      </w:r>
      <w:r>
        <w:rPr>
          <w:u w:val="none"/>
        </w:rPr>
        <w:t>) and foxes (</w:t>
      </w:r>
      <w:hyperlink r:id="rId79">
        <w:r>
          <w:rPr>
            <w:color w:val="0000FF"/>
            <w:u w:val="single" w:color="0000FF"/>
          </w:rPr>
          <w:t>https://pestsmart.org.au/toolkit-resource/baiting-of-foxes-with-para-</w:t>
        </w:r>
      </w:hyperlink>
      <w:r>
        <w:rPr>
          <w:color w:val="0000FF"/>
          <w:u w:val="none"/>
        </w:rPr>
        <w:t> </w:t>
      </w:r>
      <w:hyperlink r:id="rId79">
        <w:r>
          <w:rPr>
            <w:color w:val="0000FF"/>
            <w:u w:val="single" w:color="0000FF"/>
          </w:rPr>
          <w:t>aminopropiophenone-papp/</w:t>
        </w:r>
      </w:hyperlink>
      <w:r>
        <w:rPr>
          <w:u w:val="none"/>
        </w:rPr>
        <w:t>),</w:t>
      </w:r>
      <w:r>
        <w:rPr>
          <w:spacing w:val="-4"/>
          <w:u w:val="none"/>
        </w:rPr>
        <w:t> </w:t>
      </w:r>
      <w:r>
        <w:rPr>
          <w:u w:val="none"/>
        </w:rPr>
        <w:t>there</w:t>
      </w:r>
      <w:r>
        <w:rPr>
          <w:spacing w:val="-3"/>
          <w:u w:val="none"/>
        </w:rPr>
        <w:t> </w:t>
      </w:r>
      <w:r>
        <w:rPr>
          <w:u w:val="none"/>
        </w:rPr>
        <w:t>is</w:t>
      </w:r>
      <w:r>
        <w:rPr>
          <w:spacing w:val="-4"/>
          <w:u w:val="none"/>
        </w:rPr>
        <w:t> </w:t>
      </w:r>
      <w:r>
        <w:rPr>
          <w:u w:val="none"/>
        </w:rPr>
        <w:t>a</w:t>
      </w:r>
      <w:r>
        <w:rPr>
          <w:spacing w:val="-3"/>
          <w:u w:val="none"/>
        </w:rPr>
        <w:t> </w:t>
      </w:r>
      <w:r>
        <w:rPr>
          <w:u w:val="none"/>
        </w:rPr>
        <w:t>lag</w:t>
      </w:r>
      <w:r>
        <w:rPr>
          <w:spacing w:val="-4"/>
          <w:u w:val="none"/>
        </w:rPr>
        <w:t> </w:t>
      </w:r>
      <w:r>
        <w:rPr>
          <w:u w:val="none"/>
        </w:rPr>
        <w:t>period</w:t>
      </w:r>
      <w:r>
        <w:rPr>
          <w:spacing w:val="-4"/>
          <w:u w:val="none"/>
        </w:rPr>
        <w:t> </w:t>
      </w:r>
      <w:r>
        <w:rPr>
          <w:u w:val="none"/>
        </w:rPr>
        <w:t>before</w:t>
      </w:r>
      <w:r>
        <w:rPr>
          <w:spacing w:val="-4"/>
          <w:u w:val="none"/>
        </w:rPr>
        <w:t> </w:t>
      </w:r>
      <w:r>
        <w:rPr>
          <w:u w:val="none"/>
        </w:rPr>
        <w:t>signs</w:t>
      </w:r>
      <w:r>
        <w:rPr>
          <w:spacing w:val="-2"/>
          <w:u w:val="none"/>
        </w:rPr>
        <w:t> </w:t>
      </w:r>
      <w:r>
        <w:rPr>
          <w:u w:val="none"/>
        </w:rPr>
        <w:t>of</w:t>
      </w:r>
      <w:r>
        <w:rPr>
          <w:spacing w:val="-4"/>
          <w:u w:val="none"/>
        </w:rPr>
        <w:t> </w:t>
      </w:r>
      <w:r>
        <w:rPr>
          <w:u w:val="none"/>
        </w:rPr>
        <w:t>toxicosis</w:t>
      </w:r>
      <w:r>
        <w:rPr>
          <w:spacing w:val="-4"/>
          <w:u w:val="none"/>
        </w:rPr>
        <w:t> </w:t>
      </w:r>
      <w:r>
        <w:rPr>
          <w:u w:val="none"/>
        </w:rPr>
        <w:t>such</w:t>
      </w:r>
      <w:r>
        <w:rPr>
          <w:spacing w:val="-4"/>
          <w:u w:val="none"/>
        </w:rPr>
        <w:t> </w:t>
      </w:r>
      <w:r>
        <w:rPr>
          <w:u w:val="none"/>
        </w:rPr>
        <w:t>as</w:t>
      </w:r>
      <w:r>
        <w:rPr>
          <w:spacing w:val="-1"/>
          <w:u w:val="none"/>
        </w:rPr>
        <w:t> </w:t>
      </w:r>
      <w:r>
        <w:rPr>
          <w:u w:val="none"/>
        </w:rPr>
        <w:t>lethargy,</w:t>
      </w:r>
      <w:r>
        <w:rPr>
          <w:spacing w:val="-4"/>
          <w:u w:val="none"/>
        </w:rPr>
        <w:t> </w:t>
      </w:r>
      <w:r>
        <w:rPr>
          <w:u w:val="none"/>
        </w:rPr>
        <w:t>ataxia</w:t>
      </w:r>
      <w:r>
        <w:rPr>
          <w:spacing w:val="-4"/>
          <w:u w:val="none"/>
        </w:rPr>
        <w:t> </w:t>
      </w:r>
      <w:r>
        <w:rPr>
          <w:u w:val="none"/>
        </w:rPr>
        <w:t>(difficulty maintaining balance), salivation and increased heart rate are observed following the ingestion of PAPP. As methaemoglobin levels increase, cyanosis—blue colouration of the mucous membranes due to</w:t>
      </w:r>
    </w:p>
    <w:p>
      <w:pPr>
        <w:tabs>
          <w:tab w:pos="9529" w:val="left" w:leader="none"/>
        </w:tabs>
        <w:spacing w:before="91"/>
        <w:ind w:left="5319"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84</w:t>
      </w:r>
    </w:p>
    <w:p>
      <w:pPr>
        <w:spacing w:after="0"/>
        <w:jc w:val="left"/>
        <w:rPr>
          <w:sz w:val="20"/>
        </w:rPr>
        <w:sectPr>
          <w:footerReference w:type="even" r:id="rId77"/>
          <w:pgSz w:w="11910" w:h="16850"/>
          <w:pgMar w:header="0" w:footer="0" w:top="1340" w:bottom="280" w:left="1020" w:right="780"/>
        </w:sectPr>
      </w:pPr>
    </w:p>
    <w:p>
      <w:pPr>
        <w:pStyle w:val="BodyText"/>
        <w:spacing w:before="71"/>
        <w:ind w:left="112" w:right="386"/>
      </w:pPr>
      <w:r>
        <w:rPr/>
        <w:t>deoxygenated haemoglobin in blood vessels near the skin surface—becomes evident, particularly around</w:t>
      </w:r>
      <w:r>
        <w:rPr>
          <w:spacing w:val="40"/>
        </w:rPr>
        <w:t> </w:t>
      </w:r>
      <w:r>
        <w:rPr/>
        <w:t>the</w:t>
      </w:r>
      <w:r>
        <w:rPr>
          <w:spacing w:val="-5"/>
        </w:rPr>
        <w:t> </w:t>
      </w:r>
      <w:r>
        <w:rPr/>
        <w:t>tongue</w:t>
      </w:r>
      <w:r>
        <w:rPr>
          <w:spacing w:val="-5"/>
        </w:rPr>
        <w:t> </w:t>
      </w:r>
      <w:r>
        <w:rPr/>
        <w:t>and</w:t>
      </w:r>
      <w:r>
        <w:rPr>
          <w:spacing w:val="-3"/>
        </w:rPr>
        <w:t> </w:t>
      </w:r>
      <w:r>
        <w:rPr/>
        <w:t>gums.</w:t>
      </w:r>
      <w:r>
        <w:rPr>
          <w:spacing w:val="-2"/>
        </w:rPr>
        <w:t> </w:t>
      </w:r>
      <w:r>
        <w:rPr/>
        <w:t>Although,</w:t>
      </w:r>
      <w:r>
        <w:rPr>
          <w:spacing w:val="-2"/>
        </w:rPr>
        <w:t> </w:t>
      </w:r>
      <w:r>
        <w:rPr/>
        <w:t>the</w:t>
      </w:r>
      <w:r>
        <w:rPr>
          <w:spacing w:val="-3"/>
        </w:rPr>
        <w:t> </w:t>
      </w:r>
      <w:r>
        <w:rPr/>
        <w:t>duration</w:t>
      </w:r>
      <w:r>
        <w:rPr>
          <w:spacing w:val="-4"/>
        </w:rPr>
        <w:t> </w:t>
      </w:r>
      <w:r>
        <w:rPr/>
        <w:t>of</w:t>
      </w:r>
      <w:r>
        <w:rPr>
          <w:spacing w:val="-2"/>
        </w:rPr>
        <w:t> </w:t>
      </w:r>
      <w:r>
        <w:rPr/>
        <w:t>the</w:t>
      </w:r>
      <w:r>
        <w:rPr>
          <w:spacing w:val="-3"/>
        </w:rPr>
        <w:t> </w:t>
      </w:r>
      <w:r>
        <w:rPr/>
        <w:t>lag</w:t>
      </w:r>
      <w:r>
        <w:rPr>
          <w:spacing w:val="-2"/>
        </w:rPr>
        <w:t> </w:t>
      </w:r>
      <w:r>
        <w:rPr/>
        <w:t>phase,</w:t>
      </w:r>
      <w:r>
        <w:rPr>
          <w:spacing w:val="-2"/>
        </w:rPr>
        <w:t> </w:t>
      </w:r>
      <w:r>
        <w:rPr/>
        <w:t>duration</w:t>
      </w:r>
      <w:r>
        <w:rPr>
          <w:spacing w:val="-4"/>
        </w:rPr>
        <w:t> </w:t>
      </w:r>
      <w:r>
        <w:rPr/>
        <w:t>and</w:t>
      </w:r>
      <w:r>
        <w:rPr>
          <w:spacing w:val="-4"/>
        </w:rPr>
        <w:t> </w:t>
      </w:r>
      <w:r>
        <w:rPr/>
        <w:t>severity</w:t>
      </w:r>
      <w:r>
        <w:rPr>
          <w:spacing w:val="-3"/>
        </w:rPr>
        <w:t> </w:t>
      </w:r>
      <w:r>
        <w:rPr/>
        <w:t>of</w:t>
      </w:r>
      <w:r>
        <w:rPr>
          <w:spacing w:val="-4"/>
        </w:rPr>
        <w:t> </w:t>
      </w:r>
      <w:r>
        <w:rPr/>
        <w:t>symptoms</w:t>
      </w:r>
      <w:r>
        <w:rPr>
          <w:spacing w:val="-3"/>
        </w:rPr>
        <w:t> </w:t>
      </w:r>
      <w:r>
        <w:rPr/>
        <w:t>and</w:t>
      </w:r>
      <w:r>
        <w:rPr>
          <w:spacing w:val="-2"/>
        </w:rPr>
        <w:t> </w:t>
      </w:r>
      <w:r>
        <w:rPr/>
        <w:t>time</w:t>
      </w:r>
      <w:r>
        <w:rPr>
          <w:spacing w:val="-4"/>
        </w:rPr>
        <w:t> </w:t>
      </w:r>
      <w:r>
        <w:rPr/>
        <w:t>to death can be variable.</w:t>
      </w:r>
    </w:p>
    <w:p>
      <w:pPr>
        <w:pStyle w:val="BodyText"/>
        <w:spacing w:before="122"/>
        <w:ind w:left="112" w:right="278"/>
      </w:pPr>
      <w:r>
        <w:rPr/>
        <w:t>In a pen study of 10 foxes, the average lag period lasted for approximately 40 minutes, clinical signs were present</w:t>
      </w:r>
      <w:r>
        <w:rPr>
          <w:spacing w:val="-3"/>
        </w:rPr>
        <w:t> </w:t>
      </w:r>
      <w:r>
        <w:rPr/>
        <w:t>for</w:t>
      </w:r>
      <w:r>
        <w:rPr>
          <w:spacing w:val="-3"/>
        </w:rPr>
        <w:t> </w:t>
      </w:r>
      <w:r>
        <w:rPr/>
        <w:t>around</w:t>
      </w:r>
      <w:r>
        <w:rPr>
          <w:spacing w:val="-2"/>
        </w:rPr>
        <w:t> </w:t>
      </w:r>
      <w:r>
        <w:rPr/>
        <w:t>an</w:t>
      </w:r>
      <w:r>
        <w:rPr>
          <w:spacing w:val="-4"/>
        </w:rPr>
        <w:t> </w:t>
      </w:r>
      <w:r>
        <w:rPr/>
        <w:t>hour and</w:t>
      </w:r>
      <w:r>
        <w:rPr>
          <w:spacing w:val="-1"/>
        </w:rPr>
        <w:t> </w:t>
      </w:r>
      <w:r>
        <w:rPr/>
        <w:t>average</w:t>
      </w:r>
      <w:r>
        <w:rPr>
          <w:spacing w:val="-1"/>
        </w:rPr>
        <w:t> </w:t>
      </w:r>
      <w:r>
        <w:rPr/>
        <w:t>time</w:t>
      </w:r>
      <w:r>
        <w:rPr>
          <w:spacing w:val="-3"/>
        </w:rPr>
        <w:t> </w:t>
      </w:r>
      <w:r>
        <w:rPr/>
        <w:t>to</w:t>
      </w:r>
      <w:r>
        <w:rPr>
          <w:spacing w:val="-3"/>
        </w:rPr>
        <w:t> </w:t>
      </w:r>
      <w:r>
        <w:rPr/>
        <w:t>death</w:t>
      </w:r>
      <w:r>
        <w:rPr>
          <w:spacing w:val="-2"/>
        </w:rPr>
        <w:t> </w:t>
      </w:r>
      <w:r>
        <w:rPr/>
        <w:t>was</w:t>
      </w:r>
      <w:r>
        <w:rPr>
          <w:spacing w:val="-2"/>
        </w:rPr>
        <w:t> </w:t>
      </w:r>
      <w:r>
        <w:rPr/>
        <w:t>around</w:t>
      </w:r>
      <w:r>
        <w:rPr>
          <w:spacing w:val="-4"/>
        </w:rPr>
        <w:t> </w:t>
      </w:r>
      <w:r>
        <w:rPr/>
        <w:t>1.5</w:t>
      </w:r>
      <w:r>
        <w:rPr>
          <w:spacing w:val="-3"/>
        </w:rPr>
        <w:t> </w:t>
      </w:r>
      <w:r>
        <w:rPr/>
        <w:t>hours</w:t>
      </w:r>
      <w:r>
        <w:rPr>
          <w:spacing w:val="-1"/>
        </w:rPr>
        <w:t> </w:t>
      </w:r>
      <w:r>
        <w:rPr/>
        <w:t>(Marks</w:t>
      </w:r>
      <w:r>
        <w:rPr>
          <w:spacing w:val="-1"/>
        </w:rPr>
        <w:t> </w:t>
      </w:r>
      <w:r>
        <w:rPr/>
        <w:t>et</w:t>
      </w:r>
      <w:r>
        <w:rPr>
          <w:spacing w:val="-3"/>
        </w:rPr>
        <w:t> </w:t>
      </w:r>
      <w:r>
        <w:rPr/>
        <w:t>al.</w:t>
      </w:r>
      <w:r>
        <w:rPr>
          <w:spacing w:val="-1"/>
        </w:rPr>
        <w:t> </w:t>
      </w:r>
      <w:r>
        <w:rPr/>
        <w:t>2004).</w:t>
      </w:r>
      <w:r>
        <w:rPr>
          <w:spacing w:val="-3"/>
        </w:rPr>
        <w:t> </w:t>
      </w:r>
      <w:r>
        <w:rPr/>
        <w:t>In</w:t>
      </w:r>
      <w:r>
        <w:rPr>
          <w:spacing w:val="-1"/>
        </w:rPr>
        <w:t> </w:t>
      </w:r>
      <w:r>
        <w:rPr/>
        <w:t>another captive trial, three of four foxes died within 3 hours after PAPP administration; the mean time to unconsciousness was 78 minutes and mean time to death was 121 minutes (Allen 2019). No behavioural signs of poisoning were observed in these foxes before death.</w:t>
      </w:r>
    </w:p>
    <w:p>
      <w:pPr>
        <w:pStyle w:val="BodyText"/>
        <w:spacing w:before="120"/>
        <w:ind w:left="112" w:right="163"/>
      </w:pPr>
      <w:r>
        <w:rPr/>
        <w:t>As reported by Allen (2019), ten of 11 Wild Dogs in controlled trials died within 3 hours after PAPP administration.</w:t>
      </w:r>
      <w:r>
        <w:rPr>
          <w:spacing w:val="-4"/>
        </w:rPr>
        <w:t> </w:t>
      </w:r>
      <w:r>
        <w:rPr/>
        <w:t>The</w:t>
      </w:r>
      <w:r>
        <w:rPr>
          <w:spacing w:val="-4"/>
        </w:rPr>
        <w:t> </w:t>
      </w:r>
      <w:r>
        <w:rPr/>
        <w:t>mean</w:t>
      </w:r>
      <w:r>
        <w:rPr>
          <w:spacing w:val="-2"/>
        </w:rPr>
        <w:t> </w:t>
      </w:r>
      <w:r>
        <w:rPr/>
        <w:t>time</w:t>
      </w:r>
      <w:r>
        <w:rPr>
          <w:spacing w:val="-4"/>
        </w:rPr>
        <w:t> </w:t>
      </w:r>
      <w:r>
        <w:rPr/>
        <w:t>to</w:t>
      </w:r>
      <w:r>
        <w:rPr>
          <w:spacing w:val="-2"/>
        </w:rPr>
        <w:t> </w:t>
      </w:r>
      <w:r>
        <w:rPr/>
        <w:t>unconsciousness</w:t>
      </w:r>
      <w:r>
        <w:rPr>
          <w:spacing w:val="-3"/>
        </w:rPr>
        <w:t> </w:t>
      </w:r>
      <w:r>
        <w:rPr/>
        <w:t>was</w:t>
      </w:r>
      <w:r>
        <w:rPr>
          <w:spacing w:val="-3"/>
        </w:rPr>
        <w:t> </w:t>
      </w:r>
      <w:r>
        <w:rPr/>
        <w:t>65</w:t>
      </w:r>
      <w:r>
        <w:rPr>
          <w:spacing w:val="-1"/>
        </w:rPr>
        <w:t> </w:t>
      </w:r>
      <w:r>
        <w:rPr/>
        <w:t>minutes</w:t>
      </w:r>
      <w:r>
        <w:rPr>
          <w:spacing w:val="-3"/>
        </w:rPr>
        <w:t> </w:t>
      </w:r>
      <w:r>
        <w:rPr/>
        <w:t>and</w:t>
      </w:r>
      <w:r>
        <w:rPr>
          <w:spacing w:val="-4"/>
        </w:rPr>
        <w:t> </w:t>
      </w:r>
      <w:r>
        <w:rPr/>
        <w:t>mean</w:t>
      </w:r>
      <w:r>
        <w:rPr>
          <w:spacing w:val="-2"/>
        </w:rPr>
        <w:t> </w:t>
      </w:r>
      <w:r>
        <w:rPr/>
        <w:t>time</w:t>
      </w:r>
      <w:r>
        <w:rPr>
          <w:spacing w:val="-4"/>
        </w:rPr>
        <w:t> </w:t>
      </w:r>
      <w:r>
        <w:rPr/>
        <w:t>to</w:t>
      </w:r>
      <w:r>
        <w:rPr>
          <w:spacing w:val="-2"/>
        </w:rPr>
        <w:t> </w:t>
      </w:r>
      <w:r>
        <w:rPr/>
        <w:t>death</w:t>
      </w:r>
      <w:r>
        <w:rPr>
          <w:spacing w:val="-4"/>
        </w:rPr>
        <w:t> </w:t>
      </w:r>
      <w:r>
        <w:rPr/>
        <w:t>was</w:t>
      </w:r>
      <w:r>
        <w:rPr>
          <w:spacing w:val="-1"/>
        </w:rPr>
        <w:t> </w:t>
      </w:r>
      <w:r>
        <w:rPr/>
        <w:t>84 minutes. Signs of distress and anxiety between the time of PAPP administration and unconsciousness were also observed</w:t>
      </w:r>
      <w:r>
        <w:rPr>
          <w:spacing w:val="-2"/>
        </w:rPr>
        <w:t> </w:t>
      </w:r>
      <w:r>
        <w:rPr/>
        <w:t>in</w:t>
      </w:r>
      <w:r>
        <w:rPr>
          <w:spacing w:val="-3"/>
        </w:rPr>
        <w:t> </w:t>
      </w:r>
      <w:r>
        <w:rPr/>
        <w:t>all</w:t>
      </w:r>
      <w:r>
        <w:rPr>
          <w:spacing w:val="-2"/>
        </w:rPr>
        <w:t> </w:t>
      </w:r>
      <w:r>
        <w:rPr/>
        <w:t>11 Wild</w:t>
      </w:r>
      <w:r>
        <w:rPr>
          <w:spacing w:val="-1"/>
        </w:rPr>
        <w:t> </w:t>
      </w:r>
      <w:r>
        <w:rPr/>
        <w:t>Dogs,</w:t>
      </w:r>
      <w:r>
        <w:rPr>
          <w:spacing w:val="-3"/>
        </w:rPr>
        <w:t> </w:t>
      </w:r>
      <w:r>
        <w:rPr/>
        <w:t>and</w:t>
      </w:r>
      <w:r>
        <w:rPr>
          <w:spacing w:val="-4"/>
        </w:rPr>
        <w:t> </w:t>
      </w:r>
      <w:r>
        <w:rPr/>
        <w:t>some</w:t>
      </w:r>
      <w:r>
        <w:rPr>
          <w:spacing w:val="-3"/>
        </w:rPr>
        <w:t> </w:t>
      </w:r>
      <w:r>
        <w:rPr/>
        <w:t>animals</w:t>
      </w:r>
      <w:r>
        <w:rPr>
          <w:spacing w:val="-2"/>
        </w:rPr>
        <w:t> </w:t>
      </w:r>
      <w:r>
        <w:rPr/>
        <w:t>appeared</w:t>
      </w:r>
      <w:r>
        <w:rPr>
          <w:spacing w:val="-4"/>
        </w:rPr>
        <w:t> </w:t>
      </w:r>
      <w:r>
        <w:rPr/>
        <w:t>to</w:t>
      </w:r>
      <w:r>
        <w:rPr>
          <w:spacing w:val="-2"/>
        </w:rPr>
        <w:t> </w:t>
      </w:r>
      <w:r>
        <w:rPr/>
        <w:t>drop in</w:t>
      </w:r>
      <w:r>
        <w:rPr>
          <w:spacing w:val="-1"/>
        </w:rPr>
        <w:t> </w:t>
      </w:r>
      <w:r>
        <w:rPr/>
        <w:t>and</w:t>
      </w:r>
      <w:r>
        <w:rPr>
          <w:spacing w:val="-1"/>
        </w:rPr>
        <w:t> </w:t>
      </w:r>
      <w:r>
        <w:rPr/>
        <w:t>out</w:t>
      </w:r>
      <w:r>
        <w:rPr>
          <w:spacing w:val="-1"/>
        </w:rPr>
        <w:t> </w:t>
      </w:r>
      <w:r>
        <w:rPr/>
        <w:t>of</w:t>
      </w:r>
      <w:r>
        <w:rPr>
          <w:spacing w:val="-3"/>
        </w:rPr>
        <w:t> </w:t>
      </w:r>
      <w:r>
        <w:rPr/>
        <w:t>consciousness</w:t>
      </w:r>
      <w:r>
        <w:rPr>
          <w:spacing w:val="-2"/>
        </w:rPr>
        <w:t> </w:t>
      </w:r>
      <w:r>
        <w:rPr/>
        <w:t>as</w:t>
      </w:r>
      <w:r>
        <w:rPr>
          <w:spacing w:val="-2"/>
        </w:rPr>
        <w:t> </w:t>
      </w:r>
      <w:r>
        <w:rPr/>
        <w:t>symptoms progressed. All affected dogs were observed to vocalise (a laboured high-pitch howl) before running out of breath. Leg paddling occurred in five dogs and excessive salivation in some instances.</w:t>
      </w:r>
    </w:p>
    <w:p>
      <w:pPr>
        <w:pStyle w:val="BodyText"/>
        <w:spacing w:before="120"/>
        <w:ind w:left="112" w:right="247"/>
      </w:pPr>
      <w:r>
        <w:rPr/>
        <w:t>Documentation</w:t>
      </w:r>
      <w:r>
        <w:rPr>
          <w:spacing w:val="-4"/>
        </w:rPr>
        <w:t> </w:t>
      </w:r>
      <w:r>
        <w:rPr/>
        <w:t>of</w:t>
      </w:r>
      <w:r>
        <w:rPr>
          <w:spacing w:val="-2"/>
        </w:rPr>
        <w:t> </w:t>
      </w:r>
      <w:r>
        <w:rPr/>
        <w:t>13</w:t>
      </w:r>
      <w:r>
        <w:rPr>
          <w:spacing w:val="-3"/>
        </w:rPr>
        <w:t> </w:t>
      </w:r>
      <w:r>
        <w:rPr/>
        <w:t>suspected</w:t>
      </w:r>
      <w:r>
        <w:rPr>
          <w:spacing w:val="-5"/>
        </w:rPr>
        <w:t> </w:t>
      </w:r>
      <w:r>
        <w:rPr/>
        <w:t>clinical</w:t>
      </w:r>
      <w:r>
        <w:rPr>
          <w:spacing w:val="-5"/>
        </w:rPr>
        <w:t> </w:t>
      </w:r>
      <w:r>
        <w:rPr/>
        <w:t>cases</w:t>
      </w:r>
      <w:r>
        <w:rPr>
          <w:spacing w:val="-3"/>
        </w:rPr>
        <w:t> </w:t>
      </w:r>
      <w:r>
        <w:rPr/>
        <w:t>of non-target</w:t>
      </w:r>
      <w:r>
        <w:rPr>
          <w:spacing w:val="-2"/>
        </w:rPr>
        <w:t> </w:t>
      </w:r>
      <w:r>
        <w:rPr/>
        <w:t>PAPP</w:t>
      </w:r>
      <w:r>
        <w:rPr>
          <w:spacing w:val="-2"/>
        </w:rPr>
        <w:t> </w:t>
      </w:r>
      <w:r>
        <w:rPr/>
        <w:t>toxicity</w:t>
      </w:r>
      <w:r>
        <w:rPr>
          <w:spacing w:val="-3"/>
        </w:rPr>
        <w:t> </w:t>
      </w:r>
      <w:r>
        <w:rPr/>
        <w:t>of</w:t>
      </w:r>
      <w:r>
        <w:rPr>
          <w:spacing w:val="-4"/>
        </w:rPr>
        <w:t> </w:t>
      </w:r>
      <w:r>
        <w:rPr/>
        <w:t>domestic</w:t>
      </w:r>
      <w:r>
        <w:rPr>
          <w:spacing w:val="-3"/>
        </w:rPr>
        <w:t> </w:t>
      </w:r>
      <w:r>
        <w:rPr/>
        <w:t>dogs</w:t>
      </w:r>
      <w:r>
        <w:rPr>
          <w:spacing w:val="-3"/>
        </w:rPr>
        <w:t> </w:t>
      </w:r>
      <w:r>
        <w:rPr/>
        <w:t>in</w:t>
      </w:r>
      <w:r>
        <w:rPr>
          <w:spacing w:val="-2"/>
        </w:rPr>
        <w:t> </w:t>
      </w:r>
      <w:r>
        <w:rPr/>
        <w:t>Victoria described acute collapse, vomiting and cyanotic or brown mucous membranes as the most common presenting signs. All dogs received antidotal treatment of intravenous methylene blue with a mean hospitalisation time of 1.6</w:t>
      </w:r>
      <w:r>
        <w:rPr>
          <w:spacing w:val="-11"/>
        </w:rPr>
        <w:t> </w:t>
      </w:r>
      <w:r>
        <w:rPr/>
        <w:t>days and a 77% survival to discharge (Llewellyn et al. 2025). The relative humaneness score for PAPP is lower than for 1080 (Table 13</w:t>
      </w:r>
      <w:hyperlink w:history="true" w:anchor="_bookmark23">
        <w:r>
          <w:rPr/>
          <w:t>Table 12</w:t>
        </w:r>
      </w:hyperlink>
      <w:r>
        <w:rPr/>
        <w:t>).</w:t>
      </w:r>
    </w:p>
    <w:p>
      <w:pPr>
        <w:pStyle w:val="Heading5"/>
        <w:numPr>
          <w:ilvl w:val="2"/>
          <w:numId w:val="24"/>
        </w:numPr>
        <w:tabs>
          <w:tab w:pos="831" w:val="left" w:leader="none"/>
        </w:tabs>
        <w:spacing w:line="240" w:lineRule="auto" w:before="140" w:after="0"/>
        <w:ind w:left="831" w:right="0" w:hanging="719"/>
        <w:jc w:val="left"/>
      </w:pPr>
      <w:r>
        <w:rPr/>
        <w:t>Sodium</w:t>
      </w:r>
      <w:r>
        <w:rPr>
          <w:spacing w:val="-5"/>
        </w:rPr>
        <w:t> </w:t>
      </w:r>
      <w:r>
        <w:rPr>
          <w:spacing w:val="-2"/>
        </w:rPr>
        <w:t>nitrite</w:t>
      </w:r>
    </w:p>
    <w:p>
      <w:pPr>
        <w:pStyle w:val="BodyText"/>
        <w:spacing w:before="56"/>
        <w:ind w:left="112" w:right="520"/>
      </w:pPr>
      <w:r>
        <w:rPr/>
        <w:t>Sodium nitrite was developed as a toxicant for Feral Pig control to exploit pigs’ susceptibility to methaemoglobin-forming compounds (most likely related</w:t>
      </w:r>
      <w:r>
        <w:rPr>
          <w:spacing w:val="-1"/>
        </w:rPr>
        <w:t> </w:t>
      </w:r>
      <w:r>
        <w:rPr/>
        <w:t>to their low levels of methaemoglobin reductase), and</w:t>
      </w:r>
      <w:r>
        <w:rPr>
          <w:spacing w:val="-2"/>
        </w:rPr>
        <w:t> </w:t>
      </w:r>
      <w:r>
        <w:rPr/>
        <w:t>as</w:t>
      </w:r>
      <w:r>
        <w:rPr>
          <w:spacing w:val="-3"/>
        </w:rPr>
        <w:t> </w:t>
      </w:r>
      <w:r>
        <w:rPr/>
        <w:t>a</w:t>
      </w:r>
      <w:r>
        <w:rPr>
          <w:spacing w:val="-5"/>
        </w:rPr>
        <w:t> </w:t>
      </w:r>
      <w:r>
        <w:rPr/>
        <w:t>potentially</w:t>
      </w:r>
      <w:r>
        <w:rPr>
          <w:spacing w:val="-1"/>
        </w:rPr>
        <w:t> </w:t>
      </w:r>
      <w:r>
        <w:rPr/>
        <w:t>more</w:t>
      </w:r>
      <w:r>
        <w:rPr>
          <w:spacing w:val="-2"/>
        </w:rPr>
        <w:t> </w:t>
      </w:r>
      <w:r>
        <w:rPr/>
        <w:t>humane</w:t>
      </w:r>
      <w:r>
        <w:rPr>
          <w:spacing w:val="-4"/>
        </w:rPr>
        <w:t> </w:t>
      </w:r>
      <w:r>
        <w:rPr/>
        <w:t>alternative</w:t>
      </w:r>
      <w:r>
        <w:rPr>
          <w:spacing w:val="-2"/>
        </w:rPr>
        <w:t> </w:t>
      </w:r>
      <w:r>
        <w:rPr/>
        <w:t>to</w:t>
      </w:r>
      <w:r>
        <w:rPr>
          <w:spacing w:val="-3"/>
        </w:rPr>
        <w:t> </w:t>
      </w:r>
      <w:r>
        <w:rPr/>
        <w:t>1080</w:t>
      </w:r>
      <w:r>
        <w:rPr>
          <w:spacing w:val="-4"/>
        </w:rPr>
        <w:t> </w:t>
      </w:r>
      <w:r>
        <w:rPr/>
        <w:t>(Cowled et</w:t>
      </w:r>
      <w:r>
        <w:rPr>
          <w:spacing w:val="-4"/>
        </w:rPr>
        <w:t> </w:t>
      </w:r>
      <w:r>
        <w:rPr/>
        <w:t>al.</w:t>
      </w:r>
      <w:r>
        <w:rPr>
          <w:spacing w:val="-4"/>
        </w:rPr>
        <w:t> </w:t>
      </w:r>
      <w:r>
        <w:rPr/>
        <w:t>2008).</w:t>
      </w:r>
      <w:r>
        <w:rPr>
          <w:spacing w:val="-1"/>
        </w:rPr>
        <w:t> </w:t>
      </w:r>
      <w:r>
        <w:rPr/>
        <w:t>Pen</w:t>
      </w:r>
      <w:r>
        <w:rPr>
          <w:spacing w:val="-4"/>
        </w:rPr>
        <w:t> </w:t>
      </w:r>
      <w:r>
        <w:rPr/>
        <w:t>trials</w:t>
      </w:r>
      <w:r>
        <w:rPr>
          <w:spacing w:val="-3"/>
        </w:rPr>
        <w:t> </w:t>
      </w:r>
      <w:r>
        <w:rPr/>
        <w:t>with</w:t>
      </w:r>
      <w:r>
        <w:rPr>
          <w:spacing w:val="-5"/>
        </w:rPr>
        <w:t> </w:t>
      </w:r>
      <w:r>
        <w:rPr/>
        <w:t>pigs</w:t>
      </w:r>
      <w:r>
        <w:rPr>
          <w:spacing w:val="-3"/>
        </w:rPr>
        <w:t> </w:t>
      </w:r>
      <w:r>
        <w:rPr/>
        <w:t>showed</w:t>
      </w:r>
      <w:r>
        <w:rPr>
          <w:spacing w:val="-2"/>
        </w:rPr>
        <w:t> </w:t>
      </w:r>
      <w:r>
        <w:rPr/>
        <w:t>that lethal ingestions of sodium nitrite caused rapid and lethal rises in methaemoglobin, with death occurring within 80 minutes</w:t>
      </w:r>
      <w:r>
        <w:rPr>
          <w:spacing w:val="-1"/>
        </w:rPr>
        <w:t> </w:t>
      </w:r>
      <w:r>
        <w:rPr/>
        <w:t>of the</w:t>
      </w:r>
      <w:r>
        <w:rPr>
          <w:spacing w:val="-2"/>
        </w:rPr>
        <w:t> </w:t>
      </w:r>
      <w:r>
        <w:rPr/>
        <w:t>onset</w:t>
      </w:r>
      <w:r>
        <w:rPr>
          <w:spacing w:val="-2"/>
        </w:rPr>
        <w:t> </w:t>
      </w:r>
      <w:r>
        <w:rPr/>
        <w:t>of</w:t>
      </w:r>
      <w:r>
        <w:rPr>
          <w:spacing w:val="-2"/>
        </w:rPr>
        <w:t> </w:t>
      </w:r>
      <w:r>
        <w:rPr/>
        <w:t>clinical</w:t>
      </w:r>
      <w:r>
        <w:rPr>
          <w:spacing w:val="-3"/>
        </w:rPr>
        <w:t> </w:t>
      </w:r>
      <w:r>
        <w:rPr/>
        <w:t>signs.</w:t>
      </w:r>
      <w:r>
        <w:rPr>
          <w:spacing w:val="-2"/>
        </w:rPr>
        <w:t> </w:t>
      </w:r>
      <w:r>
        <w:rPr/>
        <w:t>The</w:t>
      </w:r>
      <w:r>
        <w:rPr>
          <w:spacing w:val="-2"/>
        </w:rPr>
        <w:t> </w:t>
      </w:r>
      <w:r>
        <w:rPr/>
        <w:t>progression of</w:t>
      </w:r>
      <w:r>
        <w:rPr>
          <w:spacing w:val="-2"/>
        </w:rPr>
        <w:t> </w:t>
      </w:r>
      <w:r>
        <w:rPr/>
        <w:t>sodium</w:t>
      </w:r>
      <w:r>
        <w:rPr>
          <w:spacing w:val="-2"/>
        </w:rPr>
        <w:t> </w:t>
      </w:r>
      <w:r>
        <w:rPr/>
        <w:t>nitrite</w:t>
      </w:r>
      <w:r>
        <w:rPr>
          <w:spacing w:val="-2"/>
        </w:rPr>
        <w:t> </w:t>
      </w:r>
      <w:r>
        <w:rPr/>
        <w:t>toxicosis</w:t>
      </w:r>
      <w:r>
        <w:rPr>
          <w:spacing w:val="-1"/>
        </w:rPr>
        <w:t> </w:t>
      </w:r>
      <w:r>
        <w:rPr/>
        <w:t>in pigs</w:t>
      </w:r>
      <w:r>
        <w:rPr>
          <w:spacing w:val="-1"/>
        </w:rPr>
        <w:t> </w:t>
      </w:r>
      <w:r>
        <w:rPr/>
        <w:t>was</w:t>
      </w:r>
      <w:r>
        <w:rPr>
          <w:spacing w:val="-1"/>
        </w:rPr>
        <w:t> </w:t>
      </w:r>
      <w:r>
        <w:rPr/>
        <w:t>initial lethargy, in-coordination and reduced consciousness, with limited vomiting in some animals, an increased respiratory rate with severe dyspnoea when close to death and limited terminal seizures before coma and death (Cowled et al. 2008).</w:t>
      </w:r>
    </w:p>
    <w:p>
      <w:pPr>
        <w:pStyle w:val="BodyText"/>
        <w:spacing w:before="121"/>
        <w:ind w:left="112" w:right="247"/>
      </w:pPr>
      <w:r>
        <w:rPr/>
        <w:t>The</w:t>
      </w:r>
      <w:r>
        <w:rPr>
          <w:spacing w:val="-4"/>
        </w:rPr>
        <w:t> </w:t>
      </w:r>
      <w:r>
        <w:rPr/>
        <w:t>overall</w:t>
      </w:r>
      <w:r>
        <w:rPr>
          <w:spacing w:val="-2"/>
        </w:rPr>
        <w:t> </w:t>
      </w:r>
      <w:r>
        <w:rPr/>
        <w:t>humaneness</w:t>
      </w:r>
      <w:r>
        <w:rPr>
          <w:spacing w:val="-2"/>
        </w:rPr>
        <w:t> </w:t>
      </w:r>
      <w:r>
        <w:rPr/>
        <w:t>score</w:t>
      </w:r>
      <w:r>
        <w:rPr>
          <w:spacing w:val="-3"/>
        </w:rPr>
        <w:t> </w:t>
      </w:r>
      <w:r>
        <w:rPr/>
        <w:t>for</w:t>
      </w:r>
      <w:r>
        <w:rPr>
          <w:spacing w:val="-3"/>
        </w:rPr>
        <w:t> </w:t>
      </w:r>
      <w:r>
        <w:rPr/>
        <w:t>sodium</w:t>
      </w:r>
      <w:r>
        <w:rPr>
          <w:spacing w:val="-3"/>
        </w:rPr>
        <w:t> </w:t>
      </w:r>
      <w:r>
        <w:rPr/>
        <w:t>nitrite</w:t>
      </w:r>
      <w:r>
        <w:rPr>
          <w:spacing w:val="-3"/>
        </w:rPr>
        <w:t> </w:t>
      </w:r>
      <w:r>
        <w:rPr/>
        <w:t>in Feral</w:t>
      </w:r>
      <w:r>
        <w:rPr>
          <w:spacing w:val="-2"/>
        </w:rPr>
        <w:t> </w:t>
      </w:r>
      <w:r>
        <w:rPr/>
        <w:t>Pigs is</w:t>
      </w:r>
      <w:r>
        <w:rPr>
          <w:spacing w:val="-2"/>
        </w:rPr>
        <w:t> </w:t>
      </w:r>
      <w:r>
        <w:rPr/>
        <w:t>1D which</w:t>
      </w:r>
      <w:r>
        <w:rPr>
          <w:spacing w:val="-1"/>
        </w:rPr>
        <w:t> </w:t>
      </w:r>
      <w:r>
        <w:rPr/>
        <w:t>is</w:t>
      </w:r>
      <w:r>
        <w:rPr>
          <w:spacing w:val="-2"/>
        </w:rPr>
        <w:t> </w:t>
      </w:r>
      <w:r>
        <w:rPr/>
        <w:t>relatively</w:t>
      </w:r>
      <w:r>
        <w:rPr>
          <w:spacing w:val="-2"/>
        </w:rPr>
        <w:t> </w:t>
      </w:r>
      <w:r>
        <w:rPr/>
        <w:t>lower</w:t>
      </w:r>
      <w:r>
        <w:rPr>
          <w:spacing w:val="-3"/>
        </w:rPr>
        <w:t> </w:t>
      </w:r>
      <w:r>
        <w:rPr/>
        <w:t>than</w:t>
      </w:r>
      <w:r>
        <w:rPr>
          <w:spacing w:val="-4"/>
        </w:rPr>
        <w:t> </w:t>
      </w:r>
      <w:r>
        <w:rPr/>
        <w:t>for</w:t>
      </w:r>
      <w:r>
        <w:rPr>
          <w:spacing w:val="-3"/>
        </w:rPr>
        <w:t> </w:t>
      </w:r>
      <w:r>
        <w:rPr/>
        <w:t>1080 (Table 13) (</w:t>
      </w:r>
      <w:hyperlink r:id="rId82">
        <w:r>
          <w:rPr>
            <w:color w:val="0000FF"/>
            <w:u w:val="single" w:color="0000FF"/>
          </w:rPr>
          <w:t>https://pestsmart.org.au/wp-content/uploads/sites/3/2020/07/pig_baiting_sodium_nitrite.pdf</w:t>
        </w:r>
      </w:hyperlink>
      <w:r>
        <w:rPr>
          <w:color w:val="0000FF"/>
          <w:u w:val="none"/>
        </w:rPr>
        <w:t> </w:t>
      </w:r>
      <w:r>
        <w:rPr>
          <w:u w:val="none"/>
        </w:rPr>
        <w:t>).</w:t>
      </w:r>
    </w:p>
    <w:p>
      <w:pPr>
        <w:pStyle w:val="Heading5"/>
        <w:numPr>
          <w:ilvl w:val="2"/>
          <w:numId w:val="24"/>
        </w:numPr>
        <w:tabs>
          <w:tab w:pos="831" w:val="left" w:leader="none"/>
        </w:tabs>
        <w:spacing w:line="240" w:lineRule="auto" w:before="141" w:after="0"/>
        <w:ind w:left="831" w:right="0" w:hanging="719"/>
        <w:jc w:val="left"/>
      </w:pPr>
      <w:r>
        <w:rPr>
          <w:spacing w:val="-2"/>
        </w:rPr>
        <w:t>Pindone</w:t>
      </w:r>
    </w:p>
    <w:p>
      <w:pPr>
        <w:pStyle w:val="BodyText"/>
        <w:spacing w:before="56"/>
        <w:ind w:left="112" w:right="340"/>
      </w:pPr>
      <w:r>
        <w:rPr/>
        <w:t>Pindone formulations have been registered for rabbit management in Australia since the 1980s. Pindone is one chemical in a wider group of anticoagulant compounds referred to as ‘anticoagulants’ and commonly used</w:t>
      </w:r>
      <w:r>
        <w:rPr>
          <w:spacing w:val="-5"/>
        </w:rPr>
        <w:t> </w:t>
      </w:r>
      <w:r>
        <w:rPr/>
        <w:t>as</w:t>
      </w:r>
      <w:r>
        <w:rPr>
          <w:spacing w:val="-3"/>
        </w:rPr>
        <w:t> </w:t>
      </w:r>
      <w:r>
        <w:rPr/>
        <w:t>rodenticides.</w:t>
      </w:r>
      <w:r>
        <w:rPr>
          <w:spacing w:val="-4"/>
        </w:rPr>
        <w:t> </w:t>
      </w:r>
      <w:r>
        <w:rPr/>
        <w:t>Anticoagulants</w:t>
      </w:r>
      <w:r>
        <w:rPr>
          <w:spacing w:val="-3"/>
        </w:rPr>
        <w:t> </w:t>
      </w:r>
      <w:r>
        <w:rPr/>
        <w:t>work</w:t>
      </w:r>
      <w:r>
        <w:rPr>
          <w:spacing w:val="-2"/>
        </w:rPr>
        <w:t> </w:t>
      </w:r>
      <w:r>
        <w:rPr/>
        <w:t>to</w:t>
      </w:r>
      <w:r>
        <w:rPr>
          <w:spacing w:val="-3"/>
        </w:rPr>
        <w:t> </w:t>
      </w:r>
      <w:r>
        <w:rPr/>
        <w:t>inhibit</w:t>
      </w:r>
      <w:r>
        <w:rPr>
          <w:spacing w:val="-4"/>
        </w:rPr>
        <w:t> </w:t>
      </w:r>
      <w:r>
        <w:rPr/>
        <w:t>the</w:t>
      </w:r>
      <w:r>
        <w:rPr>
          <w:spacing w:val="-4"/>
        </w:rPr>
        <w:t> </w:t>
      </w:r>
      <w:r>
        <w:rPr/>
        <w:t>metabolism</w:t>
      </w:r>
      <w:r>
        <w:rPr>
          <w:spacing w:val="-4"/>
        </w:rPr>
        <w:t> </w:t>
      </w:r>
      <w:r>
        <w:rPr/>
        <w:t>of</w:t>
      </w:r>
      <w:r>
        <w:rPr>
          <w:spacing w:val="-4"/>
        </w:rPr>
        <w:t> </w:t>
      </w:r>
      <w:r>
        <w:rPr/>
        <w:t>vitamin</w:t>
      </w:r>
      <w:r>
        <w:rPr>
          <w:spacing w:val="-2"/>
        </w:rPr>
        <w:t> </w:t>
      </w:r>
      <w:r>
        <w:rPr/>
        <w:t>K</w:t>
      </w:r>
      <w:r>
        <w:rPr>
          <w:spacing w:val="-3"/>
        </w:rPr>
        <w:t> </w:t>
      </w:r>
      <w:r>
        <w:rPr/>
        <w:t>in</w:t>
      </w:r>
      <w:r>
        <w:rPr>
          <w:spacing w:val="-4"/>
        </w:rPr>
        <w:t> </w:t>
      </w:r>
      <w:r>
        <w:rPr/>
        <w:t>the</w:t>
      </w:r>
      <w:r>
        <w:rPr>
          <w:spacing w:val="-2"/>
        </w:rPr>
        <w:t> </w:t>
      </w:r>
      <w:r>
        <w:rPr/>
        <w:t>liver</w:t>
      </w:r>
      <w:r>
        <w:rPr>
          <w:spacing w:val="-4"/>
        </w:rPr>
        <w:t> </w:t>
      </w:r>
      <w:r>
        <w:rPr/>
        <w:t>of</w:t>
      </w:r>
      <w:r>
        <w:rPr>
          <w:spacing w:val="-2"/>
        </w:rPr>
        <w:t> </w:t>
      </w:r>
      <w:r>
        <w:rPr/>
        <w:t>mammals</w:t>
      </w:r>
      <w:r>
        <w:rPr>
          <w:spacing w:val="-3"/>
        </w:rPr>
        <w:t> </w:t>
      </w:r>
      <w:r>
        <w:rPr/>
        <w:t>and birds, reducing the production of factors essential for blood coagulation. Following a toxic dose of anticoagulants, the blood cannot clot normally, and this eventually leads to haemorrhaging. Death through anticoagulant poisoning is generally caused by extensive internal bleeding. Veterinarians can (usually) successfully treat animals showing signs of anticoagulant poisoning, through delivery of Vitamin K.</w:t>
      </w:r>
    </w:p>
    <w:p>
      <w:pPr>
        <w:pStyle w:val="BodyText"/>
        <w:spacing w:before="120"/>
        <w:ind w:left="112" w:right="371"/>
      </w:pPr>
      <w:r>
        <w:rPr/>
        <w:t>After pindone baits are eaten, there is a variable ‘lag’ period of up to 11 days when there may be no, or only mild</w:t>
      </w:r>
      <w:r>
        <w:rPr>
          <w:spacing w:val="-3"/>
        </w:rPr>
        <w:t> </w:t>
      </w:r>
      <w:r>
        <w:rPr/>
        <w:t>welfare</w:t>
      </w:r>
      <w:r>
        <w:rPr>
          <w:spacing w:val="-3"/>
        </w:rPr>
        <w:t> </w:t>
      </w:r>
      <w:r>
        <w:rPr/>
        <w:t>impacts.</w:t>
      </w:r>
      <w:r>
        <w:rPr>
          <w:spacing w:val="-3"/>
        </w:rPr>
        <w:t> </w:t>
      </w:r>
      <w:r>
        <w:rPr/>
        <w:t>This delayed</w:t>
      </w:r>
      <w:r>
        <w:rPr>
          <w:spacing w:val="-4"/>
        </w:rPr>
        <w:t> </w:t>
      </w:r>
      <w:r>
        <w:rPr/>
        <w:t>onset</w:t>
      </w:r>
      <w:r>
        <w:rPr>
          <w:spacing w:val="-3"/>
        </w:rPr>
        <w:t> </w:t>
      </w:r>
      <w:r>
        <w:rPr/>
        <w:t>reflects</w:t>
      </w:r>
      <w:r>
        <w:rPr>
          <w:spacing w:val="-2"/>
        </w:rPr>
        <w:t> </w:t>
      </w:r>
      <w:r>
        <w:rPr/>
        <w:t>the</w:t>
      </w:r>
      <w:r>
        <w:rPr>
          <w:spacing w:val="-3"/>
        </w:rPr>
        <w:t> </w:t>
      </w:r>
      <w:r>
        <w:rPr/>
        <w:t>time</w:t>
      </w:r>
      <w:r>
        <w:rPr>
          <w:spacing w:val="-3"/>
        </w:rPr>
        <w:t> </w:t>
      </w:r>
      <w:r>
        <w:rPr/>
        <w:t>required</w:t>
      </w:r>
      <w:r>
        <w:rPr>
          <w:spacing w:val="-3"/>
        </w:rPr>
        <w:t> </w:t>
      </w:r>
      <w:r>
        <w:rPr/>
        <w:t>to</w:t>
      </w:r>
      <w:r>
        <w:rPr>
          <w:spacing w:val="-1"/>
        </w:rPr>
        <w:t> </w:t>
      </w:r>
      <w:r>
        <w:rPr/>
        <w:t>deplete</w:t>
      </w:r>
      <w:r>
        <w:rPr>
          <w:spacing w:val="-4"/>
        </w:rPr>
        <w:t> </w:t>
      </w:r>
      <w:r>
        <w:rPr/>
        <w:t>existing</w:t>
      </w:r>
      <w:r>
        <w:rPr>
          <w:spacing w:val="-1"/>
        </w:rPr>
        <w:t> </w:t>
      </w:r>
      <w:r>
        <w:rPr/>
        <w:t>stores</w:t>
      </w:r>
      <w:r>
        <w:rPr>
          <w:spacing w:val="-2"/>
        </w:rPr>
        <w:t> </w:t>
      </w:r>
      <w:r>
        <w:rPr/>
        <w:t>of</w:t>
      </w:r>
      <w:r>
        <w:rPr>
          <w:spacing w:val="-3"/>
        </w:rPr>
        <w:t> </w:t>
      </w:r>
      <w:r>
        <w:rPr/>
        <w:t>vitamin</w:t>
      </w:r>
      <w:r>
        <w:rPr>
          <w:spacing w:val="-1"/>
        </w:rPr>
        <w:t> </w:t>
      </w:r>
      <w:r>
        <w:rPr/>
        <w:t>K</w:t>
      </w:r>
      <w:r>
        <w:rPr>
          <w:spacing w:val="-1"/>
        </w:rPr>
        <w:t> </w:t>
      </w:r>
      <w:r>
        <w:rPr/>
        <w:t>and blood-clotting factors. After the lag period, blood clotting becomes impaired and the normal daily damage to blood vessels can no longer be repaired. Rabbits show changes in behaviour and progress through increasing levels of functional impairment – while still conscious – until death occurs around 1–4 days later. Therefore, in rabbits that receive multiple small doses of pindone, the time to death is around 10–14 days after</w:t>
      </w:r>
      <w:r>
        <w:rPr>
          <w:spacing w:val="-4"/>
        </w:rPr>
        <w:t> </w:t>
      </w:r>
      <w:r>
        <w:rPr/>
        <w:t>the</w:t>
      </w:r>
      <w:r>
        <w:rPr>
          <w:spacing w:val="-4"/>
        </w:rPr>
        <w:t> </w:t>
      </w:r>
      <w:r>
        <w:rPr/>
        <w:t>initial</w:t>
      </w:r>
      <w:r>
        <w:rPr>
          <w:spacing w:val="-5"/>
        </w:rPr>
        <w:t> </w:t>
      </w:r>
      <w:r>
        <w:rPr/>
        <w:t>dose. Affected</w:t>
      </w:r>
      <w:r>
        <w:rPr>
          <w:spacing w:val="-4"/>
        </w:rPr>
        <w:t> </w:t>
      </w:r>
      <w:r>
        <w:rPr/>
        <w:t>rabbits</w:t>
      </w:r>
      <w:r>
        <w:rPr>
          <w:spacing w:val="-3"/>
        </w:rPr>
        <w:t> </w:t>
      </w:r>
      <w:r>
        <w:rPr/>
        <w:t>will</w:t>
      </w:r>
      <w:r>
        <w:rPr>
          <w:spacing w:val="-5"/>
        </w:rPr>
        <w:t> </w:t>
      </w:r>
      <w:r>
        <w:rPr/>
        <w:t>experience</w:t>
      </w:r>
      <w:r>
        <w:rPr>
          <w:spacing w:val="-4"/>
        </w:rPr>
        <w:t> </w:t>
      </w:r>
      <w:r>
        <w:rPr/>
        <w:t>lethargy,</w:t>
      </w:r>
      <w:r>
        <w:rPr>
          <w:spacing w:val="-2"/>
        </w:rPr>
        <w:t> </w:t>
      </w:r>
      <w:r>
        <w:rPr/>
        <w:t>laboured</w:t>
      </w:r>
      <w:r>
        <w:rPr>
          <w:spacing w:val="-4"/>
        </w:rPr>
        <w:t> </w:t>
      </w:r>
      <w:r>
        <w:rPr/>
        <w:t>breathing,</w:t>
      </w:r>
      <w:r>
        <w:rPr>
          <w:spacing w:val="-4"/>
        </w:rPr>
        <w:t> </w:t>
      </w:r>
      <w:r>
        <w:rPr/>
        <w:t>weakness</w:t>
      </w:r>
      <w:r>
        <w:rPr>
          <w:spacing w:val="-3"/>
        </w:rPr>
        <w:t> </w:t>
      </w:r>
      <w:r>
        <w:rPr/>
        <w:t>and</w:t>
      </w:r>
      <w:r>
        <w:rPr>
          <w:spacing w:val="-2"/>
        </w:rPr>
        <w:t> </w:t>
      </w:r>
      <w:r>
        <w:rPr/>
        <w:t>anorexia</w:t>
      </w:r>
      <w:r>
        <w:rPr>
          <w:spacing w:val="-4"/>
        </w:rPr>
        <w:t> </w:t>
      </w:r>
      <w:r>
        <w:rPr/>
        <w:t>as well as pain and discomfort from local haemorrhages in multiple sites such as internal organs, muscles and joints. They die from multiple causes associated with anaemia or from hypovolemic shock due to severe blood loss (Fisher et al. 2015).</w:t>
      </w:r>
    </w:p>
    <w:p>
      <w:pPr>
        <w:pStyle w:val="BodyText"/>
        <w:spacing w:before="120"/>
        <w:ind w:left="112" w:right="565"/>
      </w:pPr>
      <w:r>
        <w:rPr/>
        <w:t>The</w:t>
      </w:r>
      <w:r>
        <w:rPr>
          <w:spacing w:val="-4"/>
        </w:rPr>
        <w:t> </w:t>
      </w:r>
      <w:r>
        <w:rPr/>
        <w:t>overall</w:t>
      </w:r>
      <w:r>
        <w:rPr>
          <w:spacing w:val="-2"/>
        </w:rPr>
        <w:t> </w:t>
      </w:r>
      <w:r>
        <w:rPr/>
        <w:t>humaneness</w:t>
      </w:r>
      <w:r>
        <w:rPr>
          <w:spacing w:val="-2"/>
        </w:rPr>
        <w:t> </w:t>
      </w:r>
      <w:r>
        <w:rPr/>
        <w:t>score</w:t>
      </w:r>
      <w:r>
        <w:rPr>
          <w:spacing w:val="-3"/>
        </w:rPr>
        <w:t> </w:t>
      </w:r>
      <w:r>
        <w:rPr/>
        <w:t>for</w:t>
      </w:r>
      <w:r>
        <w:rPr>
          <w:spacing w:val="-3"/>
        </w:rPr>
        <w:t> </w:t>
      </w:r>
      <w:r>
        <w:rPr/>
        <w:t>pindone</w:t>
      </w:r>
      <w:r>
        <w:rPr>
          <w:spacing w:val="-3"/>
        </w:rPr>
        <w:t> </w:t>
      </w:r>
      <w:r>
        <w:rPr/>
        <w:t>in</w:t>
      </w:r>
      <w:r>
        <w:rPr>
          <w:spacing w:val="-3"/>
        </w:rPr>
        <w:t> </w:t>
      </w:r>
      <w:r>
        <w:rPr/>
        <w:t>rabbits</w:t>
      </w:r>
      <w:r>
        <w:rPr>
          <w:spacing w:val="-1"/>
        </w:rPr>
        <w:t> </w:t>
      </w:r>
      <w:r>
        <w:rPr/>
        <w:t>is</w:t>
      </w:r>
      <w:r>
        <w:rPr>
          <w:spacing w:val="-2"/>
        </w:rPr>
        <w:t> </w:t>
      </w:r>
      <w:r>
        <w:rPr/>
        <w:t>1G and</w:t>
      </w:r>
      <w:r>
        <w:rPr>
          <w:spacing w:val="-3"/>
        </w:rPr>
        <w:t> </w:t>
      </w:r>
      <w:r>
        <w:rPr/>
        <w:t>is</w:t>
      </w:r>
      <w:r>
        <w:rPr>
          <w:spacing w:val="-2"/>
        </w:rPr>
        <w:t> </w:t>
      </w:r>
      <w:r>
        <w:rPr/>
        <w:t>relatively</w:t>
      </w:r>
      <w:r>
        <w:rPr>
          <w:spacing w:val="-2"/>
        </w:rPr>
        <w:t> </w:t>
      </w:r>
      <w:r>
        <w:rPr/>
        <w:t>higher</w:t>
      </w:r>
      <w:r>
        <w:rPr>
          <w:spacing w:val="-1"/>
        </w:rPr>
        <w:t> </w:t>
      </w:r>
      <w:r>
        <w:rPr/>
        <w:t>than</w:t>
      </w:r>
      <w:r>
        <w:rPr>
          <w:spacing w:val="-2"/>
        </w:rPr>
        <w:t> </w:t>
      </w:r>
      <w:r>
        <w:rPr/>
        <w:t>for</w:t>
      </w:r>
      <w:r>
        <w:rPr>
          <w:spacing w:val="-3"/>
        </w:rPr>
        <w:t> </w:t>
      </w:r>
      <w:r>
        <w:rPr/>
        <w:t>1080</w:t>
      </w:r>
      <w:r>
        <w:rPr>
          <w:spacing w:val="-3"/>
        </w:rPr>
        <w:t> </w:t>
      </w:r>
      <w:r>
        <w:rPr/>
        <w:t>(Table</w:t>
      </w:r>
      <w:r>
        <w:rPr>
          <w:spacing w:val="-2"/>
        </w:rPr>
        <w:t> </w:t>
      </w:r>
      <w:r>
        <w:rPr/>
        <w:t>13) </w:t>
      </w:r>
      <w:r>
        <w:rPr>
          <w:spacing w:val="-2"/>
        </w:rPr>
        <w:t>(</w:t>
      </w:r>
      <w:hyperlink r:id="rId83">
        <w:r>
          <w:rPr>
            <w:color w:val="0000FF"/>
            <w:spacing w:val="-2"/>
            <w:u w:val="single" w:color="0000FF"/>
          </w:rPr>
          <w:t>https://pestsmart.org.au/wp-content/uploads/sites/3/2020/07/rabbit_baiting_pindone.pdf</w:t>
        </w:r>
      </w:hyperlink>
      <w:r>
        <w:rPr>
          <w:spacing w:val="-2"/>
          <w:u w:val="none"/>
        </w:rPr>
        <w:t>).</w:t>
      </w:r>
    </w:p>
    <w:p>
      <w:pPr>
        <w:pStyle w:val="BodyText"/>
        <w:spacing w:before="110"/>
        <w:rPr>
          <w:sz w:val="24"/>
        </w:rPr>
      </w:pPr>
    </w:p>
    <w:p>
      <w:pPr>
        <w:pStyle w:val="Heading3"/>
        <w:numPr>
          <w:ilvl w:val="1"/>
          <w:numId w:val="24"/>
        </w:numPr>
        <w:tabs>
          <w:tab w:pos="686" w:val="left" w:leader="none"/>
        </w:tabs>
        <w:spacing w:line="240" w:lineRule="auto" w:before="0" w:after="0"/>
        <w:ind w:left="686" w:right="0" w:hanging="574"/>
        <w:jc w:val="left"/>
      </w:pPr>
      <w:r>
        <w:rPr>
          <w:color w:val="2D1E66"/>
        </w:rPr>
        <w:t>Den</w:t>
      </w:r>
      <w:r>
        <w:rPr>
          <w:color w:val="2D1E66"/>
          <w:spacing w:val="-8"/>
        </w:rPr>
        <w:t> </w:t>
      </w:r>
      <w:r>
        <w:rPr>
          <w:color w:val="2D1E66"/>
        </w:rPr>
        <w:t>and</w:t>
      </w:r>
      <w:r>
        <w:rPr>
          <w:color w:val="2D1E66"/>
          <w:spacing w:val="-7"/>
        </w:rPr>
        <w:t> </w:t>
      </w:r>
      <w:r>
        <w:rPr>
          <w:color w:val="2D1E66"/>
        </w:rPr>
        <w:t>warren</w:t>
      </w:r>
      <w:r>
        <w:rPr>
          <w:color w:val="2D1E66"/>
          <w:spacing w:val="-6"/>
        </w:rPr>
        <w:t> </w:t>
      </w:r>
      <w:r>
        <w:rPr>
          <w:color w:val="2D1E66"/>
          <w:spacing w:val="-2"/>
        </w:rPr>
        <w:t>fumigation</w:t>
      </w:r>
    </w:p>
    <w:p>
      <w:pPr>
        <w:pStyle w:val="BodyText"/>
        <w:spacing w:before="112"/>
        <w:ind w:left="112" w:right="380"/>
      </w:pPr>
      <w:r>
        <w:rPr/>
        <w:t>Fumigation</w:t>
      </w:r>
      <w:r>
        <w:rPr>
          <w:spacing w:val="-3"/>
        </w:rPr>
        <w:t> </w:t>
      </w:r>
      <w:r>
        <w:rPr/>
        <w:t>involves</w:t>
      </w:r>
      <w:r>
        <w:rPr>
          <w:spacing w:val="-3"/>
        </w:rPr>
        <w:t> </w:t>
      </w:r>
      <w:r>
        <w:rPr/>
        <w:t>the</w:t>
      </w:r>
      <w:r>
        <w:rPr>
          <w:spacing w:val="-4"/>
        </w:rPr>
        <w:t> </w:t>
      </w:r>
      <w:r>
        <w:rPr/>
        <w:t>introduction</w:t>
      </w:r>
      <w:r>
        <w:rPr>
          <w:spacing w:val="-3"/>
        </w:rPr>
        <w:t> </w:t>
      </w:r>
      <w:r>
        <w:rPr/>
        <w:t>of</w:t>
      </w:r>
      <w:r>
        <w:rPr>
          <w:spacing w:val="-4"/>
        </w:rPr>
        <w:t> </w:t>
      </w:r>
      <w:r>
        <w:rPr/>
        <w:t>toxic gas</w:t>
      </w:r>
      <w:r>
        <w:rPr>
          <w:spacing w:val="-3"/>
        </w:rPr>
        <w:t> </w:t>
      </w:r>
      <w:r>
        <w:rPr/>
        <w:t>into</w:t>
      </w:r>
      <w:r>
        <w:rPr>
          <w:spacing w:val="-3"/>
        </w:rPr>
        <w:t> </w:t>
      </w:r>
      <w:r>
        <w:rPr/>
        <w:t>a</w:t>
      </w:r>
      <w:r>
        <w:rPr>
          <w:spacing w:val="-2"/>
        </w:rPr>
        <w:t> </w:t>
      </w:r>
      <w:r>
        <w:rPr/>
        <w:t>warren</w:t>
      </w:r>
      <w:r>
        <w:rPr>
          <w:spacing w:val="-3"/>
        </w:rPr>
        <w:t> </w:t>
      </w:r>
      <w:r>
        <w:rPr/>
        <w:t>or</w:t>
      </w:r>
      <w:r>
        <w:rPr>
          <w:spacing w:val="-1"/>
        </w:rPr>
        <w:t> </w:t>
      </w:r>
      <w:r>
        <w:rPr/>
        <w:t>den</w:t>
      </w:r>
      <w:r>
        <w:rPr>
          <w:spacing w:val="-2"/>
        </w:rPr>
        <w:t> </w:t>
      </w:r>
      <w:r>
        <w:rPr/>
        <w:t>to</w:t>
      </w:r>
      <w:r>
        <w:rPr>
          <w:spacing w:val="-5"/>
        </w:rPr>
        <w:t> </w:t>
      </w:r>
      <w:r>
        <w:rPr/>
        <w:t>reach</w:t>
      </w:r>
      <w:r>
        <w:rPr>
          <w:spacing w:val="-2"/>
        </w:rPr>
        <w:t> </w:t>
      </w:r>
      <w:r>
        <w:rPr/>
        <w:t>lethal</w:t>
      </w:r>
      <w:r>
        <w:rPr>
          <w:spacing w:val="-5"/>
        </w:rPr>
        <w:t> </w:t>
      </w:r>
      <w:r>
        <w:rPr/>
        <w:t>concentrations, where</w:t>
      </w:r>
      <w:r>
        <w:rPr>
          <w:spacing w:val="-2"/>
        </w:rPr>
        <w:t> </w:t>
      </w:r>
      <w:r>
        <w:rPr/>
        <w:t>it is inhaled by target animals (rabbit or foxes) to cause death. Typically, diffusion fumigation is used where a formulation (tablet or cartridge) is placed inside the warren, activated to produce the fumigant gas and then</w:t>
      </w:r>
    </w:p>
    <w:p>
      <w:pPr>
        <w:spacing w:after="0"/>
        <w:sectPr>
          <w:footerReference w:type="default" r:id="rId80"/>
          <w:footerReference w:type="even" r:id="rId81"/>
          <w:pgSz w:w="11910" w:h="16850"/>
          <w:pgMar w:header="0" w:footer="688" w:top="1060" w:bottom="880" w:left="1020" w:right="780"/>
          <w:pgNumType w:start="85"/>
        </w:sectPr>
      </w:pPr>
    </w:p>
    <w:p>
      <w:pPr>
        <w:pStyle w:val="BodyText"/>
        <w:spacing w:before="71"/>
        <w:ind w:left="112" w:right="247"/>
      </w:pPr>
      <w:r>
        <w:rPr/>
        <w:t>sealed</w:t>
      </w:r>
      <w:r>
        <w:rPr>
          <w:spacing w:val="-3"/>
        </w:rPr>
        <w:t> </w:t>
      </w:r>
      <w:r>
        <w:rPr/>
        <w:t>within</w:t>
      </w:r>
      <w:r>
        <w:rPr>
          <w:spacing w:val="-3"/>
        </w:rPr>
        <w:t> </w:t>
      </w:r>
      <w:r>
        <w:rPr/>
        <w:t>the</w:t>
      </w:r>
      <w:r>
        <w:rPr>
          <w:spacing w:val="-3"/>
        </w:rPr>
        <w:t> </w:t>
      </w:r>
      <w:r>
        <w:rPr/>
        <w:t>warren.</w:t>
      </w:r>
      <w:r>
        <w:rPr>
          <w:spacing w:val="-3"/>
        </w:rPr>
        <w:t> </w:t>
      </w:r>
      <w:r>
        <w:rPr/>
        <w:t>There</w:t>
      </w:r>
      <w:r>
        <w:rPr>
          <w:spacing w:val="-3"/>
        </w:rPr>
        <w:t> </w:t>
      </w:r>
      <w:r>
        <w:rPr/>
        <w:t>is</w:t>
      </w:r>
      <w:r>
        <w:rPr>
          <w:spacing w:val="-1"/>
        </w:rPr>
        <w:t> </w:t>
      </w:r>
      <w:r>
        <w:rPr/>
        <w:t>potential</w:t>
      </w:r>
      <w:r>
        <w:rPr>
          <w:spacing w:val="-2"/>
        </w:rPr>
        <w:t> </w:t>
      </w:r>
      <w:r>
        <w:rPr/>
        <w:t>for</w:t>
      </w:r>
      <w:r>
        <w:rPr>
          <w:spacing w:val="-2"/>
        </w:rPr>
        <w:t> </w:t>
      </w:r>
      <w:r>
        <w:rPr/>
        <w:t>non-target</w:t>
      </w:r>
      <w:r>
        <w:rPr>
          <w:spacing w:val="-3"/>
        </w:rPr>
        <w:t> </w:t>
      </w:r>
      <w:r>
        <w:rPr/>
        <w:t>animals</w:t>
      </w:r>
      <w:r>
        <w:rPr>
          <w:spacing w:val="-2"/>
        </w:rPr>
        <w:t> </w:t>
      </w:r>
      <w:r>
        <w:rPr/>
        <w:t>that</w:t>
      </w:r>
      <w:r>
        <w:rPr>
          <w:spacing w:val="-2"/>
        </w:rPr>
        <w:t> </w:t>
      </w:r>
      <w:r>
        <w:rPr/>
        <w:t>are</w:t>
      </w:r>
      <w:r>
        <w:rPr>
          <w:spacing w:val="-3"/>
        </w:rPr>
        <w:t> </w:t>
      </w:r>
      <w:r>
        <w:rPr/>
        <w:t>occupying</w:t>
      </w:r>
      <w:r>
        <w:rPr>
          <w:spacing w:val="-2"/>
        </w:rPr>
        <w:t> </w:t>
      </w:r>
      <w:r>
        <w:rPr/>
        <w:t>warrens</w:t>
      </w:r>
      <w:r>
        <w:rPr>
          <w:spacing w:val="-2"/>
        </w:rPr>
        <w:t> </w:t>
      </w:r>
      <w:r>
        <w:rPr/>
        <w:t>or</w:t>
      </w:r>
      <w:r>
        <w:rPr>
          <w:spacing w:val="-1"/>
        </w:rPr>
        <w:t> </w:t>
      </w:r>
      <w:r>
        <w:rPr/>
        <w:t>dens</w:t>
      </w:r>
      <w:r>
        <w:rPr>
          <w:spacing w:val="-2"/>
        </w:rPr>
        <w:t> </w:t>
      </w:r>
      <w:r>
        <w:rPr/>
        <w:t>at</w:t>
      </w:r>
      <w:r>
        <w:rPr>
          <w:spacing w:val="-3"/>
        </w:rPr>
        <w:t> </w:t>
      </w:r>
      <w:r>
        <w:rPr/>
        <w:t>the time of fumigation to also be affected.</w:t>
      </w:r>
    </w:p>
    <w:p>
      <w:pPr>
        <w:pStyle w:val="BodyText"/>
        <w:spacing w:before="122"/>
        <w:ind w:left="112" w:right="247"/>
      </w:pPr>
      <w:r>
        <w:rPr/>
        <w:t>The 2024 1080 user survey (Quantum Market Research 2024) found that 11% of land managers who controlled</w:t>
      </w:r>
      <w:r>
        <w:rPr>
          <w:spacing w:val="-2"/>
        </w:rPr>
        <w:t> </w:t>
      </w:r>
      <w:r>
        <w:rPr/>
        <w:t>rabbits</w:t>
      </w:r>
      <w:r>
        <w:rPr>
          <w:spacing w:val="-3"/>
        </w:rPr>
        <w:t> </w:t>
      </w:r>
      <w:r>
        <w:rPr/>
        <w:t>used</w:t>
      </w:r>
      <w:r>
        <w:rPr>
          <w:spacing w:val="-4"/>
        </w:rPr>
        <w:t> </w:t>
      </w:r>
      <w:r>
        <w:rPr/>
        <w:t>‘warren</w:t>
      </w:r>
      <w:r>
        <w:rPr>
          <w:spacing w:val="-5"/>
        </w:rPr>
        <w:t> </w:t>
      </w:r>
      <w:r>
        <w:rPr/>
        <w:t>fumigation’</w:t>
      </w:r>
      <w:r>
        <w:rPr>
          <w:spacing w:val="-5"/>
        </w:rPr>
        <w:t> </w:t>
      </w:r>
      <w:r>
        <w:rPr/>
        <w:t>as</w:t>
      </w:r>
      <w:r>
        <w:rPr>
          <w:spacing w:val="-3"/>
        </w:rPr>
        <w:t> </w:t>
      </w:r>
      <w:r>
        <w:rPr/>
        <w:t>a</w:t>
      </w:r>
      <w:r>
        <w:rPr>
          <w:spacing w:val="-2"/>
        </w:rPr>
        <w:t> </w:t>
      </w:r>
      <w:r>
        <w:rPr/>
        <w:t>primary</w:t>
      </w:r>
      <w:r>
        <w:rPr>
          <w:spacing w:val="-3"/>
        </w:rPr>
        <w:t> </w:t>
      </w:r>
      <w:r>
        <w:rPr/>
        <w:t>control</w:t>
      </w:r>
      <w:r>
        <w:rPr>
          <w:spacing w:val="-3"/>
        </w:rPr>
        <w:t> </w:t>
      </w:r>
      <w:r>
        <w:rPr/>
        <w:t>method,</w:t>
      </w:r>
      <w:r>
        <w:rPr>
          <w:spacing w:val="-2"/>
        </w:rPr>
        <w:t> </w:t>
      </w:r>
      <w:r>
        <w:rPr/>
        <w:t>but</w:t>
      </w:r>
      <w:r>
        <w:rPr>
          <w:spacing w:val="-2"/>
        </w:rPr>
        <w:t> </w:t>
      </w:r>
      <w:r>
        <w:rPr/>
        <w:t>the</w:t>
      </w:r>
      <w:r>
        <w:rPr>
          <w:spacing w:val="-5"/>
        </w:rPr>
        <w:t> </w:t>
      </w:r>
      <w:r>
        <w:rPr/>
        <w:t>survey</w:t>
      </w:r>
      <w:r>
        <w:rPr>
          <w:spacing w:val="-3"/>
        </w:rPr>
        <w:t> </w:t>
      </w:r>
      <w:r>
        <w:rPr/>
        <w:t>did</w:t>
      </w:r>
      <w:r>
        <w:rPr>
          <w:spacing w:val="-2"/>
        </w:rPr>
        <w:t> </w:t>
      </w:r>
      <w:r>
        <w:rPr/>
        <w:t>not</w:t>
      </w:r>
      <w:r>
        <w:rPr>
          <w:spacing w:val="-2"/>
        </w:rPr>
        <w:t> </w:t>
      </w:r>
      <w:r>
        <w:rPr/>
        <w:t>distinguish between use of chloropicrin and phosphine. Relative humaneness scores have been summarised for fumigants in Table 13.</w:t>
      </w:r>
    </w:p>
    <w:p>
      <w:pPr>
        <w:pStyle w:val="Heading5"/>
        <w:numPr>
          <w:ilvl w:val="2"/>
          <w:numId w:val="25"/>
        </w:numPr>
        <w:tabs>
          <w:tab w:pos="831" w:val="left" w:leader="none"/>
        </w:tabs>
        <w:spacing w:line="240" w:lineRule="auto" w:before="138" w:after="0"/>
        <w:ind w:left="831" w:right="0" w:hanging="719"/>
        <w:jc w:val="left"/>
      </w:pPr>
      <w:r>
        <w:rPr/>
        <w:t>Phosphine</w:t>
      </w:r>
      <w:r>
        <w:rPr>
          <w:spacing w:val="-6"/>
        </w:rPr>
        <w:t> </w:t>
      </w:r>
      <w:r>
        <w:rPr/>
        <w:t>(rabbit</w:t>
      </w:r>
      <w:r>
        <w:rPr>
          <w:spacing w:val="-6"/>
        </w:rPr>
        <w:t> </w:t>
      </w:r>
      <w:r>
        <w:rPr>
          <w:spacing w:val="-2"/>
        </w:rPr>
        <w:t>warrens)</w:t>
      </w:r>
    </w:p>
    <w:p>
      <w:pPr>
        <w:pStyle w:val="BodyText"/>
        <w:spacing w:before="59"/>
        <w:ind w:left="112" w:right="416"/>
      </w:pPr>
      <w:r>
        <w:rPr/>
        <w:t>Exposure to high concentrations of phosphine in vertebrates leads to a profound fall in blood pressure followed by death. Lower concentrations cause pulmonary oedema, which may result in death but occurs over</w:t>
      </w:r>
      <w:r>
        <w:rPr>
          <w:spacing w:val="-3"/>
        </w:rPr>
        <w:t> </w:t>
      </w:r>
      <w:r>
        <w:rPr/>
        <w:t>a</w:t>
      </w:r>
      <w:r>
        <w:rPr>
          <w:spacing w:val="-4"/>
        </w:rPr>
        <w:t> </w:t>
      </w:r>
      <w:r>
        <w:rPr/>
        <w:t>longer</w:t>
      </w:r>
      <w:r>
        <w:rPr>
          <w:spacing w:val="-3"/>
        </w:rPr>
        <w:t> </w:t>
      </w:r>
      <w:r>
        <w:rPr/>
        <w:t>duration.</w:t>
      </w:r>
      <w:r>
        <w:rPr>
          <w:spacing w:val="-2"/>
        </w:rPr>
        <w:t> </w:t>
      </w:r>
      <w:r>
        <w:rPr/>
        <w:t>Signs</w:t>
      </w:r>
      <w:r>
        <w:rPr>
          <w:spacing w:val="-3"/>
        </w:rPr>
        <w:t> </w:t>
      </w:r>
      <w:r>
        <w:rPr/>
        <w:t>in</w:t>
      </w:r>
      <w:r>
        <w:rPr>
          <w:spacing w:val="-3"/>
        </w:rPr>
        <w:t> </w:t>
      </w:r>
      <w:r>
        <w:rPr/>
        <w:t>rabbits</w:t>
      </w:r>
      <w:r>
        <w:rPr>
          <w:spacing w:val="-3"/>
        </w:rPr>
        <w:t> </w:t>
      </w:r>
      <w:r>
        <w:rPr/>
        <w:t>after</w:t>
      </w:r>
      <w:r>
        <w:rPr>
          <w:spacing w:val="-3"/>
        </w:rPr>
        <w:t> </w:t>
      </w:r>
      <w:r>
        <w:rPr/>
        <w:t>collapse</w:t>
      </w:r>
      <w:r>
        <w:rPr>
          <w:spacing w:val="-2"/>
        </w:rPr>
        <w:t> </w:t>
      </w:r>
      <w:r>
        <w:rPr/>
        <w:t>include</w:t>
      </w:r>
      <w:r>
        <w:rPr>
          <w:spacing w:val="-3"/>
        </w:rPr>
        <w:t> </w:t>
      </w:r>
      <w:r>
        <w:rPr/>
        <w:t>gasping,</w:t>
      </w:r>
      <w:r>
        <w:rPr>
          <w:spacing w:val="-4"/>
        </w:rPr>
        <w:t> </w:t>
      </w:r>
      <w:r>
        <w:rPr/>
        <w:t>convulsions</w:t>
      </w:r>
      <w:r>
        <w:rPr>
          <w:spacing w:val="-3"/>
        </w:rPr>
        <w:t> </w:t>
      </w:r>
      <w:r>
        <w:rPr/>
        <w:t>and</w:t>
      </w:r>
      <w:r>
        <w:rPr>
          <w:spacing w:val="-3"/>
        </w:rPr>
        <w:t> </w:t>
      </w:r>
      <w:r>
        <w:rPr/>
        <w:t>paddling</w:t>
      </w:r>
      <w:r>
        <w:rPr>
          <w:spacing w:val="-4"/>
        </w:rPr>
        <w:t> </w:t>
      </w:r>
      <w:r>
        <w:rPr/>
        <w:t>(Gigliotti et al. 2009).</w:t>
      </w:r>
    </w:p>
    <w:p>
      <w:pPr>
        <w:pStyle w:val="BodyText"/>
        <w:spacing w:before="119"/>
        <w:ind w:left="112" w:right="364"/>
      </w:pPr>
      <w:r>
        <w:rPr/>
        <w:t>Time to onset of symptoms is variable because the spread of gas through a warren relies on diffusion. Time to death (from when tablets are placed in a warren) is on average 225 minutes. If the concentration of phosphine is high, there will be a relatively short duration of severe signs prior to death. At lower concentrations,</w:t>
      </w:r>
      <w:r>
        <w:rPr>
          <w:spacing w:val="-4"/>
        </w:rPr>
        <w:t> </w:t>
      </w:r>
      <w:r>
        <w:rPr/>
        <w:t>the</w:t>
      </w:r>
      <w:r>
        <w:rPr>
          <w:spacing w:val="-3"/>
        </w:rPr>
        <w:t> </w:t>
      </w:r>
      <w:r>
        <w:rPr/>
        <w:t>animal</w:t>
      </w:r>
      <w:r>
        <w:rPr>
          <w:spacing w:val="-3"/>
        </w:rPr>
        <w:t> </w:t>
      </w:r>
      <w:r>
        <w:rPr/>
        <w:t>is</w:t>
      </w:r>
      <w:r>
        <w:rPr>
          <w:spacing w:val="-3"/>
        </w:rPr>
        <w:t> </w:t>
      </w:r>
      <w:r>
        <w:rPr/>
        <w:t>likely</w:t>
      </w:r>
      <w:r>
        <w:rPr>
          <w:spacing w:val="-3"/>
        </w:rPr>
        <w:t> </w:t>
      </w:r>
      <w:r>
        <w:rPr/>
        <w:t>to</w:t>
      </w:r>
      <w:r>
        <w:rPr>
          <w:spacing w:val="-4"/>
        </w:rPr>
        <w:t> </w:t>
      </w:r>
      <w:r>
        <w:rPr/>
        <w:t>suffer</w:t>
      </w:r>
      <w:r>
        <w:rPr>
          <w:spacing w:val="-4"/>
        </w:rPr>
        <w:t> </w:t>
      </w:r>
      <w:r>
        <w:rPr/>
        <w:t>for</w:t>
      </w:r>
      <w:r>
        <w:rPr>
          <w:spacing w:val="-3"/>
        </w:rPr>
        <w:t> </w:t>
      </w:r>
      <w:r>
        <w:rPr/>
        <w:t>longer. For</w:t>
      </w:r>
      <w:r>
        <w:rPr>
          <w:spacing w:val="-4"/>
        </w:rPr>
        <w:t> </w:t>
      </w:r>
      <w:r>
        <w:rPr/>
        <w:t>example,</w:t>
      </w:r>
      <w:r>
        <w:rPr>
          <w:spacing w:val="-2"/>
        </w:rPr>
        <w:t> </w:t>
      </w:r>
      <w:r>
        <w:rPr/>
        <w:t>at</w:t>
      </w:r>
      <w:r>
        <w:rPr>
          <w:spacing w:val="-4"/>
        </w:rPr>
        <w:t> </w:t>
      </w:r>
      <w:r>
        <w:rPr/>
        <w:t>concentrations</w:t>
      </w:r>
      <w:r>
        <w:rPr>
          <w:spacing w:val="-3"/>
        </w:rPr>
        <w:t> </w:t>
      </w:r>
      <w:r>
        <w:rPr/>
        <w:t>of</w:t>
      </w:r>
      <w:r>
        <w:rPr>
          <w:spacing w:val="-2"/>
        </w:rPr>
        <w:t> </w:t>
      </w:r>
      <w:r>
        <w:rPr/>
        <w:t>400</w:t>
      </w:r>
      <w:r>
        <w:rPr>
          <w:spacing w:val="-2"/>
        </w:rPr>
        <w:t> </w:t>
      </w:r>
      <w:r>
        <w:rPr/>
        <w:t>ppm</w:t>
      </w:r>
      <w:r>
        <w:rPr>
          <w:spacing w:val="-4"/>
        </w:rPr>
        <w:t> </w:t>
      </w:r>
      <w:r>
        <w:rPr/>
        <w:t>phosphine can kill rabbits in 30 minutes, whereas at 25 ppm death can take 4 hours (Gigliotti et al. 2009).</w:t>
      </w:r>
    </w:p>
    <w:p>
      <w:pPr>
        <w:pStyle w:val="BodyText"/>
        <w:spacing w:before="121"/>
        <w:ind w:left="112" w:right="427"/>
      </w:pPr>
      <w:r>
        <w:rPr/>
        <w:t>The time taken to reach high concentrations throughout the warren largely depends on the amount of moisture in the soil and air, or on the tablets. In low humidity, complete release of phosphine gas from the tablets</w:t>
      </w:r>
      <w:r>
        <w:rPr>
          <w:spacing w:val="-2"/>
        </w:rPr>
        <w:t> </w:t>
      </w:r>
      <w:r>
        <w:rPr/>
        <w:t>may</w:t>
      </w:r>
      <w:r>
        <w:rPr>
          <w:spacing w:val="-2"/>
        </w:rPr>
        <w:t> </w:t>
      </w:r>
      <w:r>
        <w:rPr/>
        <w:t>take</w:t>
      </w:r>
      <w:r>
        <w:rPr>
          <w:spacing w:val="-3"/>
        </w:rPr>
        <w:t> </w:t>
      </w:r>
      <w:r>
        <w:rPr/>
        <w:t>hours</w:t>
      </w:r>
      <w:r>
        <w:rPr>
          <w:spacing w:val="-2"/>
        </w:rPr>
        <w:t> </w:t>
      </w:r>
      <w:r>
        <w:rPr/>
        <w:t>or</w:t>
      </w:r>
      <w:r>
        <w:rPr>
          <w:spacing w:val="-3"/>
        </w:rPr>
        <w:t> </w:t>
      </w:r>
      <w:r>
        <w:rPr/>
        <w:t>even</w:t>
      </w:r>
      <w:r>
        <w:rPr>
          <w:spacing w:val="-4"/>
        </w:rPr>
        <w:t> </w:t>
      </w:r>
      <w:r>
        <w:rPr/>
        <w:t>days.</w:t>
      </w:r>
      <w:r>
        <w:rPr>
          <w:spacing w:val="-3"/>
        </w:rPr>
        <w:t> </w:t>
      </w:r>
      <w:r>
        <w:rPr/>
        <w:t>Higher</w:t>
      </w:r>
      <w:r>
        <w:rPr>
          <w:spacing w:val="-3"/>
        </w:rPr>
        <w:t> </w:t>
      </w:r>
      <w:r>
        <w:rPr/>
        <w:t>humidity will</w:t>
      </w:r>
      <w:r>
        <w:rPr>
          <w:spacing w:val="-4"/>
        </w:rPr>
        <w:t> </w:t>
      </w:r>
      <w:r>
        <w:rPr/>
        <w:t>cause</w:t>
      </w:r>
      <w:r>
        <w:rPr>
          <w:spacing w:val="-1"/>
        </w:rPr>
        <w:t> </w:t>
      </w:r>
      <w:r>
        <w:rPr/>
        <w:t>a</w:t>
      </w:r>
      <w:r>
        <w:rPr>
          <w:spacing w:val="-3"/>
        </w:rPr>
        <w:t> </w:t>
      </w:r>
      <w:r>
        <w:rPr/>
        <w:t>rapid</w:t>
      </w:r>
      <w:r>
        <w:rPr>
          <w:spacing w:val="-3"/>
        </w:rPr>
        <w:t> </w:t>
      </w:r>
      <w:r>
        <w:rPr/>
        <w:t>rate</w:t>
      </w:r>
      <w:r>
        <w:rPr>
          <w:spacing w:val="-2"/>
        </w:rPr>
        <w:t> </w:t>
      </w:r>
      <w:r>
        <w:rPr/>
        <w:t>of</w:t>
      </w:r>
      <w:r>
        <w:rPr>
          <w:spacing w:val="-3"/>
        </w:rPr>
        <w:t> </w:t>
      </w:r>
      <w:r>
        <w:rPr/>
        <w:t>diffusion</w:t>
      </w:r>
      <w:r>
        <w:rPr>
          <w:spacing w:val="-1"/>
        </w:rPr>
        <w:t> </w:t>
      </w:r>
      <w:r>
        <w:rPr/>
        <w:t>and</w:t>
      </w:r>
      <w:r>
        <w:rPr>
          <w:spacing w:val="-3"/>
        </w:rPr>
        <w:t> </w:t>
      </w:r>
      <w:r>
        <w:rPr/>
        <w:t>therefore</w:t>
      </w:r>
      <w:r>
        <w:rPr>
          <w:spacing w:val="-3"/>
        </w:rPr>
        <w:t> </w:t>
      </w:r>
      <w:r>
        <w:rPr/>
        <w:t>result in higher concentrations of gas so that the rabbit will be exposed to a lethal dose in a shorter time and will have less chance to dig out of the warren.</w:t>
      </w:r>
    </w:p>
    <w:p>
      <w:pPr>
        <w:pStyle w:val="BodyText"/>
        <w:spacing w:before="119"/>
        <w:ind w:left="112" w:right="640"/>
      </w:pPr>
      <w:r>
        <w:rPr/>
        <w:t>As per the national SOP for rabbit warren fumigation (</w:t>
      </w:r>
      <w:hyperlink r:id="rId84">
        <w:r>
          <w:rPr>
            <w:color w:val="0000FF"/>
            <w:u w:val="single" w:color="0000FF"/>
          </w:rPr>
          <w:t>https://pestsmart.org.au/toolkit-resource/diffusion-</w:t>
        </w:r>
      </w:hyperlink>
      <w:r>
        <w:rPr>
          <w:color w:val="0000FF"/>
          <w:u w:val="none"/>
        </w:rPr>
        <w:t> </w:t>
      </w:r>
      <w:hyperlink r:id="rId84">
        <w:r>
          <w:rPr>
            <w:color w:val="0000FF"/>
            <w:u w:val="single" w:color="0000FF"/>
          </w:rPr>
          <w:t>fumigation-of-rabbit-warrens/</w:t>
        </w:r>
      </w:hyperlink>
      <w:r>
        <w:rPr>
          <w:color w:val="0000FF"/>
          <w:spacing w:val="-4"/>
          <w:u w:val="none"/>
        </w:rPr>
        <w:t> </w:t>
      </w:r>
      <w:r>
        <w:rPr>
          <w:u w:val="none"/>
        </w:rPr>
        <w:t>)</w:t>
      </w:r>
      <w:r>
        <w:rPr>
          <w:spacing w:val="-4"/>
          <w:u w:val="none"/>
        </w:rPr>
        <w:t> </w:t>
      </w:r>
      <w:r>
        <w:rPr>
          <w:u w:val="none"/>
        </w:rPr>
        <w:t>phosphine</w:t>
      </w:r>
      <w:r>
        <w:rPr>
          <w:spacing w:val="-4"/>
          <w:u w:val="none"/>
        </w:rPr>
        <w:t> </w:t>
      </w:r>
      <w:r>
        <w:rPr>
          <w:u w:val="none"/>
        </w:rPr>
        <w:t>is</w:t>
      </w:r>
      <w:r>
        <w:rPr>
          <w:spacing w:val="-4"/>
          <w:u w:val="none"/>
        </w:rPr>
        <w:t> </w:t>
      </w:r>
      <w:r>
        <w:rPr>
          <w:u w:val="none"/>
        </w:rPr>
        <w:t>currently</w:t>
      </w:r>
      <w:r>
        <w:rPr>
          <w:spacing w:val="-4"/>
          <w:u w:val="none"/>
        </w:rPr>
        <w:t> </w:t>
      </w:r>
      <w:r>
        <w:rPr>
          <w:u w:val="none"/>
        </w:rPr>
        <w:t>the</w:t>
      </w:r>
      <w:r>
        <w:rPr>
          <w:spacing w:val="-5"/>
          <w:u w:val="none"/>
        </w:rPr>
        <w:t> </w:t>
      </w:r>
      <w:r>
        <w:rPr>
          <w:u w:val="none"/>
        </w:rPr>
        <w:t>preferred</w:t>
      </w:r>
      <w:r>
        <w:rPr>
          <w:spacing w:val="-5"/>
          <w:u w:val="none"/>
        </w:rPr>
        <w:t> </w:t>
      </w:r>
      <w:r>
        <w:rPr>
          <w:u w:val="none"/>
        </w:rPr>
        <w:t>toxin</w:t>
      </w:r>
      <w:r>
        <w:rPr>
          <w:spacing w:val="-3"/>
          <w:u w:val="none"/>
        </w:rPr>
        <w:t> </w:t>
      </w:r>
      <w:r>
        <w:rPr>
          <w:u w:val="none"/>
        </w:rPr>
        <w:t>for</w:t>
      </w:r>
      <w:r>
        <w:rPr>
          <w:spacing w:val="-4"/>
          <w:u w:val="none"/>
        </w:rPr>
        <w:t> </w:t>
      </w:r>
      <w:r>
        <w:rPr>
          <w:u w:val="none"/>
        </w:rPr>
        <w:t>diffusion</w:t>
      </w:r>
      <w:r>
        <w:rPr>
          <w:spacing w:val="-5"/>
          <w:u w:val="none"/>
        </w:rPr>
        <w:t> </w:t>
      </w:r>
      <w:r>
        <w:rPr>
          <w:u w:val="none"/>
        </w:rPr>
        <w:t>fumigation</w:t>
      </w:r>
      <w:r>
        <w:rPr>
          <w:spacing w:val="-3"/>
          <w:u w:val="none"/>
        </w:rPr>
        <w:t> </w:t>
      </w:r>
      <w:r>
        <w:rPr>
          <w:u w:val="none"/>
        </w:rPr>
        <w:t>until</w:t>
      </w:r>
      <w:r>
        <w:rPr>
          <w:spacing w:val="-4"/>
          <w:u w:val="none"/>
        </w:rPr>
        <w:t> </w:t>
      </w:r>
      <w:r>
        <w:rPr>
          <w:u w:val="none"/>
        </w:rPr>
        <w:t>more humane methods are developed. Phosphine is relatively less humane compared to 1080 (Table 13).</w:t>
      </w:r>
    </w:p>
    <w:p>
      <w:pPr>
        <w:pStyle w:val="Heading5"/>
        <w:numPr>
          <w:ilvl w:val="2"/>
          <w:numId w:val="25"/>
        </w:numPr>
        <w:tabs>
          <w:tab w:pos="831" w:val="left" w:leader="none"/>
        </w:tabs>
        <w:spacing w:line="240" w:lineRule="auto" w:before="141" w:after="0"/>
        <w:ind w:left="831" w:right="0" w:hanging="719"/>
        <w:jc w:val="left"/>
      </w:pPr>
      <w:r>
        <w:rPr/>
        <w:t>Chloropicrin</w:t>
      </w:r>
      <w:r>
        <w:rPr>
          <w:spacing w:val="-10"/>
        </w:rPr>
        <w:t> </w:t>
      </w:r>
      <w:r>
        <w:rPr/>
        <w:t>(rabbit</w:t>
      </w:r>
      <w:r>
        <w:rPr>
          <w:spacing w:val="-10"/>
        </w:rPr>
        <w:t> </w:t>
      </w:r>
      <w:r>
        <w:rPr>
          <w:spacing w:val="-2"/>
        </w:rPr>
        <w:t>warrens)</w:t>
      </w:r>
    </w:p>
    <w:p>
      <w:pPr>
        <w:pStyle w:val="BodyText"/>
        <w:spacing w:before="56"/>
        <w:ind w:left="112"/>
      </w:pPr>
      <w:r>
        <w:rPr/>
        <w:t>Chloropicrin</w:t>
      </w:r>
      <w:r>
        <w:rPr>
          <w:spacing w:val="-3"/>
        </w:rPr>
        <w:t> </w:t>
      </w:r>
      <w:r>
        <w:rPr/>
        <w:t>causes</w:t>
      </w:r>
      <w:r>
        <w:rPr>
          <w:spacing w:val="-1"/>
        </w:rPr>
        <w:t> </w:t>
      </w:r>
      <w:r>
        <w:rPr/>
        <w:t>intense</w:t>
      </w:r>
      <w:r>
        <w:rPr>
          <w:spacing w:val="-4"/>
        </w:rPr>
        <w:t> </w:t>
      </w:r>
      <w:r>
        <w:rPr/>
        <w:t>irritation</w:t>
      </w:r>
      <w:r>
        <w:rPr>
          <w:spacing w:val="-5"/>
        </w:rPr>
        <w:t> </w:t>
      </w:r>
      <w:r>
        <w:rPr/>
        <w:t>of</w:t>
      </w:r>
      <w:r>
        <w:rPr>
          <w:spacing w:val="-4"/>
        </w:rPr>
        <w:t> </w:t>
      </w:r>
      <w:r>
        <w:rPr/>
        <w:t>the</w:t>
      </w:r>
      <w:r>
        <w:rPr>
          <w:spacing w:val="-4"/>
        </w:rPr>
        <w:t> </w:t>
      </w:r>
      <w:r>
        <w:rPr/>
        <w:t>respiratory</w:t>
      </w:r>
      <w:r>
        <w:rPr>
          <w:spacing w:val="-2"/>
        </w:rPr>
        <w:t> </w:t>
      </w:r>
      <w:r>
        <w:rPr/>
        <w:t>tract with</w:t>
      </w:r>
      <w:r>
        <w:rPr>
          <w:spacing w:val="-4"/>
        </w:rPr>
        <w:t> </w:t>
      </w:r>
      <w:r>
        <w:rPr/>
        <w:t>death</w:t>
      </w:r>
      <w:r>
        <w:rPr>
          <w:spacing w:val="-5"/>
        </w:rPr>
        <w:t> </w:t>
      </w:r>
      <w:r>
        <w:rPr/>
        <w:t>resulting</w:t>
      </w:r>
      <w:r>
        <w:rPr>
          <w:spacing w:val="-2"/>
        </w:rPr>
        <w:t> </w:t>
      </w:r>
      <w:r>
        <w:rPr/>
        <w:t>from</w:t>
      </w:r>
      <w:r>
        <w:rPr>
          <w:spacing w:val="-4"/>
        </w:rPr>
        <w:t> </w:t>
      </w:r>
      <w:r>
        <w:rPr/>
        <w:t>pulmonary</w:t>
      </w:r>
      <w:r>
        <w:rPr>
          <w:spacing w:val="-2"/>
        </w:rPr>
        <w:t> </w:t>
      </w:r>
      <w:r>
        <w:rPr/>
        <w:t>oedema, bronchopneumonia or bronchiolitis obliterans (a condition referred to as ‘popcorn lung’).</w:t>
      </w:r>
    </w:p>
    <w:p>
      <w:pPr>
        <w:pStyle w:val="BodyText"/>
        <w:spacing w:before="121"/>
        <w:ind w:left="112" w:right="380"/>
      </w:pPr>
      <w:r>
        <w:rPr/>
        <w:t>Initial signs of toxicosis include rapid blinking, nose twitching, distress vocalisations and laboured breathing and signs prior to collapse include profuse lacrimal (eye and tear duct) and nasal discharge, congested breathing and uncoordinated paddling (Marks 2009). Signs before death are variable, with some rabbits remaining hunched and immobile for up to an hour before death (Gigliotti et al. 2009). Time to death is 70– 95 minutes when power fumigation with chloropicrin is used (Gigliotti et al. 2009). However, there can be wide variation</w:t>
      </w:r>
      <w:r>
        <w:rPr>
          <w:spacing w:val="-2"/>
        </w:rPr>
        <w:t> </w:t>
      </w:r>
      <w:r>
        <w:rPr/>
        <w:t>in</w:t>
      </w:r>
      <w:r>
        <w:rPr>
          <w:spacing w:val="-2"/>
        </w:rPr>
        <w:t> </w:t>
      </w:r>
      <w:r>
        <w:rPr/>
        <w:t>time</w:t>
      </w:r>
      <w:r>
        <w:rPr>
          <w:spacing w:val="-2"/>
        </w:rPr>
        <w:t> </w:t>
      </w:r>
      <w:r>
        <w:rPr/>
        <w:t>to</w:t>
      </w:r>
      <w:r>
        <w:rPr>
          <w:spacing w:val="-2"/>
        </w:rPr>
        <w:t> </w:t>
      </w:r>
      <w:r>
        <w:rPr/>
        <w:t>death</w:t>
      </w:r>
      <w:r>
        <w:rPr>
          <w:spacing w:val="-3"/>
        </w:rPr>
        <w:t> </w:t>
      </w:r>
      <w:r>
        <w:rPr/>
        <w:t>(from 5–135 minutes)</w:t>
      </w:r>
      <w:r>
        <w:rPr>
          <w:spacing w:val="-1"/>
        </w:rPr>
        <w:t> </w:t>
      </w:r>
      <w:r>
        <w:rPr/>
        <w:t>for</w:t>
      </w:r>
      <w:r>
        <w:rPr>
          <w:spacing w:val="-1"/>
        </w:rPr>
        <w:t> </w:t>
      </w:r>
      <w:r>
        <w:rPr/>
        <w:t>rabbits</w:t>
      </w:r>
      <w:r>
        <w:rPr>
          <w:spacing w:val="-1"/>
        </w:rPr>
        <w:t> </w:t>
      </w:r>
      <w:r>
        <w:rPr/>
        <w:t>depending</w:t>
      </w:r>
      <w:r>
        <w:rPr>
          <w:spacing w:val="-3"/>
        </w:rPr>
        <w:t> </w:t>
      </w:r>
      <w:r>
        <w:rPr/>
        <w:t>on</w:t>
      </w:r>
      <w:r>
        <w:rPr>
          <w:spacing w:val="-2"/>
        </w:rPr>
        <w:t> </w:t>
      </w:r>
      <w:r>
        <w:rPr/>
        <w:t>the exposure</w:t>
      </w:r>
      <w:r>
        <w:rPr>
          <w:spacing w:val="-2"/>
        </w:rPr>
        <w:t> </w:t>
      </w:r>
      <w:r>
        <w:rPr/>
        <w:t>concentration</w:t>
      </w:r>
      <w:r>
        <w:rPr>
          <w:spacing w:val="-2"/>
        </w:rPr>
        <w:t> </w:t>
      </w:r>
      <w:r>
        <w:rPr/>
        <w:t>of chloropicrin,</w:t>
      </w:r>
      <w:r>
        <w:rPr>
          <w:spacing w:val="-2"/>
        </w:rPr>
        <w:t> </w:t>
      </w:r>
      <w:r>
        <w:rPr/>
        <w:t>with</w:t>
      </w:r>
      <w:r>
        <w:rPr>
          <w:spacing w:val="-4"/>
        </w:rPr>
        <w:t> </w:t>
      </w:r>
      <w:r>
        <w:rPr/>
        <w:t>higher</w:t>
      </w:r>
      <w:r>
        <w:rPr>
          <w:spacing w:val="-4"/>
        </w:rPr>
        <w:t> </w:t>
      </w:r>
      <w:r>
        <w:rPr/>
        <w:t>concentrations</w:t>
      </w:r>
      <w:r>
        <w:rPr>
          <w:spacing w:val="-1"/>
        </w:rPr>
        <w:t> </w:t>
      </w:r>
      <w:r>
        <w:rPr/>
        <w:t>associated</w:t>
      </w:r>
      <w:r>
        <w:rPr>
          <w:spacing w:val="-4"/>
        </w:rPr>
        <w:t> </w:t>
      </w:r>
      <w:r>
        <w:rPr/>
        <w:t>with</w:t>
      </w:r>
      <w:r>
        <w:rPr>
          <w:spacing w:val="-4"/>
        </w:rPr>
        <w:t> </w:t>
      </w:r>
      <w:r>
        <w:rPr/>
        <w:t>shorter</w:t>
      </w:r>
      <w:r>
        <w:rPr>
          <w:spacing w:val="-4"/>
        </w:rPr>
        <w:t> </w:t>
      </w:r>
      <w:r>
        <w:rPr/>
        <w:t>times</w:t>
      </w:r>
      <w:r>
        <w:rPr>
          <w:spacing w:val="-3"/>
        </w:rPr>
        <w:t> </w:t>
      </w:r>
      <w:r>
        <w:rPr/>
        <w:t>to</w:t>
      </w:r>
      <w:r>
        <w:rPr>
          <w:spacing w:val="-4"/>
        </w:rPr>
        <w:t> </w:t>
      </w:r>
      <w:r>
        <w:rPr/>
        <w:t>death</w:t>
      </w:r>
      <w:r>
        <w:rPr>
          <w:spacing w:val="-4"/>
        </w:rPr>
        <w:t> </w:t>
      </w:r>
      <w:r>
        <w:rPr/>
        <w:t>(Gleeson</w:t>
      </w:r>
      <w:r>
        <w:rPr>
          <w:spacing w:val="-3"/>
        </w:rPr>
        <w:t> </w:t>
      </w:r>
      <w:r>
        <w:rPr/>
        <w:t>and</w:t>
      </w:r>
      <w:r>
        <w:rPr>
          <w:spacing w:val="-2"/>
        </w:rPr>
        <w:t> </w:t>
      </w:r>
      <w:r>
        <w:rPr/>
        <w:t>Maguire</w:t>
      </w:r>
      <w:r>
        <w:rPr>
          <w:spacing w:val="-4"/>
        </w:rPr>
        <w:t> </w:t>
      </w:r>
      <w:r>
        <w:rPr/>
        <w:t>1957). Exposure to chloropicrin that is not acutely lethal may cause a protracted death over hours or days (Marks </w:t>
      </w:r>
      <w:r>
        <w:rPr>
          <w:spacing w:val="-2"/>
        </w:rPr>
        <w:t>2009).</w:t>
      </w:r>
    </w:p>
    <w:p>
      <w:pPr>
        <w:pStyle w:val="BodyText"/>
        <w:spacing w:before="120"/>
        <w:ind w:left="112" w:right="821"/>
        <w:jc w:val="both"/>
      </w:pPr>
      <w:r>
        <w:rPr/>
        <w:t>As</w:t>
      </w:r>
      <w:r>
        <w:rPr>
          <w:spacing w:val="-1"/>
        </w:rPr>
        <w:t> </w:t>
      </w:r>
      <w:r>
        <w:rPr/>
        <w:t>per</w:t>
      </w:r>
      <w:r>
        <w:rPr>
          <w:spacing w:val="-1"/>
        </w:rPr>
        <w:t> </w:t>
      </w:r>
      <w:r>
        <w:rPr/>
        <w:t>the</w:t>
      </w:r>
      <w:r>
        <w:rPr>
          <w:spacing w:val="-3"/>
        </w:rPr>
        <w:t> </w:t>
      </w:r>
      <w:r>
        <w:rPr/>
        <w:t>national</w:t>
      </w:r>
      <w:r>
        <w:rPr>
          <w:spacing w:val="-1"/>
        </w:rPr>
        <w:t> </w:t>
      </w:r>
      <w:r>
        <w:rPr/>
        <w:t>SOP</w:t>
      </w:r>
      <w:r>
        <w:rPr>
          <w:spacing w:val="-2"/>
        </w:rPr>
        <w:t> </w:t>
      </w:r>
      <w:r>
        <w:rPr/>
        <w:t>for rabbit</w:t>
      </w:r>
      <w:r>
        <w:rPr>
          <w:spacing w:val="-2"/>
        </w:rPr>
        <w:t> </w:t>
      </w:r>
      <w:r>
        <w:rPr/>
        <w:t>warren</w:t>
      </w:r>
      <w:r>
        <w:rPr>
          <w:spacing w:val="-2"/>
        </w:rPr>
        <w:t> </w:t>
      </w:r>
      <w:r>
        <w:rPr/>
        <w:t>fumigation</w:t>
      </w:r>
      <w:r>
        <w:rPr>
          <w:spacing w:val="-3"/>
        </w:rPr>
        <w:t> </w:t>
      </w:r>
      <w:r>
        <w:rPr/>
        <w:t>(</w:t>
      </w:r>
      <w:hyperlink r:id="rId84">
        <w:r>
          <w:rPr>
            <w:color w:val="0000FF"/>
            <w:u w:val="single" w:color="0000FF"/>
          </w:rPr>
          <w:t>https://pestsmart.org.au/toolkit-resource/diffusion-</w:t>
        </w:r>
      </w:hyperlink>
      <w:r>
        <w:rPr>
          <w:color w:val="0000FF"/>
          <w:u w:val="none"/>
        </w:rPr>
        <w:t> </w:t>
      </w:r>
      <w:hyperlink r:id="rId84">
        <w:r>
          <w:rPr>
            <w:color w:val="0000FF"/>
            <w:u w:val="single" w:color="0000FF"/>
          </w:rPr>
          <w:t>fumigation-of-rabbit-warrens/</w:t>
        </w:r>
      </w:hyperlink>
      <w:r>
        <w:rPr>
          <w:color w:val="0000FF"/>
          <w:spacing w:val="-5"/>
          <w:u w:val="none"/>
        </w:rPr>
        <w:t> </w:t>
      </w:r>
      <w:r>
        <w:rPr>
          <w:u w:val="none"/>
        </w:rPr>
        <w:t>),</w:t>
      </w:r>
      <w:r>
        <w:rPr>
          <w:spacing w:val="-6"/>
          <w:u w:val="none"/>
        </w:rPr>
        <w:t> </w:t>
      </w:r>
      <w:r>
        <w:rPr>
          <w:u w:val="none"/>
        </w:rPr>
        <w:t>chloropicrin</w:t>
      </w:r>
      <w:r>
        <w:rPr>
          <w:spacing w:val="-6"/>
          <w:u w:val="none"/>
        </w:rPr>
        <w:t> </w:t>
      </w:r>
      <w:r>
        <w:rPr>
          <w:u w:val="none"/>
        </w:rPr>
        <w:t>(trichloronitromethane)</w:t>
      </w:r>
      <w:r>
        <w:rPr>
          <w:spacing w:val="-6"/>
          <w:u w:val="none"/>
        </w:rPr>
        <w:t> </w:t>
      </w:r>
      <w:r>
        <w:rPr>
          <w:u w:val="none"/>
        </w:rPr>
        <w:t>is</w:t>
      </w:r>
      <w:r>
        <w:rPr>
          <w:spacing w:val="-5"/>
          <w:u w:val="none"/>
        </w:rPr>
        <w:t> </w:t>
      </w:r>
      <w:r>
        <w:rPr>
          <w:u w:val="none"/>
        </w:rPr>
        <w:t>considered</w:t>
      </w:r>
      <w:r>
        <w:rPr>
          <w:spacing w:val="-6"/>
          <w:u w:val="none"/>
        </w:rPr>
        <w:t> </w:t>
      </w:r>
      <w:r>
        <w:rPr>
          <w:u w:val="none"/>
        </w:rPr>
        <w:t>to</w:t>
      </w:r>
      <w:r>
        <w:rPr>
          <w:spacing w:val="-6"/>
          <w:u w:val="none"/>
        </w:rPr>
        <w:t> </w:t>
      </w:r>
      <w:r>
        <w:rPr>
          <w:u w:val="none"/>
        </w:rPr>
        <w:t>be</w:t>
      </w:r>
      <w:r>
        <w:rPr>
          <w:spacing w:val="-4"/>
          <w:u w:val="none"/>
        </w:rPr>
        <w:t> </w:t>
      </w:r>
      <w:r>
        <w:rPr>
          <w:u w:val="none"/>
        </w:rPr>
        <w:t>inhumane (Table 13</w:t>
      </w:r>
      <w:hyperlink w:history="true" w:anchor="_bookmark23">
        <w:r>
          <w:rPr>
            <w:u w:val="none"/>
          </w:rPr>
          <w:t>Table</w:t>
        </w:r>
        <w:r>
          <w:rPr>
            <w:spacing w:val="-1"/>
            <w:u w:val="none"/>
          </w:rPr>
          <w:t> </w:t>
        </w:r>
        <w:r>
          <w:rPr>
            <w:u w:val="none"/>
          </w:rPr>
          <w:t>12</w:t>
        </w:r>
      </w:hyperlink>
      <w:r>
        <w:rPr>
          <w:u w:val="none"/>
        </w:rPr>
        <w:t>)</w:t>
      </w:r>
      <w:r>
        <w:rPr>
          <w:spacing w:val="-3"/>
          <w:u w:val="none"/>
        </w:rPr>
        <w:t> </w:t>
      </w:r>
      <w:r>
        <w:rPr>
          <w:u w:val="none"/>
        </w:rPr>
        <w:t>and</w:t>
      </w:r>
      <w:r>
        <w:rPr>
          <w:spacing w:val="-3"/>
          <w:u w:val="none"/>
        </w:rPr>
        <w:t> </w:t>
      </w:r>
      <w:r>
        <w:rPr>
          <w:u w:val="none"/>
        </w:rPr>
        <w:t>its</w:t>
      </w:r>
      <w:r>
        <w:rPr>
          <w:spacing w:val="-3"/>
          <w:u w:val="none"/>
        </w:rPr>
        <w:t> </w:t>
      </w:r>
      <w:r>
        <w:rPr>
          <w:u w:val="none"/>
        </w:rPr>
        <w:t>use</w:t>
      </w:r>
      <w:r>
        <w:rPr>
          <w:spacing w:val="-2"/>
          <w:u w:val="none"/>
        </w:rPr>
        <w:t> </w:t>
      </w:r>
      <w:r>
        <w:rPr>
          <w:u w:val="none"/>
        </w:rPr>
        <w:t>is</w:t>
      </w:r>
      <w:r>
        <w:rPr>
          <w:spacing w:val="-3"/>
          <w:u w:val="none"/>
        </w:rPr>
        <w:t> </w:t>
      </w:r>
      <w:r>
        <w:rPr>
          <w:u w:val="none"/>
        </w:rPr>
        <w:t>not</w:t>
      </w:r>
      <w:r>
        <w:rPr>
          <w:spacing w:val="-4"/>
          <w:u w:val="none"/>
        </w:rPr>
        <w:t> </w:t>
      </w:r>
      <w:r>
        <w:rPr>
          <w:u w:val="none"/>
        </w:rPr>
        <w:t>recommended. Whether</w:t>
      </w:r>
      <w:r>
        <w:rPr>
          <w:spacing w:val="-3"/>
          <w:u w:val="none"/>
        </w:rPr>
        <w:t> </w:t>
      </w:r>
      <w:r>
        <w:rPr>
          <w:u w:val="none"/>
        </w:rPr>
        <w:t>chloropicrin</w:t>
      </w:r>
      <w:r>
        <w:rPr>
          <w:spacing w:val="-2"/>
          <w:u w:val="none"/>
        </w:rPr>
        <w:t> </w:t>
      </w:r>
      <w:r>
        <w:rPr>
          <w:u w:val="none"/>
        </w:rPr>
        <w:t>is</w:t>
      </w:r>
      <w:r>
        <w:rPr>
          <w:spacing w:val="-3"/>
          <w:u w:val="none"/>
        </w:rPr>
        <w:t> </w:t>
      </w:r>
      <w:r>
        <w:rPr>
          <w:u w:val="none"/>
        </w:rPr>
        <w:t>still</w:t>
      </w:r>
      <w:r>
        <w:rPr>
          <w:spacing w:val="-5"/>
          <w:u w:val="none"/>
        </w:rPr>
        <w:t> </w:t>
      </w:r>
      <w:r>
        <w:rPr>
          <w:u w:val="none"/>
        </w:rPr>
        <w:t>applied</w:t>
      </w:r>
      <w:r>
        <w:rPr>
          <w:spacing w:val="-2"/>
          <w:u w:val="none"/>
        </w:rPr>
        <w:t> </w:t>
      </w:r>
      <w:r>
        <w:rPr>
          <w:u w:val="none"/>
        </w:rPr>
        <w:t>as</w:t>
      </w:r>
      <w:r>
        <w:rPr>
          <w:spacing w:val="-3"/>
          <w:u w:val="none"/>
        </w:rPr>
        <w:t> </w:t>
      </w:r>
      <w:r>
        <w:rPr>
          <w:u w:val="none"/>
        </w:rPr>
        <w:t>a</w:t>
      </w:r>
      <w:r>
        <w:rPr>
          <w:spacing w:val="-5"/>
          <w:u w:val="none"/>
        </w:rPr>
        <w:t> </w:t>
      </w:r>
      <w:r>
        <w:rPr>
          <w:u w:val="none"/>
        </w:rPr>
        <w:t>rabbit</w:t>
      </w:r>
      <w:r>
        <w:rPr>
          <w:spacing w:val="-4"/>
          <w:u w:val="none"/>
        </w:rPr>
        <w:t> </w:t>
      </w:r>
      <w:r>
        <w:rPr>
          <w:u w:val="none"/>
        </w:rPr>
        <w:t>fumigant</w:t>
      </w:r>
      <w:r>
        <w:rPr>
          <w:spacing w:val="-2"/>
          <w:u w:val="none"/>
        </w:rPr>
        <w:t> </w:t>
      </w:r>
      <w:r>
        <w:rPr>
          <w:u w:val="none"/>
        </w:rPr>
        <w:t>in Victoria is not known, although any use is expected to be minor and limited.</w:t>
      </w:r>
    </w:p>
    <w:p>
      <w:pPr>
        <w:pStyle w:val="Heading5"/>
        <w:numPr>
          <w:ilvl w:val="2"/>
          <w:numId w:val="25"/>
        </w:numPr>
        <w:tabs>
          <w:tab w:pos="831" w:val="left" w:leader="none"/>
        </w:tabs>
        <w:spacing w:line="240" w:lineRule="auto" w:before="141" w:after="0"/>
        <w:ind w:left="831" w:right="0" w:hanging="719"/>
        <w:jc w:val="left"/>
      </w:pPr>
      <w:r>
        <w:rPr/>
        <w:t>Carbon</w:t>
      </w:r>
      <w:r>
        <w:rPr>
          <w:spacing w:val="-5"/>
        </w:rPr>
        <w:t> </w:t>
      </w:r>
      <w:r>
        <w:rPr/>
        <w:t>monoxide</w:t>
      </w:r>
      <w:r>
        <w:rPr>
          <w:spacing w:val="-6"/>
        </w:rPr>
        <w:t> </w:t>
      </w:r>
      <w:r>
        <w:rPr/>
        <w:t>(fox</w:t>
      </w:r>
      <w:r>
        <w:rPr>
          <w:spacing w:val="-8"/>
        </w:rPr>
        <w:t> </w:t>
      </w:r>
      <w:r>
        <w:rPr>
          <w:spacing w:val="-2"/>
        </w:rPr>
        <w:t>dens)</w:t>
      </w:r>
    </w:p>
    <w:p>
      <w:pPr>
        <w:pStyle w:val="BodyText"/>
        <w:spacing w:before="56"/>
        <w:ind w:left="112" w:right="163"/>
      </w:pPr>
      <w:r>
        <w:rPr/>
        <w:t>With</w:t>
      </w:r>
      <w:r>
        <w:rPr>
          <w:spacing w:val="-3"/>
        </w:rPr>
        <w:t> </w:t>
      </w:r>
      <w:r>
        <w:rPr/>
        <w:t>den</w:t>
      </w:r>
      <w:r>
        <w:rPr>
          <w:spacing w:val="-4"/>
        </w:rPr>
        <w:t> </w:t>
      </w:r>
      <w:r>
        <w:rPr/>
        <w:t>fumigation,</w:t>
      </w:r>
      <w:r>
        <w:rPr>
          <w:spacing w:val="-3"/>
        </w:rPr>
        <w:t> </w:t>
      </w:r>
      <w:r>
        <w:rPr/>
        <w:t>the</w:t>
      </w:r>
      <w:r>
        <w:rPr>
          <w:spacing w:val="-3"/>
        </w:rPr>
        <w:t> </w:t>
      </w:r>
      <w:r>
        <w:rPr/>
        <w:t>time</w:t>
      </w:r>
      <w:r>
        <w:rPr>
          <w:spacing w:val="-3"/>
        </w:rPr>
        <w:t> </w:t>
      </w:r>
      <w:r>
        <w:rPr/>
        <w:t>to</w:t>
      </w:r>
      <w:r>
        <w:rPr>
          <w:spacing w:val="-1"/>
        </w:rPr>
        <w:t> </w:t>
      </w:r>
      <w:r>
        <w:rPr/>
        <w:t>unconsciousness</w:t>
      </w:r>
      <w:r>
        <w:rPr>
          <w:spacing w:val="-2"/>
        </w:rPr>
        <w:t> </w:t>
      </w:r>
      <w:r>
        <w:rPr/>
        <w:t>and</w:t>
      </w:r>
      <w:r>
        <w:rPr>
          <w:spacing w:val="-3"/>
        </w:rPr>
        <w:t> </w:t>
      </w:r>
      <w:r>
        <w:rPr/>
        <w:t>death</w:t>
      </w:r>
      <w:r>
        <w:rPr>
          <w:spacing w:val="-2"/>
        </w:rPr>
        <w:t> </w:t>
      </w:r>
      <w:r>
        <w:rPr/>
        <w:t>depends</w:t>
      </w:r>
      <w:r>
        <w:rPr>
          <w:spacing w:val="-2"/>
        </w:rPr>
        <w:t> </w:t>
      </w:r>
      <w:r>
        <w:rPr/>
        <w:t>on</w:t>
      </w:r>
      <w:r>
        <w:rPr>
          <w:spacing w:val="-3"/>
        </w:rPr>
        <w:t> </w:t>
      </w:r>
      <w:r>
        <w:rPr/>
        <w:t>factors</w:t>
      </w:r>
      <w:r>
        <w:rPr>
          <w:spacing w:val="-1"/>
        </w:rPr>
        <w:t> </w:t>
      </w:r>
      <w:r>
        <w:rPr/>
        <w:t>such</w:t>
      </w:r>
      <w:r>
        <w:rPr>
          <w:spacing w:val="-3"/>
        </w:rPr>
        <w:t> </w:t>
      </w:r>
      <w:r>
        <w:rPr/>
        <w:t>as</w:t>
      </w:r>
      <w:r>
        <w:rPr>
          <w:spacing w:val="-2"/>
        </w:rPr>
        <w:t> </w:t>
      </w:r>
      <w:r>
        <w:rPr/>
        <w:t>CO</w:t>
      </w:r>
      <w:r>
        <w:rPr>
          <w:spacing w:val="-2"/>
        </w:rPr>
        <w:t> </w:t>
      </w:r>
      <w:r>
        <w:rPr/>
        <w:t>concentration (influenced</w:t>
      </w:r>
      <w:r>
        <w:rPr>
          <w:spacing w:val="-3"/>
        </w:rPr>
        <w:t> </w:t>
      </w:r>
      <w:r>
        <w:rPr/>
        <w:t>by</w:t>
      </w:r>
      <w:r>
        <w:rPr>
          <w:spacing w:val="-2"/>
        </w:rPr>
        <w:t> </w:t>
      </w:r>
      <w:r>
        <w:rPr/>
        <w:t>size</w:t>
      </w:r>
      <w:r>
        <w:rPr>
          <w:spacing w:val="-1"/>
        </w:rPr>
        <w:t> </w:t>
      </w:r>
      <w:r>
        <w:rPr/>
        <w:t>of</w:t>
      </w:r>
      <w:r>
        <w:rPr>
          <w:spacing w:val="-3"/>
        </w:rPr>
        <w:t> </w:t>
      </w:r>
      <w:r>
        <w:rPr/>
        <w:t>den,</w:t>
      </w:r>
      <w:r>
        <w:rPr>
          <w:spacing w:val="-1"/>
        </w:rPr>
        <w:t> </w:t>
      </w:r>
      <w:r>
        <w:rPr/>
        <w:t>porosity</w:t>
      </w:r>
      <w:r>
        <w:rPr>
          <w:spacing w:val="-2"/>
        </w:rPr>
        <w:t> </w:t>
      </w:r>
      <w:r>
        <w:rPr/>
        <w:t>of</w:t>
      </w:r>
      <w:r>
        <w:rPr>
          <w:spacing w:val="-1"/>
        </w:rPr>
        <w:t> </w:t>
      </w:r>
      <w:r>
        <w:rPr/>
        <w:t>the</w:t>
      </w:r>
      <w:r>
        <w:rPr>
          <w:spacing w:val="-1"/>
        </w:rPr>
        <w:t> </w:t>
      </w:r>
      <w:r>
        <w:rPr/>
        <w:t>soil</w:t>
      </w:r>
      <w:r>
        <w:rPr>
          <w:spacing w:val="-4"/>
        </w:rPr>
        <w:t> </w:t>
      </w:r>
      <w:r>
        <w:rPr/>
        <w:t>in</w:t>
      </w:r>
      <w:r>
        <w:rPr>
          <w:spacing w:val="-3"/>
        </w:rPr>
        <w:t> </w:t>
      </w:r>
      <w:r>
        <w:rPr/>
        <w:t>the</w:t>
      </w:r>
      <w:r>
        <w:rPr>
          <w:spacing w:val="-3"/>
        </w:rPr>
        <w:t> </w:t>
      </w:r>
      <w:r>
        <w:rPr/>
        <w:t>den,</w:t>
      </w:r>
      <w:r>
        <w:rPr>
          <w:spacing w:val="-3"/>
        </w:rPr>
        <w:t> </w:t>
      </w:r>
      <w:r>
        <w:rPr/>
        <w:t>full</w:t>
      </w:r>
      <w:r>
        <w:rPr>
          <w:spacing w:val="-2"/>
        </w:rPr>
        <w:t> </w:t>
      </w:r>
      <w:r>
        <w:rPr/>
        <w:t>or</w:t>
      </w:r>
      <w:r>
        <w:rPr>
          <w:spacing w:val="-3"/>
        </w:rPr>
        <w:t> </w:t>
      </w:r>
      <w:r>
        <w:rPr/>
        <w:t>incomplete</w:t>
      </w:r>
      <w:r>
        <w:rPr>
          <w:spacing w:val="-3"/>
        </w:rPr>
        <w:t> </w:t>
      </w:r>
      <w:r>
        <w:rPr/>
        <w:t>combustion</w:t>
      </w:r>
      <w:r>
        <w:rPr>
          <w:spacing w:val="-2"/>
        </w:rPr>
        <w:t> </w:t>
      </w:r>
      <w:r>
        <w:rPr/>
        <w:t>of</w:t>
      </w:r>
      <w:r>
        <w:rPr>
          <w:spacing w:val="-3"/>
        </w:rPr>
        <w:t> </w:t>
      </w:r>
      <w:r>
        <w:rPr/>
        <w:t>the</w:t>
      </w:r>
      <w:r>
        <w:rPr>
          <w:spacing w:val="-3"/>
        </w:rPr>
        <w:t> </w:t>
      </w:r>
      <w:r>
        <w:rPr/>
        <w:t>cartridge)</w:t>
      </w:r>
      <w:r>
        <w:rPr>
          <w:spacing w:val="-2"/>
        </w:rPr>
        <w:t> </w:t>
      </w:r>
      <w:r>
        <w:rPr/>
        <w:t>and animal age. Neonatal animals are relatively resistant to hypoxia and may therefore take longer to become unconscious and die than adult animals.</w:t>
      </w:r>
    </w:p>
    <w:p>
      <w:pPr>
        <w:pStyle w:val="BodyText"/>
        <w:spacing w:before="120"/>
        <w:ind w:left="112" w:right="427"/>
      </w:pPr>
      <w:r>
        <w:rPr/>
        <w:t>Hypoxia induced by CO has been considered to induce unconsciousness without pain or discomfort, but a range of animal studies have reported short periods of anxiety followed by vocalisation and agitation that could occur prior to loss of consciousness. Muscular convulsions and spasms may be also observed but these are thought to occur after the animal has become unconscious. During a study with rabbits, some animals</w:t>
      </w:r>
      <w:r>
        <w:rPr>
          <w:spacing w:val="-3"/>
        </w:rPr>
        <w:t> </w:t>
      </w:r>
      <w:r>
        <w:rPr/>
        <w:t>showed</w:t>
      </w:r>
      <w:r>
        <w:rPr>
          <w:spacing w:val="-4"/>
        </w:rPr>
        <w:t> </w:t>
      </w:r>
      <w:r>
        <w:rPr/>
        <w:t>signs</w:t>
      </w:r>
      <w:r>
        <w:rPr>
          <w:spacing w:val="-3"/>
        </w:rPr>
        <w:t> </w:t>
      </w:r>
      <w:r>
        <w:rPr/>
        <w:t>of</w:t>
      </w:r>
      <w:r>
        <w:rPr>
          <w:spacing w:val="-4"/>
        </w:rPr>
        <w:t> </w:t>
      </w:r>
      <w:r>
        <w:rPr/>
        <w:t>agitation</w:t>
      </w:r>
      <w:r>
        <w:rPr>
          <w:spacing w:val="-4"/>
        </w:rPr>
        <w:t> </w:t>
      </w:r>
      <w:r>
        <w:rPr/>
        <w:t>and</w:t>
      </w:r>
      <w:r>
        <w:rPr>
          <w:spacing w:val="-3"/>
        </w:rPr>
        <w:t> </w:t>
      </w:r>
      <w:r>
        <w:rPr/>
        <w:t>most</w:t>
      </w:r>
      <w:r>
        <w:rPr>
          <w:spacing w:val="-4"/>
        </w:rPr>
        <w:t> </w:t>
      </w:r>
      <w:r>
        <w:rPr/>
        <w:t>exhibited lethargy,</w:t>
      </w:r>
      <w:r>
        <w:rPr>
          <w:spacing w:val="-4"/>
        </w:rPr>
        <w:t> </w:t>
      </w:r>
      <w:r>
        <w:rPr/>
        <w:t>stupor,</w:t>
      </w:r>
      <w:r>
        <w:rPr>
          <w:spacing w:val="-4"/>
        </w:rPr>
        <w:t> </w:t>
      </w:r>
      <w:r>
        <w:rPr/>
        <w:t>shallow</w:t>
      </w:r>
      <w:r>
        <w:rPr>
          <w:spacing w:val="-4"/>
        </w:rPr>
        <w:t> </w:t>
      </w:r>
      <w:r>
        <w:rPr/>
        <w:t>breathing</w:t>
      </w:r>
      <w:r>
        <w:rPr>
          <w:spacing w:val="-2"/>
        </w:rPr>
        <w:t> </w:t>
      </w:r>
      <w:r>
        <w:rPr/>
        <w:t>and</w:t>
      </w:r>
      <w:r>
        <w:rPr>
          <w:spacing w:val="-4"/>
        </w:rPr>
        <w:t> </w:t>
      </w:r>
      <w:r>
        <w:rPr/>
        <w:t>uncoordinated movement prior to collapse (Gigliotti et al. 2009). If animals are exposed to sub-lethal levels there may be neurological (e.g. reduced vision, blindness) or cardiac effects depending on the degree of anoxia experienced. Therefore, it is essential to achieve lethal concentrations. To reduce suffering prior to death, it is recommended that fumigation should seek to ensure exposure to concentrations greater than 1% and to gradually increase concentrations to prevent the onset of convulsions.</w:t>
      </w:r>
    </w:p>
    <w:p>
      <w:pPr>
        <w:spacing w:after="0"/>
        <w:sectPr>
          <w:pgSz w:w="11910" w:h="16850"/>
          <w:pgMar w:header="0" w:footer="688" w:top="1060" w:bottom="880" w:left="1020" w:right="780"/>
        </w:sectPr>
      </w:pPr>
    </w:p>
    <w:p>
      <w:pPr>
        <w:pStyle w:val="BodyText"/>
        <w:spacing w:before="71"/>
        <w:ind w:left="112" w:right="295"/>
      </w:pPr>
      <w:r>
        <w:rPr/>
        <w:t>The</w:t>
      </w:r>
      <w:r>
        <w:rPr>
          <w:spacing w:val="-9"/>
        </w:rPr>
        <w:t> </w:t>
      </w:r>
      <w:r>
        <w:rPr/>
        <w:t>national</w:t>
      </w:r>
      <w:r>
        <w:rPr>
          <w:spacing w:val="-9"/>
        </w:rPr>
        <w:t> </w:t>
      </w:r>
      <w:r>
        <w:rPr/>
        <w:t>SOP</w:t>
      </w:r>
      <w:r>
        <w:rPr>
          <w:spacing w:val="-8"/>
        </w:rPr>
        <w:t> </w:t>
      </w:r>
      <w:r>
        <w:rPr/>
        <w:t>(</w:t>
      </w:r>
      <w:hyperlink r:id="rId85">
        <w:r>
          <w:rPr>
            <w:color w:val="0000FF"/>
            <w:u w:val="single" w:color="0000FF"/>
          </w:rPr>
          <w:t>https://pestsmart.org.au/toolkit-resource/fumigation-of-fox-dens-using-carbon-monoxide/</w:t>
        </w:r>
      </w:hyperlink>
      <w:r>
        <w:rPr>
          <w:color w:val="0000FF"/>
          <w:spacing w:val="-8"/>
          <w:u w:val="none"/>
        </w:rPr>
        <w:t> </w:t>
      </w:r>
      <w:r>
        <w:rPr>
          <w:u w:val="none"/>
        </w:rPr>
        <w:t>) states that carbon monoxide fumigation appears to be a humane method (Table 13) of fox destruction provided that high enough concentrations of CO to bring</w:t>
      </w:r>
      <w:r>
        <w:rPr>
          <w:spacing w:val="-1"/>
          <w:u w:val="none"/>
        </w:rPr>
        <w:t> </w:t>
      </w:r>
      <w:r>
        <w:rPr>
          <w:u w:val="none"/>
        </w:rPr>
        <w:t>about a</w:t>
      </w:r>
      <w:r>
        <w:rPr>
          <w:spacing w:val="-1"/>
          <w:u w:val="none"/>
        </w:rPr>
        <w:t> </w:t>
      </w:r>
      <w:r>
        <w:rPr>
          <w:u w:val="none"/>
        </w:rPr>
        <w:t>rapid death</w:t>
      </w:r>
      <w:r>
        <w:rPr>
          <w:spacing w:val="-1"/>
          <w:u w:val="none"/>
        </w:rPr>
        <w:t> </w:t>
      </w:r>
      <w:r>
        <w:rPr>
          <w:u w:val="none"/>
        </w:rPr>
        <w:t>can be</w:t>
      </w:r>
      <w:r>
        <w:rPr>
          <w:spacing w:val="-1"/>
          <w:u w:val="none"/>
        </w:rPr>
        <w:t> </w:t>
      </w:r>
      <w:r>
        <w:rPr>
          <w:u w:val="none"/>
        </w:rPr>
        <w:t>introduced into the den; that</w:t>
      </w:r>
      <w:r>
        <w:rPr>
          <w:spacing w:val="-4"/>
          <w:u w:val="none"/>
        </w:rPr>
        <w:t> </w:t>
      </w:r>
      <w:r>
        <w:rPr>
          <w:u w:val="none"/>
        </w:rPr>
        <w:t>cubs</w:t>
      </w:r>
      <w:r>
        <w:rPr>
          <w:spacing w:val="-3"/>
          <w:u w:val="none"/>
        </w:rPr>
        <w:t> </w:t>
      </w:r>
      <w:r>
        <w:rPr>
          <w:u w:val="none"/>
        </w:rPr>
        <w:t>are</w:t>
      </w:r>
      <w:r>
        <w:rPr>
          <w:spacing w:val="-4"/>
          <w:u w:val="none"/>
        </w:rPr>
        <w:t> </w:t>
      </w:r>
      <w:r>
        <w:rPr>
          <w:u w:val="none"/>
        </w:rPr>
        <w:t>sufficiently</w:t>
      </w:r>
      <w:r>
        <w:rPr>
          <w:spacing w:val="-1"/>
          <w:u w:val="none"/>
        </w:rPr>
        <w:t> </w:t>
      </w:r>
      <w:r>
        <w:rPr>
          <w:u w:val="none"/>
        </w:rPr>
        <w:t>grown</w:t>
      </w:r>
      <w:r>
        <w:rPr>
          <w:spacing w:val="-4"/>
          <w:u w:val="none"/>
        </w:rPr>
        <w:t> </w:t>
      </w:r>
      <w:r>
        <w:rPr>
          <w:u w:val="none"/>
        </w:rPr>
        <w:t>to</w:t>
      </w:r>
      <w:r>
        <w:rPr>
          <w:spacing w:val="-4"/>
          <w:u w:val="none"/>
        </w:rPr>
        <w:t> </w:t>
      </w:r>
      <w:r>
        <w:rPr>
          <w:u w:val="none"/>
        </w:rPr>
        <w:t>be</w:t>
      </w:r>
      <w:r>
        <w:rPr>
          <w:spacing w:val="-2"/>
          <w:u w:val="none"/>
        </w:rPr>
        <w:t> </w:t>
      </w:r>
      <w:r>
        <w:rPr>
          <w:u w:val="none"/>
        </w:rPr>
        <w:t>fully</w:t>
      </w:r>
      <w:r>
        <w:rPr>
          <w:spacing w:val="-3"/>
          <w:u w:val="none"/>
        </w:rPr>
        <w:t> </w:t>
      </w:r>
      <w:r>
        <w:rPr>
          <w:u w:val="none"/>
        </w:rPr>
        <w:t>susceptible</w:t>
      </w:r>
      <w:r>
        <w:rPr>
          <w:spacing w:val="-4"/>
          <w:u w:val="none"/>
        </w:rPr>
        <w:t> </w:t>
      </w:r>
      <w:r>
        <w:rPr>
          <w:u w:val="none"/>
        </w:rPr>
        <w:t>to</w:t>
      </w:r>
      <w:r>
        <w:rPr>
          <w:spacing w:val="-4"/>
          <w:u w:val="none"/>
        </w:rPr>
        <w:t> </w:t>
      </w:r>
      <w:r>
        <w:rPr>
          <w:u w:val="none"/>
        </w:rPr>
        <w:t>the</w:t>
      </w:r>
      <w:r>
        <w:rPr>
          <w:spacing w:val="-2"/>
          <w:u w:val="none"/>
        </w:rPr>
        <w:t> </w:t>
      </w:r>
      <w:r>
        <w:rPr>
          <w:u w:val="none"/>
        </w:rPr>
        <w:t>effects</w:t>
      </w:r>
      <w:r>
        <w:rPr>
          <w:spacing w:val="-3"/>
          <w:u w:val="none"/>
        </w:rPr>
        <w:t> </w:t>
      </w:r>
      <w:r>
        <w:rPr>
          <w:u w:val="none"/>
        </w:rPr>
        <w:t>of</w:t>
      </w:r>
      <w:r>
        <w:rPr>
          <w:spacing w:val="-4"/>
          <w:u w:val="none"/>
        </w:rPr>
        <w:t> </w:t>
      </w:r>
      <w:r>
        <w:rPr>
          <w:u w:val="none"/>
        </w:rPr>
        <w:t>CO;</w:t>
      </w:r>
      <w:r>
        <w:rPr>
          <w:spacing w:val="-4"/>
          <w:u w:val="none"/>
        </w:rPr>
        <w:t> </w:t>
      </w:r>
      <w:r>
        <w:rPr>
          <w:u w:val="none"/>
        </w:rPr>
        <w:t>and,</w:t>
      </w:r>
      <w:r>
        <w:rPr>
          <w:spacing w:val="-2"/>
          <w:u w:val="none"/>
        </w:rPr>
        <w:t> </w:t>
      </w:r>
      <w:r>
        <w:rPr>
          <w:u w:val="none"/>
        </w:rPr>
        <w:t>that</w:t>
      </w:r>
      <w:r>
        <w:rPr>
          <w:spacing w:val="-4"/>
          <w:u w:val="none"/>
        </w:rPr>
        <w:t> </w:t>
      </w:r>
      <w:r>
        <w:rPr>
          <w:u w:val="none"/>
        </w:rPr>
        <w:t>animals</w:t>
      </w:r>
      <w:r>
        <w:rPr>
          <w:spacing w:val="-3"/>
          <w:u w:val="none"/>
        </w:rPr>
        <w:t> </w:t>
      </w:r>
      <w:r>
        <w:rPr>
          <w:u w:val="none"/>
        </w:rPr>
        <w:t>are</w:t>
      </w:r>
      <w:r>
        <w:rPr>
          <w:spacing w:val="-2"/>
          <w:u w:val="none"/>
        </w:rPr>
        <w:t> </w:t>
      </w:r>
      <w:r>
        <w:rPr>
          <w:u w:val="none"/>
        </w:rPr>
        <w:t>not</w:t>
      </w:r>
      <w:r>
        <w:rPr>
          <w:spacing w:val="-2"/>
          <w:u w:val="none"/>
        </w:rPr>
        <w:t> </w:t>
      </w:r>
      <w:r>
        <w:rPr>
          <w:u w:val="none"/>
        </w:rPr>
        <w:t>exposed to high temperatures during combustion of the cartridges.</w:t>
      </w:r>
    </w:p>
    <w:p>
      <w:pPr>
        <w:pStyle w:val="BodyText"/>
        <w:spacing w:before="158"/>
      </w:pPr>
    </w:p>
    <w:p>
      <w:pPr>
        <w:pStyle w:val="Heading3"/>
        <w:numPr>
          <w:ilvl w:val="1"/>
          <w:numId w:val="24"/>
        </w:numPr>
        <w:tabs>
          <w:tab w:pos="686" w:val="left" w:leader="none"/>
        </w:tabs>
        <w:spacing w:line="240" w:lineRule="auto" w:before="0" w:after="0"/>
        <w:ind w:left="686" w:right="0" w:hanging="574"/>
        <w:jc w:val="left"/>
      </w:pPr>
      <w:r>
        <w:rPr>
          <w:color w:val="2D1E66"/>
        </w:rPr>
        <w:t>Rabbit</w:t>
      </w:r>
      <w:r>
        <w:rPr>
          <w:color w:val="2D1E66"/>
          <w:spacing w:val="-1"/>
        </w:rPr>
        <w:t> </w:t>
      </w:r>
      <w:r>
        <w:rPr>
          <w:color w:val="2D1E66"/>
        </w:rPr>
        <w:t>warren </w:t>
      </w:r>
      <w:r>
        <w:rPr>
          <w:color w:val="2D1E66"/>
          <w:spacing w:val="-2"/>
        </w:rPr>
        <w:t>ripping</w:t>
      </w:r>
    </w:p>
    <w:p>
      <w:pPr>
        <w:pStyle w:val="BodyText"/>
        <w:spacing w:before="112"/>
        <w:ind w:left="112"/>
      </w:pPr>
      <w:r>
        <w:rPr/>
        <w:t>Ripping causes a warren to collapse, and the rabbits are usually crushed or suffocate. The weight of the soil prevents</w:t>
      </w:r>
      <w:r>
        <w:rPr>
          <w:spacing w:val="-3"/>
        </w:rPr>
        <w:t> </w:t>
      </w:r>
      <w:r>
        <w:rPr/>
        <w:t>effective</w:t>
      </w:r>
      <w:r>
        <w:rPr>
          <w:spacing w:val="-2"/>
        </w:rPr>
        <w:t> </w:t>
      </w:r>
      <w:r>
        <w:rPr/>
        <w:t>movement</w:t>
      </w:r>
      <w:r>
        <w:rPr>
          <w:spacing w:val="-3"/>
        </w:rPr>
        <w:t> </w:t>
      </w:r>
      <w:r>
        <w:rPr/>
        <w:t>of</w:t>
      </w:r>
      <w:r>
        <w:rPr>
          <w:spacing w:val="-3"/>
        </w:rPr>
        <w:t> </w:t>
      </w:r>
      <w:r>
        <w:rPr/>
        <w:t>the</w:t>
      </w:r>
      <w:r>
        <w:rPr>
          <w:spacing w:val="-4"/>
        </w:rPr>
        <w:t> </w:t>
      </w:r>
      <w:r>
        <w:rPr/>
        <w:t>rabbit’s</w:t>
      </w:r>
      <w:r>
        <w:rPr>
          <w:spacing w:val="-3"/>
        </w:rPr>
        <w:t> </w:t>
      </w:r>
      <w:r>
        <w:rPr/>
        <w:t>diaphragm</w:t>
      </w:r>
      <w:r>
        <w:rPr>
          <w:spacing w:val="-2"/>
        </w:rPr>
        <w:t> </w:t>
      </w:r>
      <w:r>
        <w:rPr/>
        <w:t>resulting</w:t>
      </w:r>
      <w:r>
        <w:rPr>
          <w:spacing w:val="-3"/>
        </w:rPr>
        <w:t> </w:t>
      </w:r>
      <w:r>
        <w:rPr/>
        <w:t>in</w:t>
      </w:r>
      <w:r>
        <w:rPr>
          <w:spacing w:val="-2"/>
        </w:rPr>
        <w:t> </w:t>
      </w:r>
      <w:r>
        <w:rPr/>
        <w:t>asphyxia.</w:t>
      </w:r>
      <w:r>
        <w:rPr>
          <w:spacing w:val="-2"/>
        </w:rPr>
        <w:t> </w:t>
      </w:r>
      <w:r>
        <w:rPr/>
        <w:t>Welfare</w:t>
      </w:r>
      <w:r>
        <w:rPr>
          <w:spacing w:val="-3"/>
        </w:rPr>
        <w:t> </w:t>
      </w:r>
      <w:r>
        <w:rPr/>
        <w:t>outcomes</w:t>
      </w:r>
      <w:r>
        <w:rPr>
          <w:spacing w:val="-3"/>
        </w:rPr>
        <w:t> </w:t>
      </w:r>
      <w:r>
        <w:rPr/>
        <w:t>of</w:t>
      </w:r>
      <w:r>
        <w:rPr>
          <w:spacing w:val="-3"/>
        </w:rPr>
        <w:t> </w:t>
      </w:r>
      <w:r>
        <w:rPr/>
        <w:t>ripping</w:t>
      </w:r>
      <w:r>
        <w:rPr>
          <w:spacing w:val="-3"/>
        </w:rPr>
        <w:t> </w:t>
      </w:r>
      <w:r>
        <w:rPr/>
        <w:t>are optimised when the number of rabbits in the warren is low and when powerful machinery is used to achieve complete disintegration of the warren, so that the rabbits are killed quickly.</w:t>
      </w:r>
    </w:p>
    <w:p>
      <w:pPr>
        <w:pStyle w:val="BodyText"/>
        <w:spacing w:before="119"/>
        <w:ind w:left="112" w:right="364"/>
      </w:pPr>
      <w:r>
        <w:rPr/>
        <w:t>Direct</w:t>
      </w:r>
      <w:r>
        <w:rPr>
          <w:spacing w:val="-3"/>
        </w:rPr>
        <w:t> </w:t>
      </w:r>
      <w:r>
        <w:rPr/>
        <w:t>wounding</w:t>
      </w:r>
      <w:r>
        <w:rPr>
          <w:spacing w:val="-3"/>
        </w:rPr>
        <w:t> </w:t>
      </w:r>
      <w:r>
        <w:rPr/>
        <w:t>of</w:t>
      </w:r>
      <w:r>
        <w:rPr>
          <w:spacing w:val="-3"/>
        </w:rPr>
        <w:t> </w:t>
      </w:r>
      <w:r>
        <w:rPr/>
        <w:t>rabbits</w:t>
      </w:r>
      <w:r>
        <w:rPr>
          <w:spacing w:val="-2"/>
        </w:rPr>
        <w:t> </w:t>
      </w:r>
      <w:r>
        <w:rPr/>
        <w:t>in</w:t>
      </w:r>
      <w:r>
        <w:rPr>
          <w:spacing w:val="-3"/>
        </w:rPr>
        <w:t> </w:t>
      </w:r>
      <w:r>
        <w:rPr/>
        <w:t>the</w:t>
      </w:r>
      <w:r>
        <w:rPr>
          <w:spacing w:val="-1"/>
        </w:rPr>
        <w:t> </w:t>
      </w:r>
      <w:r>
        <w:rPr/>
        <w:t>warren</w:t>
      </w:r>
      <w:r>
        <w:rPr>
          <w:spacing w:val="-4"/>
        </w:rPr>
        <w:t> </w:t>
      </w:r>
      <w:r>
        <w:rPr/>
        <w:t>can</w:t>
      </w:r>
      <w:r>
        <w:rPr>
          <w:spacing w:val="-3"/>
        </w:rPr>
        <w:t> </w:t>
      </w:r>
      <w:r>
        <w:rPr/>
        <w:t>occur</w:t>
      </w:r>
      <w:r>
        <w:rPr>
          <w:spacing w:val="-3"/>
        </w:rPr>
        <w:t> </w:t>
      </w:r>
      <w:r>
        <w:rPr/>
        <w:t>from</w:t>
      </w:r>
      <w:r>
        <w:rPr>
          <w:spacing w:val="-3"/>
        </w:rPr>
        <w:t> </w:t>
      </w:r>
      <w:r>
        <w:rPr/>
        <w:t>the</w:t>
      </w:r>
      <w:r>
        <w:rPr>
          <w:spacing w:val="-1"/>
        </w:rPr>
        <w:t> </w:t>
      </w:r>
      <w:r>
        <w:rPr/>
        <w:t>ripping</w:t>
      </w:r>
      <w:r>
        <w:rPr>
          <w:spacing w:val="-3"/>
        </w:rPr>
        <w:t> </w:t>
      </w:r>
      <w:r>
        <w:rPr/>
        <w:t>tines.</w:t>
      </w:r>
      <w:r>
        <w:rPr>
          <w:spacing w:val="-3"/>
        </w:rPr>
        <w:t> </w:t>
      </w:r>
      <w:r>
        <w:rPr/>
        <w:t>If</w:t>
      </w:r>
      <w:r>
        <w:rPr>
          <w:spacing w:val="-3"/>
        </w:rPr>
        <w:t> </w:t>
      </w:r>
      <w:r>
        <w:rPr/>
        <w:t>rabbits</w:t>
      </w:r>
      <w:r>
        <w:rPr>
          <w:spacing w:val="-2"/>
        </w:rPr>
        <w:t> </w:t>
      </w:r>
      <w:r>
        <w:rPr/>
        <w:t>are</w:t>
      </w:r>
      <w:r>
        <w:rPr>
          <w:spacing w:val="-3"/>
        </w:rPr>
        <w:t> </w:t>
      </w:r>
      <w:r>
        <w:rPr/>
        <w:t>found</w:t>
      </w:r>
      <w:r>
        <w:rPr>
          <w:spacing w:val="-4"/>
        </w:rPr>
        <w:t> </w:t>
      </w:r>
      <w:r>
        <w:rPr/>
        <w:t>that</w:t>
      </w:r>
      <w:r>
        <w:rPr>
          <w:spacing w:val="-1"/>
        </w:rPr>
        <w:t> </w:t>
      </w:r>
      <w:r>
        <w:rPr/>
        <w:t>are</w:t>
      </w:r>
      <w:r>
        <w:rPr>
          <w:spacing w:val="-3"/>
        </w:rPr>
        <w:t> </w:t>
      </w:r>
      <w:r>
        <w:rPr/>
        <w:t>injured but not killed, these must be destroyed by a shot to the brain or by cervical dislocation. Failure to cause complete</w:t>
      </w:r>
      <w:r>
        <w:rPr>
          <w:spacing w:val="-3"/>
        </w:rPr>
        <w:t> </w:t>
      </w:r>
      <w:r>
        <w:rPr/>
        <w:t>collapse in deep warren</w:t>
      </w:r>
      <w:r>
        <w:rPr>
          <w:spacing w:val="-3"/>
        </w:rPr>
        <w:t> </w:t>
      </w:r>
      <w:r>
        <w:rPr/>
        <w:t>systems</w:t>
      </w:r>
      <w:r>
        <w:rPr>
          <w:spacing w:val="-1"/>
        </w:rPr>
        <w:t> </w:t>
      </w:r>
      <w:r>
        <w:rPr/>
        <w:t>may</w:t>
      </w:r>
      <w:r>
        <w:rPr>
          <w:spacing w:val="-1"/>
        </w:rPr>
        <w:t> </w:t>
      </w:r>
      <w:r>
        <w:rPr/>
        <w:t>result in</w:t>
      </w:r>
      <w:r>
        <w:rPr>
          <w:spacing w:val="-2"/>
        </w:rPr>
        <w:t> </w:t>
      </w:r>
      <w:r>
        <w:rPr/>
        <w:t>some</w:t>
      </w:r>
      <w:r>
        <w:rPr>
          <w:spacing w:val="-2"/>
        </w:rPr>
        <w:t> </w:t>
      </w:r>
      <w:r>
        <w:rPr/>
        <w:t>rabbits becoming</w:t>
      </w:r>
      <w:r>
        <w:rPr>
          <w:spacing w:val="-2"/>
        </w:rPr>
        <w:t> </w:t>
      </w:r>
      <w:r>
        <w:rPr/>
        <w:t>trapped</w:t>
      </w:r>
      <w:r>
        <w:rPr>
          <w:spacing w:val="-2"/>
        </w:rPr>
        <w:t> </w:t>
      </w:r>
      <w:r>
        <w:rPr/>
        <w:t>in</w:t>
      </w:r>
      <w:r>
        <w:rPr>
          <w:spacing w:val="-2"/>
        </w:rPr>
        <w:t> </w:t>
      </w:r>
      <w:r>
        <w:rPr/>
        <w:t>partly</w:t>
      </w:r>
      <w:r>
        <w:rPr>
          <w:spacing w:val="-1"/>
        </w:rPr>
        <w:t> </w:t>
      </w:r>
      <w:r>
        <w:rPr/>
        <w:t>destroyed tunnels and then suffocating or starving over a long period of time. Ripping also affects rabbits that are not inside the warren at the time by depriving them of shelter from extreme heat, cold and predators.</w:t>
      </w:r>
    </w:p>
    <w:p>
      <w:pPr>
        <w:pStyle w:val="BodyText"/>
        <w:spacing w:before="120"/>
        <w:ind w:left="112" w:right="462"/>
      </w:pPr>
      <w:r>
        <w:rPr/>
        <w:t>Under best practice conditions, the overall humaneness score of rabbit warren ripping is 3F </w:t>
      </w:r>
      <w:r>
        <w:rPr>
          <w:spacing w:val="-2"/>
        </w:rPr>
        <w:t>(</w:t>
      </w:r>
      <w:hyperlink r:id="rId86">
        <w:r>
          <w:rPr>
            <w:color w:val="0000FF"/>
            <w:spacing w:val="-2"/>
            <w:u w:val="single" w:color="0000FF"/>
          </w:rPr>
          <w:t>https://pestsmart.org.au/wp-content/uploads/sites/3/2020/07/rabbit_warren_destruction_ripping.pdf</w:t>
        </w:r>
      </w:hyperlink>
      <w:r>
        <w:rPr>
          <w:spacing w:val="-2"/>
          <w:u w:val="none"/>
        </w:rPr>
        <w:t>), </w:t>
      </w:r>
      <w:r>
        <w:rPr>
          <w:u w:val="none"/>
        </w:rPr>
        <w:t>considered</w:t>
      </w:r>
      <w:r>
        <w:rPr>
          <w:spacing w:val="-4"/>
          <w:u w:val="none"/>
        </w:rPr>
        <w:t> </w:t>
      </w:r>
      <w:r>
        <w:rPr>
          <w:u w:val="none"/>
        </w:rPr>
        <w:t>relatively</w:t>
      </w:r>
      <w:r>
        <w:rPr>
          <w:spacing w:val="-3"/>
          <w:u w:val="none"/>
        </w:rPr>
        <w:t> </w:t>
      </w:r>
      <w:r>
        <w:rPr>
          <w:u w:val="none"/>
        </w:rPr>
        <w:t>less</w:t>
      </w:r>
      <w:r>
        <w:rPr>
          <w:spacing w:val="-3"/>
          <w:u w:val="none"/>
        </w:rPr>
        <w:t> </w:t>
      </w:r>
      <w:r>
        <w:rPr>
          <w:u w:val="none"/>
        </w:rPr>
        <w:t>humane</w:t>
      </w:r>
      <w:r>
        <w:rPr>
          <w:spacing w:val="-4"/>
          <w:u w:val="none"/>
        </w:rPr>
        <w:t> </w:t>
      </w:r>
      <w:r>
        <w:rPr>
          <w:u w:val="none"/>
        </w:rPr>
        <w:t>than</w:t>
      </w:r>
      <w:r>
        <w:rPr>
          <w:spacing w:val="-3"/>
          <w:u w:val="none"/>
        </w:rPr>
        <w:t> </w:t>
      </w:r>
      <w:r>
        <w:rPr>
          <w:u w:val="none"/>
        </w:rPr>
        <w:t>1080,</w:t>
      </w:r>
      <w:r>
        <w:rPr>
          <w:spacing w:val="-4"/>
          <w:u w:val="none"/>
        </w:rPr>
        <w:t> </w:t>
      </w:r>
      <w:r>
        <w:rPr>
          <w:u w:val="none"/>
        </w:rPr>
        <w:t>primary</w:t>
      </w:r>
      <w:r>
        <w:rPr>
          <w:spacing w:val="-1"/>
          <w:u w:val="none"/>
        </w:rPr>
        <w:t> </w:t>
      </w:r>
      <w:r>
        <w:rPr>
          <w:u w:val="none"/>
        </w:rPr>
        <w:t>due</w:t>
      </w:r>
      <w:r>
        <w:rPr>
          <w:spacing w:val="-4"/>
          <w:u w:val="none"/>
        </w:rPr>
        <w:t> </w:t>
      </w:r>
      <w:r>
        <w:rPr>
          <w:u w:val="none"/>
        </w:rPr>
        <w:t>to</w:t>
      </w:r>
      <w:r>
        <w:rPr>
          <w:spacing w:val="-4"/>
          <w:u w:val="none"/>
        </w:rPr>
        <w:t> </w:t>
      </w:r>
      <w:r>
        <w:rPr>
          <w:u w:val="none"/>
        </w:rPr>
        <w:t>the</w:t>
      </w:r>
      <w:r>
        <w:rPr>
          <w:spacing w:val="-4"/>
          <w:u w:val="none"/>
        </w:rPr>
        <w:t> </w:t>
      </w:r>
      <w:r>
        <w:rPr>
          <w:u w:val="none"/>
        </w:rPr>
        <w:t>risk</w:t>
      </w:r>
      <w:r>
        <w:rPr>
          <w:spacing w:val="-3"/>
          <w:u w:val="none"/>
        </w:rPr>
        <w:t> </w:t>
      </w:r>
      <w:r>
        <w:rPr>
          <w:u w:val="none"/>
        </w:rPr>
        <w:t>of</w:t>
      </w:r>
      <w:r>
        <w:rPr>
          <w:spacing w:val="-4"/>
          <w:u w:val="none"/>
        </w:rPr>
        <w:t> </w:t>
      </w:r>
      <w:r>
        <w:rPr>
          <w:u w:val="none"/>
        </w:rPr>
        <w:t>suffering</w:t>
      </w:r>
      <w:r>
        <w:rPr>
          <w:spacing w:val="-5"/>
          <w:u w:val="none"/>
        </w:rPr>
        <w:t> </w:t>
      </w:r>
      <w:r>
        <w:rPr>
          <w:u w:val="none"/>
        </w:rPr>
        <w:t>from</w:t>
      </w:r>
      <w:r>
        <w:rPr>
          <w:spacing w:val="-4"/>
          <w:u w:val="none"/>
        </w:rPr>
        <w:t> </w:t>
      </w:r>
      <w:r>
        <w:rPr>
          <w:u w:val="none"/>
        </w:rPr>
        <w:t>caused</w:t>
      </w:r>
      <w:r>
        <w:rPr>
          <w:spacing w:val="-2"/>
          <w:u w:val="none"/>
        </w:rPr>
        <w:t> </w:t>
      </w:r>
      <w:r>
        <w:rPr>
          <w:u w:val="none"/>
        </w:rPr>
        <w:t>by</w:t>
      </w:r>
      <w:r>
        <w:rPr>
          <w:spacing w:val="-3"/>
          <w:u w:val="none"/>
        </w:rPr>
        <w:t> </w:t>
      </w:r>
      <w:r>
        <w:rPr>
          <w:u w:val="none"/>
        </w:rPr>
        <w:t>incomplete disintegration of warrens and the impact on rabbits not inside at the time of ripping.</w:t>
      </w:r>
    </w:p>
    <w:p>
      <w:pPr>
        <w:pStyle w:val="BodyText"/>
        <w:spacing w:before="154"/>
      </w:pPr>
    </w:p>
    <w:p>
      <w:pPr>
        <w:pStyle w:val="Heading3"/>
        <w:numPr>
          <w:ilvl w:val="1"/>
          <w:numId w:val="24"/>
        </w:numPr>
        <w:tabs>
          <w:tab w:pos="686" w:val="left" w:leader="none"/>
        </w:tabs>
        <w:spacing w:line="240" w:lineRule="auto" w:before="0" w:after="0"/>
        <w:ind w:left="686" w:right="0" w:hanging="574"/>
        <w:jc w:val="left"/>
      </w:pPr>
      <w:r>
        <w:rPr>
          <w:color w:val="2D1E66"/>
        </w:rPr>
        <w:t>Biological</w:t>
      </w:r>
      <w:r>
        <w:rPr>
          <w:color w:val="2D1E66"/>
          <w:spacing w:val="-6"/>
        </w:rPr>
        <w:t> </w:t>
      </w:r>
      <w:r>
        <w:rPr>
          <w:color w:val="2D1E66"/>
        </w:rPr>
        <w:t>control</w:t>
      </w:r>
      <w:r>
        <w:rPr>
          <w:color w:val="2D1E66"/>
          <w:spacing w:val="-4"/>
        </w:rPr>
        <w:t> </w:t>
      </w:r>
      <w:r>
        <w:rPr>
          <w:color w:val="2D1E66"/>
        </w:rPr>
        <w:t>(for</w:t>
      </w:r>
      <w:r>
        <w:rPr>
          <w:color w:val="2D1E66"/>
          <w:spacing w:val="-4"/>
        </w:rPr>
        <w:t> </w:t>
      </w:r>
      <w:r>
        <w:rPr>
          <w:color w:val="2D1E66"/>
          <w:spacing w:val="-2"/>
        </w:rPr>
        <w:t>rabbits)</w:t>
      </w:r>
    </w:p>
    <w:p>
      <w:pPr>
        <w:pStyle w:val="BodyText"/>
        <w:spacing w:before="112"/>
        <w:ind w:left="112" w:right="163"/>
      </w:pPr>
      <w:r>
        <w:rPr/>
        <w:t>RHDV1 (the Czech strain released in 1996 and K5 strain released in 2017) is considered a more humane method than Myxoma Virus (released in 1950), because the extremely high virulence of RHDV1 results in a short</w:t>
      </w:r>
      <w:r>
        <w:rPr>
          <w:spacing w:val="-4"/>
        </w:rPr>
        <w:t> </w:t>
      </w:r>
      <w:r>
        <w:rPr/>
        <w:t>course</w:t>
      </w:r>
      <w:r>
        <w:rPr>
          <w:spacing w:val="-4"/>
        </w:rPr>
        <w:t> </w:t>
      </w:r>
      <w:r>
        <w:rPr/>
        <w:t>of</w:t>
      </w:r>
      <w:r>
        <w:rPr>
          <w:spacing w:val="-2"/>
        </w:rPr>
        <w:t> </w:t>
      </w:r>
      <w:r>
        <w:rPr/>
        <w:t>disease.</w:t>
      </w:r>
      <w:r>
        <w:rPr>
          <w:spacing w:val="-4"/>
        </w:rPr>
        <w:t> </w:t>
      </w:r>
      <w:r>
        <w:rPr/>
        <w:t>RHDV1</w:t>
      </w:r>
      <w:r>
        <w:rPr>
          <w:spacing w:val="-4"/>
        </w:rPr>
        <w:t> </w:t>
      </w:r>
      <w:r>
        <w:rPr/>
        <w:t>kills</w:t>
      </w:r>
      <w:r>
        <w:rPr>
          <w:spacing w:val="-3"/>
        </w:rPr>
        <w:t> </w:t>
      </w:r>
      <w:r>
        <w:rPr/>
        <w:t>susceptible</w:t>
      </w:r>
      <w:r>
        <w:rPr>
          <w:spacing w:val="-2"/>
        </w:rPr>
        <w:t> </w:t>
      </w:r>
      <w:r>
        <w:rPr/>
        <w:t>rabbits</w:t>
      </w:r>
      <w:r>
        <w:rPr>
          <w:spacing w:val="-3"/>
        </w:rPr>
        <w:t> </w:t>
      </w:r>
      <w:r>
        <w:rPr/>
        <w:t>between</w:t>
      </w:r>
      <w:r>
        <w:rPr>
          <w:spacing w:val="-4"/>
        </w:rPr>
        <w:t> </w:t>
      </w:r>
      <w:r>
        <w:rPr/>
        <w:t>36 and</w:t>
      </w:r>
      <w:r>
        <w:rPr>
          <w:spacing w:val="-4"/>
        </w:rPr>
        <w:t> </w:t>
      </w:r>
      <w:r>
        <w:rPr/>
        <w:t>72</w:t>
      </w:r>
      <w:r>
        <w:rPr>
          <w:spacing w:val="-2"/>
        </w:rPr>
        <w:t> </w:t>
      </w:r>
      <w:r>
        <w:rPr/>
        <w:t>hours</w:t>
      </w:r>
      <w:r>
        <w:rPr>
          <w:spacing w:val="-2"/>
        </w:rPr>
        <w:t> </w:t>
      </w:r>
      <w:r>
        <w:rPr/>
        <w:t>after</w:t>
      </w:r>
      <w:r>
        <w:rPr>
          <w:spacing w:val="-4"/>
        </w:rPr>
        <w:t> </w:t>
      </w:r>
      <w:r>
        <w:rPr/>
        <w:t>infection,</w:t>
      </w:r>
      <w:r>
        <w:rPr>
          <w:spacing w:val="-2"/>
        </w:rPr>
        <w:t> </w:t>
      </w:r>
      <w:r>
        <w:rPr/>
        <w:t>with</w:t>
      </w:r>
      <w:r>
        <w:rPr>
          <w:spacing w:val="-4"/>
        </w:rPr>
        <w:t> </w:t>
      </w:r>
      <w:r>
        <w:rPr/>
        <w:t>typical clinical signs of fever and lethargy (Strive and Cox 2019). Ambient temperature influences the time to death from RHDV, with lower temperatures associated with shorter time to death (Cooke and Berman 2000).</w:t>
      </w:r>
    </w:p>
    <w:p>
      <w:pPr>
        <w:pStyle w:val="BodyText"/>
        <w:spacing w:before="120"/>
        <w:ind w:left="112" w:right="416"/>
      </w:pPr>
      <w:r>
        <w:rPr/>
        <w:t>There</w:t>
      </w:r>
      <w:r>
        <w:rPr>
          <w:spacing w:val="-4"/>
        </w:rPr>
        <w:t> </w:t>
      </w:r>
      <w:r>
        <w:rPr/>
        <w:t>could</w:t>
      </w:r>
      <w:r>
        <w:rPr>
          <w:spacing w:val="-2"/>
        </w:rPr>
        <w:t> </w:t>
      </w:r>
      <w:r>
        <w:rPr/>
        <w:t>be</w:t>
      </w:r>
      <w:r>
        <w:rPr>
          <w:spacing w:val="-5"/>
        </w:rPr>
        <w:t> </w:t>
      </w:r>
      <w:r>
        <w:rPr/>
        <w:t>severe</w:t>
      </w:r>
      <w:r>
        <w:rPr>
          <w:spacing w:val="-4"/>
        </w:rPr>
        <w:t> </w:t>
      </w:r>
      <w:r>
        <w:rPr/>
        <w:t>suffering</w:t>
      </w:r>
      <w:r>
        <w:rPr>
          <w:spacing w:val="-2"/>
        </w:rPr>
        <w:t> </w:t>
      </w:r>
      <w:r>
        <w:rPr/>
        <w:t>for</w:t>
      </w:r>
      <w:r>
        <w:rPr>
          <w:spacing w:val="-4"/>
        </w:rPr>
        <w:t> </w:t>
      </w:r>
      <w:r>
        <w:rPr/>
        <w:t>a</w:t>
      </w:r>
      <w:r>
        <w:rPr>
          <w:spacing w:val="-4"/>
        </w:rPr>
        <w:t> </w:t>
      </w:r>
      <w:r>
        <w:rPr/>
        <w:t>short</w:t>
      </w:r>
      <w:r>
        <w:rPr>
          <w:spacing w:val="-4"/>
        </w:rPr>
        <w:t> </w:t>
      </w:r>
      <w:r>
        <w:rPr/>
        <w:t>period</w:t>
      </w:r>
      <w:r>
        <w:rPr>
          <w:spacing w:val="-2"/>
        </w:rPr>
        <w:t> </w:t>
      </w:r>
      <w:r>
        <w:rPr/>
        <w:t>(minutes)</w:t>
      </w:r>
      <w:r>
        <w:rPr>
          <w:spacing w:val="-3"/>
        </w:rPr>
        <w:t> </w:t>
      </w:r>
      <w:r>
        <w:rPr/>
        <w:t>just</w:t>
      </w:r>
      <w:r>
        <w:rPr>
          <w:spacing w:val="-4"/>
        </w:rPr>
        <w:t> </w:t>
      </w:r>
      <w:r>
        <w:rPr/>
        <w:t>prior</w:t>
      </w:r>
      <w:r>
        <w:rPr>
          <w:spacing w:val="-4"/>
        </w:rPr>
        <w:t> </w:t>
      </w:r>
      <w:r>
        <w:rPr/>
        <w:t>to</w:t>
      </w:r>
      <w:r>
        <w:rPr>
          <w:spacing w:val="-2"/>
        </w:rPr>
        <w:t> </w:t>
      </w:r>
      <w:r>
        <w:rPr/>
        <w:t>death</w:t>
      </w:r>
      <w:r>
        <w:rPr>
          <w:spacing w:val="-4"/>
        </w:rPr>
        <w:t> </w:t>
      </w:r>
      <w:r>
        <w:rPr/>
        <w:t>for</w:t>
      </w:r>
      <w:r>
        <w:rPr>
          <w:spacing w:val="-1"/>
        </w:rPr>
        <w:t> </w:t>
      </w:r>
      <w:r>
        <w:rPr/>
        <w:t>some</w:t>
      </w:r>
      <w:r>
        <w:rPr>
          <w:spacing w:val="-4"/>
        </w:rPr>
        <w:t> </w:t>
      </w:r>
      <w:r>
        <w:rPr/>
        <w:t>rabbits</w:t>
      </w:r>
      <w:r>
        <w:rPr>
          <w:spacing w:val="-3"/>
        </w:rPr>
        <w:t> </w:t>
      </w:r>
      <w:r>
        <w:rPr/>
        <w:t>(although</w:t>
      </w:r>
      <w:r>
        <w:rPr>
          <w:spacing w:val="-3"/>
        </w:rPr>
        <w:t> </w:t>
      </w:r>
      <w:r>
        <w:rPr/>
        <w:t>it</w:t>
      </w:r>
      <w:r>
        <w:rPr>
          <w:spacing w:val="-4"/>
        </w:rPr>
        <w:t> </w:t>
      </w:r>
      <w:r>
        <w:rPr/>
        <w:t>is not clear whether they are conscious at this time). In the peracute form of the disease, rabbits die suddenly without previous clinical sign within a few hours of the incubation period. In the acute form, animals perish after a short period of disease (1–3 days), with convulsions and signs of suffocation. Shortly before death opisthotonus (a condition in which the body is held in an abnormal posture with the body rigid, the head thrown backward and the back is severely arched), sudden crying, and uncoordinated movements or paddling of the limbs may occur (Mitro and Krauss 1993).</w:t>
      </w:r>
    </w:p>
    <w:p>
      <w:pPr>
        <w:pStyle w:val="BodyText"/>
        <w:spacing w:before="121"/>
        <w:ind w:left="112" w:right="451"/>
      </w:pPr>
      <w:r>
        <w:rPr/>
        <w:t>The overall humaneness score for RHDV1 in rabbits is 1F-G ( </w:t>
      </w:r>
      <w:hyperlink r:id="rId87">
        <w:r>
          <w:rPr>
            <w:color w:val="0000FF"/>
            <w:u w:val="single" w:color="0000FF"/>
          </w:rPr>
          <w:t>https://pestsmart.org.au/wp-</w:t>
        </w:r>
      </w:hyperlink>
      <w:r>
        <w:rPr>
          <w:color w:val="0000FF"/>
          <w:u w:val="none"/>
        </w:rPr>
        <w:t> </w:t>
      </w:r>
      <w:hyperlink r:id="rId87">
        <w:r>
          <w:rPr>
            <w:color w:val="0000FF"/>
            <w:u w:val="single" w:color="0000FF"/>
          </w:rPr>
          <w:t>content/uploads/sites/3/2020/07/rabbit_bait_delivery_RHDV-1.pdf</w:t>
        </w:r>
      </w:hyperlink>
      <w:r>
        <w:rPr>
          <w:u w:val="none"/>
        </w:rPr>
        <w:t>),</w:t>
      </w:r>
      <w:r>
        <w:rPr>
          <w:spacing w:val="-6"/>
          <w:u w:val="none"/>
        </w:rPr>
        <w:t> </w:t>
      </w:r>
      <w:r>
        <w:rPr>
          <w:u w:val="none"/>
        </w:rPr>
        <w:t>which</w:t>
      </w:r>
      <w:r>
        <w:rPr>
          <w:spacing w:val="-4"/>
          <w:u w:val="none"/>
        </w:rPr>
        <w:t> </w:t>
      </w:r>
      <w:r>
        <w:rPr>
          <w:u w:val="none"/>
        </w:rPr>
        <w:t>is</w:t>
      </w:r>
      <w:r>
        <w:rPr>
          <w:spacing w:val="-5"/>
          <w:u w:val="none"/>
        </w:rPr>
        <w:t> </w:t>
      </w:r>
      <w:r>
        <w:rPr>
          <w:u w:val="none"/>
        </w:rPr>
        <w:t>comparable</w:t>
      </w:r>
      <w:r>
        <w:rPr>
          <w:spacing w:val="-6"/>
          <w:u w:val="none"/>
        </w:rPr>
        <w:t> </w:t>
      </w:r>
      <w:r>
        <w:rPr>
          <w:u w:val="none"/>
        </w:rPr>
        <w:t>to</w:t>
      </w:r>
      <w:r>
        <w:rPr>
          <w:spacing w:val="-4"/>
          <w:u w:val="none"/>
        </w:rPr>
        <w:t> </w:t>
      </w:r>
      <w:r>
        <w:rPr>
          <w:u w:val="none"/>
        </w:rPr>
        <w:t>1080</w:t>
      </w:r>
      <w:r>
        <w:rPr>
          <w:spacing w:val="-6"/>
          <w:u w:val="none"/>
        </w:rPr>
        <w:t> </w:t>
      </w:r>
      <w:r>
        <w:rPr>
          <w:u w:val="none"/>
        </w:rPr>
        <w:t>(Table</w:t>
      </w:r>
      <w:r>
        <w:rPr>
          <w:spacing w:val="-4"/>
          <w:u w:val="none"/>
        </w:rPr>
        <w:t> </w:t>
      </w:r>
      <w:r>
        <w:rPr>
          <w:u w:val="none"/>
        </w:rPr>
        <w:t>13).</w:t>
      </w:r>
    </w:p>
    <w:p>
      <w:pPr>
        <w:pStyle w:val="BodyText"/>
        <w:spacing w:before="110"/>
        <w:rPr>
          <w:sz w:val="24"/>
        </w:rPr>
      </w:pPr>
    </w:p>
    <w:p>
      <w:pPr>
        <w:pStyle w:val="Heading3"/>
        <w:numPr>
          <w:ilvl w:val="1"/>
          <w:numId w:val="24"/>
        </w:numPr>
        <w:tabs>
          <w:tab w:pos="686" w:val="left" w:leader="none"/>
        </w:tabs>
        <w:spacing w:line="240" w:lineRule="auto" w:before="0" w:after="0"/>
        <w:ind w:left="686" w:right="0" w:hanging="574"/>
        <w:jc w:val="left"/>
      </w:pPr>
      <w:r>
        <w:rPr>
          <w:color w:val="2D1E66"/>
        </w:rPr>
        <w:t>Livestock</w:t>
      </w:r>
      <w:r>
        <w:rPr>
          <w:color w:val="2D1E66"/>
          <w:spacing w:val="-4"/>
        </w:rPr>
        <w:t> </w:t>
      </w:r>
      <w:r>
        <w:rPr>
          <w:color w:val="2D1E66"/>
        </w:rPr>
        <w:t>guardian</w:t>
      </w:r>
      <w:r>
        <w:rPr>
          <w:color w:val="2D1E66"/>
          <w:spacing w:val="-3"/>
        </w:rPr>
        <w:t> </w:t>
      </w:r>
      <w:r>
        <w:rPr>
          <w:color w:val="2D1E66"/>
          <w:spacing w:val="-2"/>
        </w:rPr>
        <w:t>animals</w:t>
      </w:r>
    </w:p>
    <w:p>
      <w:pPr>
        <w:pStyle w:val="BodyText"/>
        <w:spacing w:before="112"/>
        <w:ind w:left="112" w:right="420"/>
      </w:pPr>
      <w:r>
        <w:rPr/>
        <w:t>The use of LGAs to protect livestock from predation by Wild Dogs/Dingoes and foxes is not assessed using the Sharp and</w:t>
      </w:r>
      <w:r>
        <w:rPr>
          <w:spacing w:val="-1"/>
        </w:rPr>
        <w:t> </w:t>
      </w:r>
      <w:r>
        <w:rPr/>
        <w:t>Saunders (2011)</w:t>
      </w:r>
      <w:r>
        <w:rPr>
          <w:spacing w:val="-1"/>
        </w:rPr>
        <w:t> </w:t>
      </w:r>
      <w:r>
        <w:rPr/>
        <w:t>model</w:t>
      </w:r>
      <w:r>
        <w:rPr>
          <w:spacing w:val="-2"/>
        </w:rPr>
        <w:t> </w:t>
      </w:r>
      <w:r>
        <w:rPr/>
        <w:t>because it is regarded</w:t>
      </w:r>
      <w:r>
        <w:rPr>
          <w:spacing w:val="-1"/>
        </w:rPr>
        <w:t> </w:t>
      </w:r>
      <w:r>
        <w:rPr/>
        <w:t>as a non-lethal method. However, LGDs have been</w:t>
      </w:r>
      <w:r>
        <w:rPr>
          <w:spacing w:val="-2"/>
        </w:rPr>
        <w:t> </w:t>
      </w:r>
      <w:r>
        <w:rPr/>
        <w:t>reported</w:t>
      </w:r>
      <w:r>
        <w:rPr>
          <w:spacing w:val="-2"/>
        </w:rPr>
        <w:t> </w:t>
      </w:r>
      <w:r>
        <w:rPr/>
        <w:t>to</w:t>
      </w:r>
      <w:r>
        <w:rPr>
          <w:spacing w:val="-3"/>
        </w:rPr>
        <w:t> </w:t>
      </w:r>
      <w:r>
        <w:rPr/>
        <w:t>injure</w:t>
      </w:r>
      <w:r>
        <w:rPr>
          <w:spacing w:val="-3"/>
        </w:rPr>
        <w:t> </w:t>
      </w:r>
      <w:r>
        <w:rPr/>
        <w:t>or</w:t>
      </w:r>
      <w:r>
        <w:rPr>
          <w:spacing w:val="-2"/>
        </w:rPr>
        <w:t> </w:t>
      </w:r>
      <w:r>
        <w:rPr/>
        <w:t>kill</w:t>
      </w:r>
      <w:r>
        <w:rPr>
          <w:spacing w:val="-3"/>
        </w:rPr>
        <w:t> </w:t>
      </w:r>
      <w:r>
        <w:rPr/>
        <w:t>a</w:t>
      </w:r>
      <w:r>
        <w:rPr>
          <w:spacing w:val="-3"/>
        </w:rPr>
        <w:t> </w:t>
      </w:r>
      <w:r>
        <w:rPr/>
        <w:t>range</w:t>
      </w:r>
      <w:r>
        <w:rPr>
          <w:spacing w:val="-3"/>
        </w:rPr>
        <w:t> </w:t>
      </w:r>
      <w:r>
        <w:rPr/>
        <w:t>of</w:t>
      </w:r>
      <w:r>
        <w:rPr>
          <w:spacing w:val="-2"/>
        </w:rPr>
        <w:t> </w:t>
      </w:r>
      <w:r>
        <w:rPr/>
        <w:t>predator</w:t>
      </w:r>
      <w:r>
        <w:rPr>
          <w:spacing w:val="-2"/>
        </w:rPr>
        <w:t> </w:t>
      </w:r>
      <w:r>
        <w:rPr/>
        <w:t>species,</w:t>
      </w:r>
      <w:r>
        <w:rPr>
          <w:spacing w:val="-1"/>
        </w:rPr>
        <w:t> </w:t>
      </w:r>
      <w:r>
        <w:rPr/>
        <w:t>and</w:t>
      </w:r>
      <w:r>
        <w:rPr>
          <w:spacing w:val="-1"/>
        </w:rPr>
        <w:t> </w:t>
      </w:r>
      <w:r>
        <w:rPr/>
        <w:t>guardian</w:t>
      </w:r>
      <w:r>
        <w:rPr>
          <w:spacing w:val="-3"/>
        </w:rPr>
        <w:t> </w:t>
      </w:r>
      <w:r>
        <w:rPr/>
        <w:t>Llamas</w:t>
      </w:r>
      <w:r>
        <w:rPr>
          <w:spacing w:val="-2"/>
        </w:rPr>
        <w:t> </w:t>
      </w:r>
      <w:r>
        <w:rPr/>
        <w:t>have</w:t>
      </w:r>
      <w:r>
        <w:rPr>
          <w:spacing w:val="-3"/>
        </w:rPr>
        <w:t> </w:t>
      </w:r>
      <w:r>
        <w:rPr/>
        <w:t>also</w:t>
      </w:r>
      <w:r>
        <w:rPr>
          <w:spacing w:val="-2"/>
        </w:rPr>
        <w:t> </w:t>
      </w:r>
      <w:r>
        <w:rPr/>
        <w:t>been</w:t>
      </w:r>
      <w:r>
        <w:rPr>
          <w:spacing w:val="-4"/>
        </w:rPr>
        <w:t> </w:t>
      </w:r>
      <w:r>
        <w:rPr/>
        <w:t>documented to kill or injure predators (Allen et al. 2019). Harassment of wildlife by LGDs appears common, particularly medium-to-large-sized animals that are perceived as threats to livestock.</w:t>
      </w:r>
    </w:p>
    <w:p>
      <w:pPr>
        <w:pStyle w:val="BodyText"/>
        <w:spacing w:before="120"/>
        <w:ind w:left="112" w:right="278"/>
      </w:pPr>
      <w:r>
        <w:rPr/>
        <w:t>To assess the animal welfare impacts of introducing predators like LGDs, (Allen et al. 2019) used the ‘Five Domains’ model, first developed by (Mellor and Reid 1994). This approach assigns lethal and non-lethal animal</w:t>
      </w:r>
      <w:r>
        <w:rPr>
          <w:spacing w:val="-5"/>
        </w:rPr>
        <w:t> </w:t>
      </w:r>
      <w:r>
        <w:rPr/>
        <w:t>control</w:t>
      </w:r>
      <w:r>
        <w:rPr>
          <w:spacing w:val="-5"/>
        </w:rPr>
        <w:t> </w:t>
      </w:r>
      <w:r>
        <w:rPr/>
        <w:t>tools</w:t>
      </w:r>
      <w:r>
        <w:rPr>
          <w:spacing w:val="-3"/>
        </w:rPr>
        <w:t> </w:t>
      </w:r>
      <w:r>
        <w:rPr/>
        <w:t>an</w:t>
      </w:r>
      <w:r>
        <w:rPr>
          <w:spacing w:val="-4"/>
        </w:rPr>
        <w:t> </w:t>
      </w:r>
      <w:r>
        <w:rPr/>
        <w:t>overall</w:t>
      </w:r>
      <w:r>
        <w:rPr>
          <w:spacing w:val="-3"/>
        </w:rPr>
        <w:t> </w:t>
      </w:r>
      <w:r>
        <w:rPr/>
        <w:t>‘humaneness</w:t>
      </w:r>
      <w:r>
        <w:rPr>
          <w:spacing w:val="-3"/>
        </w:rPr>
        <w:t> </w:t>
      </w:r>
      <w:r>
        <w:rPr/>
        <w:t>score’</w:t>
      </w:r>
      <w:r>
        <w:rPr>
          <w:spacing w:val="-5"/>
        </w:rPr>
        <w:t> </w:t>
      </w:r>
      <w:r>
        <w:rPr/>
        <w:t>that</w:t>
      </w:r>
      <w:r>
        <w:rPr>
          <w:spacing w:val="-2"/>
        </w:rPr>
        <w:t> </w:t>
      </w:r>
      <w:r>
        <w:rPr/>
        <w:t>enables</w:t>
      </w:r>
      <w:r>
        <w:rPr>
          <w:spacing w:val="-3"/>
        </w:rPr>
        <w:t> </w:t>
      </w:r>
      <w:r>
        <w:rPr/>
        <w:t>their</w:t>
      </w:r>
      <w:r>
        <w:rPr>
          <w:spacing w:val="-3"/>
        </w:rPr>
        <w:t> </w:t>
      </w:r>
      <w:r>
        <w:rPr/>
        <w:t>animal</w:t>
      </w:r>
      <w:r>
        <w:rPr>
          <w:spacing w:val="-5"/>
        </w:rPr>
        <w:t> </w:t>
      </w:r>
      <w:r>
        <w:rPr/>
        <w:t>welfare</w:t>
      </w:r>
      <w:r>
        <w:rPr>
          <w:spacing w:val="-4"/>
        </w:rPr>
        <w:t> </w:t>
      </w:r>
      <w:r>
        <w:rPr/>
        <w:t>impacts</w:t>
      </w:r>
      <w:r>
        <w:rPr>
          <w:spacing w:val="-3"/>
        </w:rPr>
        <w:t> </w:t>
      </w:r>
      <w:r>
        <w:rPr/>
        <w:t>to</w:t>
      </w:r>
      <w:r>
        <w:rPr>
          <w:spacing w:val="-3"/>
        </w:rPr>
        <w:t> </w:t>
      </w:r>
      <w:r>
        <w:rPr/>
        <w:t>be</w:t>
      </w:r>
      <w:r>
        <w:rPr>
          <w:spacing w:val="-3"/>
        </w:rPr>
        <w:t> </w:t>
      </w:r>
      <w:r>
        <w:rPr/>
        <w:t>assessed, allowing</w:t>
      </w:r>
      <w:r>
        <w:rPr>
          <w:spacing w:val="-4"/>
        </w:rPr>
        <w:t> </w:t>
      </w:r>
      <w:r>
        <w:rPr/>
        <w:t>them</w:t>
      </w:r>
      <w:r>
        <w:rPr>
          <w:spacing w:val="-3"/>
        </w:rPr>
        <w:t> </w:t>
      </w:r>
      <w:r>
        <w:rPr/>
        <w:t>to</w:t>
      </w:r>
      <w:r>
        <w:rPr>
          <w:spacing w:val="-1"/>
        </w:rPr>
        <w:t> </w:t>
      </w:r>
      <w:r>
        <w:rPr/>
        <w:t>be</w:t>
      </w:r>
      <w:r>
        <w:rPr>
          <w:spacing w:val="-4"/>
        </w:rPr>
        <w:t> </w:t>
      </w:r>
      <w:r>
        <w:rPr/>
        <w:t>compared</w:t>
      </w:r>
      <w:r>
        <w:rPr>
          <w:spacing w:val="-4"/>
        </w:rPr>
        <w:t> </w:t>
      </w:r>
      <w:r>
        <w:rPr/>
        <w:t>to</w:t>
      </w:r>
      <w:r>
        <w:rPr>
          <w:spacing w:val="-1"/>
        </w:rPr>
        <w:t> </w:t>
      </w:r>
      <w:r>
        <w:rPr/>
        <w:t>other</w:t>
      </w:r>
      <w:r>
        <w:rPr>
          <w:spacing w:val="-3"/>
        </w:rPr>
        <w:t> </w:t>
      </w:r>
      <w:r>
        <w:rPr/>
        <w:t>potential</w:t>
      </w:r>
      <w:r>
        <w:rPr>
          <w:spacing w:val="-4"/>
        </w:rPr>
        <w:t> </w:t>
      </w:r>
      <w:r>
        <w:rPr/>
        <w:t>tools. (Allen</w:t>
      </w:r>
      <w:r>
        <w:rPr>
          <w:spacing w:val="-2"/>
        </w:rPr>
        <w:t> </w:t>
      </w:r>
      <w:r>
        <w:rPr/>
        <w:t>et</w:t>
      </w:r>
      <w:r>
        <w:rPr>
          <w:spacing w:val="-3"/>
        </w:rPr>
        <w:t> </w:t>
      </w:r>
      <w:r>
        <w:rPr/>
        <w:t>al.</w:t>
      </w:r>
      <w:r>
        <w:rPr>
          <w:spacing w:val="-1"/>
        </w:rPr>
        <w:t> </w:t>
      </w:r>
      <w:r>
        <w:rPr/>
        <w:t>2019) found</w:t>
      </w:r>
      <w:r>
        <w:rPr>
          <w:spacing w:val="-4"/>
        </w:rPr>
        <w:t> </w:t>
      </w:r>
      <w:r>
        <w:rPr/>
        <w:t>that</w:t>
      </w:r>
      <w:r>
        <w:rPr>
          <w:spacing w:val="-1"/>
        </w:rPr>
        <w:t> </w:t>
      </w:r>
      <w:r>
        <w:rPr/>
        <w:t>guardian</w:t>
      </w:r>
      <w:r>
        <w:rPr>
          <w:spacing w:val="-3"/>
        </w:rPr>
        <w:t> </w:t>
      </w:r>
      <w:r>
        <w:rPr/>
        <w:t>dogs</w:t>
      </w:r>
      <w:r>
        <w:rPr>
          <w:spacing w:val="-2"/>
        </w:rPr>
        <w:t> </w:t>
      </w:r>
      <w:r>
        <w:rPr/>
        <w:t>can</w:t>
      </w:r>
      <w:r>
        <w:rPr>
          <w:spacing w:val="-4"/>
        </w:rPr>
        <w:t> </w:t>
      </w:r>
      <w:r>
        <w:rPr/>
        <w:t>cause considerable lethal and non-lethal animal welfare impacts to the individual animals they are intended to control. They also note that LDGs themselves can be harassed or killed by Dingoes (Allen et al. 2016).</w:t>
      </w:r>
    </w:p>
    <w:p>
      <w:pPr>
        <w:pStyle w:val="BodyText"/>
        <w:spacing w:before="155"/>
      </w:pPr>
    </w:p>
    <w:p>
      <w:pPr>
        <w:pStyle w:val="Heading3"/>
        <w:numPr>
          <w:ilvl w:val="1"/>
          <w:numId w:val="24"/>
        </w:numPr>
        <w:tabs>
          <w:tab w:pos="686" w:val="left" w:leader="none"/>
        </w:tabs>
        <w:spacing w:line="240" w:lineRule="auto" w:before="0" w:after="0"/>
        <w:ind w:left="686" w:right="0" w:hanging="574"/>
        <w:jc w:val="left"/>
      </w:pPr>
      <w:r>
        <w:rPr>
          <w:color w:val="2D1E66"/>
          <w:spacing w:val="-2"/>
        </w:rPr>
        <w:t>Fencing</w:t>
      </w:r>
    </w:p>
    <w:p>
      <w:pPr>
        <w:pStyle w:val="BodyText"/>
        <w:spacing w:before="112"/>
        <w:ind w:left="112" w:right="379"/>
      </w:pPr>
      <w:r>
        <w:rPr/>
        <w:t>The most direct impact of fencing on animal welfare is entanglement and effective snaring of wildlife in</w:t>
      </w:r>
      <w:r>
        <w:rPr/>
        <w:t> fences (Smith et al. 2020) often resulting in death (Allen and Hampton 2020) of entangled animals. Likely causes of death for entangled animals include injury, hyper/hypothermia or thirst, which all represent potentially</w:t>
      </w:r>
      <w:r>
        <w:rPr>
          <w:spacing w:val="-2"/>
        </w:rPr>
        <w:t> </w:t>
      </w:r>
      <w:r>
        <w:rPr/>
        <w:t>high</w:t>
      </w:r>
      <w:r>
        <w:rPr>
          <w:spacing w:val="-4"/>
        </w:rPr>
        <w:t> </w:t>
      </w:r>
      <w:r>
        <w:rPr/>
        <w:t>animal</w:t>
      </w:r>
      <w:r>
        <w:rPr>
          <w:spacing w:val="-4"/>
        </w:rPr>
        <w:t> </w:t>
      </w:r>
      <w:r>
        <w:rPr/>
        <w:t>welfare</w:t>
      </w:r>
      <w:r>
        <w:rPr>
          <w:spacing w:val="-3"/>
        </w:rPr>
        <w:t> </w:t>
      </w:r>
      <w:r>
        <w:rPr/>
        <w:t>impacts.</w:t>
      </w:r>
      <w:r>
        <w:rPr>
          <w:spacing w:val="-3"/>
        </w:rPr>
        <w:t> </w:t>
      </w:r>
      <w:r>
        <w:rPr/>
        <w:t>Reports</w:t>
      </w:r>
      <w:r>
        <w:rPr>
          <w:spacing w:val="-1"/>
        </w:rPr>
        <w:t> </w:t>
      </w:r>
      <w:r>
        <w:rPr/>
        <w:t>of</w:t>
      </w:r>
      <w:r>
        <w:rPr>
          <w:spacing w:val="-3"/>
        </w:rPr>
        <w:t> </w:t>
      </w:r>
      <w:r>
        <w:rPr/>
        <w:t>entanglement</w:t>
      </w:r>
      <w:r>
        <w:rPr>
          <w:spacing w:val="-1"/>
        </w:rPr>
        <w:t> </w:t>
      </w:r>
      <w:r>
        <w:rPr/>
        <w:t>of</w:t>
      </w:r>
      <w:r>
        <w:rPr>
          <w:spacing w:val="-3"/>
        </w:rPr>
        <w:t> </w:t>
      </w:r>
      <w:r>
        <w:rPr/>
        <w:t>non-target</w:t>
      </w:r>
      <w:r>
        <w:rPr>
          <w:spacing w:val="-3"/>
        </w:rPr>
        <w:t> </w:t>
      </w:r>
      <w:r>
        <w:rPr/>
        <w:t>species</w:t>
      </w:r>
      <w:r>
        <w:rPr>
          <w:spacing w:val="-1"/>
        </w:rPr>
        <w:t> </w:t>
      </w:r>
      <w:r>
        <w:rPr/>
        <w:t>are</w:t>
      </w:r>
      <w:r>
        <w:rPr>
          <w:spacing w:val="-3"/>
        </w:rPr>
        <w:t> </w:t>
      </w:r>
      <w:r>
        <w:rPr/>
        <w:t>far</w:t>
      </w:r>
      <w:r>
        <w:rPr>
          <w:spacing w:val="-3"/>
        </w:rPr>
        <w:t> </w:t>
      </w:r>
      <w:r>
        <w:rPr/>
        <w:t>more</w:t>
      </w:r>
      <w:r>
        <w:rPr>
          <w:spacing w:val="-3"/>
        </w:rPr>
        <w:t> </w:t>
      </w:r>
      <w:r>
        <w:rPr/>
        <w:t>common</w:t>
      </w:r>
    </w:p>
    <w:p>
      <w:pPr>
        <w:spacing w:after="0"/>
        <w:sectPr>
          <w:pgSz w:w="11910" w:h="16850"/>
          <w:pgMar w:header="0" w:footer="688" w:top="1060" w:bottom="880" w:left="1020" w:right="780"/>
        </w:sectPr>
      </w:pPr>
    </w:p>
    <w:p>
      <w:pPr>
        <w:pStyle w:val="BodyText"/>
        <w:spacing w:before="71"/>
        <w:ind w:left="112" w:right="340"/>
      </w:pPr>
      <w:r>
        <w:rPr/>
        <w:t>than</w:t>
      </w:r>
      <w:r>
        <w:rPr>
          <w:spacing w:val="-1"/>
        </w:rPr>
        <w:t> </w:t>
      </w:r>
      <w:r>
        <w:rPr/>
        <w:t>for</w:t>
      </w:r>
      <w:r>
        <w:rPr>
          <w:spacing w:val="-3"/>
        </w:rPr>
        <w:t> </w:t>
      </w:r>
      <w:r>
        <w:rPr/>
        <w:t>the</w:t>
      </w:r>
      <w:r>
        <w:rPr>
          <w:spacing w:val="-3"/>
        </w:rPr>
        <w:t> </w:t>
      </w:r>
      <w:r>
        <w:rPr/>
        <w:t>target</w:t>
      </w:r>
      <w:r>
        <w:rPr>
          <w:spacing w:val="-3"/>
        </w:rPr>
        <w:t> </w:t>
      </w:r>
      <w:r>
        <w:rPr/>
        <w:t>species</w:t>
      </w:r>
      <w:r>
        <w:rPr>
          <w:spacing w:val="-2"/>
        </w:rPr>
        <w:t> </w:t>
      </w:r>
      <w:r>
        <w:rPr/>
        <w:t>(which</w:t>
      </w:r>
      <w:r>
        <w:rPr>
          <w:spacing w:val="-1"/>
        </w:rPr>
        <w:t> </w:t>
      </w:r>
      <w:r>
        <w:rPr/>
        <w:t>a</w:t>
      </w:r>
      <w:r>
        <w:rPr>
          <w:spacing w:val="-3"/>
        </w:rPr>
        <w:t> </w:t>
      </w:r>
      <w:r>
        <w:rPr/>
        <w:t>fence</w:t>
      </w:r>
      <w:r>
        <w:rPr>
          <w:spacing w:val="-3"/>
        </w:rPr>
        <w:t> </w:t>
      </w:r>
      <w:r>
        <w:rPr/>
        <w:t>is intended</w:t>
      </w:r>
      <w:r>
        <w:rPr>
          <w:spacing w:val="-4"/>
        </w:rPr>
        <w:t> </w:t>
      </w:r>
      <w:r>
        <w:rPr/>
        <w:t>to</w:t>
      </w:r>
      <w:r>
        <w:rPr>
          <w:spacing w:val="-3"/>
        </w:rPr>
        <w:t> </w:t>
      </w:r>
      <w:r>
        <w:rPr/>
        <w:t>exclude)</w:t>
      </w:r>
      <w:r>
        <w:rPr>
          <w:spacing w:val="-3"/>
        </w:rPr>
        <w:t> </w:t>
      </w:r>
      <w:r>
        <w:rPr/>
        <w:t>and</w:t>
      </w:r>
      <w:r>
        <w:rPr>
          <w:spacing w:val="-3"/>
        </w:rPr>
        <w:t> </w:t>
      </w:r>
      <w:r>
        <w:rPr/>
        <w:t>affect</w:t>
      </w:r>
      <w:r>
        <w:rPr>
          <w:spacing w:val="-3"/>
        </w:rPr>
        <w:t> </w:t>
      </w:r>
      <w:r>
        <w:rPr/>
        <w:t>a</w:t>
      </w:r>
      <w:r>
        <w:rPr>
          <w:spacing w:val="-2"/>
        </w:rPr>
        <w:t> </w:t>
      </w:r>
      <w:r>
        <w:rPr/>
        <w:t>wide</w:t>
      </w:r>
      <w:r>
        <w:rPr>
          <w:spacing w:val="-3"/>
        </w:rPr>
        <w:t> </w:t>
      </w:r>
      <w:r>
        <w:rPr/>
        <w:t>variety</w:t>
      </w:r>
      <w:r>
        <w:rPr>
          <w:spacing w:val="-2"/>
        </w:rPr>
        <w:t> </w:t>
      </w:r>
      <w:r>
        <w:rPr/>
        <w:t>of</w:t>
      </w:r>
      <w:r>
        <w:rPr>
          <w:spacing w:val="-3"/>
        </w:rPr>
        <w:t> </w:t>
      </w:r>
      <w:r>
        <w:rPr/>
        <w:t>species</w:t>
      </w:r>
      <w:r>
        <w:rPr>
          <w:spacing w:val="-2"/>
        </w:rPr>
        <w:t> </w:t>
      </w:r>
      <w:r>
        <w:rPr/>
        <w:t>across the world, most often migrating and wide-ranging species, reptiles and low-flying birds (Smith et al. 2020). Barbed wire has been identified as a particular feature associated with entanglement of Australian wildlife (van der Ree 1999). The extent and welfare impact of entanglement associated with exclusion fencing for pest animal management has not been well researched.</w:t>
      </w:r>
    </w:p>
    <w:p>
      <w:pPr>
        <w:pStyle w:val="BodyText"/>
        <w:spacing w:before="158"/>
      </w:pPr>
    </w:p>
    <w:p>
      <w:pPr>
        <w:pStyle w:val="Heading3"/>
        <w:numPr>
          <w:ilvl w:val="1"/>
          <w:numId w:val="24"/>
        </w:numPr>
        <w:tabs>
          <w:tab w:pos="686" w:val="left" w:leader="none"/>
        </w:tabs>
        <w:spacing w:line="240" w:lineRule="auto" w:before="0" w:after="0"/>
        <w:ind w:left="686" w:right="0" w:hanging="574"/>
        <w:jc w:val="left"/>
      </w:pPr>
      <w:r>
        <w:rPr>
          <w:color w:val="2D1E66"/>
        </w:rPr>
        <w:t>Shooting</w:t>
      </w:r>
      <w:r>
        <w:rPr>
          <w:color w:val="2D1E66"/>
          <w:spacing w:val="-1"/>
        </w:rPr>
        <w:t> </w:t>
      </w:r>
      <w:r>
        <w:rPr>
          <w:color w:val="2D1E66"/>
        </w:rPr>
        <w:t>(for</w:t>
      </w:r>
      <w:r>
        <w:rPr>
          <w:color w:val="2D1E66"/>
          <w:spacing w:val="-1"/>
        </w:rPr>
        <w:t> </w:t>
      </w:r>
      <w:r>
        <w:rPr>
          <w:color w:val="2D1E66"/>
        </w:rPr>
        <w:t>all</w:t>
      </w:r>
      <w:r>
        <w:rPr>
          <w:color w:val="2D1E66"/>
          <w:spacing w:val="-1"/>
        </w:rPr>
        <w:t> </w:t>
      </w:r>
      <w:r>
        <w:rPr>
          <w:color w:val="2D1E66"/>
          <w:spacing w:val="-2"/>
        </w:rPr>
        <w:t>species)</w:t>
      </w:r>
    </w:p>
    <w:p>
      <w:pPr>
        <w:pStyle w:val="BodyText"/>
        <w:spacing w:before="112"/>
        <w:ind w:left="112" w:right="384"/>
      </w:pPr>
      <w:r>
        <w:rPr/>
        <w:t>Shot placement is a critical determinant of the welfare outcomes of shooting as a pest animal control</w:t>
      </w:r>
      <w:r>
        <w:rPr>
          <w:spacing w:val="40"/>
        </w:rPr>
        <w:t> </w:t>
      </w:r>
      <w:r>
        <w:rPr/>
        <w:t>method.</w:t>
      </w:r>
      <w:r>
        <w:rPr>
          <w:spacing w:val="-2"/>
        </w:rPr>
        <w:t> </w:t>
      </w:r>
      <w:r>
        <w:rPr/>
        <w:t>A</w:t>
      </w:r>
      <w:r>
        <w:rPr>
          <w:spacing w:val="-3"/>
        </w:rPr>
        <w:t> </w:t>
      </w:r>
      <w:r>
        <w:rPr/>
        <w:t>bullet</w:t>
      </w:r>
      <w:r>
        <w:rPr>
          <w:spacing w:val="-3"/>
        </w:rPr>
        <w:t> </w:t>
      </w:r>
      <w:r>
        <w:rPr/>
        <w:t>strike</w:t>
      </w:r>
      <w:r>
        <w:rPr>
          <w:spacing w:val="-3"/>
        </w:rPr>
        <w:t> </w:t>
      </w:r>
      <w:r>
        <w:rPr/>
        <w:t>to</w:t>
      </w:r>
      <w:r>
        <w:rPr>
          <w:spacing w:val="-3"/>
        </w:rPr>
        <w:t> </w:t>
      </w:r>
      <w:r>
        <w:rPr/>
        <w:t>the</w:t>
      </w:r>
      <w:r>
        <w:rPr>
          <w:spacing w:val="-3"/>
        </w:rPr>
        <w:t> </w:t>
      </w:r>
      <w:r>
        <w:rPr/>
        <w:t>upper</w:t>
      </w:r>
      <w:r>
        <w:rPr>
          <w:spacing w:val="-3"/>
        </w:rPr>
        <w:t> </w:t>
      </w:r>
      <w:r>
        <w:rPr/>
        <w:t>portion</w:t>
      </w:r>
      <w:r>
        <w:rPr>
          <w:spacing w:val="-3"/>
        </w:rPr>
        <w:t> </w:t>
      </w:r>
      <w:r>
        <w:rPr/>
        <w:t>of</w:t>
      </w:r>
      <w:r>
        <w:rPr>
          <w:spacing w:val="-2"/>
        </w:rPr>
        <w:t> </w:t>
      </w:r>
      <w:r>
        <w:rPr/>
        <w:t>the</w:t>
      </w:r>
      <w:r>
        <w:rPr>
          <w:spacing w:val="-4"/>
        </w:rPr>
        <w:t> </w:t>
      </w:r>
      <w:r>
        <w:rPr/>
        <w:t>central</w:t>
      </w:r>
      <w:r>
        <w:rPr>
          <w:spacing w:val="-4"/>
        </w:rPr>
        <w:t> </w:t>
      </w:r>
      <w:r>
        <w:rPr/>
        <w:t>nervous</w:t>
      </w:r>
      <w:r>
        <w:rPr>
          <w:spacing w:val="-3"/>
        </w:rPr>
        <w:t> </w:t>
      </w:r>
      <w:r>
        <w:rPr/>
        <w:t>system</w:t>
      </w:r>
      <w:r>
        <w:rPr>
          <w:spacing w:val="-3"/>
        </w:rPr>
        <w:t> </w:t>
      </w:r>
      <w:r>
        <w:rPr/>
        <w:t>(head)</w:t>
      </w:r>
      <w:r>
        <w:rPr>
          <w:spacing w:val="-3"/>
        </w:rPr>
        <w:t> </w:t>
      </w:r>
      <w:r>
        <w:rPr/>
        <w:t>is the</w:t>
      </w:r>
      <w:r>
        <w:rPr>
          <w:spacing w:val="-2"/>
        </w:rPr>
        <w:t> </w:t>
      </w:r>
      <w:r>
        <w:rPr/>
        <w:t>only</w:t>
      </w:r>
      <w:r>
        <w:rPr>
          <w:spacing w:val="-3"/>
        </w:rPr>
        <w:t> </w:t>
      </w:r>
      <w:r>
        <w:rPr/>
        <w:t>certain</w:t>
      </w:r>
      <w:r>
        <w:rPr>
          <w:spacing w:val="-2"/>
        </w:rPr>
        <w:t> </w:t>
      </w:r>
      <w:r>
        <w:rPr/>
        <w:t>method</w:t>
      </w:r>
      <w:r>
        <w:rPr>
          <w:spacing w:val="-2"/>
        </w:rPr>
        <w:t> </w:t>
      </w:r>
      <w:r>
        <w:rPr/>
        <w:t>of delivering an instantaneous death, and while not instantaneous, rapid death through massive blood loss can be induced through severe disruption of vital organs and blood vessels in the thorax</w:t>
      </w:r>
      <w:r>
        <w:rPr>
          <w:spacing w:val="16"/>
        </w:rPr>
        <w:t> </w:t>
      </w:r>
      <w:r>
        <w:rPr/>
        <w:t>(Smith and Ryeng </w:t>
      </w:r>
      <w:r>
        <w:rPr>
          <w:spacing w:val="-2"/>
        </w:rPr>
        <w:t>2022).</w:t>
      </w:r>
    </w:p>
    <w:p>
      <w:pPr>
        <w:pStyle w:val="BodyText"/>
        <w:spacing w:before="119"/>
        <w:ind w:left="112" w:right="247"/>
      </w:pPr>
      <w:r>
        <w:rPr/>
        <w:t>Shot</w:t>
      </w:r>
      <w:r>
        <w:rPr>
          <w:spacing w:val="-2"/>
        </w:rPr>
        <w:t> </w:t>
      </w:r>
      <w:r>
        <w:rPr/>
        <w:t>placement</w:t>
      </w:r>
      <w:r>
        <w:rPr>
          <w:spacing w:val="-2"/>
        </w:rPr>
        <w:t> </w:t>
      </w:r>
      <w:r>
        <w:rPr/>
        <w:t>either</w:t>
      </w:r>
      <w:r>
        <w:rPr>
          <w:spacing w:val="-3"/>
        </w:rPr>
        <w:t> </w:t>
      </w:r>
      <w:r>
        <w:rPr/>
        <w:t>at</w:t>
      </w:r>
      <w:r>
        <w:rPr>
          <w:spacing w:val="-2"/>
        </w:rPr>
        <w:t> </w:t>
      </w:r>
      <w:r>
        <w:rPr/>
        <w:t>the</w:t>
      </w:r>
      <w:r>
        <w:rPr>
          <w:spacing w:val="-4"/>
        </w:rPr>
        <w:t> </w:t>
      </w:r>
      <w:r>
        <w:rPr/>
        <w:t>head</w:t>
      </w:r>
      <w:r>
        <w:rPr>
          <w:spacing w:val="-5"/>
        </w:rPr>
        <w:t> </w:t>
      </w:r>
      <w:r>
        <w:rPr/>
        <w:t>or</w:t>
      </w:r>
      <w:r>
        <w:rPr>
          <w:spacing w:val="-4"/>
        </w:rPr>
        <w:t> </w:t>
      </w:r>
      <w:r>
        <w:rPr/>
        <w:t>chest</w:t>
      </w:r>
      <w:r>
        <w:rPr>
          <w:spacing w:val="-4"/>
        </w:rPr>
        <w:t> </w:t>
      </w:r>
      <w:r>
        <w:rPr/>
        <w:t>is</w:t>
      </w:r>
      <w:r>
        <w:rPr>
          <w:spacing w:val="-3"/>
        </w:rPr>
        <w:t> </w:t>
      </w:r>
      <w:r>
        <w:rPr/>
        <w:t>among</w:t>
      </w:r>
      <w:r>
        <w:rPr>
          <w:spacing w:val="-4"/>
        </w:rPr>
        <w:t> </w:t>
      </w:r>
      <w:r>
        <w:rPr/>
        <w:t>the</w:t>
      </w:r>
      <w:r>
        <w:rPr>
          <w:spacing w:val="-5"/>
        </w:rPr>
        <w:t> </w:t>
      </w:r>
      <w:r>
        <w:rPr/>
        <w:t>‘best</w:t>
      </w:r>
      <w:r>
        <w:rPr>
          <w:spacing w:val="-4"/>
        </w:rPr>
        <w:t> </w:t>
      </w:r>
      <w:r>
        <w:rPr/>
        <w:t>practice’</w:t>
      </w:r>
      <w:r>
        <w:rPr>
          <w:spacing w:val="-3"/>
        </w:rPr>
        <w:t> </w:t>
      </w:r>
      <w:r>
        <w:rPr/>
        <w:t>requirements</w:t>
      </w:r>
      <w:r>
        <w:rPr>
          <w:spacing w:val="-3"/>
        </w:rPr>
        <w:t> </w:t>
      </w:r>
      <w:r>
        <w:rPr/>
        <w:t>under</w:t>
      </w:r>
      <w:r>
        <w:rPr>
          <w:spacing w:val="-3"/>
        </w:rPr>
        <w:t> </w:t>
      </w:r>
      <w:r>
        <w:rPr/>
        <w:t>which</w:t>
      </w:r>
      <w:r>
        <w:rPr>
          <w:spacing w:val="-4"/>
        </w:rPr>
        <w:t> </w:t>
      </w:r>
      <w:r>
        <w:rPr/>
        <w:t>shooting</w:t>
      </w:r>
      <w:r>
        <w:rPr>
          <w:spacing w:val="-3"/>
        </w:rPr>
        <w:t> </w:t>
      </w:r>
      <w:r>
        <w:rPr/>
        <w:t>is considered a humane method for rabbits, foxes, Feral Pigs and Wild Dogs/Dingoes. Other best practice requirements include shooting be conducted by suitably licenced and skilled shooters using appropriate firearms and ammunition for the target animals, in situations where targets can be clearly identified and are within range of the firearm.</w:t>
      </w:r>
    </w:p>
    <w:p>
      <w:pPr>
        <w:pStyle w:val="BodyText"/>
        <w:spacing w:before="121"/>
        <w:ind w:left="112" w:right="416"/>
      </w:pPr>
      <w:r>
        <w:rPr/>
        <w:t>The</w:t>
      </w:r>
      <w:r>
        <w:rPr>
          <w:spacing w:val="-5"/>
        </w:rPr>
        <w:t> </w:t>
      </w:r>
      <w:r>
        <w:rPr/>
        <w:t>highest</w:t>
      </w:r>
      <w:r>
        <w:rPr>
          <w:spacing w:val="-4"/>
        </w:rPr>
        <w:t> </w:t>
      </w:r>
      <w:r>
        <w:rPr/>
        <w:t>potential</w:t>
      </w:r>
      <w:r>
        <w:rPr>
          <w:spacing w:val="-5"/>
        </w:rPr>
        <w:t> </w:t>
      </w:r>
      <w:r>
        <w:rPr/>
        <w:t>for</w:t>
      </w:r>
      <w:r>
        <w:rPr>
          <w:spacing w:val="-1"/>
        </w:rPr>
        <w:t> </w:t>
      </w:r>
      <w:r>
        <w:rPr/>
        <w:t>poor</w:t>
      </w:r>
      <w:r>
        <w:rPr>
          <w:spacing w:val="-4"/>
        </w:rPr>
        <w:t> </w:t>
      </w:r>
      <w:r>
        <w:rPr/>
        <w:t>animal</w:t>
      </w:r>
      <w:r>
        <w:rPr>
          <w:spacing w:val="-5"/>
        </w:rPr>
        <w:t> </w:t>
      </w:r>
      <w:r>
        <w:rPr/>
        <w:t>welfare</w:t>
      </w:r>
      <w:r>
        <w:rPr>
          <w:spacing w:val="-4"/>
        </w:rPr>
        <w:t> </w:t>
      </w:r>
      <w:r>
        <w:rPr/>
        <w:t>as</w:t>
      </w:r>
      <w:r>
        <w:rPr>
          <w:spacing w:val="-3"/>
        </w:rPr>
        <w:t> </w:t>
      </w:r>
      <w:r>
        <w:rPr/>
        <w:t>a</w:t>
      </w:r>
      <w:r>
        <w:rPr>
          <w:spacing w:val="-2"/>
        </w:rPr>
        <w:t> </w:t>
      </w:r>
      <w:r>
        <w:rPr/>
        <w:t>direct</w:t>
      </w:r>
      <w:r>
        <w:rPr>
          <w:spacing w:val="-4"/>
        </w:rPr>
        <w:t> </w:t>
      </w:r>
      <w:r>
        <w:rPr/>
        <w:t>result</w:t>
      </w:r>
      <w:r>
        <w:rPr>
          <w:spacing w:val="-2"/>
        </w:rPr>
        <w:t> </w:t>
      </w:r>
      <w:r>
        <w:rPr/>
        <w:t>of</w:t>
      </w:r>
      <w:r>
        <w:rPr>
          <w:spacing w:val="-4"/>
        </w:rPr>
        <w:t> </w:t>
      </w:r>
      <w:r>
        <w:rPr/>
        <w:t>shooting</w:t>
      </w:r>
      <w:r>
        <w:rPr>
          <w:spacing w:val="-3"/>
        </w:rPr>
        <w:t> </w:t>
      </w:r>
      <w:r>
        <w:rPr/>
        <w:t>is</w:t>
      </w:r>
      <w:r>
        <w:rPr>
          <w:spacing w:val="-3"/>
        </w:rPr>
        <w:t> </w:t>
      </w:r>
      <w:r>
        <w:rPr/>
        <w:t>through</w:t>
      </w:r>
      <w:r>
        <w:rPr>
          <w:spacing w:val="-5"/>
        </w:rPr>
        <w:t> </w:t>
      </w:r>
      <w:r>
        <w:rPr/>
        <w:t>unintentional</w:t>
      </w:r>
      <w:r>
        <w:rPr>
          <w:spacing w:val="-5"/>
        </w:rPr>
        <w:t> </w:t>
      </w:r>
      <w:r>
        <w:rPr/>
        <w:t>wounding of targeted animals, and when the lactating female animals are shot leaving dependent young without maternal care. Best practice shooting operations require that wounded animals be located and killed (shot) as quickly as practicable, and that if a shot animal is found to be lactating then efforts are made to find and kill any dependent young as quickly as practicable.</w:t>
      </w:r>
    </w:p>
    <w:p>
      <w:pPr>
        <w:pStyle w:val="BodyText"/>
        <w:spacing w:before="119"/>
        <w:ind w:left="112" w:right="247"/>
      </w:pPr>
      <w:r>
        <w:rPr/>
        <w:t>Detailed best practice requirements for shooting as a control method for a range of pest animal species are described in SOPs on the Pestsmart website </w:t>
      </w:r>
      <w:hyperlink r:id="rId19">
        <w:r>
          <w:rPr>
            <w:color w:val="0000FF"/>
            <w:u w:val="single" w:color="0000FF"/>
          </w:rPr>
          <w:t>https://pestsmart.org.au/</w:t>
        </w:r>
        <w:r>
          <w:rPr>
            <w:u w:val="none"/>
          </w:rPr>
          <w:t>.</w:t>
        </w:r>
      </w:hyperlink>
      <w:r>
        <w:rPr>
          <w:u w:val="none"/>
        </w:rPr>
        <w:t> Assuming that best practice in accordance with these SOPs is followed, humaneness scores derived using the (Sharp and Saunders 2011) model</w:t>
      </w:r>
      <w:r>
        <w:rPr>
          <w:spacing w:val="-5"/>
          <w:u w:val="none"/>
        </w:rPr>
        <w:t> </w:t>
      </w:r>
      <w:r>
        <w:rPr>
          <w:u w:val="none"/>
        </w:rPr>
        <w:t>process</w:t>
      </w:r>
      <w:r>
        <w:rPr>
          <w:spacing w:val="-3"/>
          <w:u w:val="none"/>
        </w:rPr>
        <w:t> </w:t>
      </w:r>
      <w:r>
        <w:rPr>
          <w:u w:val="none"/>
        </w:rPr>
        <w:t>for</w:t>
      </w:r>
      <w:r>
        <w:rPr>
          <w:spacing w:val="-3"/>
          <w:u w:val="none"/>
        </w:rPr>
        <w:t> </w:t>
      </w:r>
      <w:r>
        <w:rPr>
          <w:u w:val="none"/>
        </w:rPr>
        <w:t>ground</w:t>
      </w:r>
      <w:r>
        <w:rPr>
          <w:spacing w:val="-5"/>
          <w:u w:val="none"/>
        </w:rPr>
        <w:t> </w:t>
      </w:r>
      <w:r>
        <w:rPr>
          <w:u w:val="none"/>
        </w:rPr>
        <w:t>shooting</w:t>
      </w:r>
      <w:r>
        <w:rPr>
          <w:spacing w:val="-2"/>
          <w:u w:val="none"/>
        </w:rPr>
        <w:t> </w:t>
      </w:r>
      <w:r>
        <w:rPr>
          <w:u w:val="none"/>
        </w:rPr>
        <w:t>are</w:t>
      </w:r>
      <w:r>
        <w:rPr>
          <w:spacing w:val="-4"/>
          <w:u w:val="none"/>
        </w:rPr>
        <w:t> </w:t>
      </w:r>
      <w:r>
        <w:rPr>
          <w:u w:val="none"/>
        </w:rPr>
        <w:t>summarised</w:t>
      </w:r>
      <w:r>
        <w:rPr>
          <w:spacing w:val="-3"/>
          <w:u w:val="none"/>
        </w:rPr>
        <w:t> </w:t>
      </w:r>
      <w:r>
        <w:rPr>
          <w:u w:val="none"/>
        </w:rPr>
        <w:t>in Table</w:t>
      </w:r>
      <w:r>
        <w:rPr>
          <w:spacing w:val="-2"/>
          <w:u w:val="none"/>
        </w:rPr>
        <w:t> </w:t>
      </w:r>
      <w:r>
        <w:rPr>
          <w:u w:val="none"/>
        </w:rPr>
        <w:t>13.</w:t>
      </w:r>
      <w:r>
        <w:rPr>
          <w:spacing w:val="-2"/>
          <w:u w:val="none"/>
        </w:rPr>
        <w:t> </w:t>
      </w:r>
      <w:r>
        <w:rPr>
          <w:u w:val="none"/>
        </w:rPr>
        <w:t>In</w:t>
      </w:r>
      <w:r>
        <w:rPr>
          <w:spacing w:val="-3"/>
          <w:u w:val="none"/>
        </w:rPr>
        <w:t> </w:t>
      </w:r>
      <w:r>
        <w:rPr>
          <w:u w:val="none"/>
        </w:rPr>
        <w:t>general,</w:t>
      </w:r>
      <w:r>
        <w:rPr>
          <w:spacing w:val="-2"/>
          <w:u w:val="none"/>
        </w:rPr>
        <w:t> </w:t>
      </w:r>
      <w:r>
        <w:rPr>
          <w:u w:val="none"/>
        </w:rPr>
        <w:t>head</w:t>
      </w:r>
      <w:r>
        <w:rPr>
          <w:spacing w:val="-3"/>
          <w:u w:val="none"/>
        </w:rPr>
        <w:t> </w:t>
      </w:r>
      <w:r>
        <w:rPr>
          <w:u w:val="none"/>
        </w:rPr>
        <w:t>shot</w:t>
      </w:r>
      <w:r>
        <w:rPr>
          <w:spacing w:val="-4"/>
          <w:u w:val="none"/>
        </w:rPr>
        <w:t> </w:t>
      </w:r>
      <w:r>
        <w:rPr>
          <w:u w:val="none"/>
        </w:rPr>
        <w:t>placement</w:t>
      </w:r>
      <w:r>
        <w:rPr>
          <w:spacing w:val="-2"/>
          <w:u w:val="none"/>
        </w:rPr>
        <w:t> </w:t>
      </w:r>
      <w:r>
        <w:rPr>
          <w:u w:val="none"/>
        </w:rPr>
        <w:t>had</w:t>
      </w:r>
      <w:r>
        <w:rPr>
          <w:spacing w:val="-2"/>
          <w:u w:val="none"/>
        </w:rPr>
        <w:t> </w:t>
      </w:r>
      <w:r>
        <w:rPr>
          <w:u w:val="none"/>
        </w:rPr>
        <w:t>slightly lower (more humane) scores than chest shot placement, and both are relatively more humane than 1080 </w:t>
      </w:r>
      <w:r>
        <w:rPr>
          <w:spacing w:val="-2"/>
          <w:u w:val="none"/>
        </w:rPr>
        <w:t>poisoning.</w:t>
      </w:r>
    </w:p>
    <w:p>
      <w:pPr>
        <w:pStyle w:val="BodyText"/>
        <w:spacing w:before="120"/>
        <w:ind w:left="112" w:right="427"/>
      </w:pPr>
      <w:r>
        <w:rPr/>
        <w:t>Rabbit shooting programs in south-eastern Australia were assessed for animal welfare outcomes by estimating</w:t>
      </w:r>
      <w:r>
        <w:rPr>
          <w:spacing w:val="-4"/>
        </w:rPr>
        <w:t> </w:t>
      </w:r>
      <w:r>
        <w:rPr/>
        <w:t>three</w:t>
      </w:r>
      <w:r>
        <w:rPr>
          <w:spacing w:val="-5"/>
        </w:rPr>
        <w:t> </w:t>
      </w:r>
      <w:r>
        <w:rPr/>
        <w:t>critical</w:t>
      </w:r>
      <w:r>
        <w:rPr>
          <w:spacing w:val="-3"/>
        </w:rPr>
        <w:t> </w:t>
      </w:r>
      <w:r>
        <w:rPr/>
        <w:t>parameters</w:t>
      </w:r>
      <w:r>
        <w:rPr>
          <w:spacing w:val="-2"/>
        </w:rPr>
        <w:t> </w:t>
      </w:r>
      <w:r>
        <w:rPr/>
        <w:t>in</w:t>
      </w:r>
      <w:r>
        <w:rPr>
          <w:spacing w:val="-4"/>
        </w:rPr>
        <w:t> </w:t>
      </w:r>
      <w:r>
        <w:rPr/>
        <w:t>shot</w:t>
      </w:r>
      <w:r>
        <w:rPr>
          <w:spacing w:val="-4"/>
        </w:rPr>
        <w:t> </w:t>
      </w:r>
      <w:r>
        <w:rPr/>
        <w:t>rabbits:</w:t>
      </w:r>
      <w:r>
        <w:rPr>
          <w:spacing w:val="-2"/>
        </w:rPr>
        <w:t> </w:t>
      </w:r>
      <w:r>
        <w:rPr/>
        <w:t>apparent</w:t>
      </w:r>
      <w:r>
        <w:rPr>
          <w:spacing w:val="-2"/>
        </w:rPr>
        <w:t> </w:t>
      </w:r>
      <w:r>
        <w:rPr/>
        <w:t>time</w:t>
      </w:r>
      <w:r>
        <w:rPr>
          <w:spacing w:val="-4"/>
        </w:rPr>
        <w:t> </w:t>
      </w:r>
      <w:r>
        <w:rPr/>
        <w:t>to</w:t>
      </w:r>
      <w:r>
        <w:rPr>
          <w:spacing w:val="-4"/>
        </w:rPr>
        <w:t> </w:t>
      </w:r>
      <w:r>
        <w:rPr/>
        <w:t>death</w:t>
      </w:r>
      <w:r>
        <w:rPr>
          <w:spacing w:val="-5"/>
        </w:rPr>
        <w:t> </w:t>
      </w:r>
      <w:r>
        <w:rPr/>
        <w:t>(ATTD);</w:t>
      </w:r>
      <w:r>
        <w:rPr>
          <w:spacing w:val="-4"/>
        </w:rPr>
        <w:t> </w:t>
      </w:r>
      <w:r>
        <w:rPr/>
        <w:t>instantaneous</w:t>
      </w:r>
      <w:r>
        <w:rPr>
          <w:spacing w:val="-1"/>
        </w:rPr>
        <w:t> </w:t>
      </w:r>
      <w:r>
        <w:rPr/>
        <w:t>death</w:t>
      </w:r>
      <w:r>
        <w:rPr>
          <w:spacing w:val="-4"/>
        </w:rPr>
        <w:t> </w:t>
      </w:r>
      <w:r>
        <w:rPr/>
        <w:t>rate (IDR); and wounding rate (WR) (Hampton et al. 2015). The mean IDR was 0.60, ATTD was 12 s and WR was 0.12.</w:t>
      </w:r>
      <w:r>
        <w:rPr>
          <w:spacing w:val="-1"/>
        </w:rPr>
        <w:t> </w:t>
      </w:r>
      <w:r>
        <w:rPr/>
        <w:t>A large</w:t>
      </w:r>
      <w:r>
        <w:rPr>
          <w:spacing w:val="-2"/>
        </w:rPr>
        <w:t> </w:t>
      </w:r>
      <w:r>
        <w:rPr/>
        <w:t>proportion</w:t>
      </w:r>
      <w:r>
        <w:rPr>
          <w:spacing w:val="-1"/>
        </w:rPr>
        <w:t> </w:t>
      </w:r>
      <w:r>
        <w:rPr/>
        <w:t>of</w:t>
      </w:r>
      <w:r>
        <w:rPr>
          <w:spacing w:val="-1"/>
        </w:rPr>
        <w:t> </w:t>
      </w:r>
      <w:r>
        <w:rPr/>
        <w:t>rabbits (0.75) were</w:t>
      </w:r>
      <w:r>
        <w:rPr>
          <w:spacing w:val="-1"/>
        </w:rPr>
        <w:t> </w:t>
      </w:r>
      <w:r>
        <w:rPr/>
        <w:t>shot</w:t>
      </w:r>
      <w:r>
        <w:rPr>
          <w:spacing w:val="-1"/>
        </w:rPr>
        <w:t> </w:t>
      </w:r>
      <w:r>
        <w:rPr/>
        <w:t>in</w:t>
      </w:r>
      <w:r>
        <w:rPr>
          <w:spacing w:val="-1"/>
        </w:rPr>
        <w:t> </w:t>
      </w:r>
      <w:r>
        <w:rPr/>
        <w:t>the</w:t>
      </w:r>
      <w:r>
        <w:rPr>
          <w:spacing w:val="-2"/>
        </w:rPr>
        <w:t> </w:t>
      </w:r>
      <w:r>
        <w:rPr/>
        <w:t>cranium</w:t>
      </w:r>
      <w:r>
        <w:rPr>
          <w:spacing w:val="-1"/>
        </w:rPr>
        <w:t> </w:t>
      </w:r>
      <w:r>
        <w:rPr/>
        <w:t>or thorax,</w:t>
      </w:r>
      <w:r>
        <w:rPr>
          <w:spacing w:val="-1"/>
        </w:rPr>
        <w:t> </w:t>
      </w:r>
      <w:r>
        <w:rPr/>
        <w:t>as required</w:t>
      </w:r>
      <w:r>
        <w:rPr>
          <w:spacing w:val="-1"/>
        </w:rPr>
        <w:t> </w:t>
      </w:r>
      <w:r>
        <w:rPr/>
        <w:t>by the</w:t>
      </w:r>
      <w:r>
        <w:rPr>
          <w:spacing w:val="-1"/>
        </w:rPr>
        <w:t> </w:t>
      </w:r>
      <w:r>
        <w:rPr/>
        <w:t>national SOP (Sharp 2016). The probability of rabbits being wounded and missed increased with shooting distance, indicating that reducing shooting distances would likely improve animal welfare outcomes of shooting programs. There appears to have been no similar, field-based assessments of animal welfare impacts for shooting foxes, Feral Pigs or Wild Dogs/Dingoes in Australia.</w:t>
      </w:r>
    </w:p>
    <w:p>
      <w:pPr>
        <w:pStyle w:val="BodyText"/>
        <w:spacing w:before="119"/>
        <w:ind w:left="112" w:right="247"/>
      </w:pPr>
      <w:r>
        <w:rPr/>
        <w:t>There</w:t>
      </w:r>
      <w:r>
        <w:rPr>
          <w:spacing w:val="-4"/>
        </w:rPr>
        <w:t> </w:t>
      </w:r>
      <w:r>
        <w:rPr/>
        <w:t>is</w:t>
      </w:r>
      <w:r>
        <w:rPr>
          <w:spacing w:val="-1"/>
        </w:rPr>
        <w:t> </w:t>
      </w:r>
      <w:r>
        <w:rPr/>
        <w:t>generalised</w:t>
      </w:r>
      <w:r>
        <w:rPr>
          <w:spacing w:val="-3"/>
        </w:rPr>
        <w:t> </w:t>
      </w:r>
      <w:r>
        <w:rPr/>
        <w:t>evidence</w:t>
      </w:r>
      <w:r>
        <w:rPr>
          <w:spacing w:val="-4"/>
        </w:rPr>
        <w:t> </w:t>
      </w:r>
      <w:r>
        <w:rPr/>
        <w:t>that disturbance</w:t>
      </w:r>
      <w:r>
        <w:rPr>
          <w:spacing w:val="-4"/>
        </w:rPr>
        <w:t> </w:t>
      </w:r>
      <w:r>
        <w:rPr/>
        <w:t>through</w:t>
      </w:r>
      <w:r>
        <w:rPr>
          <w:spacing w:val="-3"/>
        </w:rPr>
        <w:t> </w:t>
      </w:r>
      <w:r>
        <w:rPr/>
        <w:t>hunting</w:t>
      </w:r>
      <w:r>
        <w:rPr>
          <w:spacing w:val="-5"/>
        </w:rPr>
        <w:t> </w:t>
      </w:r>
      <w:r>
        <w:rPr/>
        <w:t>(with</w:t>
      </w:r>
      <w:r>
        <w:rPr>
          <w:spacing w:val="-5"/>
        </w:rPr>
        <w:t> </w:t>
      </w:r>
      <w:r>
        <w:rPr/>
        <w:t>firearms)</w:t>
      </w:r>
      <w:r>
        <w:rPr>
          <w:spacing w:val="-3"/>
        </w:rPr>
        <w:t> </w:t>
      </w:r>
      <w:r>
        <w:rPr/>
        <w:t>can</w:t>
      </w:r>
      <w:r>
        <w:rPr>
          <w:spacing w:val="-4"/>
        </w:rPr>
        <w:t> </w:t>
      </w:r>
      <w:r>
        <w:rPr/>
        <w:t>affect wildlife</w:t>
      </w:r>
      <w:r>
        <w:rPr>
          <w:spacing w:val="-3"/>
        </w:rPr>
        <w:t> </w:t>
      </w:r>
      <w:r>
        <w:rPr/>
        <w:t>movements (Doherty et al. 2021), and that hunting can alter wildlife behaviour, population structure, and distribution patterns (Knight and Cole 1995). The potential for pest animal shooting programs to have indirect animal welfare impacts through disturbance of non-target animals is not well studied in Australia. However national SOPs outline best practice to minimise unwanted animal welfare impacts through disturbance to livestock</w:t>
      </w:r>
    </w:p>
    <w:p>
      <w:pPr>
        <w:spacing w:before="3"/>
        <w:ind w:left="112" w:right="247" w:firstLine="0"/>
        <w:jc w:val="left"/>
        <w:rPr>
          <w:sz w:val="20"/>
        </w:rPr>
      </w:pPr>
      <w:r>
        <w:rPr>
          <w:sz w:val="20"/>
        </w:rPr>
        <w:t>e.g. ‘</w:t>
      </w:r>
      <w:r>
        <w:rPr>
          <w:i/>
          <w:sz w:val="20"/>
        </w:rPr>
        <w:t>shooting should be used with caution around lambing paddocks as it may disturb the lambing flock and</w:t>
      </w:r>
      <w:r>
        <w:rPr>
          <w:i/>
          <w:sz w:val="20"/>
        </w:rPr>
        <w:t> cause</w:t>
      </w:r>
      <w:r>
        <w:rPr>
          <w:i/>
          <w:spacing w:val="-4"/>
          <w:sz w:val="20"/>
        </w:rPr>
        <w:t> </w:t>
      </w:r>
      <w:r>
        <w:rPr>
          <w:i/>
          <w:sz w:val="20"/>
        </w:rPr>
        <w:t>mismothering.</w:t>
      </w:r>
      <w:r>
        <w:rPr>
          <w:i/>
          <w:spacing w:val="-3"/>
          <w:sz w:val="20"/>
        </w:rPr>
        <w:t> </w:t>
      </w:r>
      <w:r>
        <w:rPr>
          <w:i/>
          <w:sz w:val="20"/>
        </w:rPr>
        <w:t>Also</w:t>
      </w:r>
      <w:r>
        <w:rPr>
          <w:i/>
          <w:spacing w:val="-3"/>
          <w:sz w:val="20"/>
        </w:rPr>
        <w:t> </w:t>
      </w:r>
      <w:r>
        <w:rPr>
          <w:i/>
          <w:sz w:val="20"/>
        </w:rPr>
        <w:t>avoid</w:t>
      </w:r>
      <w:r>
        <w:rPr>
          <w:i/>
          <w:spacing w:val="-3"/>
          <w:sz w:val="20"/>
        </w:rPr>
        <w:t> </w:t>
      </w:r>
      <w:r>
        <w:rPr>
          <w:i/>
          <w:sz w:val="20"/>
        </w:rPr>
        <w:t>paddocks</w:t>
      </w:r>
      <w:r>
        <w:rPr>
          <w:i/>
          <w:spacing w:val="-4"/>
          <w:sz w:val="20"/>
        </w:rPr>
        <w:t> </w:t>
      </w:r>
      <w:r>
        <w:rPr>
          <w:i/>
          <w:sz w:val="20"/>
        </w:rPr>
        <w:t>containing</w:t>
      </w:r>
      <w:r>
        <w:rPr>
          <w:i/>
          <w:spacing w:val="-4"/>
          <w:sz w:val="20"/>
        </w:rPr>
        <w:t> </w:t>
      </w:r>
      <w:r>
        <w:rPr>
          <w:i/>
          <w:sz w:val="20"/>
        </w:rPr>
        <w:t>horses</w:t>
      </w:r>
      <w:r>
        <w:rPr>
          <w:i/>
          <w:spacing w:val="-4"/>
          <w:sz w:val="20"/>
        </w:rPr>
        <w:t> </w:t>
      </w:r>
      <w:r>
        <w:rPr>
          <w:i/>
          <w:sz w:val="20"/>
        </w:rPr>
        <w:t>or</w:t>
      </w:r>
      <w:r>
        <w:rPr>
          <w:i/>
          <w:spacing w:val="-4"/>
          <w:sz w:val="20"/>
        </w:rPr>
        <w:t> </w:t>
      </w:r>
      <w:r>
        <w:rPr>
          <w:i/>
          <w:sz w:val="20"/>
        </w:rPr>
        <w:t>deer.</w:t>
      </w:r>
      <w:r>
        <w:rPr>
          <w:i/>
          <w:spacing w:val="-4"/>
          <w:sz w:val="20"/>
        </w:rPr>
        <w:t> </w:t>
      </w:r>
      <w:r>
        <w:rPr>
          <w:i/>
          <w:sz w:val="20"/>
        </w:rPr>
        <w:t>They</w:t>
      </w:r>
      <w:r>
        <w:rPr>
          <w:i/>
          <w:spacing w:val="-4"/>
          <w:sz w:val="20"/>
        </w:rPr>
        <w:t> </w:t>
      </w:r>
      <w:r>
        <w:rPr>
          <w:i/>
          <w:sz w:val="20"/>
        </w:rPr>
        <w:t>are</w:t>
      </w:r>
      <w:r>
        <w:rPr>
          <w:i/>
          <w:spacing w:val="-4"/>
          <w:sz w:val="20"/>
        </w:rPr>
        <w:t> </w:t>
      </w:r>
      <w:r>
        <w:rPr>
          <w:i/>
          <w:sz w:val="20"/>
        </w:rPr>
        <w:t>easily</w:t>
      </w:r>
      <w:r>
        <w:rPr>
          <w:i/>
          <w:spacing w:val="-4"/>
          <w:sz w:val="20"/>
        </w:rPr>
        <w:t> </w:t>
      </w:r>
      <w:r>
        <w:rPr>
          <w:i/>
          <w:sz w:val="20"/>
        </w:rPr>
        <w:t>frightened</w:t>
      </w:r>
      <w:r>
        <w:rPr>
          <w:i/>
          <w:spacing w:val="-4"/>
          <w:sz w:val="20"/>
        </w:rPr>
        <w:t> </w:t>
      </w:r>
      <w:r>
        <w:rPr>
          <w:i/>
          <w:sz w:val="20"/>
        </w:rPr>
        <w:t>by</w:t>
      </w:r>
      <w:r>
        <w:rPr>
          <w:i/>
          <w:spacing w:val="-4"/>
          <w:sz w:val="20"/>
        </w:rPr>
        <w:t> </w:t>
      </w:r>
      <w:r>
        <w:rPr>
          <w:i/>
          <w:sz w:val="20"/>
        </w:rPr>
        <w:t>spotlights and gunshots and may injure themselves by running into fences and other obstacles</w:t>
      </w:r>
      <w:r>
        <w:rPr>
          <w:sz w:val="20"/>
        </w:rPr>
        <w:t>’.</w:t>
      </w:r>
    </w:p>
    <w:p>
      <w:pPr>
        <w:pStyle w:val="BodyText"/>
        <w:spacing w:before="154"/>
      </w:pPr>
    </w:p>
    <w:p>
      <w:pPr>
        <w:pStyle w:val="Heading3"/>
        <w:numPr>
          <w:ilvl w:val="1"/>
          <w:numId w:val="24"/>
        </w:numPr>
        <w:tabs>
          <w:tab w:pos="686" w:val="left" w:leader="none"/>
        </w:tabs>
        <w:spacing w:line="240" w:lineRule="auto" w:before="0" w:after="0"/>
        <w:ind w:left="686" w:right="0" w:hanging="574"/>
        <w:jc w:val="left"/>
      </w:pPr>
      <w:r>
        <w:rPr>
          <w:color w:val="2D1E66"/>
          <w:spacing w:val="-2"/>
        </w:rPr>
        <w:t>Trapping</w:t>
      </w:r>
    </w:p>
    <w:p>
      <w:pPr>
        <w:pStyle w:val="BodyText"/>
        <w:spacing w:before="112"/>
        <w:ind w:left="112" w:right="361"/>
      </w:pPr>
      <w:r>
        <w:rPr/>
        <w:t>In Victoria, confinement traps are the only trap type used for Feral Pig control but are not typically used to control Dingoes and Wild Dogs. Confinement traps for fox or rabbit control are appropriate in situations</w:t>
      </w:r>
      <w:r>
        <w:rPr>
          <w:spacing w:val="40"/>
        </w:rPr>
        <w:t> </w:t>
      </w:r>
      <w:r>
        <w:rPr/>
        <w:t>where it is essential to release captured non-target animals unharmed e.g. urban settings. Leg-hold traps (or containment</w:t>
      </w:r>
      <w:r>
        <w:rPr>
          <w:spacing w:val="-3"/>
        </w:rPr>
        <w:t> </w:t>
      </w:r>
      <w:r>
        <w:rPr/>
        <w:t>traps) are</w:t>
      </w:r>
      <w:r>
        <w:rPr>
          <w:spacing w:val="-3"/>
        </w:rPr>
        <w:t> </w:t>
      </w:r>
      <w:r>
        <w:rPr/>
        <w:t>smooth</w:t>
      </w:r>
      <w:r>
        <w:rPr>
          <w:spacing w:val="-4"/>
        </w:rPr>
        <w:t> </w:t>
      </w:r>
      <w:r>
        <w:rPr/>
        <w:t>jawed,</w:t>
      </w:r>
      <w:r>
        <w:rPr>
          <w:spacing w:val="-3"/>
        </w:rPr>
        <w:t> </w:t>
      </w:r>
      <w:r>
        <w:rPr/>
        <w:t>spring-operated</w:t>
      </w:r>
      <w:r>
        <w:rPr>
          <w:spacing w:val="-1"/>
        </w:rPr>
        <w:t> </w:t>
      </w:r>
      <w:r>
        <w:rPr/>
        <w:t>traps</w:t>
      </w:r>
      <w:r>
        <w:rPr>
          <w:spacing w:val="-2"/>
        </w:rPr>
        <w:t> </w:t>
      </w:r>
      <w:r>
        <w:rPr/>
        <w:t>designed</w:t>
      </w:r>
      <w:r>
        <w:rPr>
          <w:spacing w:val="-3"/>
        </w:rPr>
        <w:t> </w:t>
      </w:r>
      <w:r>
        <w:rPr/>
        <w:t>to</w:t>
      </w:r>
      <w:r>
        <w:rPr>
          <w:spacing w:val="-1"/>
        </w:rPr>
        <w:t> </w:t>
      </w:r>
      <w:r>
        <w:rPr/>
        <w:t>capture</w:t>
      </w:r>
      <w:r>
        <w:rPr>
          <w:spacing w:val="-3"/>
        </w:rPr>
        <w:t> </w:t>
      </w:r>
      <w:r>
        <w:rPr/>
        <w:t>an</w:t>
      </w:r>
      <w:r>
        <w:rPr>
          <w:spacing w:val="-3"/>
        </w:rPr>
        <w:t> </w:t>
      </w:r>
      <w:r>
        <w:rPr/>
        <w:t>animal</w:t>
      </w:r>
      <w:r>
        <w:rPr>
          <w:spacing w:val="-2"/>
        </w:rPr>
        <w:t> </w:t>
      </w:r>
      <w:r>
        <w:rPr/>
        <w:t>by</w:t>
      </w:r>
      <w:r>
        <w:rPr>
          <w:spacing w:val="-2"/>
        </w:rPr>
        <w:t> </w:t>
      </w:r>
      <w:r>
        <w:rPr/>
        <w:t>the</w:t>
      </w:r>
      <w:r>
        <w:rPr>
          <w:spacing w:val="-3"/>
        </w:rPr>
        <w:t> </w:t>
      </w:r>
      <w:r>
        <w:rPr/>
        <w:t>foot</w:t>
      </w:r>
      <w:r>
        <w:rPr>
          <w:spacing w:val="-1"/>
        </w:rPr>
        <w:t> </w:t>
      </w:r>
      <w:r>
        <w:rPr/>
        <w:t>or</w:t>
      </w:r>
      <w:r>
        <w:rPr>
          <w:spacing w:val="-3"/>
        </w:rPr>
        <w:t> </w:t>
      </w:r>
      <w:r>
        <w:rPr/>
        <w:t>leg. They are used for control of Wild Dogs/Dingoes, foxes and less commonly for rabbits. From an animal welfare perspective, the sale, setting, and use of traps in Victoria are regulated under the POCTA Act and Prevention of Cruelty to Animals Regulations 2019 (POCTA Regulations).</w:t>
      </w:r>
    </w:p>
    <w:p>
      <w:pPr>
        <w:pStyle w:val="BodyText"/>
        <w:spacing w:before="120"/>
        <w:ind w:left="112" w:right="340"/>
      </w:pPr>
      <w:r>
        <w:rPr/>
        <w:t>Regardless of trap type, some level of welfare impact is expected to result from trapping – wild animals experience at least some distress from restraint or confinement (Allen et al. 2022). In this context, an important determinant of welfare impacts is the time a live animal spends in the trap, during which it can potentially</w:t>
      </w:r>
      <w:r>
        <w:rPr>
          <w:spacing w:val="-3"/>
        </w:rPr>
        <w:t> </w:t>
      </w:r>
      <w:r>
        <w:rPr/>
        <w:t>suffer</w:t>
      </w:r>
      <w:r>
        <w:rPr>
          <w:spacing w:val="-4"/>
        </w:rPr>
        <w:t> </w:t>
      </w:r>
      <w:r>
        <w:rPr/>
        <w:t>from</w:t>
      </w:r>
      <w:r>
        <w:rPr>
          <w:spacing w:val="-4"/>
        </w:rPr>
        <w:t> </w:t>
      </w:r>
      <w:r>
        <w:rPr/>
        <w:t>distress</w:t>
      </w:r>
      <w:r>
        <w:rPr>
          <w:spacing w:val="-3"/>
        </w:rPr>
        <w:t> </w:t>
      </w:r>
      <w:r>
        <w:rPr/>
        <w:t>or</w:t>
      </w:r>
      <w:r>
        <w:rPr>
          <w:spacing w:val="-4"/>
        </w:rPr>
        <w:t> </w:t>
      </w:r>
      <w:r>
        <w:rPr/>
        <w:t>shock,</w:t>
      </w:r>
      <w:r>
        <w:rPr>
          <w:spacing w:val="-4"/>
        </w:rPr>
        <w:t> </w:t>
      </w:r>
      <w:r>
        <w:rPr/>
        <w:t>injury</w:t>
      </w:r>
      <w:r>
        <w:rPr>
          <w:spacing w:val="-2"/>
        </w:rPr>
        <w:t> </w:t>
      </w:r>
      <w:r>
        <w:rPr/>
        <w:t>through</w:t>
      </w:r>
      <w:r>
        <w:rPr>
          <w:spacing w:val="-2"/>
        </w:rPr>
        <w:t> </w:t>
      </w:r>
      <w:r>
        <w:rPr/>
        <w:t>attempting</w:t>
      </w:r>
      <w:r>
        <w:rPr>
          <w:spacing w:val="-3"/>
        </w:rPr>
        <w:t> </w:t>
      </w:r>
      <w:r>
        <w:rPr/>
        <w:t>to</w:t>
      </w:r>
      <w:r>
        <w:rPr>
          <w:spacing w:val="-5"/>
        </w:rPr>
        <w:t> </w:t>
      </w:r>
      <w:r>
        <w:rPr/>
        <w:t>escape, exposure,</w:t>
      </w:r>
      <w:r>
        <w:rPr>
          <w:spacing w:val="-4"/>
        </w:rPr>
        <w:t> </w:t>
      </w:r>
      <w:r>
        <w:rPr/>
        <w:t>thirst,</w:t>
      </w:r>
      <w:r>
        <w:rPr>
          <w:spacing w:val="-4"/>
        </w:rPr>
        <w:t> </w:t>
      </w:r>
      <w:r>
        <w:rPr/>
        <w:t>starvation and</w:t>
      </w:r>
    </w:p>
    <w:p>
      <w:pPr>
        <w:spacing w:after="0"/>
        <w:sectPr>
          <w:pgSz w:w="11910" w:h="16850"/>
          <w:pgMar w:header="0" w:footer="688" w:top="1060" w:bottom="880" w:left="1020" w:right="780"/>
        </w:sectPr>
      </w:pPr>
    </w:p>
    <w:p>
      <w:pPr>
        <w:pStyle w:val="BodyText"/>
        <w:spacing w:before="71"/>
        <w:ind w:left="112" w:right="295"/>
      </w:pPr>
      <w:r>
        <w:rPr/>
        <w:t>vulnerability</w:t>
      </w:r>
      <w:r>
        <w:rPr>
          <w:spacing w:val="-4"/>
        </w:rPr>
        <w:t> </w:t>
      </w:r>
      <w:r>
        <w:rPr/>
        <w:t>to</w:t>
      </w:r>
      <w:r>
        <w:rPr>
          <w:spacing w:val="-5"/>
        </w:rPr>
        <w:t> </w:t>
      </w:r>
      <w:r>
        <w:rPr/>
        <w:t>attack</w:t>
      </w:r>
      <w:r>
        <w:rPr>
          <w:spacing w:val="-4"/>
        </w:rPr>
        <w:t> </w:t>
      </w:r>
      <w:r>
        <w:rPr/>
        <w:t>by</w:t>
      </w:r>
      <w:r>
        <w:rPr>
          <w:spacing w:val="-4"/>
        </w:rPr>
        <w:t> </w:t>
      </w:r>
      <w:r>
        <w:rPr/>
        <w:t>other</w:t>
      </w:r>
      <w:r>
        <w:rPr>
          <w:spacing w:val="-4"/>
        </w:rPr>
        <w:t> </w:t>
      </w:r>
      <w:r>
        <w:rPr/>
        <w:t>animals.</w:t>
      </w:r>
      <w:r>
        <w:rPr>
          <w:spacing w:val="-3"/>
        </w:rPr>
        <w:t> </w:t>
      </w:r>
      <w:r>
        <w:rPr/>
        <w:t>Best</w:t>
      </w:r>
      <w:r>
        <w:rPr>
          <w:spacing w:val="-5"/>
        </w:rPr>
        <w:t> </w:t>
      </w:r>
      <w:r>
        <w:rPr/>
        <w:t>practice</w:t>
      </w:r>
      <w:r>
        <w:rPr>
          <w:spacing w:val="-3"/>
        </w:rPr>
        <w:t> </w:t>
      </w:r>
      <w:r>
        <w:rPr/>
        <w:t>measures</w:t>
      </w:r>
      <w:r>
        <w:rPr>
          <w:spacing w:val="-3"/>
        </w:rPr>
        <w:t> </w:t>
      </w:r>
      <w:r>
        <w:rPr/>
        <w:t>to</w:t>
      </w:r>
      <w:r>
        <w:rPr>
          <w:spacing w:val="-5"/>
        </w:rPr>
        <w:t> </w:t>
      </w:r>
      <w:r>
        <w:rPr/>
        <w:t>minimise</w:t>
      </w:r>
      <w:r>
        <w:rPr>
          <w:spacing w:val="-3"/>
        </w:rPr>
        <w:t> </w:t>
      </w:r>
      <w:r>
        <w:rPr/>
        <w:t>these</w:t>
      </w:r>
      <w:r>
        <w:rPr>
          <w:spacing w:val="-5"/>
        </w:rPr>
        <w:t> </w:t>
      </w:r>
      <w:r>
        <w:rPr/>
        <w:t>potential</w:t>
      </w:r>
      <w:r>
        <w:rPr>
          <w:spacing w:val="-6"/>
        </w:rPr>
        <w:t> </w:t>
      </w:r>
      <w:r>
        <w:rPr/>
        <w:t>impacts</w:t>
      </w:r>
      <w:r>
        <w:rPr>
          <w:spacing w:val="-2"/>
        </w:rPr>
        <w:t> </w:t>
      </w:r>
      <w:r>
        <w:rPr/>
        <w:t>include inspection of traps at least once daily and placement of traps to protect from extremes of the immediate environment.</w:t>
      </w:r>
      <w:r>
        <w:rPr>
          <w:spacing w:val="-3"/>
        </w:rPr>
        <w:t> </w:t>
      </w:r>
      <w:r>
        <w:rPr/>
        <w:t>Trapped</w:t>
      </w:r>
      <w:r>
        <w:rPr>
          <w:spacing w:val="-2"/>
        </w:rPr>
        <w:t> </w:t>
      </w:r>
      <w:r>
        <w:rPr/>
        <w:t>animals</w:t>
      </w:r>
      <w:r>
        <w:rPr>
          <w:spacing w:val="-3"/>
        </w:rPr>
        <w:t> </w:t>
      </w:r>
      <w:r>
        <w:rPr/>
        <w:t>should</w:t>
      </w:r>
      <w:r>
        <w:rPr>
          <w:spacing w:val="-2"/>
        </w:rPr>
        <w:t> </w:t>
      </w:r>
      <w:r>
        <w:rPr/>
        <w:t>be</w:t>
      </w:r>
      <w:r>
        <w:rPr>
          <w:spacing w:val="-3"/>
        </w:rPr>
        <w:t> </w:t>
      </w:r>
      <w:r>
        <w:rPr/>
        <w:t>approached</w:t>
      </w:r>
      <w:r>
        <w:rPr>
          <w:spacing w:val="-4"/>
        </w:rPr>
        <w:t> </w:t>
      </w:r>
      <w:r>
        <w:rPr/>
        <w:t>carefully</w:t>
      </w:r>
      <w:r>
        <w:rPr>
          <w:spacing w:val="-3"/>
        </w:rPr>
        <w:t> </w:t>
      </w:r>
      <w:r>
        <w:rPr/>
        <w:t>and</w:t>
      </w:r>
      <w:r>
        <w:rPr>
          <w:spacing w:val="-5"/>
        </w:rPr>
        <w:t> </w:t>
      </w:r>
      <w:r>
        <w:rPr/>
        <w:t>quietly</w:t>
      </w:r>
      <w:r>
        <w:rPr>
          <w:spacing w:val="-3"/>
        </w:rPr>
        <w:t> </w:t>
      </w:r>
      <w:r>
        <w:rPr/>
        <w:t>to</w:t>
      </w:r>
      <w:r>
        <w:rPr>
          <w:spacing w:val="-4"/>
        </w:rPr>
        <w:t> </w:t>
      </w:r>
      <w:r>
        <w:rPr/>
        <w:t>minimise</w:t>
      </w:r>
      <w:r>
        <w:rPr>
          <w:spacing w:val="-4"/>
        </w:rPr>
        <w:t> </w:t>
      </w:r>
      <w:r>
        <w:rPr/>
        <w:t>panic,</w:t>
      </w:r>
      <w:r>
        <w:rPr>
          <w:spacing w:val="-4"/>
        </w:rPr>
        <w:t> </w:t>
      </w:r>
      <w:r>
        <w:rPr/>
        <w:t>further</w:t>
      </w:r>
      <w:r>
        <w:rPr>
          <w:spacing w:val="-4"/>
        </w:rPr>
        <w:t> </w:t>
      </w:r>
      <w:r>
        <w:rPr/>
        <w:t>stress and risk of injury.</w:t>
      </w:r>
    </w:p>
    <w:p>
      <w:pPr>
        <w:pStyle w:val="BodyText"/>
        <w:spacing w:before="122"/>
        <w:ind w:left="112" w:right="364"/>
      </w:pPr>
      <w:r>
        <w:rPr/>
        <w:t>Shooting at</w:t>
      </w:r>
      <w:r>
        <w:rPr>
          <w:spacing w:val="-1"/>
        </w:rPr>
        <w:t> </w:t>
      </w:r>
      <w:r>
        <w:rPr/>
        <w:t>close range is the</w:t>
      </w:r>
      <w:r>
        <w:rPr>
          <w:spacing w:val="-1"/>
        </w:rPr>
        <w:t> </w:t>
      </w:r>
      <w:r>
        <w:rPr/>
        <w:t>best</w:t>
      </w:r>
      <w:r>
        <w:rPr>
          <w:spacing w:val="-1"/>
        </w:rPr>
        <w:t> </w:t>
      </w:r>
      <w:r>
        <w:rPr/>
        <w:t>practice method for killing</w:t>
      </w:r>
      <w:r>
        <w:rPr>
          <w:spacing w:val="-1"/>
        </w:rPr>
        <w:t> </w:t>
      </w:r>
      <w:r>
        <w:rPr/>
        <w:t>a</w:t>
      </w:r>
      <w:r>
        <w:rPr>
          <w:spacing w:val="-2"/>
        </w:rPr>
        <w:t> </w:t>
      </w:r>
      <w:r>
        <w:rPr/>
        <w:t>trapped Feral Pig, Fox or Wild Dog/Dingo, with</w:t>
      </w:r>
      <w:r>
        <w:rPr>
          <w:spacing w:val="-4"/>
        </w:rPr>
        <w:t> </w:t>
      </w:r>
      <w:r>
        <w:rPr/>
        <w:t>shot</w:t>
      </w:r>
      <w:r>
        <w:rPr>
          <w:spacing w:val="-3"/>
        </w:rPr>
        <w:t> </w:t>
      </w:r>
      <w:r>
        <w:rPr/>
        <w:t>placement</w:t>
      </w:r>
      <w:r>
        <w:rPr>
          <w:spacing w:val="-1"/>
        </w:rPr>
        <w:t> </w:t>
      </w:r>
      <w:r>
        <w:rPr/>
        <w:t>aimed</w:t>
      </w:r>
      <w:r>
        <w:rPr>
          <w:spacing w:val="-1"/>
        </w:rPr>
        <w:t> </w:t>
      </w:r>
      <w:r>
        <w:rPr/>
        <w:t>to</w:t>
      </w:r>
      <w:r>
        <w:rPr>
          <w:spacing w:val="-4"/>
        </w:rPr>
        <w:t> </w:t>
      </w:r>
      <w:r>
        <w:rPr/>
        <w:t>destroy</w:t>
      </w:r>
      <w:r>
        <w:rPr>
          <w:spacing w:val="-2"/>
        </w:rPr>
        <w:t> </w:t>
      </w:r>
      <w:r>
        <w:rPr/>
        <w:t>the</w:t>
      </w:r>
      <w:r>
        <w:rPr>
          <w:spacing w:val="-2"/>
        </w:rPr>
        <w:t> </w:t>
      </w:r>
      <w:r>
        <w:rPr/>
        <w:t>major</w:t>
      </w:r>
      <w:r>
        <w:rPr>
          <w:spacing w:val="-3"/>
        </w:rPr>
        <w:t> </w:t>
      </w:r>
      <w:r>
        <w:rPr/>
        <w:t>centres</w:t>
      </w:r>
      <w:r>
        <w:rPr>
          <w:spacing w:val="-2"/>
        </w:rPr>
        <w:t> </w:t>
      </w:r>
      <w:r>
        <w:rPr/>
        <w:t>at</w:t>
      </w:r>
      <w:r>
        <w:rPr>
          <w:spacing w:val="-3"/>
        </w:rPr>
        <w:t> </w:t>
      </w:r>
      <w:r>
        <w:rPr/>
        <w:t>the</w:t>
      </w:r>
      <w:r>
        <w:rPr>
          <w:spacing w:val="-1"/>
        </w:rPr>
        <w:t> </w:t>
      </w:r>
      <w:r>
        <w:rPr/>
        <w:t>back</w:t>
      </w:r>
      <w:r>
        <w:rPr>
          <w:spacing w:val="-2"/>
        </w:rPr>
        <w:t> </w:t>
      </w:r>
      <w:r>
        <w:rPr/>
        <w:t>of</w:t>
      </w:r>
      <w:r>
        <w:rPr>
          <w:spacing w:val="-3"/>
        </w:rPr>
        <w:t> </w:t>
      </w:r>
      <w:r>
        <w:rPr/>
        <w:t>the</w:t>
      </w:r>
      <w:r>
        <w:rPr>
          <w:spacing w:val="-2"/>
        </w:rPr>
        <w:t> </w:t>
      </w:r>
      <w:r>
        <w:rPr/>
        <w:t>brain</w:t>
      </w:r>
      <w:r>
        <w:rPr>
          <w:spacing w:val="-3"/>
        </w:rPr>
        <w:t> </w:t>
      </w:r>
      <w:r>
        <w:rPr/>
        <w:t>near</w:t>
      </w:r>
      <w:r>
        <w:rPr>
          <w:spacing w:val="-2"/>
        </w:rPr>
        <w:t> </w:t>
      </w:r>
      <w:r>
        <w:rPr/>
        <w:t>the</w:t>
      </w:r>
      <w:r>
        <w:rPr>
          <w:spacing w:val="-1"/>
        </w:rPr>
        <w:t> </w:t>
      </w:r>
      <w:r>
        <w:rPr/>
        <w:t>spinal</w:t>
      </w:r>
      <w:r>
        <w:rPr>
          <w:spacing w:val="-2"/>
        </w:rPr>
        <w:t> </w:t>
      </w:r>
      <w:r>
        <w:rPr/>
        <w:t>cord (head shot). For trapped rabbits or pigs under 5 kg, concussive force to the head is the most appropriate killing </w:t>
      </w:r>
      <w:r>
        <w:rPr>
          <w:spacing w:val="-2"/>
        </w:rPr>
        <w:t>method.</w:t>
      </w:r>
    </w:p>
    <w:p>
      <w:pPr>
        <w:pStyle w:val="BodyText"/>
        <w:spacing w:before="120"/>
        <w:ind w:left="112" w:right="380"/>
      </w:pPr>
      <w:r>
        <w:rPr/>
        <w:t>The</w:t>
      </w:r>
      <w:r>
        <w:rPr>
          <w:spacing w:val="-6"/>
        </w:rPr>
        <w:t> </w:t>
      </w:r>
      <w:r>
        <w:rPr/>
        <w:t>Pestsmart</w:t>
      </w:r>
      <w:r>
        <w:rPr>
          <w:spacing w:val="-5"/>
        </w:rPr>
        <w:t> </w:t>
      </w:r>
      <w:r>
        <w:rPr/>
        <w:t>website</w:t>
      </w:r>
      <w:r>
        <w:rPr>
          <w:spacing w:val="-3"/>
        </w:rPr>
        <w:t> </w:t>
      </w:r>
      <w:hyperlink r:id="rId19">
        <w:r>
          <w:rPr>
            <w:color w:val="0000FF"/>
            <w:u w:val="single" w:color="0000FF"/>
          </w:rPr>
          <w:t>https://pestsmart.org.au/</w:t>
        </w:r>
      </w:hyperlink>
      <w:r>
        <w:rPr>
          <w:color w:val="0000FF"/>
          <w:spacing w:val="-2"/>
          <w:u w:val="none"/>
        </w:rPr>
        <w:t> </w:t>
      </w:r>
      <w:r>
        <w:rPr>
          <w:u w:val="none"/>
        </w:rPr>
        <w:t>provides</w:t>
      </w:r>
      <w:r>
        <w:rPr>
          <w:spacing w:val="-4"/>
          <w:u w:val="none"/>
        </w:rPr>
        <w:t> </w:t>
      </w:r>
      <w:r>
        <w:rPr>
          <w:u w:val="none"/>
        </w:rPr>
        <w:t>best</w:t>
      </w:r>
      <w:r>
        <w:rPr>
          <w:spacing w:val="-5"/>
          <w:u w:val="none"/>
        </w:rPr>
        <w:t> </w:t>
      </w:r>
      <w:r>
        <w:rPr>
          <w:u w:val="none"/>
        </w:rPr>
        <w:t>practice</w:t>
      </w:r>
      <w:r>
        <w:rPr>
          <w:spacing w:val="-5"/>
          <w:u w:val="none"/>
        </w:rPr>
        <w:t> </w:t>
      </w:r>
      <w:r>
        <w:rPr>
          <w:u w:val="none"/>
        </w:rPr>
        <w:t>trapping</w:t>
      </w:r>
      <w:r>
        <w:rPr>
          <w:spacing w:val="-4"/>
          <w:u w:val="none"/>
        </w:rPr>
        <w:t> </w:t>
      </w:r>
      <w:r>
        <w:rPr>
          <w:u w:val="none"/>
        </w:rPr>
        <w:t>SOPs</w:t>
      </w:r>
      <w:r>
        <w:rPr>
          <w:spacing w:val="-4"/>
          <w:u w:val="none"/>
        </w:rPr>
        <w:t> </w:t>
      </w:r>
      <w:r>
        <w:rPr>
          <w:u w:val="none"/>
        </w:rPr>
        <w:t>for</w:t>
      </w:r>
      <w:r>
        <w:rPr>
          <w:spacing w:val="-4"/>
          <w:u w:val="none"/>
        </w:rPr>
        <w:t> </w:t>
      </w:r>
      <w:r>
        <w:rPr>
          <w:u w:val="none"/>
        </w:rPr>
        <w:t>each</w:t>
      </w:r>
      <w:r>
        <w:rPr>
          <w:spacing w:val="-3"/>
          <w:u w:val="none"/>
        </w:rPr>
        <w:t> </w:t>
      </w:r>
      <w:r>
        <w:rPr>
          <w:u w:val="none"/>
        </w:rPr>
        <w:t>species</w:t>
      </w:r>
      <w:r>
        <w:rPr>
          <w:spacing w:val="-2"/>
          <w:u w:val="none"/>
        </w:rPr>
        <w:t> </w:t>
      </w:r>
      <w:r>
        <w:rPr>
          <w:u w:val="none"/>
        </w:rPr>
        <w:t>and trap type. Assuming that best practice in accordance with these SOPs is followed, the model approach (Sharp and Saunders 2011) has been</w:t>
      </w:r>
      <w:r>
        <w:rPr>
          <w:spacing w:val="-1"/>
          <w:u w:val="none"/>
        </w:rPr>
        <w:t> </w:t>
      </w:r>
      <w:r>
        <w:rPr>
          <w:u w:val="none"/>
        </w:rPr>
        <w:t>applied</w:t>
      </w:r>
      <w:r>
        <w:rPr>
          <w:spacing w:val="-1"/>
          <w:u w:val="none"/>
        </w:rPr>
        <w:t> </w:t>
      </w:r>
      <w:r>
        <w:rPr>
          <w:u w:val="none"/>
        </w:rPr>
        <w:t>to assess the</w:t>
      </w:r>
      <w:r>
        <w:rPr>
          <w:spacing w:val="-1"/>
          <w:u w:val="none"/>
        </w:rPr>
        <w:t> </w:t>
      </w:r>
      <w:r>
        <w:rPr>
          <w:u w:val="none"/>
        </w:rPr>
        <w:t>relative humaneness of</w:t>
      </w:r>
      <w:r>
        <w:rPr>
          <w:spacing w:val="-1"/>
          <w:u w:val="none"/>
        </w:rPr>
        <w:t> </w:t>
      </w:r>
      <w:r>
        <w:rPr>
          <w:u w:val="none"/>
        </w:rPr>
        <w:t>trapping</w:t>
      </w:r>
      <w:r>
        <w:rPr>
          <w:spacing w:val="-1"/>
          <w:u w:val="none"/>
        </w:rPr>
        <w:t> </w:t>
      </w:r>
      <w:r>
        <w:rPr>
          <w:u w:val="none"/>
        </w:rPr>
        <w:t>methods for a range of vertebrate species (e.g. Beausoleil et al. 2022), with relative humaneness scores summarised for containment and leghold traps (Table 13). Confinement traps (cage traps with shooting) are scored somewhat more humane than 1080 poisoning while leg-hold traps are scored less humane than 1080 </w:t>
      </w:r>
      <w:r>
        <w:rPr>
          <w:spacing w:val="-2"/>
          <w:u w:val="none"/>
        </w:rPr>
        <w:t>poisoning.</w:t>
      </w:r>
    </w:p>
    <w:p>
      <w:pPr>
        <w:pStyle w:val="Heading5"/>
        <w:numPr>
          <w:ilvl w:val="2"/>
          <w:numId w:val="26"/>
        </w:numPr>
        <w:tabs>
          <w:tab w:pos="831" w:val="left" w:leader="none"/>
        </w:tabs>
        <w:spacing w:line="240" w:lineRule="auto" w:before="140" w:after="0"/>
        <w:ind w:left="831" w:right="0" w:hanging="719"/>
        <w:jc w:val="left"/>
      </w:pPr>
      <w:r>
        <w:rPr/>
        <w:t>Confinement</w:t>
      </w:r>
      <w:r>
        <w:rPr>
          <w:spacing w:val="-9"/>
        </w:rPr>
        <w:t> </w:t>
      </w:r>
      <w:r>
        <w:rPr>
          <w:spacing w:val="-2"/>
        </w:rPr>
        <w:t>traps</w:t>
      </w:r>
    </w:p>
    <w:p>
      <w:pPr>
        <w:pStyle w:val="BodyText"/>
        <w:spacing w:before="57"/>
        <w:ind w:left="112" w:right="247"/>
      </w:pPr>
      <w:r>
        <w:rPr/>
        <w:t>Confinement traps generally cause fewer injuries than leghold traps. The greatest potential for a trapped animal</w:t>
      </w:r>
      <w:r>
        <w:rPr>
          <w:spacing w:val="-5"/>
        </w:rPr>
        <w:t> </w:t>
      </w:r>
      <w:r>
        <w:rPr/>
        <w:t>to</w:t>
      </w:r>
      <w:r>
        <w:rPr>
          <w:spacing w:val="-3"/>
        </w:rPr>
        <w:t> </w:t>
      </w:r>
      <w:r>
        <w:rPr/>
        <w:t>be</w:t>
      </w:r>
      <w:r>
        <w:rPr>
          <w:spacing w:val="-3"/>
        </w:rPr>
        <w:t> </w:t>
      </w:r>
      <w:r>
        <w:rPr/>
        <w:t>injured</w:t>
      </w:r>
      <w:r>
        <w:rPr>
          <w:spacing w:val="-2"/>
        </w:rPr>
        <w:t> </w:t>
      </w:r>
      <w:r>
        <w:rPr/>
        <w:t>in</w:t>
      </w:r>
      <w:r>
        <w:rPr>
          <w:spacing w:val="-2"/>
        </w:rPr>
        <w:t> </w:t>
      </w:r>
      <w:r>
        <w:rPr/>
        <w:t>a</w:t>
      </w:r>
      <w:r>
        <w:rPr>
          <w:spacing w:val="-2"/>
        </w:rPr>
        <w:t> </w:t>
      </w:r>
      <w:r>
        <w:rPr/>
        <w:t>confinement</w:t>
      </w:r>
      <w:r>
        <w:rPr>
          <w:spacing w:val="-3"/>
        </w:rPr>
        <w:t> </w:t>
      </w:r>
      <w:r>
        <w:rPr/>
        <w:t>trap</w:t>
      </w:r>
      <w:r>
        <w:rPr>
          <w:spacing w:val="-4"/>
        </w:rPr>
        <w:t> </w:t>
      </w:r>
      <w:r>
        <w:rPr/>
        <w:t>is</w:t>
      </w:r>
      <w:r>
        <w:rPr>
          <w:spacing w:val="-1"/>
        </w:rPr>
        <w:t> </w:t>
      </w:r>
      <w:r>
        <w:rPr/>
        <w:t>during</w:t>
      </w:r>
      <w:r>
        <w:rPr>
          <w:spacing w:val="-5"/>
        </w:rPr>
        <w:t> </w:t>
      </w:r>
      <w:r>
        <w:rPr/>
        <w:t>any</w:t>
      </w:r>
      <w:r>
        <w:rPr>
          <w:spacing w:val="-3"/>
        </w:rPr>
        <w:t> </w:t>
      </w:r>
      <w:r>
        <w:rPr/>
        <w:t>frantic</w:t>
      </w:r>
      <w:r>
        <w:rPr>
          <w:spacing w:val="-3"/>
        </w:rPr>
        <w:t> </w:t>
      </w:r>
      <w:r>
        <w:rPr/>
        <w:t>attempts</w:t>
      </w:r>
      <w:r>
        <w:rPr>
          <w:spacing w:val="-3"/>
        </w:rPr>
        <w:t> </w:t>
      </w:r>
      <w:r>
        <w:rPr/>
        <w:t>to</w:t>
      </w:r>
      <w:r>
        <w:rPr>
          <w:spacing w:val="-3"/>
        </w:rPr>
        <w:t> </w:t>
      </w:r>
      <w:r>
        <w:rPr/>
        <w:t>escape.</w:t>
      </w:r>
      <w:r>
        <w:rPr>
          <w:spacing w:val="-4"/>
        </w:rPr>
        <w:t> </w:t>
      </w:r>
      <w:r>
        <w:rPr/>
        <w:t>Elements</w:t>
      </w:r>
      <w:r>
        <w:rPr>
          <w:spacing w:val="-3"/>
        </w:rPr>
        <w:t> </w:t>
      </w:r>
      <w:r>
        <w:rPr/>
        <w:t>of</w:t>
      </w:r>
      <w:r>
        <w:rPr>
          <w:spacing w:val="-2"/>
        </w:rPr>
        <w:t> </w:t>
      </w:r>
      <w:r>
        <w:rPr/>
        <w:t>trap</w:t>
      </w:r>
      <w:r>
        <w:rPr>
          <w:spacing w:val="-2"/>
        </w:rPr>
        <w:t> </w:t>
      </w:r>
      <w:r>
        <w:rPr/>
        <w:t>design, such as smaller wire mesh diameter and absence of protrusions can assist to reduce the potential for such injuries. An important feature of confinement traps is that non-target captures can usually be released </w:t>
      </w:r>
      <w:r>
        <w:rPr>
          <w:spacing w:val="-2"/>
        </w:rPr>
        <w:t>unharmed.</w:t>
      </w:r>
    </w:p>
    <w:p>
      <w:pPr>
        <w:pStyle w:val="Heading5"/>
        <w:numPr>
          <w:ilvl w:val="2"/>
          <w:numId w:val="26"/>
        </w:numPr>
        <w:tabs>
          <w:tab w:pos="831" w:val="left" w:leader="none"/>
        </w:tabs>
        <w:spacing w:line="240" w:lineRule="auto" w:before="139" w:after="0"/>
        <w:ind w:left="831" w:right="0" w:hanging="719"/>
        <w:jc w:val="left"/>
      </w:pPr>
      <w:r>
        <w:rPr/>
        <w:t>Leghold</w:t>
      </w:r>
      <w:r>
        <w:rPr>
          <w:spacing w:val="-8"/>
        </w:rPr>
        <w:t> </w:t>
      </w:r>
      <w:r>
        <w:rPr>
          <w:spacing w:val="-2"/>
        </w:rPr>
        <w:t>traps</w:t>
      </w:r>
    </w:p>
    <w:p>
      <w:pPr>
        <w:pStyle w:val="BodyText"/>
        <w:spacing w:before="59"/>
        <w:ind w:left="112" w:right="380"/>
      </w:pPr>
      <w:r>
        <w:rPr/>
        <w:t>Leg-hold traps used in Victoria must have rubber-like padding on each jaw to cushion the initial impact and provide friction, which prevents the captured leg from sliding along or out of the jaws. Design features to reduce potential injury include offsetting of the trap jaws leaving a specified small gap between the metal parts when closed, and a spring and swivels in the anchor chain to reduce momentum and potential for twisting</w:t>
      </w:r>
      <w:r>
        <w:rPr>
          <w:spacing w:val="-4"/>
        </w:rPr>
        <w:t> </w:t>
      </w:r>
      <w:r>
        <w:rPr/>
        <w:t>and</w:t>
      </w:r>
      <w:r>
        <w:rPr>
          <w:spacing w:val="-2"/>
        </w:rPr>
        <w:t> </w:t>
      </w:r>
      <w:r>
        <w:rPr/>
        <w:t>entanglement. However, it</w:t>
      </w:r>
      <w:r>
        <w:rPr>
          <w:spacing w:val="-3"/>
        </w:rPr>
        <w:t> </w:t>
      </w:r>
      <w:r>
        <w:rPr/>
        <w:t>is</w:t>
      </w:r>
      <w:r>
        <w:rPr>
          <w:spacing w:val="-2"/>
        </w:rPr>
        <w:t> </w:t>
      </w:r>
      <w:r>
        <w:rPr/>
        <w:t>recognised</w:t>
      </w:r>
      <w:r>
        <w:rPr>
          <w:spacing w:val="-4"/>
        </w:rPr>
        <w:t> </w:t>
      </w:r>
      <w:r>
        <w:rPr/>
        <w:t>that</w:t>
      </w:r>
      <w:r>
        <w:rPr>
          <w:spacing w:val="-3"/>
        </w:rPr>
        <w:t> </w:t>
      </w:r>
      <w:r>
        <w:rPr/>
        <w:t>even</w:t>
      </w:r>
      <w:r>
        <w:rPr>
          <w:spacing w:val="-3"/>
        </w:rPr>
        <w:t> </w:t>
      </w:r>
      <w:r>
        <w:rPr/>
        <w:t>best</w:t>
      </w:r>
      <w:r>
        <w:rPr>
          <w:spacing w:val="-3"/>
        </w:rPr>
        <w:t> </w:t>
      </w:r>
      <w:r>
        <w:rPr/>
        <w:t>practice</w:t>
      </w:r>
      <w:r>
        <w:rPr>
          <w:spacing w:val="-1"/>
        </w:rPr>
        <w:t> </w:t>
      </w:r>
      <w:r>
        <w:rPr/>
        <w:t>use</w:t>
      </w:r>
      <w:r>
        <w:rPr>
          <w:spacing w:val="-1"/>
        </w:rPr>
        <w:t> </w:t>
      </w:r>
      <w:r>
        <w:rPr/>
        <w:t>of</w:t>
      </w:r>
      <w:r>
        <w:rPr>
          <w:spacing w:val="-3"/>
        </w:rPr>
        <w:t> </w:t>
      </w:r>
      <w:r>
        <w:rPr/>
        <w:t>leg-hold</w:t>
      </w:r>
      <w:r>
        <w:rPr>
          <w:spacing w:val="-3"/>
        </w:rPr>
        <w:t> </w:t>
      </w:r>
      <w:r>
        <w:rPr/>
        <w:t>traps</w:t>
      </w:r>
      <w:r>
        <w:rPr>
          <w:spacing w:val="-2"/>
        </w:rPr>
        <w:t> </w:t>
      </w:r>
      <w:r>
        <w:rPr/>
        <w:t>can</w:t>
      </w:r>
      <w:r>
        <w:rPr>
          <w:spacing w:val="-4"/>
        </w:rPr>
        <w:t> </w:t>
      </w:r>
      <w:r>
        <w:rPr/>
        <w:t>cause serious injuries to both</w:t>
      </w:r>
      <w:r>
        <w:rPr>
          <w:spacing w:val="-1"/>
        </w:rPr>
        <w:t> </w:t>
      </w:r>
      <w:r>
        <w:rPr/>
        <w:t>target</w:t>
      </w:r>
      <w:r>
        <w:rPr>
          <w:spacing w:val="-1"/>
        </w:rPr>
        <w:t> </w:t>
      </w:r>
      <w:r>
        <w:rPr/>
        <w:t>and</w:t>
      </w:r>
      <w:r>
        <w:rPr>
          <w:spacing w:val="-1"/>
        </w:rPr>
        <w:t> </w:t>
      </w:r>
      <w:r>
        <w:rPr/>
        <w:t>non-target</w:t>
      </w:r>
      <w:r>
        <w:rPr>
          <w:spacing w:val="-1"/>
        </w:rPr>
        <w:t> </w:t>
      </w:r>
      <w:r>
        <w:rPr/>
        <w:t>animals. These typically include swelling and lacerations to the foot from the pressure of the trap jaws, and dislocation of a limb if the animal struggles to escape. Welfare impacts of leghold traps have increasingly been addressed in published science literature worldwide</w:t>
      </w:r>
    </w:p>
    <w:p>
      <w:pPr>
        <w:pStyle w:val="BodyText"/>
        <w:spacing w:before="1"/>
        <w:ind w:left="112"/>
      </w:pPr>
      <w:r>
        <w:rPr/>
        <w:t>(e.g.</w:t>
      </w:r>
      <w:r>
        <w:rPr>
          <w:spacing w:val="-4"/>
        </w:rPr>
        <w:t> </w:t>
      </w:r>
      <w:r>
        <w:rPr/>
        <w:t>Lossa</w:t>
      </w:r>
      <w:r>
        <w:rPr>
          <w:spacing w:val="-5"/>
        </w:rPr>
        <w:t> </w:t>
      </w:r>
      <w:r>
        <w:rPr/>
        <w:t>et</w:t>
      </w:r>
      <w:r>
        <w:rPr>
          <w:spacing w:val="-5"/>
        </w:rPr>
        <w:t> </w:t>
      </w:r>
      <w:r>
        <w:rPr/>
        <w:t>al.</w:t>
      </w:r>
      <w:r>
        <w:rPr>
          <w:spacing w:val="-3"/>
        </w:rPr>
        <w:t> </w:t>
      </w:r>
      <w:r>
        <w:rPr/>
        <w:t>2007;</w:t>
      </w:r>
      <w:r>
        <w:rPr>
          <w:spacing w:val="-4"/>
        </w:rPr>
        <w:t> </w:t>
      </w:r>
      <w:r>
        <w:rPr/>
        <w:t>de</w:t>
      </w:r>
      <w:r>
        <w:rPr>
          <w:spacing w:val="-4"/>
        </w:rPr>
        <w:t> </w:t>
      </w:r>
      <w:r>
        <w:rPr/>
        <w:t>Ridder</w:t>
      </w:r>
      <w:r>
        <w:rPr>
          <w:spacing w:val="-3"/>
        </w:rPr>
        <w:t> </w:t>
      </w:r>
      <w:r>
        <w:rPr/>
        <w:t>et</w:t>
      </w:r>
      <w:r>
        <w:rPr>
          <w:spacing w:val="-3"/>
        </w:rPr>
        <w:t> </w:t>
      </w:r>
      <w:r>
        <w:rPr/>
        <w:t>al.</w:t>
      </w:r>
      <w:r>
        <w:rPr>
          <w:spacing w:val="-2"/>
        </w:rPr>
        <w:t> </w:t>
      </w:r>
      <w:r>
        <w:rPr/>
        <w:t>2024;</w:t>
      </w:r>
      <w:r>
        <w:rPr>
          <w:spacing w:val="-3"/>
        </w:rPr>
        <w:t> </w:t>
      </w:r>
      <w:r>
        <w:rPr/>
        <w:t>Meek</w:t>
      </w:r>
      <w:r>
        <w:rPr>
          <w:spacing w:val="-3"/>
        </w:rPr>
        <w:t> </w:t>
      </w:r>
      <w:r>
        <w:rPr/>
        <w:t>et</w:t>
      </w:r>
      <w:r>
        <w:rPr>
          <w:spacing w:val="-3"/>
        </w:rPr>
        <w:t> </w:t>
      </w:r>
      <w:r>
        <w:rPr/>
        <w:t>al.</w:t>
      </w:r>
      <w:r>
        <w:rPr>
          <w:spacing w:val="-2"/>
        </w:rPr>
        <w:t> 2020).</w:t>
      </w:r>
    </w:p>
    <w:p>
      <w:pPr>
        <w:pStyle w:val="Heading5"/>
        <w:numPr>
          <w:ilvl w:val="2"/>
          <w:numId w:val="26"/>
        </w:numPr>
        <w:tabs>
          <w:tab w:pos="831" w:val="left" w:leader="none"/>
        </w:tabs>
        <w:spacing w:line="240" w:lineRule="auto" w:before="138" w:after="0"/>
        <w:ind w:left="831" w:right="0" w:hanging="719"/>
        <w:jc w:val="left"/>
      </w:pPr>
      <w:r>
        <w:rPr/>
        <w:t>Trap</w:t>
      </w:r>
      <w:r>
        <w:rPr>
          <w:spacing w:val="-4"/>
        </w:rPr>
        <w:t> </w:t>
      </w:r>
      <w:r>
        <w:rPr/>
        <w:t>alert</w:t>
      </w:r>
      <w:r>
        <w:rPr>
          <w:spacing w:val="-2"/>
        </w:rPr>
        <w:t> systems</w:t>
      </w:r>
    </w:p>
    <w:p>
      <w:pPr>
        <w:pStyle w:val="BodyText"/>
        <w:spacing w:before="58"/>
        <w:ind w:left="112" w:right="427"/>
      </w:pPr>
      <w:r>
        <w:rPr/>
        <w:t>In Victoria, traps applied for fox, rabbit, Feral Pig or Wild Dog/Dingo management must be physically inspected at least once every 24 hours. Trap alert systems (e.g. Meek et al. 2020; Martin 2022) are a relatively recent technological development aimed at improving efficacy and welfare outcomes for trapped animals by reducing the time that animals spend caught in a trap. These systems utilise electronic sensors on the trap and communication networks to send real-time notifications to a trapper when a trap is sprung, allowing for prompt, targeted inspection and servicing of the trap. In late 2024, DEECA, through Vertebrate Species Management Officers (VSMOs), implemented a satellite-based trap monitoring system for leghold trapping</w:t>
      </w:r>
      <w:r>
        <w:rPr>
          <w:spacing w:val="-2"/>
        </w:rPr>
        <w:t> </w:t>
      </w:r>
      <w:r>
        <w:rPr/>
        <w:t>activities in</w:t>
      </w:r>
      <w:r>
        <w:rPr>
          <w:spacing w:val="-3"/>
        </w:rPr>
        <w:t> </w:t>
      </w:r>
      <w:r>
        <w:rPr/>
        <w:t>eastern</w:t>
      </w:r>
      <w:r>
        <w:rPr>
          <w:spacing w:val="-3"/>
        </w:rPr>
        <w:t> </w:t>
      </w:r>
      <w:r>
        <w:rPr/>
        <w:t>Victoria</w:t>
      </w:r>
      <w:r>
        <w:rPr>
          <w:spacing w:val="-1"/>
        </w:rPr>
        <w:t> </w:t>
      </w:r>
      <w:r>
        <w:rPr/>
        <w:t>regions.</w:t>
      </w:r>
      <w:r>
        <w:rPr>
          <w:spacing w:val="-1"/>
        </w:rPr>
        <w:t> </w:t>
      </w:r>
      <w:r>
        <w:rPr/>
        <w:t>Pending</w:t>
      </w:r>
      <w:r>
        <w:rPr>
          <w:spacing w:val="-2"/>
        </w:rPr>
        <w:t> </w:t>
      </w:r>
      <w:r>
        <w:rPr/>
        <w:t>a</w:t>
      </w:r>
      <w:r>
        <w:rPr>
          <w:spacing w:val="-3"/>
        </w:rPr>
        <w:t> </w:t>
      </w:r>
      <w:r>
        <w:rPr/>
        <w:t>full</w:t>
      </w:r>
      <w:r>
        <w:rPr>
          <w:spacing w:val="-2"/>
        </w:rPr>
        <w:t> </w:t>
      </w:r>
      <w:r>
        <w:rPr/>
        <w:t>operational</w:t>
      </w:r>
      <w:r>
        <w:rPr>
          <w:spacing w:val="-4"/>
        </w:rPr>
        <w:t> </w:t>
      </w:r>
      <w:r>
        <w:rPr/>
        <w:t>analysis,</w:t>
      </w:r>
      <w:r>
        <w:rPr>
          <w:spacing w:val="-1"/>
        </w:rPr>
        <w:t> </w:t>
      </w:r>
      <w:r>
        <w:rPr/>
        <w:t>initial</w:t>
      </w:r>
      <w:r>
        <w:rPr>
          <w:spacing w:val="-2"/>
        </w:rPr>
        <w:t> </w:t>
      </w:r>
      <w:r>
        <w:rPr/>
        <w:t>results are</w:t>
      </w:r>
      <w:r>
        <w:rPr>
          <w:spacing w:val="-3"/>
        </w:rPr>
        <w:t> </w:t>
      </w:r>
      <w:r>
        <w:rPr/>
        <w:t>promising for</w:t>
      </w:r>
      <w:r>
        <w:rPr>
          <w:spacing w:val="-8"/>
        </w:rPr>
        <w:t> </w:t>
      </w:r>
      <w:r>
        <w:rPr/>
        <w:t>reliability</w:t>
      </w:r>
      <w:r>
        <w:rPr>
          <w:spacing w:val="-6"/>
        </w:rPr>
        <w:t> </w:t>
      </w:r>
      <w:r>
        <w:rPr/>
        <w:t>of</w:t>
      </w:r>
      <w:r>
        <w:rPr>
          <w:spacing w:val="-5"/>
        </w:rPr>
        <w:t> </w:t>
      </w:r>
      <w:r>
        <w:rPr/>
        <w:t>alerts</w:t>
      </w:r>
      <w:r>
        <w:rPr>
          <w:spacing w:val="-6"/>
        </w:rPr>
        <w:t> </w:t>
      </w:r>
      <w:r>
        <w:rPr/>
        <w:t>and</w:t>
      </w:r>
      <w:r>
        <w:rPr>
          <w:spacing w:val="-5"/>
        </w:rPr>
        <w:t> </w:t>
      </w:r>
      <w:r>
        <w:rPr/>
        <w:t>improved</w:t>
      </w:r>
      <w:r>
        <w:rPr>
          <w:spacing w:val="-6"/>
        </w:rPr>
        <w:t> </w:t>
      </w:r>
      <w:r>
        <w:rPr/>
        <w:t>welfare</w:t>
      </w:r>
      <w:r>
        <w:rPr>
          <w:spacing w:val="-6"/>
        </w:rPr>
        <w:t> </w:t>
      </w:r>
      <w:r>
        <w:rPr/>
        <w:t>outcomes</w:t>
      </w:r>
      <w:r>
        <w:rPr>
          <w:spacing w:val="-3"/>
        </w:rPr>
        <w:t> </w:t>
      </w:r>
      <w:r>
        <w:rPr/>
        <w:t>in</w:t>
      </w:r>
      <w:r>
        <w:rPr>
          <w:spacing w:val="-8"/>
        </w:rPr>
        <w:t> </w:t>
      </w:r>
      <w:r>
        <w:rPr/>
        <w:t>terms</w:t>
      </w:r>
      <w:r>
        <w:rPr>
          <w:spacing w:val="-5"/>
        </w:rPr>
        <w:t> </w:t>
      </w:r>
      <w:r>
        <w:rPr/>
        <w:t>of</w:t>
      </w:r>
      <w:r>
        <w:rPr>
          <w:spacing w:val="-7"/>
        </w:rPr>
        <w:t> </w:t>
      </w:r>
      <w:r>
        <w:rPr/>
        <w:t>reduced</w:t>
      </w:r>
      <w:r>
        <w:rPr>
          <w:spacing w:val="-7"/>
        </w:rPr>
        <w:t> </w:t>
      </w:r>
      <w:r>
        <w:rPr/>
        <w:t>time</w:t>
      </w:r>
      <w:r>
        <w:rPr>
          <w:spacing w:val="-6"/>
        </w:rPr>
        <w:t> </w:t>
      </w:r>
      <w:r>
        <w:rPr/>
        <w:t>in</w:t>
      </w:r>
      <w:r>
        <w:rPr>
          <w:spacing w:val="-5"/>
        </w:rPr>
        <w:t> </w:t>
      </w:r>
      <w:r>
        <w:rPr/>
        <w:t>traps</w:t>
      </w:r>
      <w:r>
        <w:rPr>
          <w:spacing w:val="-7"/>
        </w:rPr>
        <w:t> </w:t>
      </w:r>
      <w:r>
        <w:rPr/>
        <w:t>for</w:t>
      </w:r>
      <w:r>
        <w:rPr>
          <w:spacing w:val="-6"/>
        </w:rPr>
        <w:t> </w:t>
      </w:r>
      <w:r>
        <w:rPr/>
        <w:t>captured</w:t>
      </w:r>
      <w:r>
        <w:rPr>
          <w:spacing w:val="-5"/>
        </w:rPr>
        <w:t> </w:t>
      </w:r>
      <w:r>
        <w:rPr>
          <w:spacing w:val="-2"/>
        </w:rPr>
        <w:t>animals.</w:t>
      </w:r>
    </w:p>
    <w:p>
      <w:pPr>
        <w:pStyle w:val="Heading5"/>
        <w:numPr>
          <w:ilvl w:val="2"/>
          <w:numId w:val="26"/>
        </w:numPr>
        <w:tabs>
          <w:tab w:pos="831" w:val="left" w:leader="none"/>
        </w:tabs>
        <w:spacing w:line="240" w:lineRule="auto" w:before="139" w:after="0"/>
        <w:ind w:left="831" w:right="0" w:hanging="719"/>
        <w:jc w:val="left"/>
      </w:pPr>
      <w:r>
        <w:rPr/>
        <w:t>Lethal</w:t>
      </w:r>
      <w:r>
        <w:rPr>
          <w:spacing w:val="-5"/>
        </w:rPr>
        <w:t> </w:t>
      </w:r>
      <w:r>
        <w:rPr/>
        <w:t>trap</w:t>
      </w:r>
      <w:r>
        <w:rPr>
          <w:spacing w:val="-5"/>
        </w:rPr>
        <w:t> </w:t>
      </w:r>
      <w:r>
        <w:rPr/>
        <w:t>devices</w:t>
      </w:r>
      <w:r>
        <w:rPr>
          <w:spacing w:val="-5"/>
        </w:rPr>
        <w:t> </w:t>
      </w:r>
      <w:r>
        <w:rPr/>
        <w:t>for</w:t>
      </w:r>
      <w:r>
        <w:rPr>
          <w:spacing w:val="-5"/>
        </w:rPr>
        <w:t> </w:t>
      </w:r>
      <w:r>
        <w:rPr/>
        <w:t>canid</w:t>
      </w:r>
      <w:r>
        <w:rPr>
          <w:spacing w:val="-5"/>
        </w:rPr>
        <w:t> </w:t>
      </w:r>
      <w:r>
        <w:rPr/>
        <w:t>leg-hold</w:t>
      </w:r>
      <w:r>
        <w:rPr>
          <w:spacing w:val="-5"/>
        </w:rPr>
        <w:t> </w:t>
      </w:r>
      <w:r>
        <w:rPr>
          <w:spacing w:val="-2"/>
        </w:rPr>
        <w:t>trapping</w:t>
      </w:r>
    </w:p>
    <w:p>
      <w:pPr>
        <w:pStyle w:val="BodyText"/>
        <w:spacing w:before="58"/>
        <w:ind w:left="112" w:right="366"/>
      </w:pPr>
      <w:r>
        <w:rPr/>
        <w:t>As</w:t>
      </w:r>
      <w:r>
        <w:rPr>
          <w:spacing w:val="-1"/>
        </w:rPr>
        <w:t> </w:t>
      </w:r>
      <w:r>
        <w:rPr/>
        <w:t>defined</w:t>
      </w:r>
      <w:r>
        <w:rPr>
          <w:spacing w:val="-2"/>
        </w:rPr>
        <w:t> </w:t>
      </w:r>
      <w:r>
        <w:rPr/>
        <w:t>under</w:t>
      </w:r>
      <w:r>
        <w:rPr>
          <w:spacing w:val="-2"/>
        </w:rPr>
        <w:t> </w:t>
      </w:r>
      <w:r>
        <w:rPr/>
        <w:t>the</w:t>
      </w:r>
      <w:r>
        <w:rPr>
          <w:spacing w:val="-1"/>
        </w:rPr>
        <w:t> </w:t>
      </w:r>
      <w:r>
        <w:rPr/>
        <w:t>POCTA</w:t>
      </w:r>
      <w:r>
        <w:rPr>
          <w:spacing w:val="-2"/>
        </w:rPr>
        <w:t> </w:t>
      </w:r>
      <w:r>
        <w:rPr/>
        <w:t>Regulations</w:t>
      </w:r>
      <w:r>
        <w:rPr>
          <w:spacing w:val="-1"/>
        </w:rPr>
        <w:t> </w:t>
      </w:r>
      <w:r>
        <w:rPr/>
        <w:t>2019, a lethal</w:t>
      </w:r>
      <w:r>
        <w:rPr>
          <w:spacing w:val="-1"/>
        </w:rPr>
        <w:t> </w:t>
      </w:r>
      <w:r>
        <w:rPr/>
        <w:t>trap</w:t>
      </w:r>
      <w:r>
        <w:rPr>
          <w:spacing w:val="-3"/>
        </w:rPr>
        <w:t> </w:t>
      </w:r>
      <w:r>
        <w:rPr/>
        <w:t>device</w:t>
      </w:r>
      <w:r>
        <w:rPr>
          <w:spacing w:val="-2"/>
        </w:rPr>
        <w:t> </w:t>
      </w:r>
      <w:r>
        <w:rPr/>
        <w:t>(LTD) is ‘a device</w:t>
      </w:r>
      <w:r>
        <w:rPr>
          <w:spacing w:val="-2"/>
        </w:rPr>
        <w:t> </w:t>
      </w:r>
      <w:r>
        <w:rPr/>
        <w:t>attached to</w:t>
      </w:r>
      <w:r>
        <w:rPr>
          <w:spacing w:val="-1"/>
        </w:rPr>
        <w:t> </w:t>
      </w:r>
      <w:r>
        <w:rPr/>
        <w:t>a</w:t>
      </w:r>
      <w:r>
        <w:rPr>
          <w:spacing w:val="-2"/>
        </w:rPr>
        <w:t> </w:t>
      </w:r>
      <w:r>
        <w:rPr/>
        <w:t>trap that contains a lethal substance for the purposes of causing the rapid death of trapped target animals through ingestion of the substance’. LTDs in Australia can be applied on leghold traps used for fox and Wild Dog control, comprising a toxicant applied to cloth wraps around one jaw of the trap.</w:t>
      </w:r>
      <w:r>
        <w:rPr>
          <w:spacing w:val="15"/>
        </w:rPr>
        <w:t> </w:t>
      </w:r>
      <w:r>
        <w:rPr/>
        <w:t>Wild Dogs and foxes</w:t>
      </w:r>
      <w:r>
        <w:rPr/>
        <w:t> typically</w:t>
      </w:r>
      <w:r>
        <w:rPr>
          <w:spacing w:val="-1"/>
        </w:rPr>
        <w:t> </w:t>
      </w:r>
      <w:r>
        <w:rPr/>
        <w:t>bite</w:t>
      </w:r>
      <w:r>
        <w:rPr>
          <w:spacing w:val="-5"/>
        </w:rPr>
        <w:t> </w:t>
      </w:r>
      <w:r>
        <w:rPr/>
        <w:t>at</w:t>
      </w:r>
      <w:r>
        <w:rPr>
          <w:spacing w:val="-4"/>
        </w:rPr>
        <w:t> </w:t>
      </w:r>
      <w:r>
        <w:rPr/>
        <w:t>the</w:t>
      </w:r>
      <w:r>
        <w:rPr>
          <w:spacing w:val="-4"/>
        </w:rPr>
        <w:t> </w:t>
      </w:r>
      <w:r>
        <w:rPr/>
        <w:t>trap</w:t>
      </w:r>
      <w:r>
        <w:rPr>
          <w:spacing w:val="-2"/>
        </w:rPr>
        <w:t> </w:t>
      </w:r>
      <w:r>
        <w:rPr/>
        <w:t>once</w:t>
      </w:r>
      <w:r>
        <w:rPr>
          <w:spacing w:val="-4"/>
        </w:rPr>
        <w:t> </w:t>
      </w:r>
      <w:r>
        <w:rPr/>
        <w:t>they</w:t>
      </w:r>
      <w:r>
        <w:rPr>
          <w:spacing w:val="-1"/>
        </w:rPr>
        <w:t> </w:t>
      </w:r>
      <w:r>
        <w:rPr/>
        <w:t>are</w:t>
      </w:r>
      <w:r>
        <w:rPr>
          <w:spacing w:val="-4"/>
        </w:rPr>
        <w:t> </w:t>
      </w:r>
      <w:r>
        <w:rPr/>
        <w:t>captured,</w:t>
      </w:r>
      <w:r>
        <w:rPr>
          <w:spacing w:val="-2"/>
        </w:rPr>
        <w:t> </w:t>
      </w:r>
      <w:r>
        <w:rPr/>
        <w:t>which can</w:t>
      </w:r>
      <w:r>
        <w:rPr>
          <w:spacing w:val="-5"/>
        </w:rPr>
        <w:t> </w:t>
      </w:r>
      <w:r>
        <w:rPr/>
        <w:t>result</w:t>
      </w:r>
      <w:r>
        <w:rPr>
          <w:spacing w:val="-2"/>
        </w:rPr>
        <w:t> </w:t>
      </w:r>
      <w:r>
        <w:rPr/>
        <w:t>in</w:t>
      </w:r>
      <w:r>
        <w:rPr>
          <w:spacing w:val="-2"/>
        </w:rPr>
        <w:t> </w:t>
      </w:r>
      <w:r>
        <w:rPr/>
        <w:t>a</w:t>
      </w:r>
      <w:r>
        <w:rPr>
          <w:spacing w:val="-2"/>
        </w:rPr>
        <w:t> </w:t>
      </w:r>
      <w:r>
        <w:rPr/>
        <w:t>lethal</w:t>
      </w:r>
      <w:r>
        <w:rPr>
          <w:spacing w:val="-3"/>
        </w:rPr>
        <w:t> </w:t>
      </w:r>
      <w:r>
        <w:rPr/>
        <w:t>ingestion</w:t>
      </w:r>
      <w:r>
        <w:rPr>
          <w:spacing w:val="-1"/>
        </w:rPr>
        <w:t> </w:t>
      </w:r>
      <w:r>
        <w:rPr/>
        <w:t>of</w:t>
      </w:r>
      <w:r>
        <w:rPr>
          <w:spacing w:val="-2"/>
        </w:rPr>
        <w:t> </w:t>
      </w:r>
      <w:r>
        <w:rPr/>
        <w:t>the</w:t>
      </w:r>
      <w:r>
        <w:rPr>
          <w:spacing w:val="-2"/>
        </w:rPr>
        <w:t> </w:t>
      </w:r>
      <w:r>
        <w:rPr/>
        <w:t>toxicant,</w:t>
      </w:r>
      <w:r>
        <w:rPr>
          <w:spacing w:val="-4"/>
        </w:rPr>
        <w:t> </w:t>
      </w:r>
      <w:r>
        <w:rPr/>
        <w:t>reducing the time that the animal experiences the effects of being trapped.</w:t>
      </w:r>
    </w:p>
    <w:p>
      <w:pPr>
        <w:pStyle w:val="BodyText"/>
        <w:spacing w:before="121"/>
        <w:ind w:left="112" w:right="384"/>
      </w:pPr>
      <w:r>
        <w:rPr/>
        <w:t>Strychnine is a registered toxicant for use in LTD but is not used in Victoria. PAPP has recently been registered as ‘PAPPutty™ (a formulation for application to cloth used as an LTD) and may be used in</w:t>
      </w:r>
      <w:r>
        <w:rPr>
          <w:spacing w:val="40"/>
        </w:rPr>
        <w:t> </w:t>
      </w:r>
      <w:r>
        <w:rPr/>
        <w:t>Victoria under Minister approval. It is considered a more humane toxicant than strychnine, and field assessment</w:t>
      </w:r>
      <w:r>
        <w:rPr>
          <w:spacing w:val="-4"/>
        </w:rPr>
        <w:t> </w:t>
      </w:r>
      <w:r>
        <w:rPr/>
        <w:t>of</w:t>
      </w:r>
      <w:r>
        <w:rPr>
          <w:spacing w:val="-2"/>
        </w:rPr>
        <w:t> </w:t>
      </w:r>
      <w:r>
        <w:rPr/>
        <w:t>PAPPutty</w:t>
      </w:r>
      <w:r>
        <w:rPr>
          <w:spacing w:val="-1"/>
        </w:rPr>
        <w:t> </w:t>
      </w:r>
      <w:r>
        <w:rPr/>
        <w:t>has</w:t>
      </w:r>
      <w:r>
        <w:rPr>
          <w:spacing w:val="-3"/>
        </w:rPr>
        <w:t> </w:t>
      </w:r>
      <w:r>
        <w:rPr/>
        <w:t>shown</w:t>
      </w:r>
      <w:r>
        <w:rPr>
          <w:spacing w:val="-4"/>
        </w:rPr>
        <w:t> </w:t>
      </w:r>
      <w:r>
        <w:rPr/>
        <w:t>that over</w:t>
      </w:r>
      <w:r>
        <w:rPr>
          <w:spacing w:val="-4"/>
        </w:rPr>
        <w:t> </w:t>
      </w:r>
      <w:r>
        <w:rPr/>
        <w:t>85%</w:t>
      </w:r>
      <w:r>
        <w:rPr>
          <w:spacing w:val="-1"/>
        </w:rPr>
        <w:t> </w:t>
      </w:r>
      <w:r>
        <w:rPr/>
        <w:t>of</w:t>
      </w:r>
      <w:r>
        <w:rPr>
          <w:spacing w:val="-2"/>
        </w:rPr>
        <w:t> </w:t>
      </w:r>
      <w:r>
        <w:rPr/>
        <w:t>trapped</w:t>
      </w:r>
      <w:r>
        <w:rPr>
          <w:spacing w:val="-3"/>
        </w:rPr>
        <w:t> </w:t>
      </w:r>
      <w:r>
        <w:rPr/>
        <w:t>Wild</w:t>
      </w:r>
      <w:r>
        <w:rPr>
          <w:spacing w:val="-4"/>
        </w:rPr>
        <w:t> </w:t>
      </w:r>
      <w:r>
        <w:rPr/>
        <w:t>Dogs</w:t>
      </w:r>
      <w:r>
        <w:rPr>
          <w:spacing w:val="-3"/>
        </w:rPr>
        <w:t> </w:t>
      </w:r>
      <w:r>
        <w:rPr/>
        <w:t>ingested</w:t>
      </w:r>
      <w:r>
        <w:rPr>
          <w:spacing w:val="-3"/>
        </w:rPr>
        <w:t> </w:t>
      </w:r>
      <w:r>
        <w:rPr/>
        <w:t>a</w:t>
      </w:r>
      <w:r>
        <w:rPr>
          <w:spacing w:val="-2"/>
        </w:rPr>
        <w:t> </w:t>
      </w:r>
      <w:r>
        <w:rPr/>
        <w:t>lethal</w:t>
      </w:r>
      <w:r>
        <w:rPr>
          <w:spacing w:val="-3"/>
        </w:rPr>
        <w:t> </w:t>
      </w:r>
      <w:r>
        <w:rPr/>
        <w:t>exposure of</w:t>
      </w:r>
      <w:r>
        <w:rPr>
          <w:spacing w:val="-2"/>
        </w:rPr>
        <w:t> </w:t>
      </w:r>
      <w:r>
        <w:rPr/>
        <w:t>PAPP (Meek et al. 2019). There appears to have not been any uses of PAPPutty in leghold trapping for foxes or Wild Dogs/Dingoes in Victoria. Formal assessment of the welfare impact of leg-hold trapping combined with PAPPutty has not yet been completed.</w:t>
      </w:r>
    </w:p>
    <w:p>
      <w:pPr>
        <w:spacing w:after="0"/>
        <w:sectPr>
          <w:pgSz w:w="11910" w:h="16850"/>
          <w:pgMar w:header="0" w:footer="688" w:top="1060" w:bottom="880" w:left="1020" w:right="780"/>
        </w:sectPr>
      </w:pPr>
    </w:p>
    <w:p>
      <w:pPr>
        <w:pStyle w:val="Heading2"/>
        <w:numPr>
          <w:ilvl w:val="0"/>
          <w:numId w:val="14"/>
        </w:numPr>
        <w:tabs>
          <w:tab w:pos="679" w:val="left" w:leader="none"/>
        </w:tabs>
        <w:spacing w:line="300" w:lineRule="auto" w:before="61" w:after="0"/>
        <w:ind w:left="679" w:right="999" w:hanging="567"/>
        <w:jc w:val="left"/>
      </w:pPr>
      <w:r>
        <w:rPr>
          <w:color w:val="001F5F"/>
        </w:rPr>
        <w:t>Environmental</w:t>
      </w:r>
      <w:r>
        <w:rPr>
          <w:color w:val="001F5F"/>
          <w:spacing w:val="-9"/>
        </w:rPr>
        <w:t> </w:t>
      </w:r>
      <w:r>
        <w:rPr>
          <w:color w:val="001F5F"/>
        </w:rPr>
        <w:t>impacts</w:t>
      </w:r>
      <w:r>
        <w:rPr>
          <w:color w:val="001F5F"/>
          <w:spacing w:val="-7"/>
        </w:rPr>
        <w:t> </w:t>
      </w:r>
      <w:r>
        <w:rPr>
          <w:color w:val="001F5F"/>
        </w:rPr>
        <w:t>of</w:t>
      </w:r>
      <w:r>
        <w:rPr>
          <w:color w:val="001F5F"/>
          <w:spacing w:val="-9"/>
        </w:rPr>
        <w:t> </w:t>
      </w:r>
      <w:r>
        <w:rPr>
          <w:color w:val="001F5F"/>
        </w:rPr>
        <w:t>managing</w:t>
      </w:r>
      <w:r>
        <w:rPr>
          <w:color w:val="001F5F"/>
          <w:spacing w:val="-8"/>
        </w:rPr>
        <w:t> </w:t>
      </w:r>
      <w:r>
        <w:rPr>
          <w:color w:val="001F5F"/>
        </w:rPr>
        <w:t>European</w:t>
      </w:r>
      <w:r>
        <w:rPr>
          <w:color w:val="001F5F"/>
          <w:spacing w:val="-7"/>
        </w:rPr>
        <w:t> </w:t>
      </w:r>
      <w:r>
        <w:rPr>
          <w:color w:val="001F5F"/>
        </w:rPr>
        <w:t>Rabbits, Feral Pigs, Red Foxes and Dingoes and Wild Dogs</w:t>
      </w:r>
    </w:p>
    <w:p>
      <w:pPr>
        <w:pStyle w:val="BodyText"/>
        <w:spacing w:before="164"/>
        <w:rPr>
          <w:b/>
          <w:sz w:val="32"/>
        </w:rPr>
      </w:pPr>
    </w:p>
    <w:p>
      <w:pPr>
        <w:pStyle w:val="BodyText"/>
        <w:ind w:left="112" w:right="247"/>
      </w:pPr>
      <w:r>
        <w:rPr/>
        <w:t>Social</w:t>
      </w:r>
      <w:r>
        <w:rPr>
          <w:spacing w:val="-3"/>
        </w:rPr>
        <w:t> </w:t>
      </w:r>
      <w:r>
        <w:rPr/>
        <w:t>license</w:t>
      </w:r>
      <w:r>
        <w:rPr>
          <w:spacing w:val="-4"/>
        </w:rPr>
        <w:t> </w:t>
      </w:r>
      <w:r>
        <w:rPr/>
        <w:t>to</w:t>
      </w:r>
      <w:r>
        <w:rPr>
          <w:spacing w:val="-2"/>
        </w:rPr>
        <w:t> </w:t>
      </w:r>
      <w:r>
        <w:rPr/>
        <w:t>operate</w:t>
      </w:r>
      <w:r>
        <w:rPr>
          <w:spacing w:val="-5"/>
        </w:rPr>
        <w:t> </w:t>
      </w:r>
      <w:r>
        <w:rPr/>
        <w:t>(SLO)</w:t>
      </w:r>
      <w:r>
        <w:rPr>
          <w:spacing w:val="-3"/>
        </w:rPr>
        <w:t> </w:t>
      </w:r>
      <w:r>
        <w:rPr/>
        <w:t>relates</w:t>
      </w:r>
      <w:r>
        <w:rPr>
          <w:spacing w:val="-3"/>
        </w:rPr>
        <w:t> </w:t>
      </w:r>
      <w:r>
        <w:rPr/>
        <w:t>to</w:t>
      </w:r>
      <w:r>
        <w:rPr>
          <w:spacing w:val="-5"/>
        </w:rPr>
        <w:t> </w:t>
      </w:r>
      <w:r>
        <w:rPr/>
        <w:t>community</w:t>
      </w:r>
      <w:r>
        <w:rPr>
          <w:spacing w:val="-3"/>
        </w:rPr>
        <w:t> </w:t>
      </w:r>
      <w:r>
        <w:rPr/>
        <w:t>acceptance</w:t>
      </w:r>
      <w:r>
        <w:rPr>
          <w:spacing w:val="-4"/>
        </w:rPr>
        <w:t> </w:t>
      </w:r>
      <w:r>
        <w:rPr/>
        <w:t>(or</w:t>
      </w:r>
      <w:r>
        <w:rPr>
          <w:spacing w:val="-3"/>
        </w:rPr>
        <w:t> </w:t>
      </w:r>
      <w:r>
        <w:rPr/>
        <w:t>not)</w:t>
      </w:r>
      <w:r>
        <w:rPr>
          <w:spacing w:val="-4"/>
        </w:rPr>
        <w:t> </w:t>
      </w:r>
      <w:r>
        <w:rPr/>
        <w:t>of activities</w:t>
      </w:r>
      <w:r>
        <w:rPr>
          <w:spacing w:val="-2"/>
        </w:rPr>
        <w:t> </w:t>
      </w:r>
      <w:r>
        <w:rPr/>
        <w:t>conducted</w:t>
      </w:r>
      <w:r>
        <w:rPr>
          <w:spacing w:val="-4"/>
        </w:rPr>
        <w:t> </w:t>
      </w:r>
      <w:r>
        <w:rPr/>
        <w:t>as</w:t>
      </w:r>
      <w:r>
        <w:rPr>
          <w:spacing w:val="-3"/>
        </w:rPr>
        <w:t> </w:t>
      </w:r>
      <w:r>
        <w:rPr/>
        <w:t>the legitimate business of an agency or organisation. Negative externalities can factor into the status and maintenance of social licence (Dumbrell et al. 2020). For pest animal management practices, these externalities potentially include animal welfare and impacts on natural environments.</w:t>
      </w:r>
    </w:p>
    <w:p>
      <w:pPr>
        <w:pStyle w:val="BodyText"/>
        <w:spacing w:before="120"/>
        <w:ind w:left="112" w:right="278"/>
      </w:pPr>
      <w:r>
        <w:rPr/>
        <w:t>Where</w:t>
      </w:r>
      <w:r>
        <w:rPr>
          <w:spacing w:val="-2"/>
        </w:rPr>
        <w:t> </w:t>
      </w:r>
      <w:r>
        <w:rPr/>
        <w:t>pest</w:t>
      </w:r>
      <w:r>
        <w:rPr>
          <w:spacing w:val="-2"/>
        </w:rPr>
        <w:t> </w:t>
      </w:r>
      <w:r>
        <w:rPr/>
        <w:t>animal</w:t>
      </w:r>
      <w:r>
        <w:rPr>
          <w:spacing w:val="-5"/>
        </w:rPr>
        <w:t> </w:t>
      </w:r>
      <w:r>
        <w:rPr/>
        <w:t>management</w:t>
      </w:r>
      <w:r>
        <w:rPr>
          <w:spacing w:val="-2"/>
        </w:rPr>
        <w:t> </w:t>
      </w:r>
      <w:r>
        <w:rPr/>
        <w:t>practices</w:t>
      </w:r>
      <w:r>
        <w:rPr>
          <w:spacing w:val="-3"/>
        </w:rPr>
        <w:t> </w:t>
      </w:r>
      <w:r>
        <w:rPr/>
        <w:t>are</w:t>
      </w:r>
      <w:r>
        <w:rPr>
          <w:spacing w:val="-4"/>
        </w:rPr>
        <w:t> </w:t>
      </w:r>
      <w:r>
        <w:rPr/>
        <w:t>shown</w:t>
      </w:r>
      <w:r>
        <w:rPr>
          <w:spacing w:val="-4"/>
        </w:rPr>
        <w:t> </w:t>
      </w:r>
      <w:r>
        <w:rPr/>
        <w:t>(or</w:t>
      </w:r>
      <w:r>
        <w:rPr>
          <w:spacing w:val="-3"/>
        </w:rPr>
        <w:t> </w:t>
      </w:r>
      <w:r>
        <w:rPr/>
        <w:t>even</w:t>
      </w:r>
      <w:r>
        <w:rPr>
          <w:spacing w:val="-5"/>
        </w:rPr>
        <w:t> </w:t>
      </w:r>
      <w:r>
        <w:rPr/>
        <w:t>perceived)</w:t>
      </w:r>
      <w:r>
        <w:rPr>
          <w:spacing w:val="-1"/>
        </w:rPr>
        <w:t> </w:t>
      </w:r>
      <w:r>
        <w:rPr/>
        <w:t>to</w:t>
      </w:r>
      <w:r>
        <w:rPr>
          <w:spacing w:val="-5"/>
        </w:rPr>
        <w:t> </w:t>
      </w:r>
      <w:r>
        <w:rPr/>
        <w:t>cause</w:t>
      </w:r>
      <w:r>
        <w:rPr>
          <w:spacing w:val="-4"/>
        </w:rPr>
        <w:t> </w:t>
      </w:r>
      <w:r>
        <w:rPr/>
        <w:t>pollution</w:t>
      </w:r>
      <w:r>
        <w:rPr>
          <w:spacing w:val="-5"/>
        </w:rPr>
        <w:t> </w:t>
      </w:r>
      <w:r>
        <w:rPr/>
        <w:t>of</w:t>
      </w:r>
      <w:r>
        <w:rPr>
          <w:spacing w:val="-4"/>
        </w:rPr>
        <w:t> </w:t>
      </w:r>
      <w:r>
        <w:rPr/>
        <w:t>water,</w:t>
      </w:r>
      <w:r>
        <w:rPr>
          <w:spacing w:val="-4"/>
        </w:rPr>
        <w:t> </w:t>
      </w:r>
      <w:r>
        <w:rPr/>
        <w:t>soil</w:t>
      </w:r>
      <w:r>
        <w:rPr>
          <w:spacing w:val="-5"/>
        </w:rPr>
        <w:t> </w:t>
      </w:r>
      <w:r>
        <w:rPr/>
        <w:t>or air, biodiversity loss or land degradation (Dumbrell et al. 2021), this may decrease community acceptance.</w:t>
      </w:r>
    </w:p>
    <w:p>
      <w:pPr>
        <w:pStyle w:val="BodyText"/>
        <w:spacing w:before="155"/>
      </w:pPr>
    </w:p>
    <w:p>
      <w:pPr>
        <w:pStyle w:val="Heading3"/>
        <w:numPr>
          <w:ilvl w:val="1"/>
          <w:numId w:val="27"/>
        </w:numPr>
        <w:tabs>
          <w:tab w:pos="686" w:val="left" w:leader="none"/>
        </w:tabs>
        <w:spacing w:line="240" w:lineRule="auto" w:before="0" w:after="0"/>
        <w:ind w:left="686" w:right="0" w:hanging="574"/>
        <w:jc w:val="left"/>
      </w:pPr>
      <w:r>
        <w:rPr>
          <w:color w:val="2D1E66"/>
        </w:rPr>
        <w:t>Toxic</w:t>
      </w:r>
      <w:r>
        <w:rPr>
          <w:color w:val="2D1E66"/>
          <w:spacing w:val="-2"/>
        </w:rPr>
        <w:t> baiting</w:t>
      </w:r>
    </w:p>
    <w:p>
      <w:pPr>
        <w:pStyle w:val="Heading5"/>
        <w:spacing w:before="139"/>
        <w:ind w:left="112" w:firstLine="0"/>
      </w:pPr>
      <w:r>
        <w:rPr/>
        <w:t>16.1.1</w:t>
      </w:r>
      <w:r>
        <w:rPr>
          <w:spacing w:val="42"/>
        </w:rPr>
        <w:t> </w:t>
      </w:r>
      <w:r>
        <w:rPr>
          <w:spacing w:val="-4"/>
        </w:rPr>
        <w:t>1080</w:t>
      </w:r>
    </w:p>
    <w:p>
      <w:pPr>
        <w:pStyle w:val="BodyText"/>
        <w:spacing w:before="57"/>
        <w:ind w:left="112" w:right="364"/>
      </w:pPr>
      <w:r>
        <w:rPr/>
        <w:t>Label</w:t>
      </w:r>
      <w:r>
        <w:rPr>
          <w:spacing w:val="-4"/>
        </w:rPr>
        <w:t> </w:t>
      </w:r>
      <w:r>
        <w:rPr/>
        <w:t>instructions</w:t>
      </w:r>
      <w:r>
        <w:rPr>
          <w:spacing w:val="-4"/>
        </w:rPr>
        <w:t> </w:t>
      </w:r>
      <w:r>
        <w:rPr/>
        <w:t>for</w:t>
      </w:r>
      <w:r>
        <w:rPr>
          <w:spacing w:val="-4"/>
        </w:rPr>
        <w:t> </w:t>
      </w:r>
      <w:r>
        <w:rPr/>
        <w:t>1080</w:t>
      </w:r>
      <w:r>
        <w:rPr>
          <w:spacing w:val="-3"/>
        </w:rPr>
        <w:t> </w:t>
      </w:r>
      <w:r>
        <w:rPr/>
        <w:t>products</w:t>
      </w:r>
      <w:r>
        <w:rPr>
          <w:spacing w:val="-4"/>
        </w:rPr>
        <w:t> </w:t>
      </w:r>
      <w:r>
        <w:rPr/>
        <w:t>typically</w:t>
      </w:r>
      <w:r>
        <w:rPr>
          <w:spacing w:val="-4"/>
        </w:rPr>
        <w:t> </w:t>
      </w:r>
      <w:r>
        <w:rPr/>
        <w:t>include</w:t>
      </w:r>
      <w:r>
        <w:rPr>
          <w:spacing w:val="-3"/>
        </w:rPr>
        <w:t> </w:t>
      </w:r>
      <w:r>
        <w:rPr/>
        <w:t>specifications</w:t>
      </w:r>
      <w:r>
        <w:rPr>
          <w:spacing w:val="-4"/>
        </w:rPr>
        <w:t> </w:t>
      </w:r>
      <w:r>
        <w:rPr/>
        <w:t>to</w:t>
      </w:r>
      <w:r>
        <w:rPr>
          <w:spacing w:val="-4"/>
        </w:rPr>
        <w:t> </w:t>
      </w:r>
      <w:r>
        <w:rPr/>
        <w:t>prevent</w:t>
      </w:r>
      <w:r>
        <w:rPr>
          <w:spacing w:val="-3"/>
        </w:rPr>
        <w:t> </w:t>
      </w:r>
      <w:r>
        <w:rPr/>
        <w:t>toxic</w:t>
      </w:r>
      <w:r>
        <w:rPr>
          <w:spacing w:val="-4"/>
        </w:rPr>
        <w:t> </w:t>
      </w:r>
      <w:r>
        <w:rPr/>
        <w:t>bait</w:t>
      </w:r>
      <w:r>
        <w:rPr>
          <w:spacing w:val="-3"/>
        </w:rPr>
        <w:t> </w:t>
      </w:r>
      <w:r>
        <w:rPr/>
        <w:t>from</w:t>
      </w:r>
      <w:r>
        <w:rPr>
          <w:spacing w:val="-3"/>
        </w:rPr>
        <w:t> </w:t>
      </w:r>
      <w:r>
        <w:rPr/>
        <w:t>entering</w:t>
      </w:r>
      <w:r>
        <w:rPr>
          <w:spacing w:val="-3"/>
        </w:rPr>
        <w:t> </w:t>
      </w:r>
      <w:r>
        <w:rPr/>
        <w:t>bodies of water. 1080 is highly water soluble (Atzert 1971) so if baits are exposed to water (for example through rainfall or being moved by an animal), any toxin that leaches from the baits into water will be rapidly diluted and dispersed (e.g. Suren 2006). Parfitt et al. (1994) found that 1080 was degraded in biologically active water in 2–6 days, and Eason et al. (1993) showed that 1080 concentrations placed in aquaria containing plants and invertebrates declined by approximately 70% in 1 day and to below detectable limits in 4 days.</w:t>
      </w:r>
    </w:p>
    <w:p>
      <w:pPr>
        <w:pStyle w:val="BodyText"/>
        <w:spacing w:before="120"/>
        <w:ind w:left="112" w:right="403"/>
      </w:pPr>
      <w:r>
        <w:rPr/>
        <w:t>1080 is biodegraded by a range of micro-organisms, including bacteria and fungi, that are naturally present</w:t>
      </w:r>
      <w:r>
        <w:rPr/>
        <w:t> in soil (Gentle and Cother 2014). The major microbial degradation pathway for 1080 in soil is to the hydroxyl metabolite, hydroxyacetic acid, and mineralisation to carbon dioxide as the major transformation product (Northcott et al. 2014). Temperature, rather than soil type or moisture content, appears to be the dominant factor</w:t>
      </w:r>
      <w:r>
        <w:rPr>
          <w:spacing w:val="-4"/>
        </w:rPr>
        <w:t> </w:t>
      </w:r>
      <w:r>
        <w:rPr/>
        <w:t>affecting</w:t>
      </w:r>
      <w:r>
        <w:rPr>
          <w:spacing w:val="-4"/>
        </w:rPr>
        <w:t> </w:t>
      </w:r>
      <w:r>
        <w:rPr/>
        <w:t>the</w:t>
      </w:r>
      <w:r>
        <w:rPr>
          <w:spacing w:val="-4"/>
        </w:rPr>
        <w:t> </w:t>
      </w:r>
      <w:r>
        <w:rPr/>
        <w:t>rate</w:t>
      </w:r>
      <w:r>
        <w:rPr>
          <w:spacing w:val="-2"/>
        </w:rPr>
        <w:t> </w:t>
      </w:r>
      <w:r>
        <w:rPr/>
        <w:t>of</w:t>
      </w:r>
      <w:r>
        <w:rPr>
          <w:spacing w:val="-2"/>
        </w:rPr>
        <w:t> </w:t>
      </w:r>
      <w:r>
        <w:rPr/>
        <w:t>degradation,</w:t>
      </w:r>
      <w:r>
        <w:rPr>
          <w:spacing w:val="-4"/>
        </w:rPr>
        <w:t> </w:t>
      </w:r>
      <w:r>
        <w:rPr/>
        <w:t>with</w:t>
      </w:r>
      <w:r>
        <w:rPr>
          <w:spacing w:val="-2"/>
        </w:rPr>
        <w:t> </w:t>
      </w:r>
      <w:r>
        <w:rPr/>
        <w:t>the</w:t>
      </w:r>
      <w:r>
        <w:rPr>
          <w:spacing w:val="-2"/>
        </w:rPr>
        <w:t> </w:t>
      </w:r>
      <w:r>
        <w:rPr/>
        <w:t>rate</w:t>
      </w:r>
      <w:r>
        <w:rPr>
          <w:spacing w:val="-3"/>
        </w:rPr>
        <w:t> </w:t>
      </w:r>
      <w:r>
        <w:rPr/>
        <w:t>of</w:t>
      </w:r>
      <w:r>
        <w:rPr>
          <w:spacing w:val="-2"/>
        </w:rPr>
        <w:t> </w:t>
      </w:r>
      <w:r>
        <w:rPr/>
        <w:t>degradation being</w:t>
      </w:r>
      <w:r>
        <w:rPr>
          <w:spacing w:val="-3"/>
        </w:rPr>
        <w:t> </w:t>
      </w:r>
      <w:r>
        <w:rPr/>
        <w:t>more</w:t>
      </w:r>
      <w:r>
        <w:rPr>
          <w:spacing w:val="-3"/>
        </w:rPr>
        <w:t> </w:t>
      </w:r>
      <w:r>
        <w:rPr/>
        <w:t>rapid</w:t>
      </w:r>
      <w:r>
        <w:rPr>
          <w:spacing w:val="-2"/>
        </w:rPr>
        <w:t> </w:t>
      </w:r>
      <w:r>
        <w:rPr/>
        <w:t>at</w:t>
      </w:r>
      <w:r>
        <w:rPr>
          <w:spacing w:val="-4"/>
        </w:rPr>
        <w:t> </w:t>
      </w:r>
      <w:r>
        <w:rPr/>
        <w:t>higher</w:t>
      </w:r>
      <w:r>
        <w:rPr>
          <w:spacing w:val="-3"/>
        </w:rPr>
        <w:t> </w:t>
      </w:r>
      <w:r>
        <w:rPr/>
        <w:t>temperatures. A laboratory trial measured the transformation half-life of 1080 in three soil types, which increased with decreasing</w:t>
      </w:r>
      <w:r>
        <w:rPr>
          <w:spacing w:val="-3"/>
        </w:rPr>
        <w:t> </w:t>
      </w:r>
      <w:r>
        <w:rPr/>
        <w:t>temperature,</w:t>
      </w:r>
      <w:r>
        <w:rPr>
          <w:spacing w:val="-1"/>
        </w:rPr>
        <w:t> </w:t>
      </w:r>
      <w:r>
        <w:rPr/>
        <w:t>varying</w:t>
      </w:r>
      <w:r>
        <w:rPr>
          <w:spacing w:val="-4"/>
        </w:rPr>
        <w:t> </w:t>
      </w:r>
      <w:r>
        <w:rPr/>
        <w:t>from</w:t>
      </w:r>
      <w:r>
        <w:rPr>
          <w:spacing w:val="-1"/>
        </w:rPr>
        <w:t> </w:t>
      </w:r>
      <w:r>
        <w:rPr/>
        <w:t>6–8</w:t>
      </w:r>
      <w:r>
        <w:rPr>
          <w:spacing w:val="-3"/>
        </w:rPr>
        <w:t> </w:t>
      </w:r>
      <w:r>
        <w:rPr/>
        <w:t>d</w:t>
      </w:r>
      <w:r>
        <w:rPr>
          <w:spacing w:val="-2"/>
        </w:rPr>
        <w:t> </w:t>
      </w:r>
      <w:r>
        <w:rPr/>
        <w:t>at</w:t>
      </w:r>
      <w:r>
        <w:rPr>
          <w:spacing w:val="-3"/>
        </w:rPr>
        <w:t> </w:t>
      </w:r>
      <w:r>
        <w:rPr/>
        <w:t>20</w:t>
      </w:r>
      <w:r>
        <w:rPr>
          <w:spacing w:val="-3"/>
        </w:rPr>
        <w:t> </w:t>
      </w:r>
      <w:r>
        <w:rPr/>
        <w:t>°C,</w:t>
      </w:r>
      <w:r>
        <w:rPr>
          <w:spacing w:val="-3"/>
        </w:rPr>
        <w:t> </w:t>
      </w:r>
      <w:r>
        <w:rPr/>
        <w:t>10–21</w:t>
      </w:r>
      <w:r>
        <w:rPr>
          <w:spacing w:val="-1"/>
        </w:rPr>
        <w:t> </w:t>
      </w:r>
      <w:r>
        <w:rPr/>
        <w:t>d</w:t>
      </w:r>
      <w:r>
        <w:rPr>
          <w:spacing w:val="-4"/>
        </w:rPr>
        <w:t> </w:t>
      </w:r>
      <w:r>
        <w:rPr/>
        <w:t>at</w:t>
      </w:r>
      <w:r>
        <w:rPr>
          <w:spacing w:val="-3"/>
        </w:rPr>
        <w:t> </w:t>
      </w:r>
      <w:r>
        <w:rPr/>
        <w:t>10 °C,</w:t>
      </w:r>
      <w:r>
        <w:rPr>
          <w:spacing w:val="-1"/>
        </w:rPr>
        <w:t> </w:t>
      </w:r>
      <w:r>
        <w:rPr/>
        <w:t>and</w:t>
      </w:r>
      <w:r>
        <w:rPr>
          <w:spacing w:val="-1"/>
        </w:rPr>
        <w:t> </w:t>
      </w:r>
      <w:r>
        <w:rPr/>
        <w:t>22–43</w:t>
      </w:r>
      <w:r>
        <w:rPr>
          <w:spacing w:val="-1"/>
        </w:rPr>
        <w:t> </w:t>
      </w:r>
      <w:r>
        <w:rPr/>
        <w:t>d</w:t>
      </w:r>
      <w:r>
        <w:rPr>
          <w:spacing w:val="-4"/>
        </w:rPr>
        <w:t> </w:t>
      </w:r>
      <w:r>
        <w:rPr/>
        <w:t>at</w:t>
      </w:r>
      <w:r>
        <w:rPr>
          <w:spacing w:val="-1"/>
        </w:rPr>
        <w:t> </w:t>
      </w:r>
      <w:r>
        <w:rPr/>
        <w:t>5</w:t>
      </w:r>
      <w:r>
        <w:rPr>
          <w:spacing w:val="-3"/>
        </w:rPr>
        <w:t> </w:t>
      </w:r>
      <w:r>
        <w:rPr/>
        <w:t>°C</w:t>
      </w:r>
      <w:r>
        <w:rPr>
          <w:spacing w:val="-3"/>
        </w:rPr>
        <w:t> </w:t>
      </w:r>
      <w:r>
        <w:rPr/>
        <w:t>(Northcott</w:t>
      </w:r>
      <w:r>
        <w:rPr>
          <w:spacing w:val="-1"/>
        </w:rPr>
        <w:t> </w:t>
      </w:r>
      <w:r>
        <w:rPr/>
        <w:t>et</w:t>
      </w:r>
      <w:r>
        <w:rPr>
          <w:spacing w:val="-1"/>
        </w:rPr>
        <w:t> </w:t>
      </w:r>
      <w:r>
        <w:rPr/>
        <w:t>al. </w:t>
      </w:r>
      <w:r>
        <w:rPr>
          <w:spacing w:val="-2"/>
        </w:rPr>
        <w:t>2014).</w:t>
      </w:r>
    </w:p>
    <w:p>
      <w:pPr>
        <w:pStyle w:val="BodyText"/>
        <w:spacing w:before="121"/>
        <w:ind w:left="112"/>
      </w:pPr>
      <w:r>
        <w:rPr/>
        <w:t>A range of studies have shown that sub-lethal exposures of 1080 are readily metabolised and excreted by mammals,</w:t>
      </w:r>
      <w:r>
        <w:rPr>
          <w:spacing w:val="-3"/>
        </w:rPr>
        <w:t> </w:t>
      </w:r>
      <w:r>
        <w:rPr/>
        <w:t>such</w:t>
      </w:r>
      <w:r>
        <w:rPr>
          <w:spacing w:val="-3"/>
        </w:rPr>
        <w:t> </w:t>
      </w:r>
      <w:r>
        <w:rPr/>
        <w:t>that</w:t>
      </w:r>
      <w:r>
        <w:rPr>
          <w:spacing w:val="-3"/>
        </w:rPr>
        <w:t> </w:t>
      </w:r>
      <w:r>
        <w:rPr/>
        <w:t>residual</w:t>
      </w:r>
      <w:r>
        <w:rPr>
          <w:spacing w:val="-4"/>
        </w:rPr>
        <w:t> </w:t>
      </w:r>
      <w:r>
        <w:rPr/>
        <w:t>concentrations</w:t>
      </w:r>
      <w:r>
        <w:rPr>
          <w:spacing w:val="-1"/>
        </w:rPr>
        <w:t> </w:t>
      </w:r>
      <w:r>
        <w:rPr/>
        <w:t>are</w:t>
      </w:r>
      <w:r>
        <w:rPr>
          <w:spacing w:val="-3"/>
        </w:rPr>
        <w:t> </w:t>
      </w:r>
      <w:r>
        <w:rPr/>
        <w:t>cleared</w:t>
      </w:r>
      <w:r>
        <w:rPr>
          <w:spacing w:val="-3"/>
        </w:rPr>
        <w:t> </w:t>
      </w:r>
      <w:r>
        <w:rPr/>
        <w:t>from</w:t>
      </w:r>
      <w:r>
        <w:rPr>
          <w:spacing w:val="-3"/>
        </w:rPr>
        <w:t> </w:t>
      </w:r>
      <w:r>
        <w:rPr/>
        <w:t>living</w:t>
      </w:r>
      <w:r>
        <w:rPr>
          <w:spacing w:val="-3"/>
        </w:rPr>
        <w:t> </w:t>
      </w:r>
      <w:r>
        <w:rPr/>
        <w:t>animals</w:t>
      </w:r>
      <w:r>
        <w:rPr>
          <w:spacing w:val="-2"/>
        </w:rPr>
        <w:t> </w:t>
      </w:r>
      <w:r>
        <w:rPr/>
        <w:t>within</w:t>
      </w:r>
      <w:r>
        <w:rPr>
          <w:spacing w:val="-3"/>
        </w:rPr>
        <w:t> </w:t>
      </w:r>
      <w:r>
        <w:rPr/>
        <w:t>a</w:t>
      </w:r>
      <w:r>
        <w:rPr>
          <w:spacing w:val="-4"/>
        </w:rPr>
        <w:t> </w:t>
      </w:r>
      <w:r>
        <w:rPr/>
        <w:t>few</w:t>
      </w:r>
      <w:r>
        <w:rPr>
          <w:spacing w:val="-3"/>
        </w:rPr>
        <w:t> </w:t>
      </w:r>
      <w:r>
        <w:rPr/>
        <w:t>days. Consequently, 1080 is not considered to be bioaccumulative through food webs. In possums that have been sub-lethally poisoned, 1080 has a half-life of 9 hours, suggesting no significant amount of 1080 would be expected in the tissues of live possums 4 days after exposure (Eason et al. 2012).</w:t>
      </w:r>
    </w:p>
    <w:p>
      <w:pPr>
        <w:pStyle w:val="BodyText"/>
        <w:spacing w:before="120"/>
        <w:ind w:left="112" w:right="247"/>
      </w:pPr>
      <w:r>
        <w:rPr/>
        <w:t>1080</w:t>
      </w:r>
      <w:r>
        <w:rPr>
          <w:spacing w:val="-2"/>
        </w:rPr>
        <w:t> </w:t>
      </w:r>
      <w:r>
        <w:rPr/>
        <w:t>has</w:t>
      </w:r>
      <w:r>
        <w:rPr>
          <w:spacing w:val="-3"/>
        </w:rPr>
        <w:t> </w:t>
      </w:r>
      <w:r>
        <w:rPr/>
        <w:t>the</w:t>
      </w:r>
      <w:r>
        <w:rPr>
          <w:spacing w:val="-5"/>
        </w:rPr>
        <w:t> </w:t>
      </w:r>
      <w:r>
        <w:rPr/>
        <w:t>potential</w:t>
      </w:r>
      <w:r>
        <w:rPr>
          <w:spacing w:val="-5"/>
        </w:rPr>
        <w:t> </w:t>
      </w:r>
      <w:r>
        <w:rPr/>
        <w:t>for</w:t>
      </w:r>
      <w:r>
        <w:rPr>
          <w:spacing w:val="-4"/>
        </w:rPr>
        <w:t> </w:t>
      </w:r>
      <w:r>
        <w:rPr/>
        <w:t>secondary</w:t>
      </w:r>
      <w:r>
        <w:rPr>
          <w:spacing w:val="-3"/>
        </w:rPr>
        <w:t> </w:t>
      </w:r>
      <w:r>
        <w:rPr/>
        <w:t>exposure</w:t>
      </w:r>
      <w:r>
        <w:rPr>
          <w:spacing w:val="-4"/>
        </w:rPr>
        <w:t> </w:t>
      </w:r>
      <w:r>
        <w:rPr/>
        <w:t>of</w:t>
      </w:r>
      <w:r>
        <w:rPr>
          <w:spacing w:val="-2"/>
        </w:rPr>
        <w:t> </w:t>
      </w:r>
      <w:r>
        <w:rPr/>
        <w:t>scavengers</w:t>
      </w:r>
      <w:r>
        <w:rPr>
          <w:spacing w:val="-3"/>
        </w:rPr>
        <w:t> </w:t>
      </w:r>
      <w:r>
        <w:rPr/>
        <w:t>feeding</w:t>
      </w:r>
      <w:r>
        <w:rPr>
          <w:spacing w:val="-2"/>
        </w:rPr>
        <w:t> </w:t>
      </w:r>
      <w:r>
        <w:rPr/>
        <w:t>on</w:t>
      </w:r>
      <w:r>
        <w:rPr>
          <w:spacing w:val="-3"/>
        </w:rPr>
        <w:t> </w:t>
      </w:r>
      <w:r>
        <w:rPr/>
        <w:t>the</w:t>
      </w:r>
      <w:r>
        <w:rPr>
          <w:spacing w:val="-5"/>
        </w:rPr>
        <w:t> </w:t>
      </w:r>
      <w:r>
        <w:rPr/>
        <w:t>carcasses</w:t>
      </w:r>
      <w:r>
        <w:rPr>
          <w:spacing w:val="-3"/>
        </w:rPr>
        <w:t> </w:t>
      </w:r>
      <w:r>
        <w:rPr/>
        <w:t>of</w:t>
      </w:r>
      <w:r>
        <w:rPr>
          <w:spacing w:val="-4"/>
        </w:rPr>
        <w:t> </w:t>
      </w:r>
      <w:r>
        <w:rPr/>
        <w:t>poisoned</w:t>
      </w:r>
      <w:r>
        <w:rPr>
          <w:spacing w:val="-4"/>
        </w:rPr>
        <w:t> </w:t>
      </w:r>
      <w:r>
        <w:rPr/>
        <w:t>animals, with the highest risk of a lethal secondary exposure for relatively sensitive species such as dogs and cats.</w:t>
      </w:r>
    </w:p>
    <w:p>
      <w:pPr>
        <w:pStyle w:val="BodyText"/>
        <w:ind w:left="112"/>
      </w:pPr>
      <w:r>
        <w:rPr/>
        <w:t>When other species, such as insects or birds, come into contact with 1080 through scavenging poisoned carcasses,</w:t>
      </w:r>
      <w:r>
        <w:rPr>
          <w:spacing w:val="-5"/>
        </w:rPr>
        <w:t> </w:t>
      </w:r>
      <w:r>
        <w:rPr/>
        <w:t>sub-lethal</w:t>
      </w:r>
      <w:r>
        <w:rPr>
          <w:spacing w:val="-6"/>
        </w:rPr>
        <w:t> </w:t>
      </w:r>
      <w:r>
        <w:rPr/>
        <w:t>poisoning,</w:t>
      </w:r>
      <w:r>
        <w:rPr>
          <w:spacing w:val="-5"/>
        </w:rPr>
        <w:t> </w:t>
      </w:r>
      <w:r>
        <w:rPr/>
        <w:t>further</w:t>
      </w:r>
      <w:r>
        <w:rPr>
          <w:spacing w:val="-4"/>
        </w:rPr>
        <w:t> </w:t>
      </w:r>
      <w:r>
        <w:rPr/>
        <w:t>biodegradation,</w:t>
      </w:r>
      <w:r>
        <w:rPr>
          <w:spacing w:val="-5"/>
        </w:rPr>
        <w:t> </w:t>
      </w:r>
      <w:r>
        <w:rPr/>
        <w:t>and</w:t>
      </w:r>
      <w:r>
        <w:rPr>
          <w:spacing w:val="-3"/>
        </w:rPr>
        <w:t> </w:t>
      </w:r>
      <w:r>
        <w:rPr/>
        <w:t>limited</w:t>
      </w:r>
      <w:r>
        <w:rPr>
          <w:spacing w:val="-4"/>
        </w:rPr>
        <w:t> </w:t>
      </w:r>
      <w:r>
        <w:rPr/>
        <w:t>trophic</w:t>
      </w:r>
      <w:r>
        <w:rPr>
          <w:spacing w:val="-4"/>
        </w:rPr>
        <w:t> </w:t>
      </w:r>
      <w:r>
        <w:rPr/>
        <w:t>transfer</w:t>
      </w:r>
      <w:r>
        <w:rPr>
          <w:spacing w:val="-4"/>
        </w:rPr>
        <w:t> </w:t>
      </w:r>
      <w:r>
        <w:rPr/>
        <w:t>are</w:t>
      </w:r>
      <w:r>
        <w:rPr>
          <w:spacing w:val="-5"/>
        </w:rPr>
        <w:t> </w:t>
      </w:r>
      <w:r>
        <w:rPr/>
        <w:t>the</w:t>
      </w:r>
      <w:r>
        <w:rPr>
          <w:spacing w:val="-3"/>
        </w:rPr>
        <w:t> </w:t>
      </w:r>
      <w:r>
        <w:rPr/>
        <w:t>likely</w:t>
      </w:r>
      <w:r>
        <w:rPr>
          <w:spacing w:val="-4"/>
        </w:rPr>
        <w:t> </w:t>
      </w:r>
      <w:r>
        <w:rPr/>
        <w:t>outcomes because insects and birds are less sensitive to 1080 than dogs (Eason et al. 2012).</w:t>
      </w:r>
    </w:p>
    <w:p>
      <w:pPr>
        <w:pStyle w:val="BodyText"/>
        <w:spacing w:before="120"/>
        <w:ind w:left="112" w:right="380"/>
      </w:pPr>
      <w:r>
        <w:rPr/>
        <w:t>Degradation of residual 1080 concentrations in carcasses is facilitated by various processes including microbial defluorination of fluoroacetate, leaching of 1080 from the carcass into the soil, and/or tissue autolysis (Eason et al. 2012). The degradation rate of residual 1080 in carcasses is expected to be most rapid</w:t>
      </w:r>
      <w:r>
        <w:rPr>
          <w:spacing w:val="-2"/>
        </w:rPr>
        <w:t> </w:t>
      </w:r>
      <w:r>
        <w:rPr/>
        <w:t>under</w:t>
      </w:r>
      <w:r>
        <w:rPr>
          <w:spacing w:val="-3"/>
        </w:rPr>
        <w:t> </w:t>
      </w:r>
      <w:r>
        <w:rPr/>
        <w:t>relatively</w:t>
      </w:r>
      <w:r>
        <w:rPr>
          <w:spacing w:val="-3"/>
        </w:rPr>
        <w:t> </w:t>
      </w:r>
      <w:r>
        <w:rPr/>
        <w:t>warm</w:t>
      </w:r>
      <w:r>
        <w:rPr>
          <w:spacing w:val="-2"/>
        </w:rPr>
        <w:t> </w:t>
      </w:r>
      <w:r>
        <w:rPr/>
        <w:t>and</w:t>
      </w:r>
      <w:r>
        <w:rPr>
          <w:spacing w:val="-2"/>
        </w:rPr>
        <w:t> </w:t>
      </w:r>
      <w:r>
        <w:rPr/>
        <w:t>wet</w:t>
      </w:r>
      <w:r>
        <w:rPr>
          <w:spacing w:val="-2"/>
        </w:rPr>
        <w:t> </w:t>
      </w:r>
      <w:r>
        <w:rPr/>
        <w:t>environmental</w:t>
      </w:r>
      <w:r>
        <w:rPr>
          <w:spacing w:val="-5"/>
        </w:rPr>
        <w:t> </w:t>
      </w:r>
      <w:r>
        <w:rPr/>
        <w:t>conditions,</w:t>
      </w:r>
      <w:r>
        <w:rPr>
          <w:spacing w:val="-2"/>
        </w:rPr>
        <w:t> </w:t>
      </w:r>
      <w:r>
        <w:rPr/>
        <w:t>and</w:t>
      </w:r>
      <w:r>
        <w:rPr>
          <w:spacing w:val="-4"/>
        </w:rPr>
        <w:t> </w:t>
      </w:r>
      <w:r>
        <w:rPr/>
        <w:t>slower</w:t>
      </w:r>
      <w:r>
        <w:rPr>
          <w:spacing w:val="-2"/>
        </w:rPr>
        <w:t> </w:t>
      </w:r>
      <w:r>
        <w:rPr/>
        <w:t>under</w:t>
      </w:r>
      <w:r>
        <w:rPr>
          <w:spacing w:val="-4"/>
        </w:rPr>
        <w:t> </w:t>
      </w:r>
      <w:r>
        <w:rPr/>
        <w:t>dry</w:t>
      </w:r>
      <w:r>
        <w:rPr>
          <w:spacing w:val="-3"/>
        </w:rPr>
        <w:t> </w:t>
      </w:r>
      <w:r>
        <w:rPr/>
        <w:t>and/or</w:t>
      </w:r>
      <w:r>
        <w:rPr>
          <w:spacing w:val="-3"/>
        </w:rPr>
        <w:t> </w:t>
      </w:r>
      <w:r>
        <w:rPr/>
        <w:t>cold</w:t>
      </w:r>
      <w:r>
        <w:rPr>
          <w:spacing w:val="-4"/>
        </w:rPr>
        <w:t> </w:t>
      </w:r>
      <w:r>
        <w:rPr/>
        <w:t>conditions (Eason et al. 2012).</w:t>
      </w:r>
    </w:p>
    <w:p>
      <w:pPr>
        <w:pStyle w:val="Heading5"/>
        <w:numPr>
          <w:ilvl w:val="2"/>
          <w:numId w:val="27"/>
        </w:numPr>
        <w:tabs>
          <w:tab w:pos="831" w:val="left" w:leader="none"/>
        </w:tabs>
        <w:spacing w:line="240" w:lineRule="auto" w:before="140" w:after="0"/>
        <w:ind w:left="831" w:right="0" w:hanging="719"/>
        <w:jc w:val="left"/>
      </w:pPr>
      <w:r>
        <w:rPr>
          <w:spacing w:val="-4"/>
        </w:rPr>
        <w:t>PAPP</w:t>
      </w:r>
    </w:p>
    <w:p>
      <w:pPr>
        <w:pStyle w:val="BodyText"/>
        <w:spacing w:before="58"/>
        <w:ind w:left="112" w:right="427"/>
      </w:pPr>
      <w:r>
        <w:rPr/>
        <w:t>An evaluation undertaken by the Australian Pesticides and Veterinary Medicine Authority (APVMA 2015) noted</w:t>
      </w:r>
      <w:r>
        <w:rPr>
          <w:spacing w:val="-3"/>
        </w:rPr>
        <w:t> </w:t>
      </w:r>
      <w:r>
        <w:rPr/>
        <w:t>that</w:t>
      </w:r>
      <w:r>
        <w:rPr>
          <w:spacing w:val="-3"/>
        </w:rPr>
        <w:t> </w:t>
      </w:r>
      <w:r>
        <w:rPr/>
        <w:t>PAPP</w:t>
      </w:r>
      <w:r>
        <w:rPr>
          <w:spacing w:val="-1"/>
        </w:rPr>
        <w:t> </w:t>
      </w:r>
      <w:r>
        <w:rPr/>
        <w:t>is</w:t>
      </w:r>
      <w:r>
        <w:rPr>
          <w:spacing w:val="-2"/>
        </w:rPr>
        <w:t> </w:t>
      </w:r>
      <w:r>
        <w:rPr/>
        <w:t>moderately</w:t>
      </w:r>
      <w:r>
        <w:rPr>
          <w:spacing w:val="-2"/>
        </w:rPr>
        <w:t> </w:t>
      </w:r>
      <w:r>
        <w:rPr/>
        <w:t>soluble</w:t>
      </w:r>
      <w:r>
        <w:rPr>
          <w:spacing w:val="-1"/>
        </w:rPr>
        <w:t> </w:t>
      </w:r>
      <w:r>
        <w:rPr/>
        <w:t>in</w:t>
      </w:r>
      <w:r>
        <w:rPr>
          <w:spacing w:val="-3"/>
        </w:rPr>
        <w:t> </w:t>
      </w:r>
      <w:r>
        <w:rPr/>
        <w:t>water,</w:t>
      </w:r>
      <w:r>
        <w:rPr>
          <w:spacing w:val="-3"/>
        </w:rPr>
        <w:t> </w:t>
      </w:r>
      <w:r>
        <w:rPr/>
        <w:t>while</w:t>
      </w:r>
      <w:r>
        <w:rPr>
          <w:spacing w:val="-1"/>
        </w:rPr>
        <w:t> </w:t>
      </w:r>
      <w:r>
        <w:rPr/>
        <w:t>its</w:t>
      </w:r>
      <w:r>
        <w:rPr>
          <w:spacing w:val="-2"/>
        </w:rPr>
        <w:t> </w:t>
      </w:r>
      <w:r>
        <w:rPr/>
        <w:t>hydrochloride</w:t>
      </w:r>
      <w:r>
        <w:rPr>
          <w:spacing w:val="-4"/>
        </w:rPr>
        <w:t> </w:t>
      </w:r>
      <w:r>
        <w:rPr/>
        <w:t>salt</w:t>
      </w:r>
      <w:r>
        <w:rPr>
          <w:spacing w:val="-3"/>
        </w:rPr>
        <w:t> </w:t>
      </w:r>
      <w:r>
        <w:rPr/>
        <w:t>(PAPP-HCl)</w:t>
      </w:r>
      <w:r>
        <w:rPr>
          <w:spacing w:val="-2"/>
        </w:rPr>
        <w:t> </w:t>
      </w:r>
      <w:r>
        <w:rPr/>
        <w:t>is</w:t>
      </w:r>
      <w:r>
        <w:rPr>
          <w:spacing w:val="-2"/>
        </w:rPr>
        <w:t> </w:t>
      </w:r>
      <w:r>
        <w:rPr/>
        <w:t>much</w:t>
      </w:r>
      <w:r>
        <w:rPr>
          <w:spacing w:val="-3"/>
        </w:rPr>
        <w:t> </w:t>
      </w:r>
      <w:r>
        <w:rPr/>
        <w:t>more</w:t>
      </w:r>
      <w:r>
        <w:rPr>
          <w:spacing w:val="-3"/>
        </w:rPr>
        <w:t> </w:t>
      </w:r>
      <w:r>
        <w:rPr/>
        <w:t>water soluble. The physicochemical properties of PAPP indicate it is likely to be mobile in soil; in soil-leaching studies, PAPP appeared to absorb to clay components of soil but was very mobile in sand and to a lesser extent</w:t>
      </w:r>
      <w:r>
        <w:rPr>
          <w:spacing w:val="-1"/>
        </w:rPr>
        <w:t> </w:t>
      </w:r>
      <w:r>
        <w:rPr/>
        <w:t>in</w:t>
      </w:r>
      <w:r>
        <w:rPr>
          <w:spacing w:val="-3"/>
        </w:rPr>
        <w:t> </w:t>
      </w:r>
      <w:r>
        <w:rPr/>
        <w:t>sandy</w:t>
      </w:r>
      <w:r>
        <w:rPr>
          <w:spacing w:val="-2"/>
        </w:rPr>
        <w:t> </w:t>
      </w:r>
      <w:r>
        <w:rPr/>
        <w:t>loam.</w:t>
      </w:r>
      <w:r>
        <w:rPr>
          <w:spacing w:val="-3"/>
        </w:rPr>
        <w:t> </w:t>
      </w:r>
      <w:r>
        <w:rPr/>
        <w:t>The</w:t>
      </w:r>
      <w:r>
        <w:rPr>
          <w:spacing w:val="-1"/>
        </w:rPr>
        <w:t> </w:t>
      </w:r>
      <w:r>
        <w:rPr/>
        <w:t>physicochemical</w:t>
      </w:r>
      <w:r>
        <w:rPr>
          <w:spacing w:val="-2"/>
        </w:rPr>
        <w:t> </w:t>
      </w:r>
      <w:r>
        <w:rPr/>
        <w:t>properties of</w:t>
      </w:r>
      <w:r>
        <w:rPr>
          <w:spacing w:val="-3"/>
        </w:rPr>
        <w:t> </w:t>
      </w:r>
      <w:r>
        <w:rPr/>
        <w:t>PAPP</w:t>
      </w:r>
      <w:r>
        <w:rPr>
          <w:spacing w:val="-1"/>
        </w:rPr>
        <w:t> </w:t>
      </w:r>
      <w:r>
        <w:rPr/>
        <w:t>indicate</w:t>
      </w:r>
      <w:r>
        <w:rPr>
          <w:spacing w:val="-3"/>
        </w:rPr>
        <w:t> </w:t>
      </w:r>
      <w:r>
        <w:rPr/>
        <w:t>it</w:t>
      </w:r>
      <w:r>
        <w:rPr>
          <w:spacing w:val="-1"/>
        </w:rPr>
        <w:t> </w:t>
      </w:r>
      <w:r>
        <w:rPr/>
        <w:t>is</w:t>
      </w:r>
      <w:r>
        <w:rPr>
          <w:spacing w:val="-2"/>
        </w:rPr>
        <w:t> </w:t>
      </w:r>
      <w:r>
        <w:rPr/>
        <w:t>unlikely</w:t>
      </w:r>
      <w:r>
        <w:rPr>
          <w:spacing w:val="-2"/>
        </w:rPr>
        <w:t> </w:t>
      </w:r>
      <w:r>
        <w:rPr/>
        <w:t>to</w:t>
      </w:r>
      <w:r>
        <w:rPr>
          <w:spacing w:val="-2"/>
        </w:rPr>
        <w:t> </w:t>
      </w:r>
      <w:r>
        <w:rPr/>
        <w:t>bioaccumulate,</w:t>
      </w:r>
      <w:r>
        <w:rPr>
          <w:spacing w:val="-3"/>
        </w:rPr>
        <w:t> </w:t>
      </w:r>
      <w:r>
        <w:rPr/>
        <w:t>while a</w:t>
      </w:r>
      <w:r>
        <w:rPr>
          <w:spacing w:val="-4"/>
        </w:rPr>
        <w:t> </w:t>
      </w:r>
      <w:r>
        <w:rPr/>
        <w:t>modelling</w:t>
      </w:r>
      <w:r>
        <w:rPr>
          <w:spacing w:val="-3"/>
        </w:rPr>
        <w:t> </w:t>
      </w:r>
      <w:r>
        <w:rPr/>
        <w:t>approach</w:t>
      </w:r>
      <w:r>
        <w:rPr>
          <w:spacing w:val="-2"/>
        </w:rPr>
        <w:t> </w:t>
      </w:r>
      <w:r>
        <w:rPr/>
        <w:t>indicated</w:t>
      </w:r>
      <w:r>
        <w:rPr>
          <w:spacing w:val="-2"/>
        </w:rPr>
        <w:t> </w:t>
      </w:r>
      <w:r>
        <w:rPr/>
        <w:t>it</w:t>
      </w:r>
      <w:r>
        <w:rPr>
          <w:spacing w:val="-4"/>
        </w:rPr>
        <w:t> </w:t>
      </w:r>
      <w:r>
        <w:rPr/>
        <w:t>was</w:t>
      </w:r>
      <w:r>
        <w:rPr>
          <w:spacing w:val="-3"/>
        </w:rPr>
        <w:t> </w:t>
      </w:r>
      <w:r>
        <w:rPr/>
        <w:t>slightly</w:t>
      </w:r>
      <w:r>
        <w:rPr>
          <w:spacing w:val="-3"/>
        </w:rPr>
        <w:t> </w:t>
      </w:r>
      <w:r>
        <w:rPr/>
        <w:t>bioconcentrating.</w:t>
      </w:r>
      <w:r>
        <w:rPr>
          <w:spacing w:val="-2"/>
        </w:rPr>
        <w:t> </w:t>
      </w:r>
      <w:r>
        <w:rPr/>
        <w:t>PAPP</w:t>
      </w:r>
      <w:r>
        <w:rPr>
          <w:spacing w:val="-4"/>
        </w:rPr>
        <w:t> </w:t>
      </w:r>
      <w:r>
        <w:rPr/>
        <w:t>and</w:t>
      </w:r>
      <w:r>
        <w:rPr>
          <w:spacing w:val="-3"/>
        </w:rPr>
        <w:t> </w:t>
      </w:r>
      <w:r>
        <w:rPr/>
        <w:t>PAPP-HCl</w:t>
      </w:r>
      <w:r>
        <w:rPr>
          <w:spacing w:val="-4"/>
        </w:rPr>
        <w:t> </w:t>
      </w:r>
      <w:r>
        <w:rPr/>
        <w:t>are</w:t>
      </w:r>
      <w:r>
        <w:rPr>
          <w:spacing w:val="-2"/>
        </w:rPr>
        <w:t> </w:t>
      </w:r>
      <w:r>
        <w:rPr/>
        <w:t>both</w:t>
      </w:r>
      <w:r>
        <w:rPr>
          <w:spacing w:val="-4"/>
        </w:rPr>
        <w:t> </w:t>
      </w:r>
      <w:r>
        <w:rPr/>
        <w:t>hydrolytically stable at pH’s of 4, 7 and 9. From the limited information summarised by (Eason et al. 2014), PAPP-HCl is likely to be leached from bait exposed to rainfall and to be mobile (in solution) through soil. It is reported to be</w:t>
      </w:r>
      <w:r>
        <w:rPr>
          <w:spacing w:val="-4"/>
        </w:rPr>
        <w:t> </w:t>
      </w:r>
      <w:r>
        <w:rPr/>
        <w:t>biodegradable</w:t>
      </w:r>
      <w:r>
        <w:rPr>
          <w:spacing w:val="-1"/>
        </w:rPr>
        <w:t> </w:t>
      </w:r>
      <w:r>
        <w:rPr/>
        <w:t>by</w:t>
      </w:r>
      <w:r>
        <w:rPr>
          <w:spacing w:val="-2"/>
        </w:rPr>
        <w:t> </w:t>
      </w:r>
      <w:r>
        <w:rPr/>
        <w:t>microorganisms</w:t>
      </w:r>
      <w:r>
        <w:rPr>
          <w:spacing w:val="-2"/>
        </w:rPr>
        <w:t> </w:t>
      </w:r>
      <w:r>
        <w:rPr/>
        <w:t>and</w:t>
      </w:r>
      <w:r>
        <w:rPr>
          <w:spacing w:val="-3"/>
        </w:rPr>
        <w:t> </w:t>
      </w:r>
      <w:r>
        <w:rPr/>
        <w:t>to</w:t>
      </w:r>
      <w:r>
        <w:rPr>
          <w:spacing w:val="-1"/>
        </w:rPr>
        <w:t> </w:t>
      </w:r>
      <w:r>
        <w:rPr/>
        <w:t>have</w:t>
      </w:r>
      <w:r>
        <w:rPr>
          <w:spacing w:val="-1"/>
        </w:rPr>
        <w:t> </w:t>
      </w:r>
      <w:r>
        <w:rPr/>
        <w:t>low toxicity</w:t>
      </w:r>
      <w:r>
        <w:rPr>
          <w:spacing w:val="-2"/>
        </w:rPr>
        <w:t> </w:t>
      </w:r>
      <w:r>
        <w:rPr/>
        <w:t>to</w:t>
      </w:r>
      <w:r>
        <w:rPr>
          <w:spacing w:val="-1"/>
        </w:rPr>
        <w:t> </w:t>
      </w:r>
      <w:r>
        <w:rPr/>
        <w:t>soil</w:t>
      </w:r>
      <w:r>
        <w:rPr>
          <w:spacing w:val="-4"/>
        </w:rPr>
        <w:t> </w:t>
      </w:r>
      <w:r>
        <w:rPr/>
        <w:t>invertebrates,</w:t>
      </w:r>
      <w:r>
        <w:rPr>
          <w:spacing w:val="-3"/>
        </w:rPr>
        <w:t> </w:t>
      </w:r>
      <w:r>
        <w:rPr/>
        <w:t>though</w:t>
      </w:r>
      <w:r>
        <w:rPr>
          <w:spacing w:val="-1"/>
        </w:rPr>
        <w:t> </w:t>
      </w:r>
      <w:r>
        <w:rPr/>
        <w:t>further details</w:t>
      </w:r>
      <w:r>
        <w:rPr>
          <w:spacing w:val="-2"/>
        </w:rPr>
        <w:t> </w:t>
      </w:r>
      <w:r>
        <w:rPr/>
        <w:t>are not provided.</w:t>
      </w:r>
    </w:p>
    <w:p>
      <w:pPr>
        <w:spacing w:after="0"/>
        <w:sectPr>
          <w:pgSz w:w="11910" w:h="16850"/>
          <w:pgMar w:header="0" w:footer="688" w:top="1140" w:bottom="880" w:left="1020" w:right="780"/>
        </w:sectPr>
      </w:pPr>
    </w:p>
    <w:p>
      <w:pPr>
        <w:pStyle w:val="BodyText"/>
        <w:spacing w:before="71"/>
        <w:ind w:left="112" w:right="366"/>
      </w:pPr>
      <w:r>
        <w:rPr/>
        <w:t>A field assessment was made of the degradation of PAPP in bait types used for fox and Wild Dog control in Australia</w:t>
      </w:r>
      <w:r>
        <w:rPr>
          <w:spacing w:val="-2"/>
        </w:rPr>
        <w:t> </w:t>
      </w:r>
      <w:r>
        <w:rPr/>
        <w:t>(Gentle</w:t>
      </w:r>
      <w:r>
        <w:rPr>
          <w:spacing w:val="-3"/>
        </w:rPr>
        <w:t> </w:t>
      </w:r>
      <w:r>
        <w:rPr/>
        <w:t>et</w:t>
      </w:r>
      <w:r>
        <w:rPr>
          <w:spacing w:val="-1"/>
        </w:rPr>
        <w:t> </w:t>
      </w:r>
      <w:r>
        <w:rPr/>
        <w:t>al.</w:t>
      </w:r>
      <w:r>
        <w:rPr>
          <w:spacing w:val="-3"/>
        </w:rPr>
        <w:t> </w:t>
      </w:r>
      <w:r>
        <w:rPr/>
        <w:t>2017).</w:t>
      </w:r>
      <w:r>
        <w:rPr>
          <w:spacing w:val="-3"/>
        </w:rPr>
        <w:t> </w:t>
      </w:r>
      <w:r>
        <w:rPr/>
        <w:t>Baits</w:t>
      </w:r>
      <w:r>
        <w:rPr>
          <w:spacing w:val="-2"/>
        </w:rPr>
        <w:t> </w:t>
      </w:r>
      <w:r>
        <w:rPr/>
        <w:t>were</w:t>
      </w:r>
      <w:r>
        <w:rPr>
          <w:spacing w:val="-1"/>
        </w:rPr>
        <w:t> </w:t>
      </w:r>
      <w:r>
        <w:rPr/>
        <w:t>placed</w:t>
      </w:r>
      <w:r>
        <w:rPr>
          <w:spacing w:val="-2"/>
        </w:rPr>
        <w:t> </w:t>
      </w:r>
      <w:r>
        <w:rPr/>
        <w:t>in</w:t>
      </w:r>
      <w:r>
        <w:rPr>
          <w:spacing w:val="-1"/>
        </w:rPr>
        <w:t> </w:t>
      </w:r>
      <w:r>
        <w:rPr/>
        <w:t>three</w:t>
      </w:r>
      <w:r>
        <w:rPr>
          <w:spacing w:val="-4"/>
        </w:rPr>
        <w:t> </w:t>
      </w:r>
      <w:r>
        <w:rPr/>
        <w:t>treatments</w:t>
      </w:r>
      <w:r>
        <w:rPr>
          <w:spacing w:val="-2"/>
        </w:rPr>
        <w:t> </w:t>
      </w:r>
      <w:r>
        <w:rPr/>
        <w:t>(buried,</w:t>
      </w:r>
      <w:r>
        <w:rPr>
          <w:spacing w:val="-3"/>
        </w:rPr>
        <w:t> </w:t>
      </w:r>
      <w:r>
        <w:rPr/>
        <w:t>surface</w:t>
      </w:r>
      <w:r>
        <w:rPr>
          <w:spacing w:val="-3"/>
        </w:rPr>
        <w:t> </w:t>
      </w:r>
      <w:r>
        <w:rPr/>
        <w:t>or</w:t>
      </w:r>
      <w:r>
        <w:rPr>
          <w:spacing w:val="-2"/>
        </w:rPr>
        <w:t> </w:t>
      </w:r>
      <w:r>
        <w:rPr/>
        <w:t>storage)</w:t>
      </w:r>
      <w:r>
        <w:rPr>
          <w:spacing w:val="-3"/>
        </w:rPr>
        <w:t> </w:t>
      </w:r>
      <w:r>
        <w:rPr/>
        <w:t>and</w:t>
      </w:r>
      <w:r>
        <w:rPr>
          <w:spacing w:val="-3"/>
        </w:rPr>
        <w:t> </w:t>
      </w:r>
      <w:r>
        <w:rPr/>
        <w:t>sampled at eight intervals over 25 weeks. Analysis of stored baits showed they were shelf-stable, retaining ~90% of the original loading of PAPP at 25 weeks. Buried baits degraded more quickly than surface laid baits over</w:t>
      </w:r>
    </w:p>
    <w:p>
      <w:pPr>
        <w:pStyle w:val="BodyText"/>
        <w:spacing w:before="2"/>
        <w:ind w:left="112" w:right="380"/>
      </w:pPr>
      <w:r>
        <w:rPr/>
        <w:t>25 weeks, with surface laid baits retaining effective lethal amounts of PAPP (for a Wild Dog) for approximately 16 weeks and buried baits for approximately 8 weeks. Consequently, although PAPP is considered</w:t>
      </w:r>
      <w:r>
        <w:rPr>
          <w:spacing w:val="-4"/>
        </w:rPr>
        <w:t> </w:t>
      </w:r>
      <w:r>
        <w:rPr/>
        <w:t>biodegradable</w:t>
      </w:r>
      <w:r>
        <w:rPr>
          <w:spacing w:val="-1"/>
        </w:rPr>
        <w:t> </w:t>
      </w:r>
      <w:r>
        <w:rPr/>
        <w:t>(APVMA</w:t>
      </w:r>
      <w:r>
        <w:rPr>
          <w:spacing w:val="-4"/>
        </w:rPr>
        <w:t> </w:t>
      </w:r>
      <w:r>
        <w:rPr/>
        <w:t>2015),</w:t>
      </w:r>
      <w:r>
        <w:rPr>
          <w:spacing w:val="-2"/>
        </w:rPr>
        <w:t> </w:t>
      </w:r>
      <w:r>
        <w:rPr/>
        <w:t>in</w:t>
      </w:r>
      <w:r>
        <w:rPr>
          <w:spacing w:val="-4"/>
        </w:rPr>
        <w:t> </w:t>
      </w:r>
      <w:r>
        <w:rPr/>
        <w:t>some</w:t>
      </w:r>
      <w:r>
        <w:rPr>
          <w:spacing w:val="-2"/>
        </w:rPr>
        <w:t> </w:t>
      </w:r>
      <w:r>
        <w:rPr/>
        <w:t>bait</w:t>
      </w:r>
      <w:r>
        <w:rPr>
          <w:spacing w:val="-4"/>
        </w:rPr>
        <w:t> </w:t>
      </w:r>
      <w:r>
        <w:rPr/>
        <w:t>formulations</w:t>
      </w:r>
      <w:r>
        <w:rPr>
          <w:spacing w:val="-3"/>
        </w:rPr>
        <w:t> </w:t>
      </w:r>
      <w:r>
        <w:rPr/>
        <w:t>it</w:t>
      </w:r>
      <w:r>
        <w:rPr>
          <w:spacing w:val="-4"/>
        </w:rPr>
        <w:t> </w:t>
      </w:r>
      <w:r>
        <w:rPr/>
        <w:t>can</w:t>
      </w:r>
      <w:r>
        <w:rPr>
          <w:spacing w:val="-4"/>
        </w:rPr>
        <w:t> </w:t>
      </w:r>
      <w:r>
        <w:rPr/>
        <w:t>remain</w:t>
      </w:r>
      <w:r>
        <w:rPr>
          <w:spacing w:val="-2"/>
        </w:rPr>
        <w:t> </w:t>
      </w:r>
      <w:r>
        <w:rPr/>
        <w:t>toxic</w:t>
      </w:r>
      <w:r>
        <w:rPr>
          <w:spacing w:val="-3"/>
        </w:rPr>
        <w:t> </w:t>
      </w:r>
      <w:r>
        <w:rPr/>
        <w:t>relatively</w:t>
      </w:r>
      <w:r>
        <w:rPr>
          <w:spacing w:val="-3"/>
        </w:rPr>
        <w:t> </w:t>
      </w:r>
      <w:r>
        <w:rPr/>
        <w:t>longer</w:t>
      </w:r>
      <w:r>
        <w:rPr>
          <w:spacing w:val="-4"/>
        </w:rPr>
        <w:t> </w:t>
      </w:r>
      <w:r>
        <w:rPr/>
        <w:t>for several weeks.</w:t>
      </w:r>
    </w:p>
    <w:p>
      <w:pPr>
        <w:pStyle w:val="BodyText"/>
        <w:spacing w:before="120"/>
        <w:ind w:left="112" w:right="247"/>
      </w:pPr>
      <w:r>
        <w:rPr/>
        <w:t>The (APVMA 2015) evaluation noted data from necropsy of foxes killed by PAPP poisoning, where stomach contents and the gastrointestinal tract retained ‘quite high’ (concentrations not specified) residual concentrations of unmetabolised PAPP. The high residual concentrations in the stomach were presumed to reflect the localised remnants of the pill used to administer the PAPP dose. Of the scavenger species that might</w:t>
      </w:r>
      <w:r>
        <w:rPr>
          <w:spacing w:val="-4"/>
        </w:rPr>
        <w:t> </w:t>
      </w:r>
      <w:r>
        <w:rPr/>
        <w:t>consume</w:t>
      </w:r>
      <w:r>
        <w:rPr>
          <w:spacing w:val="-4"/>
        </w:rPr>
        <w:t> </w:t>
      </w:r>
      <w:r>
        <w:rPr/>
        <w:t>tissues</w:t>
      </w:r>
      <w:r>
        <w:rPr>
          <w:spacing w:val="-3"/>
        </w:rPr>
        <w:t> </w:t>
      </w:r>
      <w:r>
        <w:rPr/>
        <w:t>from</w:t>
      </w:r>
      <w:r>
        <w:rPr>
          <w:spacing w:val="-4"/>
        </w:rPr>
        <w:t> </w:t>
      </w:r>
      <w:r>
        <w:rPr/>
        <w:t>the</w:t>
      </w:r>
      <w:r>
        <w:rPr>
          <w:spacing w:val="-2"/>
        </w:rPr>
        <w:t> </w:t>
      </w:r>
      <w:r>
        <w:rPr/>
        <w:t>carcasses</w:t>
      </w:r>
      <w:r>
        <w:rPr>
          <w:spacing w:val="-3"/>
        </w:rPr>
        <w:t> </w:t>
      </w:r>
      <w:r>
        <w:rPr/>
        <w:t>of</w:t>
      </w:r>
      <w:r>
        <w:rPr>
          <w:spacing w:val="-4"/>
        </w:rPr>
        <w:t> </w:t>
      </w:r>
      <w:r>
        <w:rPr/>
        <w:t>animals poisoned</w:t>
      </w:r>
      <w:r>
        <w:rPr>
          <w:spacing w:val="-2"/>
        </w:rPr>
        <w:t> </w:t>
      </w:r>
      <w:r>
        <w:rPr/>
        <w:t>by</w:t>
      </w:r>
      <w:r>
        <w:rPr>
          <w:spacing w:val="-3"/>
        </w:rPr>
        <w:t> </w:t>
      </w:r>
      <w:r>
        <w:rPr/>
        <w:t>PAPP,</w:t>
      </w:r>
      <w:r>
        <w:rPr>
          <w:spacing w:val="-2"/>
        </w:rPr>
        <w:t> </w:t>
      </w:r>
      <w:r>
        <w:rPr/>
        <w:t>goannas</w:t>
      </w:r>
      <w:r>
        <w:rPr>
          <w:spacing w:val="-3"/>
        </w:rPr>
        <w:t> </w:t>
      </w:r>
      <w:r>
        <w:rPr/>
        <w:t>are</w:t>
      </w:r>
      <w:r>
        <w:rPr>
          <w:spacing w:val="-4"/>
        </w:rPr>
        <w:t> </w:t>
      </w:r>
      <w:r>
        <w:rPr/>
        <w:t>potentially</w:t>
      </w:r>
      <w:r>
        <w:rPr>
          <w:spacing w:val="-1"/>
        </w:rPr>
        <w:t> </w:t>
      </w:r>
      <w:r>
        <w:rPr/>
        <w:t>at</w:t>
      </w:r>
      <w:r>
        <w:rPr>
          <w:spacing w:val="-4"/>
        </w:rPr>
        <w:t> </w:t>
      </w:r>
      <w:r>
        <w:rPr/>
        <w:t>risk</w:t>
      </w:r>
      <w:r>
        <w:rPr>
          <w:spacing w:val="-3"/>
        </w:rPr>
        <w:t> </w:t>
      </w:r>
      <w:r>
        <w:rPr/>
        <w:t>of</w:t>
      </w:r>
      <w:r>
        <w:rPr>
          <w:spacing w:val="-2"/>
        </w:rPr>
        <w:t> </w:t>
      </w:r>
      <w:r>
        <w:rPr/>
        <w:t>a lethal secondary exposure if they consume gastrointestinal tissue containing relatively high residual concentrations of the poison.</w:t>
      </w:r>
    </w:p>
    <w:p>
      <w:pPr>
        <w:pStyle w:val="BodyText"/>
        <w:spacing w:before="120"/>
        <w:ind w:left="112" w:right="278"/>
      </w:pPr>
      <w:r>
        <w:rPr/>
        <w:t>While</w:t>
      </w:r>
      <w:r>
        <w:rPr>
          <w:spacing w:val="-2"/>
        </w:rPr>
        <w:t> </w:t>
      </w:r>
      <w:r>
        <w:rPr/>
        <w:t>the</w:t>
      </w:r>
      <w:r>
        <w:rPr>
          <w:spacing w:val="-2"/>
        </w:rPr>
        <w:t> </w:t>
      </w:r>
      <w:r>
        <w:rPr/>
        <w:t>rate</w:t>
      </w:r>
      <w:r>
        <w:rPr>
          <w:spacing w:val="-3"/>
        </w:rPr>
        <w:t> </w:t>
      </w:r>
      <w:r>
        <w:rPr/>
        <w:t>of</w:t>
      </w:r>
      <w:r>
        <w:rPr>
          <w:spacing w:val="-4"/>
        </w:rPr>
        <w:t> </w:t>
      </w:r>
      <w:r>
        <w:rPr/>
        <w:t>degradation</w:t>
      </w:r>
      <w:r>
        <w:rPr>
          <w:spacing w:val="-5"/>
        </w:rPr>
        <w:t> </w:t>
      </w:r>
      <w:r>
        <w:rPr/>
        <w:t>of</w:t>
      </w:r>
      <w:r>
        <w:rPr>
          <w:spacing w:val="-2"/>
        </w:rPr>
        <w:t> </w:t>
      </w:r>
      <w:r>
        <w:rPr/>
        <w:t>residual</w:t>
      </w:r>
      <w:r>
        <w:rPr>
          <w:spacing w:val="-3"/>
        </w:rPr>
        <w:t> </w:t>
      </w:r>
      <w:r>
        <w:rPr/>
        <w:t>PAPP</w:t>
      </w:r>
      <w:r>
        <w:rPr>
          <w:spacing w:val="-2"/>
        </w:rPr>
        <w:t> </w:t>
      </w:r>
      <w:r>
        <w:rPr/>
        <w:t>in</w:t>
      </w:r>
      <w:r>
        <w:rPr>
          <w:spacing w:val="-4"/>
        </w:rPr>
        <w:t> </w:t>
      </w:r>
      <w:r>
        <w:rPr/>
        <w:t>the</w:t>
      </w:r>
      <w:r>
        <w:rPr>
          <w:spacing w:val="-3"/>
        </w:rPr>
        <w:t> </w:t>
      </w:r>
      <w:r>
        <w:rPr/>
        <w:t>carcasses</w:t>
      </w:r>
      <w:r>
        <w:rPr>
          <w:spacing w:val="-3"/>
        </w:rPr>
        <w:t> </w:t>
      </w:r>
      <w:r>
        <w:rPr/>
        <w:t>of</w:t>
      </w:r>
      <w:r>
        <w:rPr>
          <w:spacing w:val="-4"/>
        </w:rPr>
        <w:t> </w:t>
      </w:r>
      <w:r>
        <w:rPr/>
        <w:t>poisoned</w:t>
      </w:r>
      <w:r>
        <w:rPr>
          <w:spacing w:val="-2"/>
        </w:rPr>
        <w:t> </w:t>
      </w:r>
      <w:r>
        <w:rPr/>
        <w:t>animals</w:t>
      </w:r>
      <w:r>
        <w:rPr>
          <w:spacing w:val="-1"/>
        </w:rPr>
        <w:t> </w:t>
      </w:r>
      <w:r>
        <w:rPr/>
        <w:t>is</w:t>
      </w:r>
      <w:r>
        <w:rPr>
          <w:spacing w:val="-3"/>
        </w:rPr>
        <w:t> </w:t>
      </w:r>
      <w:r>
        <w:rPr/>
        <w:t>not</w:t>
      </w:r>
      <w:r>
        <w:rPr>
          <w:spacing w:val="-4"/>
        </w:rPr>
        <w:t> </w:t>
      </w:r>
      <w:r>
        <w:rPr/>
        <w:t>known,</w:t>
      </w:r>
      <w:r>
        <w:rPr>
          <w:spacing w:val="-4"/>
        </w:rPr>
        <w:t> </w:t>
      </w:r>
      <w:r>
        <w:rPr/>
        <w:t>it</w:t>
      </w:r>
      <w:r>
        <w:rPr>
          <w:spacing w:val="-2"/>
        </w:rPr>
        <w:t> </w:t>
      </w:r>
      <w:r>
        <w:rPr/>
        <w:t>is expected to be relatively rapid (within days) based on the results of laboratory assessments of biodegradability.</w:t>
      </w:r>
      <w:r>
        <w:rPr>
          <w:spacing w:val="-3"/>
        </w:rPr>
        <w:t> </w:t>
      </w:r>
      <w:r>
        <w:rPr/>
        <w:t>PAPP</w:t>
      </w:r>
      <w:r>
        <w:rPr>
          <w:spacing w:val="-3"/>
        </w:rPr>
        <w:t> </w:t>
      </w:r>
      <w:r>
        <w:rPr/>
        <w:t>is</w:t>
      </w:r>
      <w:r>
        <w:rPr>
          <w:spacing w:val="-4"/>
        </w:rPr>
        <w:t> </w:t>
      </w:r>
      <w:r>
        <w:rPr/>
        <w:t>not</w:t>
      </w:r>
      <w:r>
        <w:rPr>
          <w:spacing w:val="-5"/>
        </w:rPr>
        <w:t> </w:t>
      </w:r>
      <w:r>
        <w:rPr/>
        <w:t>expected</w:t>
      </w:r>
      <w:r>
        <w:rPr>
          <w:spacing w:val="-6"/>
        </w:rPr>
        <w:t> </w:t>
      </w:r>
      <w:r>
        <w:rPr/>
        <w:t>to</w:t>
      </w:r>
      <w:r>
        <w:rPr>
          <w:spacing w:val="-5"/>
        </w:rPr>
        <w:t> </w:t>
      </w:r>
      <w:r>
        <w:rPr/>
        <w:t>persist</w:t>
      </w:r>
      <w:r>
        <w:rPr>
          <w:spacing w:val="-3"/>
        </w:rPr>
        <w:t> </w:t>
      </w:r>
      <w:r>
        <w:rPr/>
        <w:t>in</w:t>
      </w:r>
      <w:r>
        <w:rPr>
          <w:spacing w:val="-3"/>
        </w:rPr>
        <w:t> </w:t>
      </w:r>
      <w:r>
        <w:rPr/>
        <w:t>the environment</w:t>
      </w:r>
      <w:r>
        <w:rPr>
          <w:spacing w:val="-5"/>
        </w:rPr>
        <w:t> </w:t>
      </w:r>
      <w:r>
        <w:rPr/>
        <w:t>or</w:t>
      </w:r>
      <w:r>
        <w:rPr>
          <w:spacing w:val="-2"/>
        </w:rPr>
        <w:t> </w:t>
      </w:r>
      <w:r>
        <w:rPr/>
        <w:t>bioaccumulate</w:t>
      </w:r>
      <w:r>
        <w:rPr>
          <w:spacing w:val="-1"/>
        </w:rPr>
        <w:t> </w:t>
      </w:r>
      <w:r>
        <w:rPr/>
        <w:t>(APVMA</w:t>
      </w:r>
      <w:r>
        <w:rPr>
          <w:spacing w:val="-3"/>
        </w:rPr>
        <w:t> </w:t>
      </w:r>
      <w:r>
        <w:rPr/>
        <w:t>2015).</w:t>
      </w:r>
    </w:p>
    <w:p>
      <w:pPr>
        <w:pStyle w:val="Heading5"/>
        <w:numPr>
          <w:ilvl w:val="2"/>
          <w:numId w:val="27"/>
        </w:numPr>
        <w:tabs>
          <w:tab w:pos="831" w:val="left" w:leader="none"/>
        </w:tabs>
        <w:spacing w:line="240" w:lineRule="auto" w:before="139" w:after="0"/>
        <w:ind w:left="831" w:right="0" w:hanging="719"/>
        <w:jc w:val="left"/>
      </w:pPr>
      <w:r>
        <w:rPr>
          <w:spacing w:val="-2"/>
        </w:rPr>
        <w:t>Pindone</w:t>
      </w:r>
    </w:p>
    <w:p>
      <w:pPr>
        <w:pStyle w:val="BodyText"/>
        <w:spacing w:before="59"/>
        <w:ind w:left="112" w:right="364"/>
      </w:pPr>
      <w:r>
        <w:rPr/>
        <w:t>Pindone acid and pindone sodium are both used as bait concentrates for preparing oat or carrot baits for rabbit</w:t>
      </w:r>
      <w:r>
        <w:rPr>
          <w:spacing w:val="-2"/>
        </w:rPr>
        <w:t> </w:t>
      </w:r>
      <w:r>
        <w:rPr/>
        <w:t>control.</w:t>
      </w:r>
      <w:r>
        <w:rPr>
          <w:spacing w:val="-2"/>
        </w:rPr>
        <w:t> </w:t>
      </w:r>
      <w:r>
        <w:rPr/>
        <w:t>Baits</w:t>
      </w:r>
      <w:r>
        <w:rPr>
          <w:spacing w:val="-3"/>
        </w:rPr>
        <w:t> </w:t>
      </w:r>
      <w:r>
        <w:rPr/>
        <w:t>prepared</w:t>
      </w:r>
      <w:r>
        <w:rPr>
          <w:spacing w:val="-4"/>
        </w:rPr>
        <w:t> </w:t>
      </w:r>
      <w:r>
        <w:rPr/>
        <w:t>from</w:t>
      </w:r>
      <w:r>
        <w:rPr>
          <w:spacing w:val="-4"/>
        </w:rPr>
        <w:t> </w:t>
      </w:r>
      <w:r>
        <w:rPr/>
        <w:t>pindone</w:t>
      </w:r>
      <w:r>
        <w:rPr>
          <w:spacing w:val="-4"/>
        </w:rPr>
        <w:t> </w:t>
      </w:r>
      <w:r>
        <w:rPr/>
        <w:t>sodium</w:t>
      </w:r>
      <w:r>
        <w:rPr>
          <w:spacing w:val="-2"/>
        </w:rPr>
        <w:t> </w:t>
      </w:r>
      <w:r>
        <w:rPr/>
        <w:t>may</w:t>
      </w:r>
      <w:r>
        <w:rPr>
          <w:spacing w:val="-3"/>
        </w:rPr>
        <w:t> </w:t>
      </w:r>
      <w:r>
        <w:rPr/>
        <w:t>be</w:t>
      </w:r>
      <w:r>
        <w:rPr>
          <w:spacing w:val="-5"/>
        </w:rPr>
        <w:t> </w:t>
      </w:r>
      <w:r>
        <w:rPr/>
        <w:t>expected</w:t>
      </w:r>
      <w:r>
        <w:rPr>
          <w:spacing w:val="-3"/>
        </w:rPr>
        <w:t> </w:t>
      </w:r>
      <w:r>
        <w:rPr/>
        <w:t>to</w:t>
      </w:r>
      <w:r>
        <w:rPr>
          <w:spacing w:val="-2"/>
        </w:rPr>
        <w:t> </w:t>
      </w:r>
      <w:r>
        <w:rPr/>
        <w:t>lose</w:t>
      </w:r>
      <w:r>
        <w:rPr>
          <w:spacing w:val="-4"/>
        </w:rPr>
        <w:t> </w:t>
      </w:r>
      <w:r>
        <w:rPr/>
        <w:t>the</w:t>
      </w:r>
      <w:r>
        <w:rPr>
          <w:spacing w:val="-5"/>
        </w:rPr>
        <w:t> </w:t>
      </w:r>
      <w:r>
        <w:rPr/>
        <w:t>toxicant</w:t>
      </w:r>
      <w:r>
        <w:rPr>
          <w:spacing w:val="-2"/>
        </w:rPr>
        <w:t> </w:t>
      </w:r>
      <w:r>
        <w:rPr/>
        <w:t>more</w:t>
      </w:r>
      <w:r>
        <w:rPr>
          <w:spacing w:val="-4"/>
        </w:rPr>
        <w:t> </w:t>
      </w:r>
      <w:r>
        <w:rPr/>
        <w:t>rapidly</w:t>
      </w:r>
      <w:r>
        <w:rPr>
          <w:spacing w:val="-3"/>
        </w:rPr>
        <w:t> </w:t>
      </w:r>
      <w:r>
        <w:rPr/>
        <w:t>under wet conditions because the sodium salt is water-soluble, although the acid and salt forms of pindone are essentially equivalent in oral toxicity (National Registration Authority 2002).</w:t>
      </w:r>
    </w:p>
    <w:p>
      <w:pPr>
        <w:pStyle w:val="BodyText"/>
        <w:spacing w:before="119"/>
        <w:ind w:left="112" w:right="247"/>
      </w:pPr>
      <w:r>
        <w:rPr/>
        <w:t>Limited information is available about dispersal and degradation of pindone in natural environments (NRA 2000). Photodegradation (through exposure to sunlight) has been proposed as a likely pathway for the detoxification of uneaten pindone baits over time, but this remains to be demonstrated in formal research. From the limited information available about similar anticoagulant compounds (such as diphacinone and chlorophacinone),</w:t>
      </w:r>
      <w:r>
        <w:rPr>
          <w:spacing w:val="-3"/>
        </w:rPr>
        <w:t> </w:t>
      </w:r>
      <w:r>
        <w:rPr/>
        <w:t>residual</w:t>
      </w:r>
      <w:r>
        <w:rPr>
          <w:spacing w:val="-2"/>
        </w:rPr>
        <w:t> </w:t>
      </w:r>
      <w:r>
        <w:rPr/>
        <w:t>pindone</w:t>
      </w:r>
      <w:r>
        <w:rPr>
          <w:spacing w:val="-3"/>
        </w:rPr>
        <w:t> </w:t>
      </w:r>
      <w:r>
        <w:rPr/>
        <w:t>leaching</w:t>
      </w:r>
      <w:r>
        <w:rPr>
          <w:spacing w:val="-2"/>
        </w:rPr>
        <w:t> </w:t>
      </w:r>
      <w:r>
        <w:rPr/>
        <w:t>from</w:t>
      </w:r>
      <w:r>
        <w:rPr>
          <w:spacing w:val="-1"/>
        </w:rPr>
        <w:t> </w:t>
      </w:r>
      <w:r>
        <w:rPr/>
        <w:t>bait</w:t>
      </w:r>
      <w:r>
        <w:rPr>
          <w:spacing w:val="-3"/>
        </w:rPr>
        <w:t> </w:t>
      </w:r>
      <w:r>
        <w:rPr/>
        <w:t>into</w:t>
      </w:r>
      <w:r>
        <w:rPr>
          <w:spacing w:val="-4"/>
        </w:rPr>
        <w:t> </w:t>
      </w:r>
      <w:r>
        <w:rPr/>
        <w:t>soil</w:t>
      </w:r>
      <w:r>
        <w:rPr>
          <w:spacing w:val="-4"/>
        </w:rPr>
        <w:t> </w:t>
      </w:r>
      <w:r>
        <w:rPr/>
        <w:t>would</w:t>
      </w:r>
      <w:r>
        <w:rPr>
          <w:spacing w:val="-3"/>
        </w:rPr>
        <w:t> </w:t>
      </w:r>
      <w:r>
        <w:rPr/>
        <w:t>be</w:t>
      </w:r>
      <w:r>
        <w:rPr>
          <w:spacing w:val="-3"/>
        </w:rPr>
        <w:t> </w:t>
      </w:r>
      <w:r>
        <w:rPr/>
        <w:t>expected</w:t>
      </w:r>
      <w:r>
        <w:rPr>
          <w:spacing w:val="-2"/>
        </w:rPr>
        <w:t> </w:t>
      </w:r>
      <w:r>
        <w:rPr/>
        <w:t>to</w:t>
      </w:r>
      <w:r>
        <w:rPr>
          <w:spacing w:val="-4"/>
        </w:rPr>
        <w:t> </w:t>
      </w:r>
      <w:r>
        <w:rPr/>
        <w:t>remain</w:t>
      </w:r>
      <w:r>
        <w:rPr>
          <w:spacing w:val="-1"/>
        </w:rPr>
        <w:t> </w:t>
      </w:r>
      <w:r>
        <w:rPr/>
        <w:t>localised</w:t>
      </w:r>
      <w:r>
        <w:rPr>
          <w:spacing w:val="-3"/>
        </w:rPr>
        <w:t> </w:t>
      </w:r>
      <w:r>
        <w:rPr/>
        <w:t>and</w:t>
      </w:r>
      <w:r>
        <w:rPr>
          <w:spacing w:val="-4"/>
        </w:rPr>
        <w:t> </w:t>
      </w:r>
      <w:r>
        <w:rPr/>
        <w:t>to degrade at a moderate rate (with a likely half-life in the order of a month) (National Registration Authority </w:t>
      </w:r>
      <w:r>
        <w:rPr>
          <w:spacing w:val="-2"/>
        </w:rPr>
        <w:t>2002).</w:t>
      </w:r>
    </w:p>
    <w:p>
      <w:pPr>
        <w:pStyle w:val="BodyText"/>
        <w:spacing w:before="121"/>
        <w:ind w:left="112" w:right="427"/>
      </w:pPr>
      <w:r>
        <w:rPr/>
        <w:t>In rabbits that have ingested pindone but not died of poisoning, residual concentrations in liver tissue will decrease over a period of days (if no further exposure to pindone occurs). Based on data from other mammal species, it is expected that rabbits sub-lethally exposed to pindone will metabolise and excrete residual concentrations within 10 days. In rabbits that have died of pindone poisoning, unmetabolised residual</w:t>
      </w:r>
      <w:r>
        <w:rPr>
          <w:spacing w:val="-4"/>
        </w:rPr>
        <w:t> </w:t>
      </w:r>
      <w:r>
        <w:rPr/>
        <w:t>pindone</w:t>
      </w:r>
      <w:r>
        <w:rPr>
          <w:spacing w:val="-3"/>
        </w:rPr>
        <w:t> </w:t>
      </w:r>
      <w:r>
        <w:rPr/>
        <w:t>will</w:t>
      </w:r>
      <w:r>
        <w:rPr>
          <w:spacing w:val="-4"/>
        </w:rPr>
        <w:t> </w:t>
      </w:r>
      <w:r>
        <w:rPr/>
        <w:t>be</w:t>
      </w:r>
      <w:r>
        <w:rPr>
          <w:spacing w:val="-1"/>
        </w:rPr>
        <w:t> </w:t>
      </w:r>
      <w:r>
        <w:rPr/>
        <w:t>present</w:t>
      </w:r>
      <w:r>
        <w:rPr>
          <w:spacing w:val="-3"/>
        </w:rPr>
        <w:t> </w:t>
      </w:r>
      <w:r>
        <w:rPr/>
        <w:t>in</w:t>
      </w:r>
      <w:r>
        <w:rPr>
          <w:spacing w:val="-3"/>
        </w:rPr>
        <w:t> </w:t>
      </w:r>
      <w:r>
        <w:rPr/>
        <w:t>most</w:t>
      </w:r>
      <w:r>
        <w:rPr>
          <w:spacing w:val="-3"/>
        </w:rPr>
        <w:t> </w:t>
      </w:r>
      <w:r>
        <w:rPr/>
        <w:t>soft</w:t>
      </w:r>
      <w:r>
        <w:rPr>
          <w:spacing w:val="-3"/>
        </w:rPr>
        <w:t> </w:t>
      </w:r>
      <w:r>
        <w:rPr/>
        <w:t>tissues,</w:t>
      </w:r>
      <w:r>
        <w:rPr>
          <w:spacing w:val="-3"/>
        </w:rPr>
        <w:t> </w:t>
      </w:r>
      <w:r>
        <w:rPr/>
        <w:t>with</w:t>
      </w:r>
      <w:r>
        <w:rPr>
          <w:spacing w:val="-4"/>
        </w:rPr>
        <w:t> </w:t>
      </w:r>
      <w:r>
        <w:rPr/>
        <w:t>highest</w:t>
      </w:r>
      <w:r>
        <w:rPr>
          <w:spacing w:val="-3"/>
        </w:rPr>
        <w:t> </w:t>
      </w:r>
      <w:r>
        <w:rPr/>
        <w:t>concentrations</w:t>
      </w:r>
      <w:r>
        <w:rPr>
          <w:spacing w:val="-2"/>
        </w:rPr>
        <w:t> </w:t>
      </w:r>
      <w:r>
        <w:rPr/>
        <w:t>likely</w:t>
      </w:r>
      <w:r>
        <w:rPr>
          <w:spacing w:val="-2"/>
        </w:rPr>
        <w:t> </w:t>
      </w:r>
      <w:r>
        <w:rPr/>
        <w:t>in</w:t>
      </w:r>
      <w:r>
        <w:rPr>
          <w:spacing w:val="-1"/>
        </w:rPr>
        <w:t> </w:t>
      </w:r>
      <w:r>
        <w:rPr/>
        <w:t>liver and</w:t>
      </w:r>
      <w:r>
        <w:rPr>
          <w:spacing w:val="-1"/>
        </w:rPr>
        <w:t> </w:t>
      </w:r>
      <w:r>
        <w:rPr/>
        <w:t>fat</w:t>
      </w:r>
      <w:r>
        <w:rPr>
          <w:spacing w:val="-1"/>
        </w:rPr>
        <w:t> </w:t>
      </w:r>
      <w:r>
        <w:rPr/>
        <w:t>tissue. The degradation rate of residual pindone in rabbit carcasses has not been evaluated (Fisher et al. 2015).</w:t>
      </w:r>
    </w:p>
    <w:p>
      <w:pPr>
        <w:pStyle w:val="BodyText"/>
        <w:spacing w:before="120"/>
        <w:ind w:left="112" w:right="373"/>
      </w:pPr>
      <w:r>
        <w:rPr/>
        <w:t>Predatory or scavenging wildlife that eat rabbits, have potential for multiple, consecutive secondary exposures to pindone following rabbit baiting programs, depending on the likelihood of them consuming sufficient</w:t>
      </w:r>
      <w:r>
        <w:rPr>
          <w:spacing w:val="-3"/>
        </w:rPr>
        <w:t> </w:t>
      </w:r>
      <w:r>
        <w:rPr/>
        <w:t>prey</w:t>
      </w:r>
      <w:r>
        <w:rPr>
          <w:spacing w:val="-1"/>
        </w:rPr>
        <w:t> </w:t>
      </w:r>
      <w:r>
        <w:rPr/>
        <w:t>to</w:t>
      </w:r>
      <w:r>
        <w:rPr>
          <w:spacing w:val="-3"/>
        </w:rPr>
        <w:t> </w:t>
      </w:r>
      <w:r>
        <w:rPr/>
        <w:t>attain</w:t>
      </w:r>
      <w:r>
        <w:rPr>
          <w:spacing w:val="-1"/>
        </w:rPr>
        <w:t> </w:t>
      </w:r>
      <w:r>
        <w:rPr/>
        <w:t>lethal</w:t>
      </w:r>
      <w:r>
        <w:rPr>
          <w:spacing w:val="-4"/>
        </w:rPr>
        <w:t> </w:t>
      </w:r>
      <w:r>
        <w:rPr/>
        <w:t>concentrations of</w:t>
      </w:r>
      <w:r>
        <w:rPr>
          <w:spacing w:val="-3"/>
        </w:rPr>
        <w:t> </w:t>
      </w:r>
      <w:r>
        <w:rPr/>
        <w:t>the</w:t>
      </w:r>
      <w:r>
        <w:rPr>
          <w:spacing w:val="-3"/>
        </w:rPr>
        <w:t> </w:t>
      </w:r>
      <w:r>
        <w:rPr/>
        <w:t>toxin</w:t>
      </w:r>
      <w:r>
        <w:rPr>
          <w:spacing w:val="-3"/>
        </w:rPr>
        <w:t> </w:t>
      </w:r>
      <w:r>
        <w:rPr/>
        <w:t>before</w:t>
      </w:r>
      <w:r>
        <w:rPr>
          <w:spacing w:val="-3"/>
        </w:rPr>
        <w:t> </w:t>
      </w:r>
      <w:r>
        <w:rPr/>
        <w:t>it</w:t>
      </w:r>
      <w:r>
        <w:rPr>
          <w:spacing w:val="-3"/>
        </w:rPr>
        <w:t> </w:t>
      </w:r>
      <w:r>
        <w:rPr/>
        <w:t>degrades.</w:t>
      </w:r>
      <w:r>
        <w:rPr>
          <w:spacing w:val="-3"/>
        </w:rPr>
        <w:t> </w:t>
      </w:r>
      <w:r>
        <w:rPr/>
        <w:t>This is</w:t>
      </w:r>
      <w:r>
        <w:rPr>
          <w:spacing w:val="-2"/>
        </w:rPr>
        <w:t> </w:t>
      </w:r>
      <w:r>
        <w:rPr/>
        <w:t>the</w:t>
      </w:r>
      <w:r>
        <w:rPr>
          <w:spacing w:val="-3"/>
        </w:rPr>
        <w:t> </w:t>
      </w:r>
      <w:r>
        <w:rPr/>
        <w:t>scenario most</w:t>
      </w:r>
      <w:r>
        <w:rPr>
          <w:spacing w:val="-3"/>
        </w:rPr>
        <w:t> </w:t>
      </w:r>
      <w:r>
        <w:rPr/>
        <w:t>likely</w:t>
      </w:r>
      <w:r>
        <w:rPr>
          <w:spacing w:val="-2"/>
        </w:rPr>
        <w:t> </w:t>
      </w:r>
      <w:r>
        <w:rPr/>
        <w:t>to result in secondary non-target mortality, rather than a single instance of scavenging. The extent to which</w:t>
      </w:r>
      <w:r>
        <w:rPr/>
        <w:t> such mortality occurs is not well described. Pindone has lower toxicity than 1080 for dogs and cats, so</w:t>
      </w:r>
      <w:r>
        <w:rPr>
          <w:spacing w:val="40"/>
        </w:rPr>
        <w:t> </w:t>
      </w:r>
      <w:r>
        <w:rPr/>
        <w:t>overall presents a lower risk of secondary poisoning for domestic pets.</w:t>
      </w:r>
    </w:p>
    <w:p>
      <w:pPr>
        <w:pStyle w:val="Heading5"/>
        <w:numPr>
          <w:ilvl w:val="2"/>
          <w:numId w:val="27"/>
        </w:numPr>
        <w:tabs>
          <w:tab w:pos="831" w:val="left" w:leader="none"/>
        </w:tabs>
        <w:spacing w:line="240" w:lineRule="auto" w:before="140" w:after="0"/>
        <w:ind w:left="831" w:right="0" w:hanging="719"/>
        <w:jc w:val="left"/>
      </w:pPr>
      <w:r>
        <w:rPr/>
        <w:t>Sodium</w:t>
      </w:r>
      <w:r>
        <w:rPr>
          <w:spacing w:val="-5"/>
        </w:rPr>
        <w:t> </w:t>
      </w:r>
      <w:r>
        <w:rPr>
          <w:spacing w:val="-2"/>
        </w:rPr>
        <w:t>nitrite</w:t>
      </w:r>
    </w:p>
    <w:p>
      <w:pPr>
        <w:pStyle w:val="BodyText"/>
        <w:spacing w:before="56"/>
        <w:ind w:left="112" w:right="416"/>
      </w:pPr>
      <w:r>
        <w:rPr/>
        <w:t>Sodium nitrite is an inorganic salt that does not bioaccumulate and is very mobile in the environment (Gad 2024). An environmental assessment of sodium nitrite, as applied in the HOGGONE bait formulation for Feral Pig control, was carried out by the United States Department of Agriculture (USDA 2019). The assessment outlined expected environmental pathways and the fate for sodium nitrite; it does not adhere well</w:t>
      </w:r>
      <w:r>
        <w:rPr>
          <w:spacing w:val="-3"/>
        </w:rPr>
        <w:t> </w:t>
      </w:r>
      <w:r>
        <w:rPr/>
        <w:t>to</w:t>
      </w:r>
      <w:r>
        <w:rPr>
          <w:spacing w:val="-3"/>
        </w:rPr>
        <w:t> </w:t>
      </w:r>
      <w:r>
        <w:rPr/>
        <w:t>soil</w:t>
      </w:r>
      <w:r>
        <w:rPr>
          <w:spacing w:val="-1"/>
        </w:rPr>
        <w:t> </w:t>
      </w:r>
      <w:r>
        <w:rPr/>
        <w:t>particles</w:t>
      </w:r>
      <w:r>
        <w:rPr>
          <w:spacing w:val="-1"/>
        </w:rPr>
        <w:t> </w:t>
      </w:r>
      <w:r>
        <w:rPr/>
        <w:t>and</w:t>
      </w:r>
      <w:r>
        <w:rPr>
          <w:spacing w:val="-3"/>
        </w:rPr>
        <w:t> </w:t>
      </w:r>
      <w:r>
        <w:rPr/>
        <w:t>remains</w:t>
      </w:r>
      <w:r>
        <w:rPr>
          <w:spacing w:val="-1"/>
        </w:rPr>
        <w:t> </w:t>
      </w:r>
      <w:r>
        <w:rPr/>
        <w:t>as</w:t>
      </w:r>
      <w:r>
        <w:rPr>
          <w:spacing w:val="-1"/>
        </w:rPr>
        <w:t> </w:t>
      </w:r>
      <w:r>
        <w:rPr/>
        <w:t>a</w:t>
      </w:r>
      <w:r>
        <w:rPr>
          <w:spacing w:val="-3"/>
        </w:rPr>
        <w:t> </w:t>
      </w:r>
      <w:r>
        <w:rPr/>
        <w:t>particulate</w:t>
      </w:r>
      <w:r>
        <w:rPr>
          <w:spacing w:val="-2"/>
        </w:rPr>
        <w:t> </w:t>
      </w:r>
      <w:r>
        <w:rPr/>
        <w:t>in</w:t>
      </w:r>
      <w:r>
        <w:rPr>
          <w:spacing w:val="-2"/>
        </w:rPr>
        <w:t> </w:t>
      </w:r>
      <w:r>
        <w:rPr/>
        <w:t>the</w:t>
      </w:r>
      <w:r>
        <w:rPr>
          <w:spacing w:val="-2"/>
        </w:rPr>
        <w:t> </w:t>
      </w:r>
      <w:r>
        <w:rPr/>
        <w:t>air pockets</w:t>
      </w:r>
      <w:r>
        <w:rPr>
          <w:spacing w:val="-1"/>
        </w:rPr>
        <w:t> </w:t>
      </w:r>
      <w:r>
        <w:rPr/>
        <w:t>in</w:t>
      </w:r>
      <w:r>
        <w:rPr>
          <w:spacing w:val="-2"/>
        </w:rPr>
        <w:t> </w:t>
      </w:r>
      <w:r>
        <w:rPr/>
        <w:t>soil</w:t>
      </w:r>
      <w:r>
        <w:rPr>
          <w:spacing w:val="-3"/>
        </w:rPr>
        <w:t> </w:t>
      </w:r>
      <w:r>
        <w:rPr/>
        <w:t>because</w:t>
      </w:r>
      <w:r>
        <w:rPr>
          <w:spacing w:val="-2"/>
        </w:rPr>
        <w:t> </w:t>
      </w:r>
      <w:r>
        <w:rPr/>
        <w:t>it is</w:t>
      </w:r>
      <w:r>
        <w:rPr>
          <w:spacing w:val="-1"/>
        </w:rPr>
        <w:t> </w:t>
      </w:r>
      <w:r>
        <w:rPr/>
        <w:t>not</w:t>
      </w:r>
      <w:r>
        <w:rPr>
          <w:spacing w:val="-2"/>
        </w:rPr>
        <w:t> </w:t>
      </w:r>
      <w:r>
        <w:rPr/>
        <w:t>volatile. In</w:t>
      </w:r>
      <w:r>
        <w:rPr>
          <w:spacing w:val="-3"/>
        </w:rPr>
        <w:t> </w:t>
      </w:r>
      <w:r>
        <w:rPr/>
        <w:t>the</w:t>
      </w:r>
      <w:r>
        <w:rPr>
          <w:spacing w:val="-3"/>
        </w:rPr>
        <w:t> </w:t>
      </w:r>
      <w:r>
        <w:rPr/>
        <w:t>air (both above the soil and within the soil) sodium nitrite gradually oxidizes to nitrate. In water, sodium nitrite immediately dissociates into sodium and nitrite ions which easily oxidise to nitrate, and nitrate is the more predominant compound of the two detected in groundwater.</w:t>
      </w:r>
    </w:p>
    <w:p>
      <w:pPr>
        <w:pStyle w:val="BodyText"/>
        <w:spacing w:before="122"/>
        <w:ind w:left="112" w:right="520"/>
      </w:pPr>
      <w:r>
        <w:rPr/>
        <w:t>Nitrate</w:t>
      </w:r>
      <w:r>
        <w:rPr>
          <w:spacing w:val="-2"/>
        </w:rPr>
        <w:t> </w:t>
      </w:r>
      <w:r>
        <w:rPr/>
        <w:t>and</w:t>
      </w:r>
      <w:r>
        <w:rPr>
          <w:spacing w:val="-4"/>
        </w:rPr>
        <w:t> </w:t>
      </w:r>
      <w:r>
        <w:rPr/>
        <w:t>nitrite</w:t>
      </w:r>
      <w:r>
        <w:rPr>
          <w:spacing w:val="-4"/>
        </w:rPr>
        <w:t> </w:t>
      </w:r>
      <w:r>
        <w:rPr/>
        <w:t>are</w:t>
      </w:r>
      <w:r>
        <w:rPr>
          <w:spacing w:val="-2"/>
        </w:rPr>
        <w:t> </w:t>
      </w:r>
      <w:r>
        <w:rPr/>
        <w:t>likely</w:t>
      </w:r>
      <w:r>
        <w:rPr>
          <w:spacing w:val="-2"/>
        </w:rPr>
        <w:t> </w:t>
      </w:r>
      <w:r>
        <w:rPr/>
        <w:t>to</w:t>
      </w:r>
      <w:r>
        <w:rPr>
          <w:spacing w:val="-5"/>
        </w:rPr>
        <w:t> </w:t>
      </w:r>
      <w:r>
        <w:rPr/>
        <w:t>remain</w:t>
      </w:r>
      <w:r>
        <w:rPr>
          <w:spacing w:val="-2"/>
        </w:rPr>
        <w:t> </w:t>
      </w:r>
      <w:r>
        <w:rPr/>
        <w:t>in</w:t>
      </w:r>
      <w:r>
        <w:rPr>
          <w:spacing w:val="-2"/>
        </w:rPr>
        <w:t> </w:t>
      </w:r>
      <w:r>
        <w:rPr/>
        <w:t>water</w:t>
      </w:r>
      <w:r>
        <w:rPr>
          <w:spacing w:val="-4"/>
        </w:rPr>
        <w:t> </w:t>
      </w:r>
      <w:r>
        <w:rPr/>
        <w:t>until</w:t>
      </w:r>
      <w:r>
        <w:rPr>
          <w:spacing w:val="-3"/>
        </w:rPr>
        <w:t> </w:t>
      </w:r>
      <w:r>
        <w:rPr/>
        <w:t>consumed</w:t>
      </w:r>
      <w:r>
        <w:rPr>
          <w:spacing w:val="-3"/>
        </w:rPr>
        <w:t> </w:t>
      </w:r>
      <w:r>
        <w:rPr/>
        <w:t>by</w:t>
      </w:r>
      <w:r>
        <w:rPr>
          <w:spacing w:val="-3"/>
        </w:rPr>
        <w:t> </w:t>
      </w:r>
      <w:r>
        <w:rPr/>
        <w:t>plants</w:t>
      </w:r>
      <w:r>
        <w:rPr>
          <w:spacing w:val="-3"/>
        </w:rPr>
        <w:t> </w:t>
      </w:r>
      <w:r>
        <w:rPr/>
        <w:t>or</w:t>
      </w:r>
      <w:r>
        <w:rPr>
          <w:spacing w:val="-2"/>
        </w:rPr>
        <w:t> </w:t>
      </w:r>
      <w:r>
        <w:rPr/>
        <w:t>other</w:t>
      </w:r>
      <w:r>
        <w:rPr>
          <w:spacing w:val="-2"/>
        </w:rPr>
        <w:t> </w:t>
      </w:r>
      <w:r>
        <w:rPr/>
        <w:t>organisms.</w:t>
      </w:r>
      <w:r>
        <w:rPr>
          <w:spacing w:val="-4"/>
        </w:rPr>
        <w:t> </w:t>
      </w:r>
      <w:r>
        <w:rPr/>
        <w:t>Biodegradation of nitrite in the environment occurs when bacteria oxidise nitrites to nitrates. Then, anaerobic bacteria present in soil and sediment reduce nitrates to nitrogen, which is then absorbed into the nitrogen cycle.</w:t>
      </w:r>
    </w:p>
    <w:p>
      <w:pPr>
        <w:pStyle w:val="BodyText"/>
        <w:ind w:left="112" w:right="699"/>
      </w:pPr>
      <w:r>
        <w:rPr/>
        <w:t>Bioconcentration or bioaccumulation of nitrite is not expected for residues that could occur in aquatic systems.</w:t>
      </w:r>
      <w:r>
        <w:rPr>
          <w:spacing w:val="-4"/>
        </w:rPr>
        <w:t> </w:t>
      </w:r>
      <w:r>
        <w:rPr/>
        <w:t>Nitrite</w:t>
      </w:r>
      <w:r>
        <w:rPr>
          <w:spacing w:val="-4"/>
        </w:rPr>
        <w:t> </w:t>
      </w:r>
      <w:r>
        <w:rPr/>
        <w:t>is</w:t>
      </w:r>
      <w:r>
        <w:rPr>
          <w:spacing w:val="-3"/>
        </w:rPr>
        <w:t> </w:t>
      </w:r>
      <w:r>
        <w:rPr/>
        <w:t>highly</w:t>
      </w:r>
      <w:r>
        <w:rPr>
          <w:spacing w:val="-3"/>
        </w:rPr>
        <w:t> </w:t>
      </w:r>
      <w:r>
        <w:rPr/>
        <w:t>soluble,</w:t>
      </w:r>
      <w:r>
        <w:rPr>
          <w:spacing w:val="-4"/>
        </w:rPr>
        <w:t> </w:t>
      </w:r>
      <w:r>
        <w:rPr/>
        <w:t>which</w:t>
      </w:r>
      <w:r>
        <w:rPr>
          <w:spacing w:val="-2"/>
        </w:rPr>
        <w:t> </w:t>
      </w:r>
      <w:r>
        <w:rPr/>
        <w:t>is</w:t>
      </w:r>
      <w:r>
        <w:rPr>
          <w:spacing w:val="-3"/>
        </w:rPr>
        <w:t> </w:t>
      </w:r>
      <w:r>
        <w:rPr/>
        <w:t>not</w:t>
      </w:r>
      <w:r>
        <w:rPr>
          <w:spacing w:val="-2"/>
        </w:rPr>
        <w:t> </w:t>
      </w:r>
      <w:r>
        <w:rPr/>
        <w:t>typical</w:t>
      </w:r>
      <w:r>
        <w:rPr>
          <w:spacing w:val="-5"/>
        </w:rPr>
        <w:t> </w:t>
      </w:r>
      <w:r>
        <w:rPr/>
        <w:t>for</w:t>
      </w:r>
      <w:r>
        <w:rPr>
          <w:spacing w:val="-1"/>
        </w:rPr>
        <w:t> </w:t>
      </w:r>
      <w:r>
        <w:rPr/>
        <w:t>compounds</w:t>
      </w:r>
      <w:r>
        <w:rPr>
          <w:spacing w:val="-3"/>
        </w:rPr>
        <w:t> </w:t>
      </w:r>
      <w:r>
        <w:rPr/>
        <w:t>that</w:t>
      </w:r>
      <w:r>
        <w:rPr>
          <w:spacing w:val="-2"/>
        </w:rPr>
        <w:t> </w:t>
      </w:r>
      <w:r>
        <w:rPr/>
        <w:t>may</w:t>
      </w:r>
      <w:r>
        <w:rPr>
          <w:spacing w:val="-3"/>
        </w:rPr>
        <w:t> </w:t>
      </w:r>
      <w:r>
        <w:rPr/>
        <w:t>accumulate</w:t>
      </w:r>
      <w:r>
        <w:rPr>
          <w:spacing w:val="-3"/>
        </w:rPr>
        <w:t> </w:t>
      </w:r>
      <w:r>
        <w:rPr/>
        <w:t>in</w:t>
      </w:r>
      <w:r>
        <w:rPr>
          <w:spacing w:val="-2"/>
        </w:rPr>
        <w:t> </w:t>
      </w:r>
      <w:r>
        <w:rPr/>
        <w:t>aquatic</w:t>
      </w:r>
      <w:r>
        <w:rPr>
          <w:spacing w:val="-1"/>
        </w:rPr>
        <w:t> </w:t>
      </w:r>
      <w:r>
        <w:rPr/>
        <w:t>biota (USDA 2019).</w:t>
      </w:r>
    </w:p>
    <w:p>
      <w:pPr>
        <w:spacing w:after="0"/>
        <w:sectPr>
          <w:pgSz w:w="11910" w:h="16850"/>
          <w:pgMar w:header="0" w:footer="688" w:top="1060" w:bottom="880" w:left="1020" w:right="780"/>
        </w:sectPr>
      </w:pPr>
    </w:p>
    <w:p>
      <w:pPr>
        <w:pStyle w:val="BodyText"/>
        <w:spacing w:before="71"/>
        <w:ind w:left="112" w:right="380"/>
      </w:pPr>
      <w:r>
        <w:rPr/>
        <w:t>Sublethal intake of sodium nitrite is rapidly eliminated in living animals. The blood half-life in various species is measured in only minutes (Gad 2024). For example, in rats orally dosed with 80 mg/kg of sodium nitrite, peak</w:t>
      </w:r>
      <w:r>
        <w:rPr>
          <w:spacing w:val="-3"/>
        </w:rPr>
        <w:t> </w:t>
      </w:r>
      <w:r>
        <w:rPr/>
        <w:t>plasma</w:t>
      </w:r>
      <w:r>
        <w:rPr>
          <w:spacing w:val="-4"/>
        </w:rPr>
        <w:t> </w:t>
      </w:r>
      <w:r>
        <w:rPr/>
        <w:t>concentrations</w:t>
      </w:r>
      <w:r>
        <w:rPr>
          <w:spacing w:val="-3"/>
        </w:rPr>
        <w:t> </w:t>
      </w:r>
      <w:r>
        <w:rPr/>
        <w:t>were</w:t>
      </w:r>
      <w:r>
        <w:rPr>
          <w:spacing w:val="-4"/>
        </w:rPr>
        <w:t> </w:t>
      </w:r>
      <w:r>
        <w:rPr/>
        <w:t>achieved</w:t>
      </w:r>
      <w:r>
        <w:rPr>
          <w:spacing w:val="-3"/>
        </w:rPr>
        <w:t> </w:t>
      </w:r>
      <w:r>
        <w:rPr/>
        <w:t>at</w:t>
      </w:r>
      <w:r>
        <w:rPr>
          <w:spacing w:val="-4"/>
        </w:rPr>
        <w:t> </w:t>
      </w:r>
      <w:r>
        <w:rPr/>
        <w:t>30</w:t>
      </w:r>
      <w:r>
        <w:rPr>
          <w:spacing w:val="-4"/>
        </w:rPr>
        <w:t> </w:t>
      </w:r>
      <w:r>
        <w:rPr/>
        <w:t>mins</w:t>
      </w:r>
      <w:r>
        <w:rPr>
          <w:spacing w:val="-1"/>
        </w:rPr>
        <w:t> </w:t>
      </w:r>
      <w:r>
        <w:rPr/>
        <w:t>after</w:t>
      </w:r>
      <w:r>
        <w:rPr>
          <w:spacing w:val="-4"/>
        </w:rPr>
        <w:t> </w:t>
      </w:r>
      <w:r>
        <w:rPr/>
        <w:t>dosing</w:t>
      </w:r>
      <w:r>
        <w:rPr>
          <w:spacing w:val="-4"/>
        </w:rPr>
        <w:t> </w:t>
      </w:r>
      <w:r>
        <w:rPr/>
        <w:t>and</w:t>
      </w:r>
      <w:r>
        <w:rPr>
          <w:spacing w:val="-5"/>
        </w:rPr>
        <w:t> </w:t>
      </w:r>
      <w:r>
        <w:rPr/>
        <w:t>these</w:t>
      </w:r>
      <w:r>
        <w:rPr>
          <w:spacing w:val="-4"/>
        </w:rPr>
        <w:t> </w:t>
      </w:r>
      <w:r>
        <w:rPr/>
        <w:t>decreased</w:t>
      </w:r>
      <w:r>
        <w:rPr>
          <w:spacing w:val="-5"/>
        </w:rPr>
        <w:t> </w:t>
      </w:r>
      <w:r>
        <w:rPr/>
        <w:t>to</w:t>
      </w:r>
      <w:r>
        <w:rPr>
          <w:spacing w:val="-2"/>
        </w:rPr>
        <w:t> </w:t>
      </w:r>
      <w:r>
        <w:rPr/>
        <w:t>below</w:t>
      </w:r>
      <w:r>
        <w:rPr>
          <w:spacing w:val="-2"/>
        </w:rPr>
        <w:t> </w:t>
      </w:r>
      <w:r>
        <w:rPr/>
        <w:t>the</w:t>
      </w:r>
      <w:r>
        <w:rPr>
          <w:spacing w:val="-2"/>
        </w:rPr>
        <w:t> </w:t>
      </w:r>
      <w:r>
        <w:rPr/>
        <w:t>limit</w:t>
      </w:r>
      <w:r>
        <w:rPr>
          <w:spacing w:val="-4"/>
        </w:rPr>
        <w:t> </w:t>
      </w:r>
      <w:r>
        <w:rPr/>
        <w:t>of detection after 8 hours (Shapiro et al. 2018). The potential secondary poisoning risks of sodium nitrite for dogs, cats and chickens in captive trials were assessed as minimal (Shapiro et al. 2018).</w:t>
      </w:r>
    </w:p>
    <w:p>
      <w:pPr>
        <w:pStyle w:val="BodyText"/>
        <w:spacing w:before="158"/>
      </w:pPr>
    </w:p>
    <w:p>
      <w:pPr>
        <w:pStyle w:val="Heading3"/>
        <w:numPr>
          <w:ilvl w:val="1"/>
          <w:numId w:val="27"/>
        </w:numPr>
        <w:tabs>
          <w:tab w:pos="686" w:val="left" w:leader="none"/>
        </w:tabs>
        <w:spacing w:line="240" w:lineRule="auto" w:before="0" w:after="0"/>
        <w:ind w:left="686" w:right="0" w:hanging="574"/>
        <w:jc w:val="left"/>
      </w:pPr>
      <w:r>
        <w:rPr>
          <w:color w:val="2D1E66"/>
        </w:rPr>
        <w:t>Den</w:t>
      </w:r>
      <w:r>
        <w:rPr>
          <w:color w:val="2D1E66"/>
          <w:spacing w:val="-8"/>
        </w:rPr>
        <w:t> </w:t>
      </w:r>
      <w:r>
        <w:rPr>
          <w:color w:val="2D1E66"/>
        </w:rPr>
        <w:t>and</w:t>
      </w:r>
      <w:r>
        <w:rPr>
          <w:color w:val="2D1E66"/>
          <w:spacing w:val="-7"/>
        </w:rPr>
        <w:t> </w:t>
      </w:r>
      <w:r>
        <w:rPr>
          <w:color w:val="2D1E66"/>
        </w:rPr>
        <w:t>warren</w:t>
      </w:r>
      <w:r>
        <w:rPr>
          <w:color w:val="2D1E66"/>
          <w:spacing w:val="-7"/>
        </w:rPr>
        <w:t> </w:t>
      </w:r>
      <w:r>
        <w:rPr>
          <w:color w:val="2D1E66"/>
          <w:spacing w:val="-2"/>
        </w:rPr>
        <w:t>fumigation</w:t>
      </w:r>
    </w:p>
    <w:p>
      <w:pPr>
        <w:pStyle w:val="BodyText"/>
        <w:spacing w:before="112"/>
        <w:ind w:left="112" w:right="427"/>
      </w:pPr>
      <w:r>
        <w:rPr/>
        <w:t>Rabbit warren or fox den fumigation involves the identification of all entrances to a warren/den system so that these can be dug in and blocked immediately after the application of the fumigant. Best practice application of a fumigant product within warrens or dens confines the release of the formulation or combustion</w:t>
      </w:r>
      <w:r>
        <w:rPr>
          <w:spacing w:val="-1"/>
        </w:rPr>
        <w:t> </w:t>
      </w:r>
      <w:r>
        <w:rPr/>
        <w:t>byproducts</w:t>
      </w:r>
      <w:r>
        <w:rPr>
          <w:spacing w:val="-2"/>
        </w:rPr>
        <w:t> </w:t>
      </w:r>
      <w:r>
        <w:rPr/>
        <w:t>to</w:t>
      </w:r>
      <w:r>
        <w:rPr>
          <w:spacing w:val="-3"/>
        </w:rPr>
        <w:t> </w:t>
      </w:r>
      <w:r>
        <w:rPr/>
        <w:t>the</w:t>
      </w:r>
      <w:r>
        <w:rPr>
          <w:spacing w:val="-3"/>
        </w:rPr>
        <w:t> </w:t>
      </w:r>
      <w:r>
        <w:rPr/>
        <w:t>air</w:t>
      </w:r>
      <w:r>
        <w:rPr>
          <w:spacing w:val="-1"/>
        </w:rPr>
        <w:t> </w:t>
      </w:r>
      <w:r>
        <w:rPr/>
        <w:t>within</w:t>
      </w:r>
      <w:r>
        <w:rPr>
          <w:spacing w:val="-2"/>
        </w:rPr>
        <w:t> </w:t>
      </w:r>
      <w:r>
        <w:rPr/>
        <w:t>the</w:t>
      </w:r>
      <w:r>
        <w:rPr>
          <w:spacing w:val="-2"/>
        </w:rPr>
        <w:t> </w:t>
      </w:r>
      <w:r>
        <w:rPr/>
        <w:t>den</w:t>
      </w:r>
      <w:r>
        <w:rPr>
          <w:spacing w:val="-3"/>
        </w:rPr>
        <w:t> </w:t>
      </w:r>
      <w:r>
        <w:rPr/>
        <w:t>and</w:t>
      </w:r>
      <w:r>
        <w:rPr>
          <w:spacing w:val="-3"/>
        </w:rPr>
        <w:t> </w:t>
      </w:r>
      <w:r>
        <w:rPr/>
        <w:t>the</w:t>
      </w:r>
      <w:r>
        <w:rPr>
          <w:spacing w:val="-2"/>
        </w:rPr>
        <w:t> </w:t>
      </w:r>
      <w:r>
        <w:rPr/>
        <w:t>surrounding</w:t>
      </w:r>
      <w:r>
        <w:rPr>
          <w:spacing w:val="-2"/>
        </w:rPr>
        <w:t> </w:t>
      </w:r>
      <w:r>
        <w:rPr/>
        <w:t>soil</w:t>
      </w:r>
      <w:r>
        <w:rPr>
          <w:spacing w:val="-3"/>
        </w:rPr>
        <w:t> </w:t>
      </w:r>
      <w:r>
        <w:rPr/>
        <w:t>or</w:t>
      </w:r>
      <w:r>
        <w:rPr>
          <w:spacing w:val="-2"/>
        </w:rPr>
        <w:t> </w:t>
      </w:r>
      <w:r>
        <w:rPr/>
        <w:t>substrate.</w:t>
      </w:r>
      <w:r>
        <w:rPr>
          <w:spacing w:val="-2"/>
        </w:rPr>
        <w:t> </w:t>
      </w:r>
      <w:r>
        <w:rPr/>
        <w:t>These</w:t>
      </w:r>
      <w:r>
        <w:rPr>
          <w:spacing w:val="-2"/>
        </w:rPr>
        <w:t> </w:t>
      </w:r>
      <w:r>
        <w:rPr/>
        <w:t>below-ground use patterns of fumigants preclude significant exposure of non-target terrestrial species that do not use burrows, and of aquatic species.</w:t>
      </w:r>
    </w:p>
    <w:p>
      <w:pPr>
        <w:pStyle w:val="Heading5"/>
        <w:numPr>
          <w:ilvl w:val="2"/>
          <w:numId w:val="28"/>
        </w:numPr>
        <w:tabs>
          <w:tab w:pos="831" w:val="left" w:leader="none"/>
        </w:tabs>
        <w:spacing w:line="240" w:lineRule="auto" w:before="139" w:after="0"/>
        <w:ind w:left="831" w:right="0" w:hanging="719"/>
        <w:jc w:val="left"/>
      </w:pPr>
      <w:bookmarkStart w:name="_TOC_250014" w:id="105"/>
      <w:r>
        <w:rPr/>
        <w:t>Phosphine</w:t>
      </w:r>
      <w:r>
        <w:rPr>
          <w:spacing w:val="-4"/>
        </w:rPr>
        <w:t> </w:t>
      </w:r>
      <w:r>
        <w:rPr/>
        <w:t>(for</w:t>
      </w:r>
      <w:r>
        <w:rPr>
          <w:spacing w:val="-7"/>
        </w:rPr>
        <w:t> </w:t>
      </w:r>
      <w:r>
        <w:rPr/>
        <w:t>rabbit</w:t>
      </w:r>
      <w:r>
        <w:rPr>
          <w:spacing w:val="-7"/>
        </w:rPr>
        <w:t> </w:t>
      </w:r>
      <w:bookmarkEnd w:id="105"/>
      <w:r>
        <w:rPr>
          <w:spacing w:val="-2"/>
        </w:rPr>
        <w:t>warrens)</w:t>
      </w:r>
    </w:p>
    <w:p>
      <w:pPr>
        <w:pStyle w:val="BodyText"/>
        <w:spacing w:before="57"/>
        <w:ind w:left="112" w:right="427"/>
      </w:pPr>
      <w:r>
        <w:rPr/>
        <w:t>Phosphine gas is the active chemical produced by metal phosphide products (Phostoxin, Gastion or Magtoxin) available in Victoria for rabbit warren fumigation. These formulations are sold as pellets/tablets of aluminium, calcium or magnesium phosphide mixed with inert ingredients such as ammonium carbonate from which phosphine has evolved by a reaction with water (added at application to warrens). The potential flammability hazard of generated phosphine is minimised by these formulations releasing the gas slowly to allow</w:t>
      </w:r>
      <w:r>
        <w:rPr>
          <w:spacing w:val="-4"/>
        </w:rPr>
        <w:t> </w:t>
      </w:r>
      <w:r>
        <w:rPr/>
        <w:t>safe</w:t>
      </w:r>
      <w:r>
        <w:rPr>
          <w:spacing w:val="-4"/>
        </w:rPr>
        <w:t> </w:t>
      </w:r>
      <w:r>
        <w:rPr/>
        <w:t>dilution</w:t>
      </w:r>
      <w:r>
        <w:rPr>
          <w:spacing w:val="-4"/>
        </w:rPr>
        <w:t> </w:t>
      </w:r>
      <w:r>
        <w:rPr/>
        <w:t>with</w:t>
      </w:r>
      <w:r>
        <w:rPr>
          <w:spacing w:val="-2"/>
        </w:rPr>
        <w:t> </w:t>
      </w:r>
      <w:r>
        <w:rPr/>
        <w:t>the</w:t>
      </w:r>
      <w:r>
        <w:rPr>
          <w:spacing w:val="-3"/>
        </w:rPr>
        <w:t> </w:t>
      </w:r>
      <w:r>
        <w:rPr/>
        <w:t>surrounding</w:t>
      </w:r>
      <w:r>
        <w:rPr>
          <w:spacing w:val="-3"/>
        </w:rPr>
        <w:t> </w:t>
      </w:r>
      <w:r>
        <w:rPr/>
        <w:t>air (Ryan</w:t>
      </w:r>
      <w:r>
        <w:rPr>
          <w:spacing w:val="-2"/>
        </w:rPr>
        <w:t> </w:t>
      </w:r>
      <w:r>
        <w:rPr/>
        <w:t>and</w:t>
      </w:r>
      <w:r>
        <w:rPr>
          <w:spacing w:val="-2"/>
        </w:rPr>
        <w:t> </w:t>
      </w:r>
      <w:r>
        <w:rPr/>
        <w:t>De</w:t>
      </w:r>
      <w:r>
        <w:rPr>
          <w:spacing w:val="-4"/>
        </w:rPr>
        <w:t> </w:t>
      </w:r>
      <w:r>
        <w:rPr/>
        <w:t>Lima</w:t>
      </w:r>
      <w:r>
        <w:rPr>
          <w:spacing w:val="-2"/>
        </w:rPr>
        <w:t> </w:t>
      </w:r>
      <w:r>
        <w:rPr/>
        <w:t>2013).</w:t>
      </w:r>
      <w:r>
        <w:rPr>
          <w:spacing w:val="-4"/>
        </w:rPr>
        <w:t> </w:t>
      </w:r>
      <w:r>
        <w:rPr/>
        <w:t>Unreacted tablets</w:t>
      </w:r>
      <w:r>
        <w:rPr>
          <w:spacing w:val="-3"/>
        </w:rPr>
        <w:t> </w:t>
      </w:r>
      <w:r>
        <w:rPr/>
        <w:t>or</w:t>
      </w:r>
      <w:r>
        <w:rPr>
          <w:spacing w:val="-4"/>
        </w:rPr>
        <w:t> </w:t>
      </w:r>
      <w:r>
        <w:rPr/>
        <w:t>their</w:t>
      </w:r>
      <w:r>
        <w:rPr>
          <w:spacing w:val="-3"/>
        </w:rPr>
        <w:t> </w:t>
      </w:r>
      <w:r>
        <w:rPr/>
        <w:t>residues</w:t>
      </w:r>
      <w:r>
        <w:rPr>
          <w:spacing w:val="-3"/>
        </w:rPr>
        <w:t> </w:t>
      </w:r>
      <w:r>
        <w:rPr/>
        <w:t>left in warrens represent a localised, time-limited toxic environmental hazard if they cannot be recovered and disposed of appropriately – however, phosphine itself and the solid forms of zinc, magnesium, and aluminium phosphides are recognised as inherently degradable and not considered persistent in the </w:t>
      </w:r>
      <w:r>
        <w:rPr>
          <w:spacing w:val="-2"/>
        </w:rPr>
        <w:t>environment.</w:t>
      </w:r>
    </w:p>
    <w:p>
      <w:pPr>
        <w:pStyle w:val="BodyText"/>
        <w:spacing w:before="120"/>
        <w:ind w:left="112" w:right="364"/>
      </w:pPr>
      <w:r>
        <w:rPr/>
        <w:t>Phosphine is normally undetectable in air, water, or soil. Phosphine in air reacts with HO radicals and is removed</w:t>
      </w:r>
      <w:r>
        <w:rPr>
          <w:spacing w:val="-1"/>
        </w:rPr>
        <w:t> </w:t>
      </w:r>
      <w:r>
        <w:rPr/>
        <w:t>by</w:t>
      </w:r>
      <w:r>
        <w:rPr>
          <w:spacing w:val="-1"/>
        </w:rPr>
        <w:t> </w:t>
      </w:r>
      <w:r>
        <w:rPr/>
        <w:t>this</w:t>
      </w:r>
      <w:r>
        <w:rPr>
          <w:spacing w:val="-1"/>
        </w:rPr>
        <w:t> </w:t>
      </w:r>
      <w:r>
        <w:rPr/>
        <w:t>mechanism</w:t>
      </w:r>
      <w:r>
        <w:rPr>
          <w:spacing w:val="-2"/>
        </w:rPr>
        <w:t> </w:t>
      </w:r>
      <w:r>
        <w:rPr/>
        <w:t>with</w:t>
      </w:r>
      <w:r>
        <w:rPr>
          <w:spacing w:val="-2"/>
        </w:rPr>
        <w:t> </w:t>
      </w:r>
      <w:r>
        <w:rPr/>
        <w:t>a</w:t>
      </w:r>
      <w:r>
        <w:rPr>
          <w:spacing w:val="-1"/>
        </w:rPr>
        <w:t> </w:t>
      </w:r>
      <w:r>
        <w:rPr/>
        <w:t>half</w:t>
      </w:r>
      <w:r>
        <w:rPr>
          <w:spacing w:val="-2"/>
        </w:rPr>
        <w:t> </w:t>
      </w:r>
      <w:r>
        <w:rPr/>
        <w:t>time of 5–28</w:t>
      </w:r>
      <w:r>
        <w:rPr>
          <w:spacing w:val="-2"/>
        </w:rPr>
        <w:t> </w:t>
      </w:r>
      <w:r>
        <w:rPr/>
        <w:t>h.</w:t>
      </w:r>
      <w:r>
        <w:rPr>
          <w:spacing w:val="-2"/>
        </w:rPr>
        <w:t> </w:t>
      </w:r>
      <w:r>
        <w:rPr/>
        <w:t>Phosphine</w:t>
      </w:r>
      <w:r>
        <w:rPr>
          <w:spacing w:val="-1"/>
        </w:rPr>
        <w:t> </w:t>
      </w:r>
      <w:r>
        <w:rPr/>
        <w:t>in air is</w:t>
      </w:r>
      <w:r>
        <w:rPr>
          <w:spacing w:val="-1"/>
        </w:rPr>
        <w:t> </w:t>
      </w:r>
      <w:r>
        <w:rPr/>
        <w:t>slowly absorbed</w:t>
      </w:r>
      <w:r>
        <w:rPr>
          <w:spacing w:val="-2"/>
        </w:rPr>
        <w:t> </w:t>
      </w:r>
      <w:r>
        <w:rPr/>
        <w:t>by</w:t>
      </w:r>
      <w:r>
        <w:rPr>
          <w:spacing w:val="-1"/>
        </w:rPr>
        <w:t> </w:t>
      </w:r>
      <w:r>
        <w:rPr/>
        <w:t>soil</w:t>
      </w:r>
      <w:r>
        <w:rPr>
          <w:spacing w:val="-3"/>
        </w:rPr>
        <w:t> </w:t>
      </w:r>
      <w:r>
        <w:rPr/>
        <w:t>at</w:t>
      </w:r>
      <w:r>
        <w:rPr>
          <w:spacing w:val="-2"/>
        </w:rPr>
        <w:t> </w:t>
      </w:r>
      <w:r>
        <w:rPr/>
        <w:t>a</w:t>
      </w:r>
      <w:r>
        <w:rPr>
          <w:spacing w:val="-3"/>
        </w:rPr>
        <w:t> </w:t>
      </w:r>
      <w:r>
        <w:rPr/>
        <w:t>rate that is dependent on surface effects and the permeability of the soil matrix and is slower in wet conditions. Aluminium and magnesium phosphides are rapidly hydrolysed in neutral moist conditions. Phosphides ultimately</w:t>
      </w:r>
      <w:r>
        <w:rPr>
          <w:spacing w:val="-2"/>
        </w:rPr>
        <w:t> </w:t>
      </w:r>
      <w:r>
        <w:rPr/>
        <w:t>become</w:t>
      </w:r>
      <w:r>
        <w:rPr>
          <w:spacing w:val="-4"/>
        </w:rPr>
        <w:t> </w:t>
      </w:r>
      <w:r>
        <w:rPr/>
        <w:t>inorganic</w:t>
      </w:r>
      <w:r>
        <w:rPr>
          <w:spacing w:val="-4"/>
        </w:rPr>
        <w:t> </w:t>
      </w:r>
      <w:r>
        <w:rPr/>
        <w:t>phosphate,</w:t>
      </w:r>
      <w:r>
        <w:rPr>
          <w:spacing w:val="-3"/>
        </w:rPr>
        <w:t> </w:t>
      </w:r>
      <w:r>
        <w:rPr/>
        <w:t>water,</w:t>
      </w:r>
      <w:r>
        <w:rPr>
          <w:spacing w:val="-3"/>
        </w:rPr>
        <w:t> </w:t>
      </w:r>
      <w:r>
        <w:rPr/>
        <w:t>and</w:t>
      </w:r>
      <w:r>
        <w:rPr>
          <w:spacing w:val="-5"/>
        </w:rPr>
        <w:t> </w:t>
      </w:r>
      <w:r>
        <w:rPr/>
        <w:t>metallic</w:t>
      </w:r>
      <w:r>
        <w:rPr>
          <w:spacing w:val="-4"/>
        </w:rPr>
        <w:t> </w:t>
      </w:r>
      <w:r>
        <w:rPr/>
        <w:t>compounds (World</w:t>
      </w:r>
      <w:r>
        <w:rPr>
          <w:spacing w:val="-5"/>
        </w:rPr>
        <w:t> </w:t>
      </w:r>
      <w:r>
        <w:rPr/>
        <w:t>Health</w:t>
      </w:r>
      <w:r>
        <w:rPr>
          <w:spacing w:val="-5"/>
        </w:rPr>
        <w:t> </w:t>
      </w:r>
      <w:r>
        <w:rPr/>
        <w:t>Organisation</w:t>
      </w:r>
      <w:r>
        <w:rPr>
          <w:spacing w:val="-3"/>
        </w:rPr>
        <w:t> </w:t>
      </w:r>
      <w:r>
        <w:rPr/>
        <w:t>1988).</w:t>
      </w:r>
    </w:p>
    <w:p>
      <w:pPr>
        <w:pStyle w:val="Heading5"/>
        <w:numPr>
          <w:ilvl w:val="2"/>
          <w:numId w:val="28"/>
        </w:numPr>
        <w:tabs>
          <w:tab w:pos="831" w:val="left" w:leader="none"/>
        </w:tabs>
        <w:spacing w:line="240" w:lineRule="auto" w:before="142" w:after="0"/>
        <w:ind w:left="831" w:right="0" w:hanging="719"/>
        <w:jc w:val="left"/>
      </w:pPr>
      <w:bookmarkStart w:name="_TOC_250013" w:id="106"/>
      <w:r>
        <w:rPr/>
        <w:t>Chloropicrin</w:t>
      </w:r>
      <w:r>
        <w:rPr>
          <w:spacing w:val="-8"/>
        </w:rPr>
        <w:t> </w:t>
      </w:r>
      <w:r>
        <w:rPr/>
        <w:t>(for</w:t>
      </w:r>
      <w:r>
        <w:rPr>
          <w:spacing w:val="-8"/>
        </w:rPr>
        <w:t> </w:t>
      </w:r>
      <w:r>
        <w:rPr/>
        <w:t>rabbit</w:t>
      </w:r>
      <w:r>
        <w:rPr>
          <w:spacing w:val="-6"/>
        </w:rPr>
        <w:t> </w:t>
      </w:r>
      <w:bookmarkEnd w:id="106"/>
      <w:r>
        <w:rPr>
          <w:spacing w:val="-2"/>
        </w:rPr>
        <w:t>warrens)</w:t>
      </w:r>
    </w:p>
    <w:p>
      <w:pPr>
        <w:pStyle w:val="BodyText"/>
        <w:spacing w:before="56"/>
        <w:ind w:left="112" w:right="295"/>
      </w:pPr>
      <w:r>
        <w:rPr/>
        <w:t>Chloropicrin</w:t>
      </w:r>
      <w:r>
        <w:rPr>
          <w:spacing w:val="-5"/>
        </w:rPr>
        <w:t> </w:t>
      </w:r>
      <w:r>
        <w:rPr/>
        <w:t>(product</w:t>
      </w:r>
      <w:r>
        <w:rPr>
          <w:spacing w:val="-5"/>
        </w:rPr>
        <w:t> </w:t>
      </w:r>
      <w:r>
        <w:rPr/>
        <w:t>name</w:t>
      </w:r>
      <w:r>
        <w:rPr>
          <w:spacing w:val="-3"/>
        </w:rPr>
        <w:t> </w:t>
      </w:r>
      <w:r>
        <w:rPr/>
        <w:t>Larvacide)</w:t>
      </w:r>
      <w:r>
        <w:rPr>
          <w:spacing w:val="-5"/>
        </w:rPr>
        <w:t> </w:t>
      </w:r>
      <w:r>
        <w:rPr/>
        <w:t>is</w:t>
      </w:r>
      <w:r>
        <w:rPr>
          <w:spacing w:val="-4"/>
        </w:rPr>
        <w:t> </w:t>
      </w:r>
      <w:r>
        <w:rPr/>
        <w:t>the</w:t>
      </w:r>
      <w:r>
        <w:rPr>
          <w:spacing w:val="-5"/>
        </w:rPr>
        <w:t> </w:t>
      </w:r>
      <w:r>
        <w:rPr/>
        <w:t>common</w:t>
      </w:r>
      <w:r>
        <w:rPr>
          <w:spacing w:val="-3"/>
        </w:rPr>
        <w:t> </w:t>
      </w:r>
      <w:r>
        <w:rPr/>
        <w:t>name</w:t>
      </w:r>
      <w:r>
        <w:rPr>
          <w:spacing w:val="-3"/>
        </w:rPr>
        <w:t> </w:t>
      </w:r>
      <w:r>
        <w:rPr/>
        <w:t>for</w:t>
      </w:r>
      <w:r>
        <w:rPr>
          <w:spacing w:val="-4"/>
        </w:rPr>
        <w:t> </w:t>
      </w:r>
      <w:r>
        <w:rPr/>
        <w:t>trichloronitromethane,</w:t>
      </w:r>
      <w:r>
        <w:rPr>
          <w:spacing w:val="-3"/>
        </w:rPr>
        <w:t> </w:t>
      </w:r>
      <w:r>
        <w:rPr/>
        <w:t>a</w:t>
      </w:r>
      <w:r>
        <w:rPr>
          <w:spacing w:val="-5"/>
        </w:rPr>
        <w:t> </w:t>
      </w:r>
      <w:r>
        <w:rPr/>
        <w:t>colourless</w:t>
      </w:r>
      <w:r>
        <w:rPr>
          <w:spacing w:val="-4"/>
        </w:rPr>
        <w:t> </w:t>
      </w:r>
      <w:r>
        <w:rPr/>
        <w:t>liquid</w:t>
      </w:r>
      <w:r>
        <w:rPr>
          <w:spacing w:val="-5"/>
        </w:rPr>
        <w:t> </w:t>
      </w:r>
      <w:r>
        <w:rPr/>
        <w:t>that has high volatility to produce toxic gases such as nitrogen oxides, phosgene, nitrosyl chloride, chlorine, and carbon</w:t>
      </w:r>
      <w:r>
        <w:rPr>
          <w:spacing w:val="-2"/>
        </w:rPr>
        <w:t> </w:t>
      </w:r>
      <w:r>
        <w:rPr/>
        <w:t>monoxide. Its most common</w:t>
      </w:r>
      <w:r>
        <w:rPr>
          <w:spacing w:val="-1"/>
        </w:rPr>
        <w:t> </w:t>
      </w:r>
      <w:r>
        <w:rPr/>
        <w:t>use, globally, is in agricultural</w:t>
      </w:r>
      <w:r>
        <w:rPr>
          <w:spacing w:val="-2"/>
        </w:rPr>
        <w:t> </w:t>
      </w:r>
      <w:r>
        <w:rPr/>
        <w:t>and</w:t>
      </w:r>
      <w:r>
        <w:rPr>
          <w:spacing w:val="-2"/>
        </w:rPr>
        <w:t> </w:t>
      </w:r>
      <w:r>
        <w:rPr/>
        <w:t>production settings as a</w:t>
      </w:r>
      <w:r>
        <w:rPr>
          <w:spacing w:val="-2"/>
        </w:rPr>
        <w:t> </w:t>
      </w:r>
      <w:r>
        <w:rPr/>
        <w:t>soil fumigant to control microorganisms (European Food Safety Authority (EFSA) et al. 2020). Australia appears to be the only country that uses chloropicrin as a registered fumigant for rabbit control.</w:t>
      </w:r>
    </w:p>
    <w:p>
      <w:pPr>
        <w:pStyle w:val="BodyText"/>
        <w:spacing w:before="120"/>
        <w:ind w:left="112" w:right="278"/>
      </w:pPr>
      <w:r>
        <w:rPr/>
        <w:t>Chloropicrin</w:t>
      </w:r>
      <w:r>
        <w:rPr>
          <w:spacing w:val="-4"/>
        </w:rPr>
        <w:t> </w:t>
      </w:r>
      <w:r>
        <w:rPr/>
        <w:t>is</w:t>
      </w:r>
      <w:r>
        <w:rPr>
          <w:spacing w:val="-3"/>
        </w:rPr>
        <w:t> </w:t>
      </w:r>
      <w:r>
        <w:rPr/>
        <w:t>stable</w:t>
      </w:r>
      <w:r>
        <w:rPr>
          <w:spacing w:val="-4"/>
        </w:rPr>
        <w:t> </w:t>
      </w:r>
      <w:r>
        <w:rPr/>
        <w:t>to</w:t>
      </w:r>
      <w:r>
        <w:rPr>
          <w:spacing w:val="-2"/>
        </w:rPr>
        <w:t> </w:t>
      </w:r>
      <w:r>
        <w:rPr/>
        <w:t>hydrolysis</w:t>
      </w:r>
      <w:r>
        <w:rPr>
          <w:spacing w:val="-3"/>
        </w:rPr>
        <w:t> </w:t>
      </w:r>
      <w:r>
        <w:rPr/>
        <w:t>in</w:t>
      </w:r>
      <w:r>
        <w:rPr>
          <w:spacing w:val="-4"/>
        </w:rPr>
        <w:t> </w:t>
      </w:r>
      <w:r>
        <w:rPr/>
        <w:t>neutral</w:t>
      </w:r>
      <w:r>
        <w:rPr>
          <w:spacing w:val="-3"/>
        </w:rPr>
        <w:t> </w:t>
      </w:r>
      <w:r>
        <w:rPr/>
        <w:t>aqueous</w:t>
      </w:r>
      <w:r>
        <w:rPr>
          <w:spacing w:val="-1"/>
        </w:rPr>
        <w:t> </w:t>
      </w:r>
      <w:r>
        <w:rPr/>
        <w:t>solution</w:t>
      </w:r>
      <w:r>
        <w:rPr>
          <w:spacing w:val="-3"/>
        </w:rPr>
        <w:t> </w:t>
      </w:r>
      <w:r>
        <w:rPr/>
        <w:t>and</w:t>
      </w:r>
      <w:r>
        <w:rPr>
          <w:spacing w:val="-2"/>
        </w:rPr>
        <w:t> </w:t>
      </w:r>
      <w:r>
        <w:rPr/>
        <w:t>is</w:t>
      </w:r>
      <w:r>
        <w:rPr>
          <w:spacing w:val="-3"/>
        </w:rPr>
        <w:t> </w:t>
      </w:r>
      <w:r>
        <w:rPr/>
        <w:t>only</w:t>
      </w:r>
      <w:r>
        <w:rPr>
          <w:spacing w:val="-3"/>
        </w:rPr>
        <w:t> </w:t>
      </w:r>
      <w:r>
        <w:rPr/>
        <w:t>slightly</w:t>
      </w:r>
      <w:r>
        <w:rPr>
          <w:spacing w:val="-1"/>
        </w:rPr>
        <w:t> </w:t>
      </w:r>
      <w:r>
        <w:rPr/>
        <w:t>soluble</w:t>
      </w:r>
      <w:r>
        <w:rPr>
          <w:spacing w:val="-2"/>
        </w:rPr>
        <w:t> </w:t>
      </w:r>
      <w:r>
        <w:rPr/>
        <w:t>in</w:t>
      </w:r>
      <w:r>
        <w:rPr>
          <w:spacing w:val="-4"/>
        </w:rPr>
        <w:t> </w:t>
      </w:r>
      <w:r>
        <w:rPr/>
        <w:t>water,</w:t>
      </w:r>
      <w:r>
        <w:rPr>
          <w:spacing w:val="-4"/>
        </w:rPr>
        <w:t> </w:t>
      </w:r>
      <w:r>
        <w:rPr/>
        <w:t>so</w:t>
      </w:r>
      <w:r>
        <w:rPr>
          <w:spacing w:val="-2"/>
        </w:rPr>
        <w:t> </w:t>
      </w:r>
      <w:r>
        <w:rPr/>
        <w:t>will</w:t>
      </w:r>
      <w:r>
        <w:rPr>
          <w:spacing w:val="-3"/>
        </w:rPr>
        <w:t> </w:t>
      </w:r>
      <w:r>
        <w:rPr/>
        <w:t>not move rapidly in aquatic environments (Extoxnet 1996). It is expected to have high mobility in soil, and volatilisation from moist soil surfaces or from water is likely an important pathway for environmental dissipation.</w:t>
      </w:r>
      <w:r>
        <w:rPr>
          <w:spacing w:val="-1"/>
        </w:rPr>
        <w:t> </w:t>
      </w:r>
      <w:r>
        <w:rPr/>
        <w:t>Biodegradation</w:t>
      </w:r>
      <w:r>
        <w:rPr>
          <w:spacing w:val="-1"/>
        </w:rPr>
        <w:t> </w:t>
      </w:r>
      <w:r>
        <w:rPr/>
        <w:t>and</w:t>
      </w:r>
      <w:r>
        <w:rPr>
          <w:spacing w:val="-1"/>
        </w:rPr>
        <w:t> </w:t>
      </w:r>
      <w:r>
        <w:rPr/>
        <w:t>exposure</w:t>
      </w:r>
      <w:r>
        <w:rPr>
          <w:spacing w:val="-1"/>
        </w:rPr>
        <w:t> </w:t>
      </w:r>
      <w:r>
        <w:rPr/>
        <w:t>to</w:t>
      </w:r>
      <w:r>
        <w:rPr>
          <w:spacing w:val="-1"/>
        </w:rPr>
        <w:t> </w:t>
      </w:r>
      <w:r>
        <w:rPr/>
        <w:t>light</w:t>
      </w:r>
      <w:r>
        <w:rPr>
          <w:spacing w:val="-3"/>
        </w:rPr>
        <w:t> </w:t>
      </w:r>
      <w:r>
        <w:rPr/>
        <w:t>(photolysis)</w:t>
      </w:r>
      <w:r>
        <w:rPr>
          <w:spacing w:val="-2"/>
        </w:rPr>
        <w:t> </w:t>
      </w:r>
      <w:r>
        <w:rPr/>
        <w:t>of</w:t>
      </w:r>
      <w:r>
        <w:rPr>
          <w:spacing w:val="-3"/>
        </w:rPr>
        <w:t> </w:t>
      </w:r>
      <w:r>
        <w:rPr/>
        <w:t>chloropicrin</w:t>
      </w:r>
      <w:r>
        <w:rPr>
          <w:spacing w:val="-1"/>
        </w:rPr>
        <w:t> </w:t>
      </w:r>
      <w:r>
        <w:rPr/>
        <w:t>in</w:t>
      </w:r>
      <w:r>
        <w:rPr>
          <w:spacing w:val="-3"/>
        </w:rPr>
        <w:t> </w:t>
      </w:r>
      <w:r>
        <w:rPr/>
        <w:t>soil</w:t>
      </w:r>
      <w:r>
        <w:rPr>
          <w:spacing w:val="-2"/>
        </w:rPr>
        <w:t> </w:t>
      </w:r>
      <w:r>
        <w:rPr/>
        <w:t>and</w:t>
      </w:r>
      <w:r>
        <w:rPr>
          <w:spacing w:val="-1"/>
        </w:rPr>
        <w:t> </w:t>
      </w:r>
      <w:r>
        <w:rPr/>
        <w:t>water is</w:t>
      </w:r>
      <w:r>
        <w:rPr>
          <w:spacing w:val="-2"/>
        </w:rPr>
        <w:t> </w:t>
      </w:r>
      <w:r>
        <w:rPr/>
        <w:t>likely</w:t>
      </w:r>
      <w:r>
        <w:rPr>
          <w:spacing w:val="-2"/>
        </w:rPr>
        <w:t> </w:t>
      </w:r>
      <w:r>
        <w:rPr/>
        <w:t>to</w:t>
      </w:r>
      <w:r>
        <w:rPr>
          <w:spacing w:val="-3"/>
        </w:rPr>
        <w:t> </w:t>
      </w:r>
      <w:r>
        <w:rPr/>
        <w:t>be</w:t>
      </w:r>
      <w:r>
        <w:rPr>
          <w:spacing w:val="-1"/>
        </w:rPr>
        <w:t> </w:t>
      </w:r>
      <w:r>
        <w:rPr/>
        <w:t>a major degradation pathway (Extoxnet 1996; Raman 2014).</w:t>
      </w:r>
    </w:p>
    <w:p>
      <w:pPr>
        <w:pStyle w:val="Heading5"/>
        <w:numPr>
          <w:ilvl w:val="2"/>
          <w:numId w:val="28"/>
        </w:numPr>
        <w:tabs>
          <w:tab w:pos="831" w:val="left" w:leader="none"/>
        </w:tabs>
        <w:spacing w:line="240" w:lineRule="auto" w:before="139" w:after="0"/>
        <w:ind w:left="831" w:right="0" w:hanging="719"/>
        <w:jc w:val="left"/>
      </w:pPr>
      <w:bookmarkStart w:name="_TOC_250012" w:id="107"/>
      <w:r>
        <w:rPr/>
        <w:t>Carbon</w:t>
      </w:r>
      <w:r>
        <w:rPr>
          <w:spacing w:val="-5"/>
        </w:rPr>
        <w:t> </w:t>
      </w:r>
      <w:r>
        <w:rPr/>
        <w:t>monoxide</w:t>
      </w:r>
      <w:r>
        <w:rPr>
          <w:spacing w:val="-6"/>
        </w:rPr>
        <w:t> </w:t>
      </w:r>
      <w:r>
        <w:rPr/>
        <w:t>(for</w:t>
      </w:r>
      <w:r>
        <w:rPr>
          <w:spacing w:val="-5"/>
        </w:rPr>
        <w:t> </w:t>
      </w:r>
      <w:r>
        <w:rPr/>
        <w:t>fox</w:t>
      </w:r>
      <w:r>
        <w:rPr>
          <w:spacing w:val="-3"/>
        </w:rPr>
        <w:t> </w:t>
      </w:r>
      <w:bookmarkEnd w:id="107"/>
      <w:r>
        <w:rPr>
          <w:spacing w:val="-2"/>
        </w:rPr>
        <w:t>dens)</w:t>
      </w:r>
    </w:p>
    <w:p>
      <w:pPr>
        <w:pStyle w:val="BodyText"/>
        <w:spacing w:before="59"/>
        <w:ind w:left="112" w:right="427"/>
      </w:pPr>
      <w:r>
        <w:rPr/>
        <w:t>The registered fox den fumigation product DEN-CO-FUME is a cardboard tube with cardboard end caps, filled with approximately 240 g of materials that produce carbon monoxide (CO) when ignited. A 50 cm fuse is inserted in one end of the cartridge. Fumigation cartridges that produce CO typically contain the active ingredients, sodium nitrate and charcoal, and other inert ingredients. Sodium nitrate in gas cartridges supports</w:t>
      </w:r>
      <w:r>
        <w:rPr>
          <w:spacing w:val="-3"/>
        </w:rPr>
        <w:t> </w:t>
      </w:r>
      <w:r>
        <w:rPr/>
        <w:t>the</w:t>
      </w:r>
      <w:r>
        <w:rPr>
          <w:spacing w:val="-4"/>
        </w:rPr>
        <w:t> </w:t>
      </w:r>
      <w:r>
        <w:rPr/>
        <w:t>combustion</w:t>
      </w:r>
      <w:r>
        <w:rPr>
          <w:spacing w:val="-5"/>
        </w:rPr>
        <w:t> </w:t>
      </w:r>
      <w:r>
        <w:rPr/>
        <w:t>of</w:t>
      </w:r>
      <w:r>
        <w:rPr>
          <w:spacing w:val="-2"/>
        </w:rPr>
        <w:t> </w:t>
      </w:r>
      <w:r>
        <w:rPr/>
        <w:t>the</w:t>
      </w:r>
      <w:r>
        <w:rPr>
          <w:spacing w:val="-4"/>
        </w:rPr>
        <w:t> </w:t>
      </w:r>
      <w:r>
        <w:rPr/>
        <w:t>charcoal,</w:t>
      </w:r>
      <w:r>
        <w:rPr>
          <w:spacing w:val="-2"/>
        </w:rPr>
        <w:t> </w:t>
      </w:r>
      <w:r>
        <w:rPr/>
        <w:t>which</w:t>
      </w:r>
      <w:r>
        <w:rPr>
          <w:spacing w:val="-4"/>
        </w:rPr>
        <w:t> </w:t>
      </w:r>
      <w:r>
        <w:rPr/>
        <w:t>emits</w:t>
      </w:r>
      <w:r>
        <w:rPr>
          <w:spacing w:val="-1"/>
        </w:rPr>
        <w:t> </w:t>
      </w:r>
      <w:r>
        <w:rPr/>
        <w:t>carbon</w:t>
      </w:r>
      <w:r>
        <w:rPr>
          <w:spacing w:val="-5"/>
        </w:rPr>
        <w:t> </w:t>
      </w:r>
      <w:r>
        <w:rPr/>
        <w:t>monoxide</w:t>
      </w:r>
      <w:r>
        <w:rPr>
          <w:spacing w:val="-3"/>
        </w:rPr>
        <w:t> </w:t>
      </w:r>
      <w:r>
        <w:rPr/>
        <w:t>under</w:t>
      </w:r>
      <w:r>
        <w:rPr>
          <w:spacing w:val="-3"/>
        </w:rPr>
        <w:t> </w:t>
      </w:r>
      <w:r>
        <w:rPr/>
        <w:t>combustion.</w:t>
      </w:r>
      <w:r>
        <w:rPr>
          <w:spacing w:val="-2"/>
        </w:rPr>
        <w:t> </w:t>
      </w:r>
      <w:r>
        <w:rPr/>
        <w:t>After</w:t>
      </w:r>
      <w:r>
        <w:rPr>
          <w:spacing w:val="-4"/>
        </w:rPr>
        <w:t> </w:t>
      </w:r>
      <w:r>
        <w:rPr/>
        <w:t>combustion </w:t>
      </w:r>
      <w:r>
        <w:rPr>
          <w:position w:val="1"/>
        </w:rPr>
        <w:t>of the gas cartridge, the byproducts are Na</w:t>
      </w:r>
      <w:r>
        <w:rPr>
          <w:sz w:val="13"/>
        </w:rPr>
        <w:t>2</w:t>
      </w:r>
      <w:r>
        <w:rPr>
          <w:position w:val="1"/>
        </w:rPr>
        <w:t>CO</w:t>
      </w:r>
      <w:r>
        <w:rPr>
          <w:sz w:val="13"/>
        </w:rPr>
        <w:t>3</w:t>
      </w:r>
      <w:r>
        <w:rPr>
          <w:spacing w:val="27"/>
          <w:sz w:val="13"/>
        </w:rPr>
        <w:t> </w:t>
      </w:r>
      <w:r>
        <w:rPr>
          <w:position w:val="1"/>
        </w:rPr>
        <w:t>(a solid), CO and nitrogen gas.</w:t>
      </w:r>
    </w:p>
    <w:p>
      <w:pPr>
        <w:pStyle w:val="BodyText"/>
        <w:spacing w:before="120"/>
        <w:ind w:left="112" w:right="427"/>
      </w:pPr>
      <w:r>
        <w:rPr/>
        <w:t>The fate of CO inside burrows/dens is inhalation by target animals, uptake by soil microorganisms, or entry into various environmental carbon cycles (e.g. via conversion to carbon dioxide or fixation by bacteria). Any nitrogen gas produced as a byproduct of combustion</w:t>
      </w:r>
      <w:r>
        <w:rPr>
          <w:spacing w:val="-1"/>
        </w:rPr>
        <w:t> </w:t>
      </w:r>
      <w:r>
        <w:rPr/>
        <w:t>spreads into the surrounding air and</w:t>
      </w:r>
      <w:r>
        <w:rPr>
          <w:spacing w:val="-1"/>
        </w:rPr>
        <w:t> </w:t>
      </w:r>
      <w:r>
        <w:rPr/>
        <w:t>does not produce a</w:t>
      </w:r>
      <w:r>
        <w:rPr>
          <w:spacing w:val="-4"/>
        </w:rPr>
        <w:t> </w:t>
      </w:r>
      <w:r>
        <w:rPr/>
        <w:t>biological</w:t>
      </w:r>
      <w:r>
        <w:rPr>
          <w:spacing w:val="-4"/>
        </w:rPr>
        <w:t> </w:t>
      </w:r>
      <w:r>
        <w:rPr/>
        <w:t>hazard.</w:t>
      </w:r>
      <w:r>
        <w:rPr>
          <w:spacing w:val="-4"/>
        </w:rPr>
        <w:t> </w:t>
      </w:r>
      <w:r>
        <w:rPr/>
        <w:t>The</w:t>
      </w:r>
      <w:r>
        <w:rPr>
          <w:spacing w:val="-4"/>
        </w:rPr>
        <w:t> </w:t>
      </w:r>
      <w:r>
        <w:rPr/>
        <w:t>secondary</w:t>
      </w:r>
      <w:r>
        <w:rPr>
          <w:spacing w:val="-3"/>
        </w:rPr>
        <w:t> </w:t>
      </w:r>
      <w:r>
        <w:rPr/>
        <w:t>risk</w:t>
      </w:r>
      <w:r>
        <w:rPr>
          <w:spacing w:val="-3"/>
        </w:rPr>
        <w:t> </w:t>
      </w:r>
      <w:r>
        <w:rPr/>
        <w:t>to</w:t>
      </w:r>
      <w:r>
        <w:rPr>
          <w:spacing w:val="-4"/>
        </w:rPr>
        <w:t> </w:t>
      </w:r>
      <w:r>
        <w:rPr/>
        <w:t>nontarget</w:t>
      </w:r>
      <w:r>
        <w:rPr>
          <w:spacing w:val="-2"/>
        </w:rPr>
        <w:t> </w:t>
      </w:r>
      <w:r>
        <w:rPr/>
        <w:t>animals</w:t>
      </w:r>
      <w:r>
        <w:rPr>
          <w:spacing w:val="-3"/>
        </w:rPr>
        <w:t> </w:t>
      </w:r>
      <w:r>
        <w:rPr/>
        <w:t>that</w:t>
      </w:r>
      <w:r>
        <w:rPr>
          <w:spacing w:val="-2"/>
        </w:rPr>
        <w:t> </w:t>
      </w:r>
      <w:r>
        <w:rPr/>
        <w:t>may</w:t>
      </w:r>
      <w:r>
        <w:rPr>
          <w:spacing w:val="-3"/>
        </w:rPr>
        <w:t> </w:t>
      </w:r>
      <w:r>
        <w:rPr/>
        <w:t>eat</w:t>
      </w:r>
      <w:r>
        <w:rPr>
          <w:spacing w:val="-4"/>
        </w:rPr>
        <w:t> </w:t>
      </w:r>
      <w:r>
        <w:rPr/>
        <w:t>animals</w:t>
      </w:r>
      <w:r>
        <w:rPr>
          <w:spacing w:val="-3"/>
        </w:rPr>
        <w:t> </w:t>
      </w:r>
      <w:r>
        <w:rPr/>
        <w:t>asphyxiated</w:t>
      </w:r>
      <w:r>
        <w:rPr>
          <w:spacing w:val="-4"/>
        </w:rPr>
        <w:t> </w:t>
      </w:r>
      <w:r>
        <w:rPr/>
        <w:t>with</w:t>
      </w:r>
      <w:r>
        <w:rPr>
          <w:spacing w:val="-4"/>
        </w:rPr>
        <w:t> </w:t>
      </w:r>
      <w:r>
        <w:rPr/>
        <w:t>CO</w:t>
      </w:r>
      <w:r>
        <w:rPr>
          <w:spacing w:val="-1"/>
        </w:rPr>
        <w:t> </w:t>
      </w:r>
      <w:r>
        <w:rPr/>
        <w:t>is</w:t>
      </w:r>
      <w:r>
        <w:rPr>
          <w:spacing w:val="-3"/>
        </w:rPr>
        <w:t> </w:t>
      </w:r>
      <w:r>
        <w:rPr/>
        <w:t>nil because carbon monoxide adsorption and movement within the target animal presents no risk (Lemay and Hall 2017).</w:t>
      </w:r>
    </w:p>
    <w:p>
      <w:pPr>
        <w:spacing w:after="0"/>
        <w:sectPr>
          <w:pgSz w:w="11910" w:h="16850"/>
          <w:pgMar w:header="0" w:footer="688" w:top="1060" w:bottom="880" w:left="1020" w:right="780"/>
        </w:sectPr>
      </w:pPr>
    </w:p>
    <w:p>
      <w:pPr>
        <w:pStyle w:val="Heading3"/>
        <w:numPr>
          <w:ilvl w:val="1"/>
          <w:numId w:val="27"/>
        </w:numPr>
        <w:tabs>
          <w:tab w:pos="686" w:val="left" w:leader="none"/>
        </w:tabs>
        <w:spacing w:line="240" w:lineRule="auto" w:before="76" w:after="0"/>
        <w:ind w:left="686" w:right="0" w:hanging="574"/>
        <w:jc w:val="left"/>
      </w:pPr>
      <w:bookmarkStart w:name="_TOC_250011" w:id="108"/>
      <w:r>
        <w:rPr>
          <w:color w:val="2D1E66"/>
        </w:rPr>
        <w:t>Rabbit</w:t>
      </w:r>
      <w:r>
        <w:rPr>
          <w:color w:val="2D1E66"/>
          <w:spacing w:val="-1"/>
        </w:rPr>
        <w:t> </w:t>
      </w:r>
      <w:r>
        <w:rPr>
          <w:color w:val="2D1E66"/>
        </w:rPr>
        <w:t>warren </w:t>
      </w:r>
      <w:bookmarkEnd w:id="108"/>
      <w:r>
        <w:rPr>
          <w:color w:val="2D1E66"/>
          <w:spacing w:val="-2"/>
        </w:rPr>
        <w:t>ripping</w:t>
      </w:r>
    </w:p>
    <w:p>
      <w:pPr>
        <w:pStyle w:val="BodyText"/>
        <w:spacing w:before="113"/>
        <w:ind w:left="112" w:right="278"/>
      </w:pPr>
      <w:r>
        <w:rPr/>
        <w:t>Rabbit</w:t>
      </w:r>
      <w:r>
        <w:rPr>
          <w:spacing w:val="-4"/>
        </w:rPr>
        <w:t> </w:t>
      </w:r>
      <w:r>
        <w:rPr/>
        <w:t>warrens</w:t>
      </w:r>
      <w:r>
        <w:rPr>
          <w:spacing w:val="-3"/>
        </w:rPr>
        <w:t> </w:t>
      </w:r>
      <w:r>
        <w:rPr/>
        <w:t>typically</w:t>
      </w:r>
      <w:r>
        <w:rPr>
          <w:spacing w:val="-2"/>
        </w:rPr>
        <w:t> </w:t>
      </w:r>
      <w:r>
        <w:rPr/>
        <w:t>disrupt</w:t>
      </w:r>
      <w:r>
        <w:rPr>
          <w:spacing w:val="-4"/>
        </w:rPr>
        <w:t> </w:t>
      </w:r>
      <w:r>
        <w:rPr/>
        <w:t>soil</w:t>
      </w:r>
      <w:r>
        <w:rPr>
          <w:spacing w:val="-5"/>
        </w:rPr>
        <w:t> </w:t>
      </w:r>
      <w:r>
        <w:rPr/>
        <w:t>structure</w:t>
      </w:r>
      <w:r>
        <w:rPr>
          <w:spacing w:val="-3"/>
        </w:rPr>
        <w:t> </w:t>
      </w:r>
      <w:r>
        <w:rPr/>
        <w:t>and</w:t>
      </w:r>
      <w:r>
        <w:rPr>
          <w:spacing w:val="-3"/>
        </w:rPr>
        <w:t> </w:t>
      </w:r>
      <w:r>
        <w:rPr/>
        <w:t>decrease</w:t>
      </w:r>
      <w:r>
        <w:rPr>
          <w:spacing w:val="-4"/>
        </w:rPr>
        <w:t> </w:t>
      </w:r>
      <w:r>
        <w:rPr/>
        <w:t>vegetation</w:t>
      </w:r>
      <w:r>
        <w:rPr>
          <w:spacing w:val="-3"/>
        </w:rPr>
        <w:t> </w:t>
      </w:r>
      <w:r>
        <w:rPr/>
        <w:t>to</w:t>
      </w:r>
      <w:r>
        <w:rPr>
          <w:spacing w:val="-5"/>
        </w:rPr>
        <w:t> </w:t>
      </w:r>
      <w:r>
        <w:rPr/>
        <w:t>create</w:t>
      </w:r>
      <w:r>
        <w:rPr>
          <w:spacing w:val="-3"/>
        </w:rPr>
        <w:t> </w:t>
      </w:r>
      <w:r>
        <w:rPr/>
        <w:t>localised</w:t>
      </w:r>
      <w:r>
        <w:rPr>
          <w:spacing w:val="-4"/>
        </w:rPr>
        <w:t> </w:t>
      </w:r>
      <w:r>
        <w:rPr/>
        <w:t>areas</w:t>
      </w:r>
      <w:r>
        <w:rPr>
          <w:spacing w:val="-3"/>
        </w:rPr>
        <w:t> </w:t>
      </w:r>
      <w:r>
        <w:rPr/>
        <w:t>of</w:t>
      </w:r>
      <w:r>
        <w:rPr>
          <w:spacing w:val="-3"/>
        </w:rPr>
        <w:t> </w:t>
      </w:r>
      <w:r>
        <w:rPr/>
        <w:t>unstable and more readily erodible soil. Disturbance of Aboriginal cultural heritage sites and potential impacts on waterways are localised environmental considerations for planning warren ripping programs.</w:t>
      </w:r>
    </w:p>
    <w:p>
      <w:pPr>
        <w:pStyle w:val="BodyText"/>
        <w:spacing w:before="121"/>
        <w:ind w:left="112"/>
      </w:pPr>
      <w:r>
        <w:rPr/>
        <w:t>While warren ripping itself creates significant disturbances of natural surface morphology and deeper soil structure</w:t>
      </w:r>
      <w:r>
        <w:rPr>
          <w:spacing w:val="-4"/>
        </w:rPr>
        <w:t> </w:t>
      </w:r>
      <w:r>
        <w:rPr/>
        <w:t>along</w:t>
      </w:r>
      <w:r>
        <w:rPr>
          <w:spacing w:val="-2"/>
        </w:rPr>
        <w:t> </w:t>
      </w:r>
      <w:r>
        <w:rPr/>
        <w:t>with</w:t>
      </w:r>
      <w:r>
        <w:rPr>
          <w:spacing w:val="-4"/>
        </w:rPr>
        <w:t> </w:t>
      </w:r>
      <w:r>
        <w:rPr/>
        <w:t>removal</w:t>
      </w:r>
      <w:r>
        <w:rPr>
          <w:spacing w:val="-5"/>
        </w:rPr>
        <w:t> </w:t>
      </w:r>
      <w:r>
        <w:rPr/>
        <w:t>of</w:t>
      </w:r>
      <w:r>
        <w:rPr>
          <w:spacing w:val="-4"/>
        </w:rPr>
        <w:t> </w:t>
      </w:r>
      <w:r>
        <w:rPr/>
        <w:t>vegetation,</w:t>
      </w:r>
      <w:r>
        <w:rPr>
          <w:spacing w:val="-2"/>
        </w:rPr>
        <w:t> </w:t>
      </w:r>
      <w:r>
        <w:rPr/>
        <w:t>in</w:t>
      </w:r>
      <w:r>
        <w:rPr>
          <w:spacing w:val="-2"/>
        </w:rPr>
        <w:t> </w:t>
      </w:r>
      <w:r>
        <w:rPr/>
        <w:t>the</w:t>
      </w:r>
      <w:r>
        <w:rPr>
          <w:spacing w:val="-2"/>
        </w:rPr>
        <w:t> </w:t>
      </w:r>
      <w:r>
        <w:rPr/>
        <w:t>longer</w:t>
      </w:r>
      <w:r>
        <w:rPr>
          <w:spacing w:val="-4"/>
        </w:rPr>
        <w:t> </w:t>
      </w:r>
      <w:r>
        <w:rPr/>
        <w:t>term</w:t>
      </w:r>
      <w:r>
        <w:rPr>
          <w:spacing w:val="-2"/>
        </w:rPr>
        <w:t> </w:t>
      </w:r>
      <w:r>
        <w:rPr/>
        <w:t>it</w:t>
      </w:r>
      <w:r>
        <w:rPr>
          <w:spacing w:val="-4"/>
        </w:rPr>
        <w:t> </w:t>
      </w:r>
      <w:r>
        <w:rPr/>
        <w:t>can</w:t>
      </w:r>
      <w:r>
        <w:rPr>
          <w:spacing w:val="-3"/>
        </w:rPr>
        <w:t> </w:t>
      </w:r>
      <w:r>
        <w:rPr/>
        <w:t>help</w:t>
      </w:r>
      <w:r>
        <w:rPr>
          <w:spacing w:val="-4"/>
        </w:rPr>
        <w:t> </w:t>
      </w:r>
      <w:r>
        <w:rPr/>
        <w:t>to</w:t>
      </w:r>
      <w:r>
        <w:rPr>
          <w:spacing w:val="-4"/>
        </w:rPr>
        <w:t> </w:t>
      </w:r>
      <w:r>
        <w:rPr/>
        <w:t>restabilise</w:t>
      </w:r>
      <w:r>
        <w:rPr>
          <w:spacing w:val="-4"/>
        </w:rPr>
        <w:t> </w:t>
      </w:r>
      <w:r>
        <w:rPr/>
        <w:t>areas</w:t>
      </w:r>
      <w:r>
        <w:rPr>
          <w:spacing w:val="-3"/>
        </w:rPr>
        <w:t> </w:t>
      </w:r>
      <w:r>
        <w:rPr/>
        <w:t>associated</w:t>
      </w:r>
      <w:r>
        <w:rPr>
          <w:spacing w:val="-4"/>
        </w:rPr>
        <w:t> </w:t>
      </w:r>
      <w:r>
        <w:rPr/>
        <w:t>with extensive warren systems (Eldridge and Myers 2001). Germinable seed banks on ripped warrens can be dominated</w:t>
      </w:r>
      <w:r>
        <w:rPr>
          <w:spacing w:val="-1"/>
        </w:rPr>
        <w:t> </w:t>
      </w:r>
      <w:r>
        <w:rPr/>
        <w:t>by</w:t>
      </w:r>
      <w:r>
        <w:rPr>
          <w:spacing w:val="-1"/>
        </w:rPr>
        <w:t> </w:t>
      </w:r>
      <w:r>
        <w:rPr/>
        <w:t>weedy</w:t>
      </w:r>
      <w:r>
        <w:rPr>
          <w:spacing w:val="-1"/>
        </w:rPr>
        <w:t> </w:t>
      </w:r>
      <w:r>
        <w:rPr/>
        <w:t>exotic</w:t>
      </w:r>
      <w:r>
        <w:rPr>
          <w:spacing w:val="-1"/>
        </w:rPr>
        <w:t> </w:t>
      </w:r>
      <w:r>
        <w:rPr/>
        <w:t>species</w:t>
      </w:r>
      <w:r>
        <w:rPr>
          <w:spacing w:val="-1"/>
        </w:rPr>
        <w:t> </w:t>
      </w:r>
      <w:r>
        <w:rPr/>
        <w:t>so</w:t>
      </w:r>
      <w:r>
        <w:rPr>
          <w:spacing w:val="-2"/>
        </w:rPr>
        <w:t> </w:t>
      </w:r>
      <w:r>
        <w:rPr/>
        <w:t>that</w:t>
      </w:r>
      <w:r>
        <w:rPr>
          <w:spacing w:val="-2"/>
        </w:rPr>
        <w:t> </w:t>
      </w:r>
      <w:r>
        <w:rPr/>
        <w:t>ripped</w:t>
      </w:r>
      <w:r>
        <w:rPr>
          <w:spacing w:val="-3"/>
        </w:rPr>
        <w:t> </w:t>
      </w:r>
      <w:r>
        <w:rPr/>
        <w:t>areas</w:t>
      </w:r>
      <w:r>
        <w:rPr>
          <w:spacing w:val="-1"/>
        </w:rPr>
        <w:t> </w:t>
      </w:r>
      <w:r>
        <w:rPr/>
        <w:t>are</w:t>
      </w:r>
      <w:r>
        <w:rPr>
          <w:spacing w:val="-2"/>
        </w:rPr>
        <w:t> </w:t>
      </w:r>
      <w:r>
        <w:rPr/>
        <w:t>likely</w:t>
      </w:r>
      <w:r>
        <w:rPr>
          <w:spacing w:val="-1"/>
        </w:rPr>
        <w:t> </w:t>
      </w:r>
      <w:r>
        <w:rPr/>
        <w:t>to</w:t>
      </w:r>
      <w:r>
        <w:rPr>
          <w:spacing w:val="-2"/>
        </w:rPr>
        <w:t> </w:t>
      </w:r>
      <w:r>
        <w:rPr/>
        <w:t>have</w:t>
      </w:r>
      <w:r>
        <w:rPr>
          <w:spacing w:val="-2"/>
        </w:rPr>
        <w:t> </w:t>
      </w:r>
      <w:r>
        <w:rPr/>
        <w:t>reduced</w:t>
      </w:r>
      <w:r>
        <w:rPr>
          <w:spacing w:val="-2"/>
        </w:rPr>
        <w:t> </w:t>
      </w:r>
      <w:r>
        <w:rPr/>
        <w:t>vegetation</w:t>
      </w:r>
      <w:r>
        <w:rPr>
          <w:spacing w:val="-1"/>
        </w:rPr>
        <w:t> </w:t>
      </w:r>
      <w:r>
        <w:rPr/>
        <w:t>diversity</w:t>
      </w:r>
      <w:r>
        <w:rPr>
          <w:spacing w:val="-1"/>
        </w:rPr>
        <w:t> </w:t>
      </w:r>
      <w:r>
        <w:rPr/>
        <w:t>and structure in the following medium-long term (Eldridge et al. 2014).</w:t>
      </w:r>
    </w:p>
    <w:p>
      <w:pPr>
        <w:pStyle w:val="BodyText"/>
        <w:spacing w:before="119"/>
        <w:ind w:left="112" w:right="544"/>
      </w:pPr>
      <w:r>
        <w:rPr/>
        <w:t>Rabbit</w:t>
      </w:r>
      <w:r>
        <w:rPr>
          <w:spacing w:val="-4"/>
        </w:rPr>
        <w:t> </w:t>
      </w:r>
      <w:r>
        <w:rPr/>
        <w:t>warrens</w:t>
      </w:r>
      <w:r>
        <w:rPr>
          <w:spacing w:val="-3"/>
        </w:rPr>
        <w:t> </w:t>
      </w:r>
      <w:r>
        <w:rPr/>
        <w:t>can</w:t>
      </w:r>
      <w:r>
        <w:rPr>
          <w:spacing w:val="-5"/>
        </w:rPr>
        <w:t> </w:t>
      </w:r>
      <w:r>
        <w:rPr/>
        <w:t>provide</w:t>
      </w:r>
      <w:r>
        <w:rPr>
          <w:spacing w:val="-2"/>
        </w:rPr>
        <w:t> </w:t>
      </w:r>
      <w:r>
        <w:rPr/>
        <w:t>an</w:t>
      </w:r>
      <w:r>
        <w:rPr>
          <w:spacing w:val="-3"/>
        </w:rPr>
        <w:t> </w:t>
      </w:r>
      <w:r>
        <w:rPr/>
        <w:t>important</w:t>
      </w:r>
      <w:r>
        <w:rPr>
          <w:spacing w:val="-2"/>
        </w:rPr>
        <w:t> </w:t>
      </w:r>
      <w:r>
        <w:rPr/>
        <w:t>refuge</w:t>
      </w:r>
      <w:r>
        <w:rPr>
          <w:spacing w:val="-5"/>
        </w:rPr>
        <w:t> </w:t>
      </w:r>
      <w:r>
        <w:rPr/>
        <w:t>and</w:t>
      </w:r>
      <w:r>
        <w:rPr>
          <w:spacing w:val="-5"/>
        </w:rPr>
        <w:t> </w:t>
      </w:r>
      <w:r>
        <w:rPr/>
        <w:t>foraging</w:t>
      </w:r>
      <w:r>
        <w:rPr>
          <w:spacing w:val="-4"/>
        </w:rPr>
        <w:t> </w:t>
      </w:r>
      <w:r>
        <w:rPr/>
        <w:t>resource</w:t>
      </w:r>
      <w:r>
        <w:rPr>
          <w:spacing w:val="-4"/>
        </w:rPr>
        <w:t> </w:t>
      </w:r>
      <w:r>
        <w:rPr/>
        <w:t>for</w:t>
      </w:r>
      <w:r>
        <w:rPr>
          <w:spacing w:val="-4"/>
        </w:rPr>
        <w:t> </w:t>
      </w:r>
      <w:r>
        <w:rPr/>
        <w:t>a</w:t>
      </w:r>
      <w:r>
        <w:rPr>
          <w:spacing w:val="-4"/>
        </w:rPr>
        <w:t> </w:t>
      </w:r>
      <w:r>
        <w:rPr/>
        <w:t>range</w:t>
      </w:r>
      <w:r>
        <w:rPr>
          <w:spacing w:val="-2"/>
        </w:rPr>
        <w:t> </w:t>
      </w:r>
      <w:r>
        <w:rPr/>
        <w:t>of</w:t>
      </w:r>
      <w:r>
        <w:rPr>
          <w:spacing w:val="-4"/>
        </w:rPr>
        <w:t> </w:t>
      </w:r>
      <w:r>
        <w:rPr/>
        <w:t>other</w:t>
      </w:r>
      <w:r>
        <w:rPr>
          <w:spacing w:val="-3"/>
        </w:rPr>
        <w:t> </w:t>
      </w:r>
      <w:r>
        <w:rPr/>
        <w:t>species</w:t>
      </w:r>
      <w:r>
        <w:rPr>
          <w:spacing w:val="-3"/>
        </w:rPr>
        <w:t> </w:t>
      </w:r>
      <w:r>
        <w:rPr/>
        <w:t>(native and introduced), so warren ripping removes these resources from a localised environment (Dean et al.</w:t>
      </w:r>
    </w:p>
    <w:p>
      <w:pPr>
        <w:pStyle w:val="BodyText"/>
        <w:spacing w:before="1"/>
        <w:ind w:left="112" w:right="247"/>
      </w:pPr>
      <w:r>
        <w:rPr/>
        <w:t>2023).</w:t>
      </w:r>
      <w:r>
        <w:rPr>
          <w:spacing w:val="-2"/>
        </w:rPr>
        <w:t> </w:t>
      </w:r>
      <w:r>
        <w:rPr/>
        <w:t>Where</w:t>
      </w:r>
      <w:r>
        <w:rPr>
          <w:spacing w:val="-2"/>
        </w:rPr>
        <w:t> </w:t>
      </w:r>
      <w:r>
        <w:rPr/>
        <w:t>introduced</w:t>
      </w:r>
      <w:r>
        <w:rPr>
          <w:spacing w:val="-5"/>
        </w:rPr>
        <w:t> </w:t>
      </w:r>
      <w:r>
        <w:rPr/>
        <w:t>species</w:t>
      </w:r>
      <w:r>
        <w:rPr>
          <w:spacing w:val="-3"/>
        </w:rPr>
        <w:t> </w:t>
      </w:r>
      <w:r>
        <w:rPr/>
        <w:t>such</w:t>
      </w:r>
      <w:r>
        <w:rPr>
          <w:spacing w:val="-2"/>
        </w:rPr>
        <w:t> </w:t>
      </w:r>
      <w:r>
        <w:rPr/>
        <w:t>as</w:t>
      </w:r>
      <w:r>
        <w:rPr>
          <w:spacing w:val="-3"/>
        </w:rPr>
        <w:t> </w:t>
      </w:r>
      <w:r>
        <w:rPr/>
        <w:t>foxes</w:t>
      </w:r>
      <w:r>
        <w:rPr>
          <w:spacing w:val="-3"/>
        </w:rPr>
        <w:t> </w:t>
      </w:r>
      <w:r>
        <w:rPr/>
        <w:t>and</w:t>
      </w:r>
      <w:r>
        <w:rPr>
          <w:spacing w:val="-4"/>
        </w:rPr>
        <w:t> </w:t>
      </w:r>
      <w:r>
        <w:rPr/>
        <w:t>feral cats’</w:t>
      </w:r>
      <w:r>
        <w:rPr>
          <w:spacing w:val="-2"/>
        </w:rPr>
        <w:t> </w:t>
      </w:r>
      <w:r>
        <w:rPr/>
        <w:t>benefit</w:t>
      </w:r>
      <w:r>
        <w:rPr>
          <w:spacing w:val="-4"/>
        </w:rPr>
        <w:t> </w:t>
      </w:r>
      <w:r>
        <w:rPr/>
        <w:t>from</w:t>
      </w:r>
      <w:r>
        <w:rPr>
          <w:spacing w:val="-4"/>
        </w:rPr>
        <w:t> </w:t>
      </w:r>
      <w:r>
        <w:rPr/>
        <w:t>the</w:t>
      </w:r>
      <w:r>
        <w:rPr>
          <w:spacing w:val="-4"/>
        </w:rPr>
        <w:t> </w:t>
      </w:r>
      <w:r>
        <w:rPr/>
        <w:t>presence</w:t>
      </w:r>
      <w:r>
        <w:rPr>
          <w:spacing w:val="-4"/>
        </w:rPr>
        <w:t> </w:t>
      </w:r>
      <w:r>
        <w:rPr/>
        <w:t>of</w:t>
      </w:r>
      <w:r>
        <w:rPr>
          <w:spacing w:val="-4"/>
        </w:rPr>
        <w:t> </w:t>
      </w:r>
      <w:r>
        <w:rPr/>
        <w:t>rabbit</w:t>
      </w:r>
      <w:r>
        <w:rPr>
          <w:spacing w:val="-4"/>
        </w:rPr>
        <w:t> </w:t>
      </w:r>
      <w:r>
        <w:rPr/>
        <w:t>warrens, ripping may help to decrease their impacts.</w:t>
      </w:r>
    </w:p>
    <w:p>
      <w:pPr>
        <w:pStyle w:val="BodyText"/>
        <w:spacing w:before="153"/>
      </w:pPr>
    </w:p>
    <w:p>
      <w:pPr>
        <w:pStyle w:val="Heading3"/>
        <w:numPr>
          <w:ilvl w:val="1"/>
          <w:numId w:val="27"/>
        </w:numPr>
        <w:tabs>
          <w:tab w:pos="686" w:val="left" w:leader="none"/>
        </w:tabs>
        <w:spacing w:line="240" w:lineRule="auto" w:before="1" w:after="0"/>
        <w:ind w:left="686" w:right="0" w:hanging="574"/>
        <w:jc w:val="left"/>
      </w:pPr>
      <w:bookmarkStart w:name="_TOC_250010" w:id="109"/>
      <w:r>
        <w:rPr>
          <w:color w:val="2D1E66"/>
        </w:rPr>
        <w:t>Biological</w:t>
      </w:r>
      <w:r>
        <w:rPr>
          <w:color w:val="2D1E66"/>
          <w:spacing w:val="-6"/>
        </w:rPr>
        <w:t> </w:t>
      </w:r>
      <w:r>
        <w:rPr>
          <w:color w:val="2D1E66"/>
        </w:rPr>
        <w:t>control</w:t>
      </w:r>
      <w:r>
        <w:rPr>
          <w:color w:val="2D1E66"/>
          <w:spacing w:val="-4"/>
        </w:rPr>
        <w:t> </w:t>
      </w:r>
      <w:r>
        <w:rPr>
          <w:color w:val="2D1E66"/>
        </w:rPr>
        <w:t>(for</w:t>
      </w:r>
      <w:r>
        <w:rPr>
          <w:color w:val="2D1E66"/>
          <w:spacing w:val="-4"/>
        </w:rPr>
        <w:t> </w:t>
      </w:r>
      <w:bookmarkEnd w:id="109"/>
      <w:r>
        <w:rPr>
          <w:color w:val="2D1E66"/>
          <w:spacing w:val="-2"/>
        </w:rPr>
        <w:t>rabbits)</w:t>
      </w:r>
    </w:p>
    <w:p>
      <w:pPr>
        <w:pStyle w:val="BodyText"/>
        <w:spacing w:before="112"/>
        <w:ind w:left="112" w:right="427"/>
      </w:pPr>
      <w:r>
        <w:rPr/>
        <w:t>The viral biocontrol agents Myxoma Virus (MYXV) and Rabbit Haemorrhagic Disease Virus (RHDV1), released in 1950 and 1996 respectively, resulted in significant and lasting landscape-scale suppression of rabbit populations in Australia (Strive and Cox 2019). Multiple environmental benefits resulted, for example, in</w:t>
      </w:r>
      <w:r>
        <w:rPr>
          <w:spacing w:val="-4"/>
        </w:rPr>
        <w:t> </w:t>
      </w:r>
      <w:r>
        <w:rPr/>
        <w:t>arid</w:t>
      </w:r>
      <w:r>
        <w:rPr>
          <w:spacing w:val="-2"/>
        </w:rPr>
        <w:t> </w:t>
      </w:r>
      <w:r>
        <w:rPr/>
        <w:t>Australia</w:t>
      </w:r>
      <w:r>
        <w:rPr>
          <w:spacing w:val="-2"/>
        </w:rPr>
        <w:t> </w:t>
      </w:r>
      <w:r>
        <w:rPr/>
        <w:t>the</w:t>
      </w:r>
      <w:r>
        <w:rPr>
          <w:spacing w:val="-2"/>
        </w:rPr>
        <w:t> </w:t>
      </w:r>
      <w:r>
        <w:rPr/>
        <w:t>long-term</w:t>
      </w:r>
      <w:r>
        <w:rPr>
          <w:spacing w:val="-4"/>
        </w:rPr>
        <w:t> </w:t>
      </w:r>
      <w:r>
        <w:rPr/>
        <w:t>reduction</w:t>
      </w:r>
      <w:r>
        <w:rPr>
          <w:spacing w:val="-2"/>
        </w:rPr>
        <w:t> </w:t>
      </w:r>
      <w:r>
        <w:rPr/>
        <w:t>of</w:t>
      </w:r>
      <w:r>
        <w:rPr>
          <w:spacing w:val="-4"/>
        </w:rPr>
        <w:t> </w:t>
      </w:r>
      <w:r>
        <w:rPr/>
        <w:t>rabbit</w:t>
      </w:r>
      <w:r>
        <w:rPr>
          <w:spacing w:val="-4"/>
        </w:rPr>
        <w:t> </w:t>
      </w:r>
      <w:r>
        <w:rPr/>
        <w:t>populations</w:t>
      </w:r>
      <w:r>
        <w:rPr>
          <w:spacing w:val="-3"/>
        </w:rPr>
        <w:t> </w:t>
      </w:r>
      <w:r>
        <w:rPr/>
        <w:t>and</w:t>
      </w:r>
      <w:r>
        <w:rPr>
          <w:spacing w:val="-4"/>
        </w:rPr>
        <w:t> </w:t>
      </w:r>
      <w:r>
        <w:rPr/>
        <w:t>associated</w:t>
      </w:r>
      <w:r>
        <w:rPr>
          <w:spacing w:val="-3"/>
        </w:rPr>
        <w:t> </w:t>
      </w:r>
      <w:r>
        <w:rPr/>
        <w:t>decline</w:t>
      </w:r>
      <w:r>
        <w:rPr>
          <w:spacing w:val="-5"/>
        </w:rPr>
        <w:t> </w:t>
      </w:r>
      <w:r>
        <w:rPr/>
        <w:t>of</w:t>
      </w:r>
      <w:r>
        <w:rPr>
          <w:spacing w:val="-2"/>
        </w:rPr>
        <w:t> </w:t>
      </w:r>
      <w:r>
        <w:rPr/>
        <w:t>introduced</w:t>
      </w:r>
      <w:r>
        <w:rPr>
          <w:spacing w:val="-4"/>
        </w:rPr>
        <w:t> </w:t>
      </w:r>
      <w:r>
        <w:rPr/>
        <w:t>predators such as feral cats and foxes allowed for the recovery of some native species. Drastic reduction of rabbit grazing pressure benefitted graziers and facilitated the regeneration of tree and shrub species preferred by rabbits (Strive and Cox 2019).</w:t>
      </w:r>
    </w:p>
    <w:p>
      <w:pPr>
        <w:pStyle w:val="BodyText"/>
        <w:spacing w:before="121"/>
        <w:ind w:left="112" w:right="427"/>
      </w:pPr>
      <w:r>
        <w:rPr/>
        <w:t>Following their initial introduction, both viruses became endemic in Australia’s wild rabbit populations, causing smaller but regular outbreaks at varying intervals. Long-term trends have shown that approximately one decade after the release of RHDV1, rabbit numbers gradually began to increase again (Strive and Cox 2019).</w:t>
      </w:r>
      <w:r>
        <w:rPr>
          <w:spacing w:val="-4"/>
        </w:rPr>
        <w:t> </w:t>
      </w:r>
      <w:r>
        <w:rPr/>
        <w:t>To</w:t>
      </w:r>
      <w:r>
        <w:rPr>
          <w:spacing w:val="-4"/>
        </w:rPr>
        <w:t> </w:t>
      </w:r>
      <w:r>
        <w:rPr/>
        <w:t>‘boost’</w:t>
      </w:r>
      <w:r>
        <w:rPr>
          <w:spacing w:val="-5"/>
        </w:rPr>
        <w:t> </w:t>
      </w:r>
      <w:r>
        <w:rPr/>
        <w:t>rabbit</w:t>
      </w:r>
      <w:r>
        <w:rPr>
          <w:spacing w:val="-2"/>
        </w:rPr>
        <w:t> </w:t>
      </w:r>
      <w:r>
        <w:rPr/>
        <w:t>biocontrol,</w:t>
      </w:r>
      <w:r>
        <w:rPr>
          <w:spacing w:val="-2"/>
        </w:rPr>
        <w:t> </w:t>
      </w:r>
      <w:r>
        <w:rPr/>
        <w:t>an</w:t>
      </w:r>
      <w:r>
        <w:rPr>
          <w:spacing w:val="-3"/>
        </w:rPr>
        <w:t> </w:t>
      </w:r>
      <w:r>
        <w:rPr/>
        <w:t>additional</w:t>
      </w:r>
      <w:r>
        <w:rPr>
          <w:spacing w:val="-5"/>
        </w:rPr>
        <w:t> </w:t>
      </w:r>
      <w:r>
        <w:rPr/>
        <w:t>variant</w:t>
      </w:r>
      <w:r>
        <w:rPr>
          <w:spacing w:val="-4"/>
        </w:rPr>
        <w:t> </w:t>
      </w:r>
      <w:r>
        <w:rPr/>
        <w:t>of</w:t>
      </w:r>
      <w:r>
        <w:rPr>
          <w:spacing w:val="-4"/>
        </w:rPr>
        <w:t> </w:t>
      </w:r>
      <w:r>
        <w:rPr/>
        <w:t>RHDV1</w:t>
      </w:r>
      <w:r>
        <w:rPr>
          <w:spacing w:val="-2"/>
        </w:rPr>
        <w:t> </w:t>
      </w:r>
      <w:r>
        <w:rPr/>
        <w:t>(’K5’)</w:t>
      </w:r>
      <w:r>
        <w:rPr>
          <w:spacing w:val="-3"/>
        </w:rPr>
        <w:t> </w:t>
      </w:r>
      <w:r>
        <w:rPr/>
        <w:t>was</w:t>
      </w:r>
      <w:r>
        <w:rPr>
          <w:spacing w:val="-3"/>
        </w:rPr>
        <w:t> </w:t>
      </w:r>
      <w:r>
        <w:rPr/>
        <w:t>recently</w:t>
      </w:r>
      <w:r>
        <w:rPr>
          <w:spacing w:val="-3"/>
        </w:rPr>
        <w:t> </w:t>
      </w:r>
      <w:r>
        <w:rPr/>
        <w:t>released</w:t>
      </w:r>
      <w:r>
        <w:rPr>
          <w:spacing w:val="-4"/>
        </w:rPr>
        <w:t> </w:t>
      </w:r>
      <w:r>
        <w:rPr/>
        <w:t>nationwide</w:t>
      </w:r>
      <w:r>
        <w:rPr>
          <w:spacing w:val="-5"/>
        </w:rPr>
        <w:t> </w:t>
      </w:r>
      <w:r>
        <w:rPr/>
        <w:t>to counteract the decreasing effectiveness of RHDV1 and MYXV.</w:t>
      </w:r>
    </w:p>
    <w:p>
      <w:pPr>
        <w:pStyle w:val="BodyText"/>
        <w:spacing w:before="119"/>
        <w:ind w:left="112" w:right="380"/>
      </w:pPr>
      <w:r>
        <w:rPr/>
        <w:t>Two</w:t>
      </w:r>
      <w:r>
        <w:rPr>
          <w:spacing w:val="-2"/>
        </w:rPr>
        <w:t> </w:t>
      </w:r>
      <w:r>
        <w:rPr/>
        <w:t>years</w:t>
      </w:r>
      <w:r>
        <w:rPr>
          <w:spacing w:val="-1"/>
        </w:rPr>
        <w:t> </w:t>
      </w:r>
      <w:r>
        <w:rPr/>
        <w:t>prior</w:t>
      </w:r>
      <w:r>
        <w:rPr>
          <w:spacing w:val="-2"/>
        </w:rPr>
        <w:t> </w:t>
      </w:r>
      <w:r>
        <w:rPr/>
        <w:t>to</w:t>
      </w:r>
      <w:r>
        <w:rPr>
          <w:spacing w:val="-2"/>
        </w:rPr>
        <w:t> </w:t>
      </w:r>
      <w:r>
        <w:rPr/>
        <w:t>the</w:t>
      </w:r>
      <w:r>
        <w:rPr>
          <w:spacing w:val="-1"/>
        </w:rPr>
        <w:t> </w:t>
      </w:r>
      <w:r>
        <w:rPr/>
        <w:t>K5</w:t>
      </w:r>
      <w:r>
        <w:rPr>
          <w:spacing w:val="-2"/>
        </w:rPr>
        <w:t> </w:t>
      </w:r>
      <w:r>
        <w:rPr/>
        <w:t>release,</w:t>
      </w:r>
      <w:r>
        <w:rPr>
          <w:spacing w:val="-2"/>
        </w:rPr>
        <w:t> </w:t>
      </w:r>
      <w:r>
        <w:rPr/>
        <w:t>an</w:t>
      </w:r>
      <w:r>
        <w:rPr>
          <w:spacing w:val="-2"/>
        </w:rPr>
        <w:t> </w:t>
      </w:r>
      <w:r>
        <w:rPr/>
        <w:t>exotic</w:t>
      </w:r>
      <w:r>
        <w:rPr>
          <w:spacing w:val="-1"/>
        </w:rPr>
        <w:t> </w:t>
      </w:r>
      <w:r>
        <w:rPr/>
        <w:t>RHDV</w:t>
      </w:r>
      <w:r>
        <w:rPr>
          <w:spacing w:val="-2"/>
        </w:rPr>
        <w:t> </w:t>
      </w:r>
      <w:r>
        <w:rPr/>
        <w:t>strain</w:t>
      </w:r>
      <w:r>
        <w:rPr>
          <w:spacing w:val="-2"/>
        </w:rPr>
        <w:t> </w:t>
      </w:r>
      <w:r>
        <w:rPr/>
        <w:t>(RHDV2)</w:t>
      </w:r>
      <w:r>
        <w:rPr>
          <w:spacing w:val="-2"/>
        </w:rPr>
        <w:t> </w:t>
      </w:r>
      <w:r>
        <w:rPr/>
        <w:t>appeared</w:t>
      </w:r>
      <w:r>
        <w:rPr>
          <w:spacing w:val="-2"/>
        </w:rPr>
        <w:t> </w:t>
      </w:r>
      <w:r>
        <w:rPr/>
        <w:t>in</w:t>
      </w:r>
      <w:r>
        <w:rPr>
          <w:spacing w:val="-2"/>
        </w:rPr>
        <w:t> </w:t>
      </w:r>
      <w:r>
        <w:rPr/>
        <w:t>Australia.</w:t>
      </w:r>
      <w:r>
        <w:rPr>
          <w:spacing w:val="-2"/>
        </w:rPr>
        <w:t> </w:t>
      </w:r>
      <w:r>
        <w:rPr/>
        <w:t>The</w:t>
      </w:r>
      <w:r>
        <w:rPr>
          <w:spacing w:val="-2"/>
        </w:rPr>
        <w:t> </w:t>
      </w:r>
      <w:r>
        <w:rPr/>
        <w:t>vaccine</w:t>
      </w:r>
      <w:r>
        <w:rPr>
          <w:spacing w:val="-1"/>
        </w:rPr>
        <w:t> </w:t>
      </w:r>
      <w:r>
        <w:rPr/>
        <w:t>used to</w:t>
      </w:r>
      <w:r>
        <w:rPr>
          <w:spacing w:val="-5"/>
        </w:rPr>
        <w:t> </w:t>
      </w:r>
      <w:r>
        <w:rPr/>
        <w:t>protect</w:t>
      </w:r>
      <w:r>
        <w:rPr>
          <w:spacing w:val="-4"/>
        </w:rPr>
        <w:t> </w:t>
      </w:r>
      <w:r>
        <w:rPr/>
        <w:t>pet</w:t>
      </w:r>
      <w:r>
        <w:rPr>
          <w:spacing w:val="-2"/>
        </w:rPr>
        <w:t> </w:t>
      </w:r>
      <w:r>
        <w:rPr/>
        <w:t>and</w:t>
      </w:r>
      <w:r>
        <w:rPr>
          <w:spacing w:val="-4"/>
        </w:rPr>
        <w:t> </w:t>
      </w:r>
      <w:r>
        <w:rPr/>
        <w:t>farmed</w:t>
      </w:r>
      <w:r>
        <w:rPr>
          <w:spacing w:val="-5"/>
        </w:rPr>
        <w:t> </w:t>
      </w:r>
      <w:r>
        <w:rPr/>
        <w:t>rabbits</w:t>
      </w:r>
      <w:r>
        <w:rPr>
          <w:spacing w:val="-3"/>
        </w:rPr>
        <w:t> </w:t>
      </w:r>
      <w:r>
        <w:rPr/>
        <w:t>against</w:t>
      </w:r>
      <w:r>
        <w:rPr>
          <w:spacing w:val="-2"/>
        </w:rPr>
        <w:t> </w:t>
      </w:r>
      <w:r>
        <w:rPr/>
        <w:t>the</w:t>
      </w:r>
      <w:r>
        <w:rPr>
          <w:spacing w:val="-3"/>
        </w:rPr>
        <w:t> </w:t>
      </w:r>
      <w:r>
        <w:rPr/>
        <w:t>officially</w:t>
      </w:r>
      <w:r>
        <w:rPr>
          <w:spacing w:val="-1"/>
        </w:rPr>
        <w:t> </w:t>
      </w:r>
      <w:r>
        <w:rPr/>
        <w:t>released</w:t>
      </w:r>
      <w:r>
        <w:rPr>
          <w:spacing w:val="-4"/>
        </w:rPr>
        <w:t> </w:t>
      </w:r>
      <w:r>
        <w:rPr/>
        <w:t>K5,</w:t>
      </w:r>
      <w:r>
        <w:rPr>
          <w:spacing w:val="-4"/>
        </w:rPr>
        <w:t> </w:t>
      </w:r>
      <w:r>
        <w:rPr/>
        <w:t>was</w:t>
      </w:r>
      <w:r>
        <w:rPr>
          <w:spacing w:val="-3"/>
        </w:rPr>
        <w:t> </w:t>
      </w:r>
      <w:r>
        <w:rPr/>
        <w:t>ineffective</w:t>
      </w:r>
      <w:r>
        <w:rPr>
          <w:spacing w:val="-4"/>
        </w:rPr>
        <w:t> </w:t>
      </w:r>
      <w:r>
        <w:rPr/>
        <w:t>against</w:t>
      </w:r>
      <w:r>
        <w:rPr>
          <w:spacing w:val="-2"/>
        </w:rPr>
        <w:t> </w:t>
      </w:r>
      <w:r>
        <w:rPr/>
        <w:t>RHDV2,</w:t>
      </w:r>
      <w:r>
        <w:rPr>
          <w:spacing w:val="-4"/>
        </w:rPr>
        <w:t> </w:t>
      </w:r>
      <w:r>
        <w:rPr/>
        <w:t>resulting in numerous deaths of domestic rabbits. RHDV2 has been reported to also infect and kill the European Brown Hare (</w:t>
      </w:r>
      <w:r>
        <w:rPr>
          <w:i/>
        </w:rPr>
        <w:t>Lepus europeaus</w:t>
      </w:r>
      <w:r>
        <w:rPr/>
        <w:t>), although the extent and environmental impacts relating to Australian (introduced) hare populations are not known.</w:t>
      </w:r>
    </w:p>
    <w:p>
      <w:pPr>
        <w:pStyle w:val="BodyText"/>
        <w:spacing w:before="158"/>
      </w:pPr>
    </w:p>
    <w:p>
      <w:pPr>
        <w:pStyle w:val="Heading3"/>
        <w:numPr>
          <w:ilvl w:val="1"/>
          <w:numId w:val="27"/>
        </w:numPr>
        <w:tabs>
          <w:tab w:pos="686" w:val="left" w:leader="none"/>
        </w:tabs>
        <w:spacing w:line="240" w:lineRule="auto" w:before="0" w:after="0"/>
        <w:ind w:left="686" w:right="0" w:hanging="574"/>
        <w:jc w:val="left"/>
      </w:pPr>
      <w:bookmarkStart w:name="_TOC_250009" w:id="110"/>
      <w:r>
        <w:rPr>
          <w:color w:val="2D1E66"/>
        </w:rPr>
        <w:t>Livestock</w:t>
      </w:r>
      <w:r>
        <w:rPr>
          <w:color w:val="2D1E66"/>
          <w:spacing w:val="-5"/>
        </w:rPr>
        <w:t> </w:t>
      </w:r>
      <w:r>
        <w:rPr>
          <w:color w:val="2D1E66"/>
        </w:rPr>
        <w:t>guardian</w:t>
      </w:r>
      <w:r>
        <w:rPr>
          <w:color w:val="2D1E66"/>
          <w:spacing w:val="-4"/>
        </w:rPr>
        <w:t> </w:t>
      </w:r>
      <w:bookmarkEnd w:id="110"/>
      <w:r>
        <w:rPr>
          <w:color w:val="2D1E66"/>
          <w:spacing w:val="-2"/>
        </w:rPr>
        <w:t>animals</w:t>
      </w:r>
    </w:p>
    <w:p>
      <w:pPr>
        <w:pStyle w:val="BodyText"/>
        <w:spacing w:before="112"/>
        <w:ind w:left="112" w:right="352"/>
      </w:pPr>
      <w:r>
        <w:rPr/>
        <w:t>A major factor in avoiding negative environmental effects of using LGAs is their containment to the property on which the guarded livestock are also confined. LGDs that develop unwanted behaviours such as excessive roaming or aggression (e.g. van Bommel and Johnson 2023) have potential environmental effects if they attack or kill non-target wildlife (e.g. Allen et al. 2019) or livestock on neighbouring properties. Use of Donkeys as livestock guardians (Rigg 2022) in Australian contexts could have negative environmental impacts</w:t>
      </w:r>
      <w:r>
        <w:rPr>
          <w:spacing w:val="-2"/>
        </w:rPr>
        <w:t> </w:t>
      </w:r>
      <w:r>
        <w:rPr/>
        <w:t>if</w:t>
      </w:r>
      <w:r>
        <w:rPr>
          <w:spacing w:val="-3"/>
        </w:rPr>
        <w:t> </w:t>
      </w:r>
      <w:r>
        <w:rPr/>
        <w:t>the</w:t>
      </w:r>
      <w:r>
        <w:rPr>
          <w:spacing w:val="-2"/>
        </w:rPr>
        <w:t> </w:t>
      </w:r>
      <w:r>
        <w:rPr/>
        <w:t>Donkeys</w:t>
      </w:r>
      <w:r>
        <w:rPr>
          <w:spacing w:val="-3"/>
        </w:rPr>
        <w:t> </w:t>
      </w:r>
      <w:r>
        <w:rPr/>
        <w:t>are</w:t>
      </w:r>
      <w:r>
        <w:rPr>
          <w:spacing w:val="-2"/>
        </w:rPr>
        <w:t> </w:t>
      </w:r>
      <w:r>
        <w:rPr/>
        <w:t>not</w:t>
      </w:r>
      <w:r>
        <w:rPr>
          <w:spacing w:val="-3"/>
        </w:rPr>
        <w:t> </w:t>
      </w:r>
      <w:r>
        <w:rPr/>
        <w:t>suitably</w:t>
      </w:r>
      <w:r>
        <w:rPr>
          <w:spacing w:val="-2"/>
        </w:rPr>
        <w:t> </w:t>
      </w:r>
      <w:r>
        <w:rPr/>
        <w:t>contained</w:t>
      </w:r>
      <w:r>
        <w:rPr>
          <w:spacing w:val="-3"/>
        </w:rPr>
        <w:t> </w:t>
      </w:r>
      <w:r>
        <w:rPr/>
        <w:t>on</w:t>
      </w:r>
      <w:r>
        <w:rPr>
          <w:spacing w:val="-2"/>
        </w:rPr>
        <w:t> </w:t>
      </w:r>
      <w:r>
        <w:rPr/>
        <w:t>livestock</w:t>
      </w:r>
      <w:r>
        <w:rPr>
          <w:spacing w:val="-3"/>
        </w:rPr>
        <w:t> </w:t>
      </w:r>
      <w:r>
        <w:rPr/>
        <w:t>properties,</w:t>
      </w:r>
      <w:r>
        <w:rPr>
          <w:spacing w:val="-3"/>
        </w:rPr>
        <w:t> </w:t>
      </w:r>
      <w:r>
        <w:rPr/>
        <w:t>and</w:t>
      </w:r>
      <w:r>
        <w:rPr>
          <w:spacing w:val="-3"/>
        </w:rPr>
        <w:t> </w:t>
      </w:r>
      <w:r>
        <w:rPr/>
        <w:t>they</w:t>
      </w:r>
      <w:r>
        <w:rPr>
          <w:spacing w:val="-2"/>
        </w:rPr>
        <w:t> </w:t>
      </w:r>
      <w:r>
        <w:rPr/>
        <w:t>establish</w:t>
      </w:r>
      <w:r>
        <w:rPr>
          <w:spacing w:val="-3"/>
        </w:rPr>
        <w:t> </w:t>
      </w:r>
      <w:r>
        <w:rPr/>
        <w:t>feral</w:t>
      </w:r>
      <w:r>
        <w:rPr>
          <w:spacing w:val="-2"/>
        </w:rPr>
        <w:t> </w:t>
      </w:r>
      <w:r>
        <w:rPr/>
        <w:t>populations in new areas.</w:t>
      </w:r>
    </w:p>
    <w:p>
      <w:pPr>
        <w:pStyle w:val="BodyText"/>
        <w:spacing w:before="153"/>
      </w:pPr>
    </w:p>
    <w:p>
      <w:pPr>
        <w:pStyle w:val="Heading3"/>
        <w:numPr>
          <w:ilvl w:val="1"/>
          <w:numId w:val="27"/>
        </w:numPr>
        <w:tabs>
          <w:tab w:pos="686" w:val="left" w:leader="none"/>
        </w:tabs>
        <w:spacing w:line="240" w:lineRule="auto" w:before="0" w:after="0"/>
        <w:ind w:left="686" w:right="0" w:hanging="574"/>
        <w:jc w:val="left"/>
      </w:pPr>
      <w:bookmarkStart w:name="_TOC_250008" w:id="111"/>
      <w:bookmarkEnd w:id="111"/>
      <w:r>
        <w:rPr>
          <w:color w:val="2D1E66"/>
          <w:spacing w:val="-2"/>
        </w:rPr>
        <w:t>Fencing</w:t>
      </w:r>
    </w:p>
    <w:p>
      <w:pPr>
        <w:pStyle w:val="BodyText"/>
        <w:spacing w:before="112"/>
        <w:ind w:left="112" w:right="662"/>
        <w:jc w:val="both"/>
      </w:pPr>
      <w:r>
        <w:rPr/>
        <w:t>Establishment</w:t>
      </w:r>
      <w:r>
        <w:rPr>
          <w:spacing w:val="-3"/>
        </w:rPr>
        <w:t> </w:t>
      </w:r>
      <w:r>
        <w:rPr/>
        <w:t>and</w:t>
      </w:r>
      <w:r>
        <w:rPr>
          <w:spacing w:val="-4"/>
        </w:rPr>
        <w:t> </w:t>
      </w:r>
      <w:r>
        <w:rPr/>
        <w:t>monitoring</w:t>
      </w:r>
      <w:r>
        <w:rPr>
          <w:spacing w:val="-5"/>
        </w:rPr>
        <w:t> </w:t>
      </w:r>
      <w:r>
        <w:rPr/>
        <w:t>of</w:t>
      </w:r>
      <w:r>
        <w:rPr>
          <w:spacing w:val="-3"/>
        </w:rPr>
        <w:t> </w:t>
      </w:r>
      <w:r>
        <w:rPr/>
        <w:t>exclusion</w:t>
      </w:r>
      <w:r>
        <w:rPr>
          <w:spacing w:val="-5"/>
        </w:rPr>
        <w:t> </w:t>
      </w:r>
      <w:r>
        <w:rPr/>
        <w:t>fencing</w:t>
      </w:r>
      <w:r>
        <w:rPr>
          <w:spacing w:val="-4"/>
        </w:rPr>
        <w:t> </w:t>
      </w:r>
      <w:r>
        <w:rPr/>
        <w:t>requires</w:t>
      </w:r>
      <w:r>
        <w:rPr>
          <w:spacing w:val="-4"/>
        </w:rPr>
        <w:t> </w:t>
      </w:r>
      <w:r>
        <w:rPr/>
        <w:t>ground</w:t>
      </w:r>
      <w:r>
        <w:rPr>
          <w:spacing w:val="-4"/>
        </w:rPr>
        <w:t> </w:t>
      </w:r>
      <w:r>
        <w:rPr/>
        <w:t>vehicle</w:t>
      </w:r>
      <w:r>
        <w:rPr>
          <w:spacing w:val="-4"/>
        </w:rPr>
        <w:t> </w:t>
      </w:r>
      <w:r>
        <w:rPr/>
        <w:t>and/or</w:t>
      </w:r>
      <w:r>
        <w:rPr>
          <w:spacing w:val="-4"/>
        </w:rPr>
        <w:t> </w:t>
      </w:r>
      <w:r>
        <w:rPr/>
        <w:t>foot</w:t>
      </w:r>
      <w:r>
        <w:rPr>
          <w:spacing w:val="-3"/>
        </w:rPr>
        <w:t> </w:t>
      </w:r>
      <w:r>
        <w:rPr/>
        <w:t>access.</w:t>
      </w:r>
      <w:r>
        <w:rPr>
          <w:spacing w:val="-4"/>
        </w:rPr>
        <w:t> </w:t>
      </w:r>
      <w:r>
        <w:rPr/>
        <w:t>Vegetation clearing</w:t>
      </w:r>
      <w:r>
        <w:rPr>
          <w:spacing w:val="-2"/>
        </w:rPr>
        <w:t> </w:t>
      </w:r>
      <w:r>
        <w:rPr/>
        <w:t>and earthworks/soil</w:t>
      </w:r>
      <w:r>
        <w:rPr>
          <w:spacing w:val="-2"/>
        </w:rPr>
        <w:t> </w:t>
      </w:r>
      <w:r>
        <w:rPr/>
        <w:t>disturbance</w:t>
      </w:r>
      <w:r>
        <w:rPr>
          <w:spacing w:val="-1"/>
        </w:rPr>
        <w:t> </w:t>
      </w:r>
      <w:r>
        <w:rPr/>
        <w:t>are</w:t>
      </w:r>
      <w:r>
        <w:rPr>
          <w:spacing w:val="-1"/>
        </w:rPr>
        <w:t> </w:t>
      </w:r>
      <w:r>
        <w:rPr/>
        <w:t>typically required</w:t>
      </w:r>
      <w:r>
        <w:rPr>
          <w:spacing w:val="-2"/>
        </w:rPr>
        <w:t> </w:t>
      </w:r>
      <w:r>
        <w:rPr/>
        <w:t>to</w:t>
      </w:r>
      <w:r>
        <w:rPr>
          <w:spacing w:val="-1"/>
        </w:rPr>
        <w:t> </w:t>
      </w:r>
      <w:r>
        <w:rPr/>
        <w:t>establish</w:t>
      </w:r>
      <w:r>
        <w:rPr>
          <w:spacing w:val="-1"/>
        </w:rPr>
        <w:t> </w:t>
      </w:r>
      <w:r>
        <w:rPr/>
        <w:t>fences and</w:t>
      </w:r>
      <w:r>
        <w:rPr>
          <w:spacing w:val="-1"/>
        </w:rPr>
        <w:t> </w:t>
      </w:r>
      <w:r>
        <w:rPr/>
        <w:t>thereafter</w:t>
      </w:r>
      <w:r>
        <w:rPr>
          <w:spacing w:val="-1"/>
        </w:rPr>
        <w:t> </w:t>
      </w:r>
      <w:r>
        <w:rPr/>
        <w:t>maintain access</w:t>
      </w:r>
      <w:r>
        <w:rPr>
          <w:spacing w:val="-1"/>
        </w:rPr>
        <w:t> </w:t>
      </w:r>
      <w:r>
        <w:rPr/>
        <w:t>for</w:t>
      </w:r>
      <w:r>
        <w:rPr>
          <w:spacing w:val="-1"/>
        </w:rPr>
        <w:t> </w:t>
      </w:r>
      <w:r>
        <w:rPr/>
        <w:t>monitoring</w:t>
      </w:r>
      <w:r>
        <w:rPr>
          <w:spacing w:val="-1"/>
        </w:rPr>
        <w:t> </w:t>
      </w:r>
      <w:r>
        <w:rPr/>
        <w:t>and</w:t>
      </w:r>
      <w:r>
        <w:rPr>
          <w:spacing w:val="-2"/>
        </w:rPr>
        <w:t> </w:t>
      </w:r>
      <w:r>
        <w:rPr/>
        <w:t>repair</w:t>
      </w:r>
      <w:r>
        <w:rPr>
          <w:spacing w:val="-1"/>
        </w:rPr>
        <w:t> </w:t>
      </w:r>
      <w:r>
        <w:rPr/>
        <w:t>of</w:t>
      </w:r>
      <w:r>
        <w:rPr>
          <w:spacing w:val="-2"/>
        </w:rPr>
        <w:t> </w:t>
      </w:r>
      <w:r>
        <w:rPr/>
        <w:t>fencing.</w:t>
      </w:r>
      <w:r>
        <w:rPr>
          <w:spacing w:val="-2"/>
        </w:rPr>
        <w:t> </w:t>
      </w:r>
      <w:r>
        <w:rPr/>
        <w:t>Combined</w:t>
      </w:r>
      <w:r>
        <w:rPr>
          <w:spacing w:val="-1"/>
        </w:rPr>
        <w:t> </w:t>
      </w:r>
      <w:r>
        <w:rPr/>
        <w:t>with</w:t>
      </w:r>
      <w:r>
        <w:rPr>
          <w:spacing w:val="-3"/>
        </w:rPr>
        <w:t> </w:t>
      </w:r>
      <w:r>
        <w:rPr/>
        <w:t>vehicle</w:t>
      </w:r>
      <w:r>
        <w:rPr>
          <w:spacing w:val="-2"/>
        </w:rPr>
        <w:t> </w:t>
      </w:r>
      <w:r>
        <w:rPr/>
        <w:t>traffic,</w:t>
      </w:r>
      <w:r>
        <w:rPr>
          <w:spacing w:val="-2"/>
        </w:rPr>
        <w:t> </w:t>
      </w:r>
      <w:r>
        <w:rPr/>
        <w:t>vegetation</w:t>
      </w:r>
      <w:r>
        <w:rPr>
          <w:spacing w:val="-3"/>
        </w:rPr>
        <w:t> </w:t>
      </w:r>
      <w:r>
        <w:rPr/>
        <w:t>removal</w:t>
      </w:r>
      <w:r>
        <w:rPr>
          <w:spacing w:val="-1"/>
        </w:rPr>
        <w:t> </w:t>
      </w:r>
      <w:r>
        <w:rPr/>
        <w:t>and access maintenance may represent non-negligible environmental impacts, especially for extensive or large-scale </w:t>
      </w:r>
      <w:r>
        <w:rPr>
          <w:spacing w:val="-2"/>
        </w:rPr>
        <w:t>fencing.</w:t>
      </w:r>
    </w:p>
    <w:p>
      <w:pPr>
        <w:pStyle w:val="BodyText"/>
        <w:spacing w:before="120"/>
        <w:ind w:left="112" w:right="247"/>
      </w:pPr>
      <w:r>
        <w:rPr/>
        <w:t>Exclusion fencing is designed to prevent or limit the movement of a ‘target’ pest animal species into a protected area, but similarly affects the movements of non-target medium-to-large-sized wildlife in the area. (Smith et al. 2020) describes potential negative effects of fences on wildlife that are prevented access to resources</w:t>
      </w:r>
      <w:r>
        <w:rPr>
          <w:spacing w:val="-2"/>
        </w:rPr>
        <w:t> </w:t>
      </w:r>
      <w:r>
        <w:rPr/>
        <w:t>in</w:t>
      </w:r>
      <w:r>
        <w:rPr>
          <w:spacing w:val="-3"/>
        </w:rPr>
        <w:t> </w:t>
      </w:r>
      <w:r>
        <w:rPr/>
        <w:t>a</w:t>
      </w:r>
      <w:r>
        <w:rPr>
          <w:spacing w:val="-1"/>
        </w:rPr>
        <w:t> </w:t>
      </w:r>
      <w:r>
        <w:rPr/>
        <w:t>fenced</w:t>
      </w:r>
      <w:r>
        <w:rPr>
          <w:spacing w:val="-3"/>
        </w:rPr>
        <w:t> </w:t>
      </w:r>
      <w:r>
        <w:rPr/>
        <w:t>area</w:t>
      </w:r>
      <w:r>
        <w:rPr>
          <w:spacing w:val="-1"/>
        </w:rPr>
        <w:t> </w:t>
      </w:r>
      <w:r>
        <w:rPr/>
        <w:t>including</w:t>
      </w:r>
      <w:r>
        <w:rPr>
          <w:spacing w:val="-4"/>
        </w:rPr>
        <w:t> </w:t>
      </w:r>
      <w:r>
        <w:rPr/>
        <w:t>water,</w:t>
      </w:r>
      <w:r>
        <w:rPr>
          <w:spacing w:val="-3"/>
        </w:rPr>
        <w:t> </w:t>
      </w:r>
      <w:r>
        <w:rPr/>
        <w:t>food</w:t>
      </w:r>
      <w:r>
        <w:rPr>
          <w:spacing w:val="-1"/>
        </w:rPr>
        <w:t> </w:t>
      </w:r>
      <w:r>
        <w:rPr/>
        <w:t>or</w:t>
      </w:r>
      <w:r>
        <w:rPr>
          <w:spacing w:val="-3"/>
        </w:rPr>
        <w:t> </w:t>
      </w:r>
      <w:r>
        <w:rPr/>
        <w:t>mates</w:t>
      </w:r>
      <w:r>
        <w:rPr>
          <w:spacing w:val="-2"/>
        </w:rPr>
        <w:t> </w:t>
      </w:r>
      <w:r>
        <w:rPr/>
        <w:t>and</w:t>
      </w:r>
      <w:r>
        <w:rPr>
          <w:spacing w:val="-1"/>
        </w:rPr>
        <w:t> </w:t>
      </w:r>
      <w:r>
        <w:rPr/>
        <w:t>breeding</w:t>
      </w:r>
      <w:r>
        <w:rPr>
          <w:spacing w:val="-4"/>
        </w:rPr>
        <w:t> </w:t>
      </w:r>
      <w:r>
        <w:rPr/>
        <w:t>habitat.</w:t>
      </w:r>
      <w:r>
        <w:rPr>
          <w:spacing w:val="-1"/>
        </w:rPr>
        <w:t> </w:t>
      </w:r>
      <w:r>
        <w:rPr/>
        <w:t>Nonetheless,</w:t>
      </w:r>
      <w:r>
        <w:rPr>
          <w:spacing w:val="-3"/>
        </w:rPr>
        <w:t> </w:t>
      </w:r>
      <w:r>
        <w:rPr/>
        <w:t>there may</w:t>
      </w:r>
      <w:r>
        <w:rPr>
          <w:spacing w:val="-1"/>
        </w:rPr>
        <w:t> </w:t>
      </w:r>
      <w:r>
        <w:rPr/>
        <w:t>also be some beneficial environmental effects of fencing in terms of protecting biodiversity within fenced areas.</w:t>
      </w:r>
    </w:p>
    <w:p>
      <w:pPr>
        <w:pStyle w:val="BodyText"/>
        <w:spacing w:before="122"/>
        <w:ind w:left="112" w:right="380"/>
      </w:pPr>
      <w:r>
        <w:rPr/>
        <w:t>Entanglement of non-target wildlife in exclusion fences (e.g. Smith et al. 2020) is an animal welfare issue (see</w:t>
      </w:r>
      <w:r>
        <w:rPr>
          <w:spacing w:val="-4"/>
        </w:rPr>
        <w:t> </w:t>
      </w:r>
      <w:r>
        <w:rPr/>
        <w:t>Section</w:t>
      </w:r>
      <w:r>
        <w:rPr>
          <w:spacing w:val="-2"/>
        </w:rPr>
        <w:t> </w:t>
      </w:r>
      <w:hyperlink w:history="true" w:anchor="_bookmark22">
        <w:r>
          <w:rPr/>
          <w:t>15</w:t>
        </w:r>
      </w:hyperlink>
      <w:r>
        <w:rPr/>
        <w:t>),</w:t>
      </w:r>
      <w:r>
        <w:rPr>
          <w:spacing w:val="-2"/>
        </w:rPr>
        <w:t> </w:t>
      </w:r>
      <w:r>
        <w:rPr/>
        <w:t>and</w:t>
      </w:r>
      <w:r>
        <w:rPr>
          <w:spacing w:val="-2"/>
        </w:rPr>
        <w:t> </w:t>
      </w:r>
      <w:r>
        <w:rPr/>
        <w:t>potentially</w:t>
      </w:r>
      <w:r>
        <w:rPr>
          <w:spacing w:val="-1"/>
        </w:rPr>
        <w:t> </w:t>
      </w:r>
      <w:r>
        <w:rPr/>
        <w:t>an</w:t>
      </w:r>
      <w:r>
        <w:rPr>
          <w:spacing w:val="-5"/>
        </w:rPr>
        <w:t> </w:t>
      </w:r>
      <w:r>
        <w:rPr/>
        <w:t>environmental</w:t>
      </w:r>
      <w:r>
        <w:rPr>
          <w:spacing w:val="-5"/>
        </w:rPr>
        <w:t> </w:t>
      </w:r>
      <w:r>
        <w:rPr/>
        <w:t>issue</w:t>
      </w:r>
      <w:r>
        <w:rPr>
          <w:spacing w:val="-5"/>
        </w:rPr>
        <w:t> </w:t>
      </w:r>
      <w:r>
        <w:rPr/>
        <w:t>if</w:t>
      </w:r>
      <w:r>
        <w:rPr>
          <w:spacing w:val="-4"/>
        </w:rPr>
        <w:t> </w:t>
      </w:r>
      <w:r>
        <w:rPr/>
        <w:t>entanglement</w:t>
      </w:r>
      <w:r>
        <w:rPr>
          <w:spacing w:val="-4"/>
        </w:rPr>
        <w:t> </w:t>
      </w:r>
      <w:r>
        <w:rPr/>
        <w:t>mortality</w:t>
      </w:r>
      <w:r>
        <w:rPr>
          <w:spacing w:val="-3"/>
        </w:rPr>
        <w:t> </w:t>
      </w:r>
      <w:r>
        <w:rPr/>
        <w:t>is</w:t>
      </w:r>
      <w:r>
        <w:rPr>
          <w:spacing w:val="-3"/>
        </w:rPr>
        <w:t> </w:t>
      </w:r>
      <w:r>
        <w:rPr/>
        <w:t>frequent</w:t>
      </w:r>
      <w:r>
        <w:rPr>
          <w:spacing w:val="-4"/>
        </w:rPr>
        <w:t> </w:t>
      </w:r>
      <w:r>
        <w:rPr/>
        <w:t>and</w:t>
      </w:r>
      <w:r>
        <w:rPr>
          <w:spacing w:val="-5"/>
        </w:rPr>
        <w:t> </w:t>
      </w:r>
      <w:r>
        <w:rPr/>
        <w:t>sustained</w:t>
      </w:r>
    </w:p>
    <w:p>
      <w:pPr>
        <w:spacing w:after="0"/>
        <w:sectPr>
          <w:pgSz w:w="11910" w:h="16850"/>
          <w:pgMar w:header="0" w:footer="688" w:top="1080" w:bottom="880" w:left="1020" w:right="780"/>
        </w:sectPr>
      </w:pPr>
    </w:p>
    <w:p>
      <w:pPr>
        <w:pStyle w:val="BodyText"/>
        <w:spacing w:before="71"/>
        <w:ind w:left="112" w:right="380"/>
      </w:pPr>
      <w:r>
        <w:rPr/>
        <w:t>enough to affect localised populations of non-target wildlife outside the fences. Considerations of fence design</w:t>
      </w:r>
      <w:r>
        <w:rPr>
          <w:spacing w:val="-3"/>
        </w:rPr>
        <w:t> </w:t>
      </w:r>
      <w:r>
        <w:rPr/>
        <w:t>features</w:t>
      </w:r>
      <w:r>
        <w:rPr>
          <w:spacing w:val="-2"/>
        </w:rPr>
        <w:t> </w:t>
      </w:r>
      <w:r>
        <w:rPr/>
        <w:t>can</w:t>
      </w:r>
      <w:r>
        <w:rPr>
          <w:spacing w:val="-1"/>
        </w:rPr>
        <w:t> </w:t>
      </w:r>
      <w:r>
        <w:rPr/>
        <w:t>mitigate</w:t>
      </w:r>
      <w:r>
        <w:rPr>
          <w:spacing w:val="-3"/>
        </w:rPr>
        <w:t> </w:t>
      </w:r>
      <w:r>
        <w:rPr/>
        <w:t>entanglement</w:t>
      </w:r>
      <w:r>
        <w:rPr>
          <w:spacing w:val="-3"/>
        </w:rPr>
        <w:t> </w:t>
      </w:r>
      <w:r>
        <w:rPr/>
        <w:t>risk</w:t>
      </w:r>
      <w:r>
        <w:rPr>
          <w:spacing w:val="-2"/>
        </w:rPr>
        <w:t> </w:t>
      </w:r>
      <w:r>
        <w:rPr/>
        <w:t>for</w:t>
      </w:r>
      <w:r>
        <w:rPr>
          <w:spacing w:val="-2"/>
        </w:rPr>
        <w:t> </w:t>
      </w:r>
      <w:r>
        <w:rPr/>
        <w:t>non-target</w:t>
      </w:r>
      <w:r>
        <w:rPr>
          <w:spacing w:val="-3"/>
        </w:rPr>
        <w:t> </w:t>
      </w:r>
      <w:r>
        <w:rPr/>
        <w:t>species</w:t>
      </w:r>
      <w:r>
        <w:rPr>
          <w:spacing w:val="-2"/>
        </w:rPr>
        <w:t> </w:t>
      </w:r>
      <w:r>
        <w:rPr/>
        <w:t>present</w:t>
      </w:r>
      <w:r>
        <w:rPr>
          <w:spacing w:val="-3"/>
        </w:rPr>
        <w:t> </w:t>
      </w:r>
      <w:r>
        <w:rPr/>
        <w:t>in</w:t>
      </w:r>
      <w:r>
        <w:rPr>
          <w:spacing w:val="-3"/>
        </w:rPr>
        <w:t> </w:t>
      </w:r>
      <w:r>
        <w:rPr/>
        <w:t>an</w:t>
      </w:r>
      <w:r>
        <w:rPr>
          <w:spacing w:val="-3"/>
        </w:rPr>
        <w:t> </w:t>
      </w:r>
      <w:r>
        <w:rPr/>
        <w:t>area</w:t>
      </w:r>
      <w:r>
        <w:rPr>
          <w:spacing w:val="-4"/>
        </w:rPr>
        <w:t> </w:t>
      </w:r>
      <w:r>
        <w:rPr/>
        <w:t>(e.g. Dowling</w:t>
      </w:r>
      <w:r>
        <w:rPr>
          <w:spacing w:val="-3"/>
        </w:rPr>
        <w:t> </w:t>
      </w:r>
      <w:r>
        <w:rPr/>
        <w:t>et</w:t>
      </w:r>
      <w:r>
        <w:rPr>
          <w:spacing w:val="-1"/>
        </w:rPr>
        <w:t> </w:t>
      </w:r>
      <w:r>
        <w:rPr/>
        <w:t>al. </w:t>
      </w:r>
      <w:r>
        <w:rPr>
          <w:spacing w:val="-2"/>
        </w:rPr>
        <w:t>2024).</w:t>
      </w:r>
    </w:p>
    <w:p>
      <w:pPr>
        <w:pStyle w:val="BodyText"/>
        <w:spacing w:before="122"/>
        <w:ind w:left="112" w:right="379"/>
      </w:pPr>
      <w:r>
        <w:rPr/>
        <w:t>In a review study, it was concluded that the effects of fences on their ecological surroundings are diverse, and</w:t>
      </w:r>
      <w:r>
        <w:rPr>
          <w:spacing w:val="-4"/>
        </w:rPr>
        <w:t> </w:t>
      </w:r>
      <w:r>
        <w:rPr/>
        <w:t>that</w:t>
      </w:r>
      <w:r>
        <w:rPr>
          <w:spacing w:val="-1"/>
        </w:rPr>
        <w:t> </w:t>
      </w:r>
      <w:r>
        <w:rPr/>
        <w:t>the</w:t>
      </w:r>
      <w:r>
        <w:rPr>
          <w:spacing w:val="-5"/>
        </w:rPr>
        <w:t> </w:t>
      </w:r>
      <w:r>
        <w:rPr/>
        <w:t>same</w:t>
      </w:r>
      <w:r>
        <w:rPr>
          <w:spacing w:val="-4"/>
        </w:rPr>
        <w:t> </w:t>
      </w:r>
      <w:r>
        <w:rPr/>
        <w:t>fence</w:t>
      </w:r>
      <w:r>
        <w:rPr>
          <w:spacing w:val="-4"/>
        </w:rPr>
        <w:t> </w:t>
      </w:r>
      <w:r>
        <w:rPr/>
        <w:t>can</w:t>
      </w:r>
      <w:r>
        <w:rPr>
          <w:spacing w:val="-4"/>
        </w:rPr>
        <w:t> </w:t>
      </w:r>
      <w:r>
        <w:rPr/>
        <w:t>be</w:t>
      </w:r>
      <w:r>
        <w:rPr>
          <w:spacing w:val="-2"/>
        </w:rPr>
        <w:t> </w:t>
      </w:r>
      <w:r>
        <w:rPr/>
        <w:t>both</w:t>
      </w:r>
      <w:r>
        <w:rPr>
          <w:spacing w:val="-4"/>
        </w:rPr>
        <w:t> </w:t>
      </w:r>
      <w:r>
        <w:rPr/>
        <w:t>environmentally</w:t>
      </w:r>
      <w:r>
        <w:rPr>
          <w:spacing w:val="-1"/>
        </w:rPr>
        <w:t> </w:t>
      </w:r>
      <w:r>
        <w:rPr/>
        <w:t>beneficial</w:t>
      </w:r>
      <w:r>
        <w:rPr>
          <w:spacing w:val="-3"/>
        </w:rPr>
        <w:t> </w:t>
      </w:r>
      <w:r>
        <w:rPr/>
        <w:t>and</w:t>
      </w:r>
      <w:r>
        <w:rPr>
          <w:spacing w:val="-2"/>
        </w:rPr>
        <w:t> </w:t>
      </w:r>
      <w:r>
        <w:rPr/>
        <w:t>detrimental</w:t>
      </w:r>
      <w:r>
        <w:rPr>
          <w:spacing w:val="-5"/>
        </w:rPr>
        <w:t> </w:t>
      </w:r>
      <w:r>
        <w:rPr/>
        <w:t>depending</w:t>
      </w:r>
      <w:r>
        <w:rPr>
          <w:spacing w:val="-5"/>
        </w:rPr>
        <w:t> </w:t>
      </w:r>
      <w:r>
        <w:rPr/>
        <w:t>on</w:t>
      </w:r>
      <w:r>
        <w:rPr>
          <w:spacing w:val="-4"/>
        </w:rPr>
        <w:t> </w:t>
      </w:r>
      <w:r>
        <w:rPr/>
        <w:t>species,</w:t>
      </w:r>
      <w:r>
        <w:rPr>
          <w:spacing w:val="-4"/>
        </w:rPr>
        <w:t> </w:t>
      </w:r>
      <w:r>
        <w:rPr/>
        <w:t>scale and</w:t>
      </w:r>
      <w:r>
        <w:rPr>
          <w:spacing w:val="-3"/>
        </w:rPr>
        <w:t> </w:t>
      </w:r>
      <w:r>
        <w:rPr/>
        <w:t>type</w:t>
      </w:r>
      <w:r>
        <w:rPr>
          <w:spacing w:val="-3"/>
        </w:rPr>
        <w:t> </w:t>
      </w:r>
      <w:r>
        <w:rPr/>
        <w:t>of</w:t>
      </w:r>
      <w:r>
        <w:rPr>
          <w:spacing w:val="-1"/>
        </w:rPr>
        <w:t> </w:t>
      </w:r>
      <w:r>
        <w:rPr/>
        <w:t>effect</w:t>
      </w:r>
      <w:r>
        <w:rPr>
          <w:spacing w:val="-3"/>
        </w:rPr>
        <w:t> </w:t>
      </w:r>
      <w:r>
        <w:rPr/>
        <w:t>considered.</w:t>
      </w:r>
      <w:r>
        <w:rPr>
          <w:spacing w:val="-3"/>
        </w:rPr>
        <w:t> </w:t>
      </w:r>
      <w:r>
        <w:rPr/>
        <w:t>In</w:t>
      </w:r>
      <w:r>
        <w:rPr>
          <w:spacing w:val="-3"/>
        </w:rPr>
        <w:t> </w:t>
      </w:r>
      <w:r>
        <w:rPr/>
        <w:t>the</w:t>
      </w:r>
      <w:r>
        <w:rPr>
          <w:spacing w:val="-3"/>
        </w:rPr>
        <w:t> </w:t>
      </w:r>
      <w:r>
        <w:rPr/>
        <w:t>context</w:t>
      </w:r>
      <w:r>
        <w:rPr>
          <w:spacing w:val="-3"/>
        </w:rPr>
        <w:t> </w:t>
      </w:r>
      <w:r>
        <w:rPr/>
        <w:t>of</w:t>
      </w:r>
      <w:r>
        <w:rPr>
          <w:spacing w:val="-1"/>
        </w:rPr>
        <w:t> </w:t>
      </w:r>
      <w:r>
        <w:rPr/>
        <w:t>establishing</w:t>
      </w:r>
      <w:r>
        <w:rPr>
          <w:spacing w:val="-2"/>
        </w:rPr>
        <w:t> </w:t>
      </w:r>
      <w:r>
        <w:rPr/>
        <w:t>agricultural</w:t>
      </w:r>
      <w:r>
        <w:rPr>
          <w:spacing w:val="-2"/>
        </w:rPr>
        <w:t> </w:t>
      </w:r>
      <w:r>
        <w:rPr/>
        <w:t>exclusion</w:t>
      </w:r>
      <w:r>
        <w:rPr>
          <w:spacing w:val="-1"/>
        </w:rPr>
        <w:t> </w:t>
      </w:r>
      <w:r>
        <w:rPr/>
        <w:t>fencing</w:t>
      </w:r>
      <w:r>
        <w:rPr>
          <w:spacing w:val="-2"/>
        </w:rPr>
        <w:t> </w:t>
      </w:r>
      <w:r>
        <w:rPr/>
        <w:t>in</w:t>
      </w:r>
      <w:r>
        <w:rPr>
          <w:spacing w:val="-1"/>
        </w:rPr>
        <w:t> </w:t>
      </w:r>
      <w:r>
        <w:rPr/>
        <w:t>Australia,</w:t>
      </w:r>
      <w:r>
        <w:rPr>
          <w:spacing w:val="-1"/>
        </w:rPr>
        <w:t> </w:t>
      </w:r>
      <w:r>
        <w:rPr/>
        <w:t>a</w:t>
      </w:r>
      <w:r>
        <w:rPr>
          <w:spacing w:val="-4"/>
        </w:rPr>
        <w:t> </w:t>
      </w:r>
      <w:r>
        <w:rPr/>
        <w:t>priori environmental assessments of the potential environmental impacts are not usually undertaken (Smith et al. </w:t>
      </w:r>
      <w:r>
        <w:rPr>
          <w:spacing w:val="-2"/>
        </w:rPr>
        <w:t>2020).</w:t>
      </w:r>
    </w:p>
    <w:p>
      <w:pPr>
        <w:pStyle w:val="BodyText"/>
        <w:spacing w:before="154"/>
      </w:pPr>
    </w:p>
    <w:p>
      <w:pPr>
        <w:pStyle w:val="Heading3"/>
        <w:numPr>
          <w:ilvl w:val="1"/>
          <w:numId w:val="27"/>
        </w:numPr>
        <w:tabs>
          <w:tab w:pos="686" w:val="left" w:leader="none"/>
        </w:tabs>
        <w:spacing w:line="240" w:lineRule="auto" w:before="1" w:after="0"/>
        <w:ind w:left="686" w:right="0" w:hanging="574"/>
        <w:jc w:val="left"/>
      </w:pPr>
      <w:bookmarkStart w:name="_TOC_250007" w:id="112"/>
      <w:r>
        <w:rPr>
          <w:color w:val="2D1E66"/>
        </w:rPr>
        <w:t>Shooting</w:t>
      </w:r>
      <w:r>
        <w:rPr>
          <w:color w:val="2D1E66"/>
          <w:spacing w:val="-2"/>
        </w:rPr>
        <w:t> </w:t>
      </w:r>
      <w:r>
        <w:rPr>
          <w:color w:val="2D1E66"/>
        </w:rPr>
        <w:t>(for</w:t>
      </w:r>
      <w:r>
        <w:rPr>
          <w:color w:val="2D1E66"/>
          <w:spacing w:val="-1"/>
        </w:rPr>
        <w:t> </w:t>
      </w:r>
      <w:r>
        <w:rPr>
          <w:color w:val="2D1E66"/>
        </w:rPr>
        <w:t>all</w:t>
      </w:r>
      <w:r>
        <w:rPr>
          <w:color w:val="2D1E66"/>
          <w:spacing w:val="-1"/>
        </w:rPr>
        <w:t> </w:t>
      </w:r>
      <w:bookmarkEnd w:id="112"/>
      <w:r>
        <w:rPr>
          <w:color w:val="2D1E66"/>
          <w:spacing w:val="-2"/>
        </w:rPr>
        <w:t>species)</w:t>
      </w:r>
    </w:p>
    <w:p>
      <w:pPr>
        <w:pStyle w:val="BodyText"/>
        <w:spacing w:before="112"/>
        <w:ind w:left="112" w:right="362"/>
      </w:pPr>
      <w:r>
        <w:rPr/>
        <w:t>Lead</w:t>
      </w:r>
      <w:r>
        <w:rPr>
          <w:spacing w:val="-2"/>
        </w:rPr>
        <w:t> </w:t>
      </w:r>
      <w:r>
        <w:rPr/>
        <w:t>ammunition</w:t>
      </w:r>
      <w:r>
        <w:rPr>
          <w:spacing w:val="-3"/>
        </w:rPr>
        <w:t> </w:t>
      </w:r>
      <w:r>
        <w:rPr/>
        <w:t>used</w:t>
      </w:r>
      <w:r>
        <w:rPr>
          <w:spacing w:val="-3"/>
        </w:rPr>
        <w:t> </w:t>
      </w:r>
      <w:r>
        <w:rPr/>
        <w:t>for</w:t>
      </w:r>
      <w:r>
        <w:rPr>
          <w:spacing w:val="-1"/>
        </w:rPr>
        <w:t> </w:t>
      </w:r>
      <w:r>
        <w:rPr/>
        <w:t>shooting</w:t>
      </w:r>
      <w:r>
        <w:rPr>
          <w:spacing w:val="-5"/>
        </w:rPr>
        <w:t> </w:t>
      </w:r>
      <w:r>
        <w:rPr/>
        <w:t>contaminates</w:t>
      </w:r>
      <w:r>
        <w:rPr>
          <w:spacing w:val="-3"/>
        </w:rPr>
        <w:t> </w:t>
      </w:r>
      <w:r>
        <w:rPr/>
        <w:t>soil,</w:t>
      </w:r>
      <w:r>
        <w:rPr>
          <w:spacing w:val="-2"/>
        </w:rPr>
        <w:t> </w:t>
      </w:r>
      <w:r>
        <w:rPr/>
        <w:t>waterways</w:t>
      </w:r>
      <w:r>
        <w:rPr>
          <w:spacing w:val="-3"/>
        </w:rPr>
        <w:t> </w:t>
      </w:r>
      <w:r>
        <w:rPr/>
        <w:t>and</w:t>
      </w:r>
      <w:r>
        <w:rPr>
          <w:spacing w:val="-5"/>
        </w:rPr>
        <w:t> </w:t>
      </w:r>
      <w:r>
        <w:rPr/>
        <w:t>the</w:t>
      </w:r>
      <w:r>
        <w:rPr>
          <w:spacing w:val="-5"/>
        </w:rPr>
        <w:t> </w:t>
      </w:r>
      <w:r>
        <w:rPr/>
        <w:t>tissues</w:t>
      </w:r>
      <w:r>
        <w:rPr>
          <w:spacing w:val="-1"/>
        </w:rPr>
        <w:t> </w:t>
      </w:r>
      <w:r>
        <w:rPr/>
        <w:t>of</w:t>
      </w:r>
      <w:r>
        <w:rPr>
          <w:spacing w:val="-4"/>
        </w:rPr>
        <w:t> </w:t>
      </w:r>
      <w:r>
        <w:rPr/>
        <w:t>shot</w:t>
      </w:r>
      <w:r>
        <w:rPr>
          <w:spacing w:val="-2"/>
        </w:rPr>
        <w:t> </w:t>
      </w:r>
      <w:r>
        <w:rPr/>
        <w:t>animals.</w:t>
      </w:r>
      <w:r>
        <w:rPr>
          <w:spacing w:val="-4"/>
        </w:rPr>
        <w:t> </w:t>
      </w:r>
      <w:r>
        <w:rPr/>
        <w:t>Carcasses of animals shot in pest control programs are not typically recovered for disposal, and in most cases are ‘left</w:t>
      </w:r>
      <w:r>
        <w:rPr>
          <w:spacing w:val="40"/>
        </w:rPr>
        <w:t> </w:t>
      </w:r>
      <w:r>
        <w:rPr/>
        <w:t>to lie’ in place. This creates pathways for exposure of wildlife to lead, particularly for species that eat carrion. There is also a lead exposure pathway for people and domestic animals that consume meat (e.g. rabbits or Feral</w:t>
      </w:r>
      <w:r>
        <w:rPr>
          <w:spacing w:val="-2"/>
        </w:rPr>
        <w:t> </w:t>
      </w:r>
      <w:r>
        <w:rPr/>
        <w:t>Pigs)</w:t>
      </w:r>
      <w:r>
        <w:rPr>
          <w:spacing w:val="-2"/>
        </w:rPr>
        <w:t> </w:t>
      </w:r>
      <w:r>
        <w:rPr/>
        <w:t>harvested</w:t>
      </w:r>
      <w:r>
        <w:rPr>
          <w:spacing w:val="-2"/>
        </w:rPr>
        <w:t> </w:t>
      </w:r>
      <w:r>
        <w:rPr/>
        <w:t>by</w:t>
      </w:r>
      <w:r>
        <w:rPr>
          <w:spacing w:val="-2"/>
        </w:rPr>
        <w:t> </w:t>
      </w:r>
      <w:r>
        <w:rPr/>
        <w:t>shooting</w:t>
      </w:r>
      <w:r>
        <w:rPr>
          <w:spacing w:val="-1"/>
        </w:rPr>
        <w:t> </w:t>
      </w:r>
      <w:r>
        <w:rPr/>
        <w:t>(Hampton</w:t>
      </w:r>
      <w:r>
        <w:rPr>
          <w:spacing w:val="-2"/>
        </w:rPr>
        <w:t> </w:t>
      </w:r>
      <w:r>
        <w:rPr/>
        <w:t>et</w:t>
      </w:r>
      <w:r>
        <w:rPr>
          <w:spacing w:val="-3"/>
        </w:rPr>
        <w:t> </w:t>
      </w:r>
      <w:r>
        <w:rPr/>
        <w:t>al.</w:t>
      </w:r>
      <w:r>
        <w:rPr>
          <w:spacing w:val="-3"/>
        </w:rPr>
        <w:t> </w:t>
      </w:r>
      <w:r>
        <w:rPr/>
        <w:t>2018b).</w:t>
      </w:r>
      <w:r>
        <w:rPr>
          <w:spacing w:val="-3"/>
        </w:rPr>
        <w:t> </w:t>
      </w:r>
      <w:r>
        <w:rPr/>
        <w:t>The</w:t>
      </w:r>
      <w:r>
        <w:rPr>
          <w:spacing w:val="-1"/>
        </w:rPr>
        <w:t> </w:t>
      </w:r>
      <w:r>
        <w:rPr/>
        <w:t>environmental</w:t>
      </w:r>
      <w:r>
        <w:rPr>
          <w:spacing w:val="-2"/>
        </w:rPr>
        <w:t> </w:t>
      </w:r>
      <w:r>
        <w:rPr/>
        <w:t>and</w:t>
      </w:r>
      <w:r>
        <w:rPr>
          <w:spacing w:val="-1"/>
        </w:rPr>
        <w:t> </w:t>
      </w:r>
      <w:r>
        <w:rPr/>
        <w:t>human</w:t>
      </w:r>
      <w:r>
        <w:rPr>
          <w:spacing w:val="-4"/>
        </w:rPr>
        <w:t> </w:t>
      </w:r>
      <w:r>
        <w:rPr/>
        <w:t>health</w:t>
      </w:r>
      <w:r>
        <w:rPr>
          <w:spacing w:val="-4"/>
        </w:rPr>
        <w:t> </w:t>
      </w:r>
      <w:r>
        <w:rPr/>
        <w:t>risks</w:t>
      </w:r>
      <w:r>
        <w:rPr>
          <w:spacing w:val="-2"/>
        </w:rPr>
        <w:t> </w:t>
      </w:r>
      <w:r>
        <w:rPr/>
        <w:t>of</w:t>
      </w:r>
      <w:r>
        <w:rPr>
          <w:spacing w:val="-3"/>
        </w:rPr>
        <w:t> </w:t>
      </w:r>
      <w:r>
        <w:rPr/>
        <w:t>lead ammunition are widely recognised internationally but have only recently been subject to formal research scrutiny in Australia. For example, lead exposure has been confirmed in Wedge-tailed Eagles (Lohr et al.</w:t>
      </w:r>
    </w:p>
    <w:p>
      <w:pPr>
        <w:pStyle w:val="BodyText"/>
        <w:spacing w:before="1"/>
        <w:ind w:left="112"/>
      </w:pPr>
      <w:r>
        <w:rPr/>
        <w:t>2020)</w:t>
      </w:r>
      <w:r>
        <w:rPr>
          <w:spacing w:val="-3"/>
        </w:rPr>
        <w:t> </w:t>
      </w:r>
      <w:r>
        <w:rPr/>
        <w:t>and</w:t>
      </w:r>
      <w:r>
        <w:rPr>
          <w:spacing w:val="-4"/>
        </w:rPr>
        <w:t> </w:t>
      </w:r>
      <w:r>
        <w:rPr/>
        <w:t>in</w:t>
      </w:r>
      <w:r>
        <w:rPr>
          <w:spacing w:val="-4"/>
        </w:rPr>
        <w:t> </w:t>
      </w:r>
      <w:r>
        <w:rPr/>
        <w:t>dogs</w:t>
      </w:r>
      <w:r>
        <w:rPr>
          <w:spacing w:val="-5"/>
        </w:rPr>
        <w:t> </w:t>
      </w:r>
      <w:r>
        <w:rPr/>
        <w:t>used</w:t>
      </w:r>
      <w:r>
        <w:rPr>
          <w:spacing w:val="-7"/>
        </w:rPr>
        <w:t> </w:t>
      </w:r>
      <w:r>
        <w:rPr/>
        <w:t>for</w:t>
      </w:r>
      <w:r>
        <w:rPr>
          <w:spacing w:val="-3"/>
        </w:rPr>
        <w:t> </w:t>
      </w:r>
      <w:r>
        <w:rPr/>
        <w:t>hunting</w:t>
      </w:r>
      <w:r>
        <w:rPr>
          <w:spacing w:val="-4"/>
        </w:rPr>
        <w:t> </w:t>
      </w:r>
      <w:r>
        <w:rPr/>
        <w:t>deer</w:t>
      </w:r>
      <w:r>
        <w:rPr>
          <w:spacing w:val="-6"/>
        </w:rPr>
        <w:t> </w:t>
      </w:r>
      <w:r>
        <w:rPr/>
        <w:t>in</w:t>
      </w:r>
      <w:r>
        <w:rPr>
          <w:spacing w:val="-4"/>
        </w:rPr>
        <w:t> </w:t>
      </w:r>
      <w:r>
        <w:rPr/>
        <w:t>Australia</w:t>
      </w:r>
      <w:r>
        <w:rPr>
          <w:spacing w:val="-2"/>
        </w:rPr>
        <w:t> </w:t>
      </w:r>
      <w:r>
        <w:rPr/>
        <w:t>(Hampton</w:t>
      </w:r>
      <w:r>
        <w:rPr>
          <w:spacing w:val="-6"/>
        </w:rPr>
        <w:t> </w:t>
      </w:r>
      <w:r>
        <w:rPr/>
        <w:t>et</w:t>
      </w:r>
      <w:r>
        <w:rPr>
          <w:spacing w:val="-6"/>
        </w:rPr>
        <w:t> </w:t>
      </w:r>
      <w:r>
        <w:rPr/>
        <w:t>al.</w:t>
      </w:r>
      <w:r>
        <w:rPr>
          <w:spacing w:val="-6"/>
        </w:rPr>
        <w:t> </w:t>
      </w:r>
      <w:r>
        <w:rPr>
          <w:spacing w:val="-2"/>
        </w:rPr>
        <w:t>2023).</w:t>
      </w:r>
    </w:p>
    <w:p>
      <w:pPr>
        <w:pStyle w:val="BodyText"/>
        <w:spacing w:before="120"/>
        <w:ind w:left="112" w:right="340"/>
      </w:pPr>
      <w:r>
        <w:rPr/>
        <w:t>Shot carcasses left to decompose in places where the public may encounter them create temporary environmental ‘amenity’ impacts (odour, visually distressing, insect attracting). Large-scale, repeated or intensive shooting programs, particularly aerial shooting of larger ungulates, potentially create a ‘resource pulse’ of carcasses for wildlife that scavenge (e.g. Dingoes, Spencer and Newsome 2021). The effects of such</w:t>
      </w:r>
      <w:r>
        <w:rPr>
          <w:spacing w:val="-4"/>
        </w:rPr>
        <w:t> </w:t>
      </w:r>
      <w:r>
        <w:rPr/>
        <w:t>increased</w:t>
      </w:r>
      <w:r>
        <w:rPr>
          <w:spacing w:val="-4"/>
        </w:rPr>
        <w:t> </w:t>
      </w:r>
      <w:r>
        <w:rPr/>
        <w:t>carcass</w:t>
      </w:r>
      <w:r>
        <w:rPr>
          <w:spacing w:val="-3"/>
        </w:rPr>
        <w:t> </w:t>
      </w:r>
      <w:r>
        <w:rPr/>
        <w:t>availability</w:t>
      </w:r>
      <w:r>
        <w:rPr>
          <w:spacing w:val="-3"/>
        </w:rPr>
        <w:t> </w:t>
      </w:r>
      <w:r>
        <w:rPr/>
        <w:t>on</w:t>
      </w:r>
      <w:r>
        <w:rPr>
          <w:spacing w:val="-3"/>
        </w:rPr>
        <w:t> </w:t>
      </w:r>
      <w:r>
        <w:rPr/>
        <w:t>diet,</w:t>
      </w:r>
      <w:r>
        <w:rPr>
          <w:spacing w:val="-2"/>
        </w:rPr>
        <w:t> </w:t>
      </w:r>
      <w:r>
        <w:rPr/>
        <w:t>movements</w:t>
      </w:r>
      <w:r>
        <w:rPr>
          <w:spacing w:val="-3"/>
        </w:rPr>
        <w:t> </w:t>
      </w:r>
      <w:r>
        <w:rPr/>
        <w:t>or</w:t>
      </w:r>
      <w:r>
        <w:rPr>
          <w:spacing w:val="-4"/>
        </w:rPr>
        <w:t> </w:t>
      </w:r>
      <w:r>
        <w:rPr/>
        <w:t>populations</w:t>
      </w:r>
      <w:r>
        <w:rPr>
          <w:spacing w:val="-3"/>
        </w:rPr>
        <w:t> </w:t>
      </w:r>
      <w:r>
        <w:rPr/>
        <w:t>of</w:t>
      </w:r>
      <w:r>
        <w:rPr>
          <w:spacing w:val="-4"/>
        </w:rPr>
        <w:t> </w:t>
      </w:r>
      <w:r>
        <w:rPr/>
        <w:t>scavengers have</w:t>
      </w:r>
      <w:r>
        <w:rPr>
          <w:spacing w:val="-4"/>
        </w:rPr>
        <w:t> </w:t>
      </w:r>
      <w:r>
        <w:rPr/>
        <w:t>not</w:t>
      </w:r>
      <w:r>
        <w:rPr>
          <w:spacing w:val="-4"/>
        </w:rPr>
        <w:t> </w:t>
      </w:r>
      <w:r>
        <w:rPr/>
        <w:t>been</w:t>
      </w:r>
      <w:r>
        <w:rPr>
          <w:spacing w:val="-3"/>
        </w:rPr>
        <w:t> </w:t>
      </w:r>
      <w:r>
        <w:rPr/>
        <w:t>formally investigated in Victorian contexts.</w:t>
      </w:r>
    </w:p>
    <w:p>
      <w:pPr>
        <w:pStyle w:val="BodyText"/>
        <w:spacing w:before="120"/>
        <w:ind w:left="112" w:right="364"/>
      </w:pPr>
      <w:r>
        <w:rPr/>
        <w:t>Shooting is likely to constitute a localised/temporary disturbance to wildlife through the noise of firearm discharge, movement of vehicles (ground or aerial) and people on foot (ground shooting). There is generalised</w:t>
      </w:r>
      <w:r>
        <w:rPr>
          <w:spacing w:val="-4"/>
        </w:rPr>
        <w:t> </w:t>
      </w:r>
      <w:r>
        <w:rPr/>
        <w:t>evidence</w:t>
      </w:r>
      <w:r>
        <w:rPr>
          <w:spacing w:val="-3"/>
        </w:rPr>
        <w:t> </w:t>
      </w:r>
      <w:r>
        <w:rPr/>
        <w:t>that</w:t>
      </w:r>
      <w:r>
        <w:rPr>
          <w:spacing w:val="-3"/>
        </w:rPr>
        <w:t> </w:t>
      </w:r>
      <w:r>
        <w:rPr/>
        <w:t>hunting</w:t>
      </w:r>
      <w:r>
        <w:rPr>
          <w:spacing w:val="-4"/>
        </w:rPr>
        <w:t> </w:t>
      </w:r>
      <w:r>
        <w:rPr/>
        <w:t>(with</w:t>
      </w:r>
      <w:r>
        <w:rPr>
          <w:spacing w:val="-4"/>
        </w:rPr>
        <w:t> </w:t>
      </w:r>
      <w:r>
        <w:rPr/>
        <w:t>firearms) is</w:t>
      </w:r>
      <w:r>
        <w:rPr>
          <w:spacing w:val="-2"/>
        </w:rPr>
        <w:t> </w:t>
      </w:r>
      <w:r>
        <w:rPr/>
        <w:t>a</w:t>
      </w:r>
      <w:r>
        <w:rPr>
          <w:spacing w:val="-4"/>
        </w:rPr>
        <w:t> </w:t>
      </w:r>
      <w:r>
        <w:rPr/>
        <w:t>disturbance</w:t>
      </w:r>
      <w:r>
        <w:rPr>
          <w:spacing w:val="-3"/>
        </w:rPr>
        <w:t> </w:t>
      </w:r>
      <w:r>
        <w:rPr/>
        <w:t>that</w:t>
      </w:r>
      <w:r>
        <w:rPr>
          <w:spacing w:val="-3"/>
        </w:rPr>
        <w:t> </w:t>
      </w:r>
      <w:r>
        <w:rPr/>
        <w:t>can</w:t>
      </w:r>
      <w:r>
        <w:rPr>
          <w:spacing w:val="-3"/>
        </w:rPr>
        <w:t> </w:t>
      </w:r>
      <w:r>
        <w:rPr/>
        <w:t>affect</w:t>
      </w:r>
      <w:r>
        <w:rPr>
          <w:spacing w:val="-3"/>
        </w:rPr>
        <w:t> </w:t>
      </w:r>
      <w:r>
        <w:rPr/>
        <w:t>the</w:t>
      </w:r>
      <w:r>
        <w:rPr>
          <w:spacing w:val="-3"/>
        </w:rPr>
        <w:t> </w:t>
      </w:r>
      <w:r>
        <w:rPr/>
        <w:t>movements</w:t>
      </w:r>
      <w:r>
        <w:rPr>
          <w:spacing w:val="-2"/>
        </w:rPr>
        <w:t> </w:t>
      </w:r>
      <w:r>
        <w:rPr/>
        <w:t>of</w:t>
      </w:r>
      <w:r>
        <w:rPr>
          <w:spacing w:val="-3"/>
        </w:rPr>
        <w:t> </w:t>
      </w:r>
      <w:r>
        <w:rPr/>
        <w:t>wildlife, with human activities such as recreation and hunting having stronger impacts on animal movement than disturbances of habitat modification such as logging and agriculture (Doherty et al. 2021).</w:t>
      </w:r>
    </w:p>
    <w:p>
      <w:pPr>
        <w:pStyle w:val="BodyText"/>
        <w:spacing w:before="155"/>
      </w:pPr>
    </w:p>
    <w:p>
      <w:pPr>
        <w:pStyle w:val="Heading3"/>
        <w:numPr>
          <w:ilvl w:val="1"/>
          <w:numId w:val="27"/>
        </w:numPr>
        <w:tabs>
          <w:tab w:pos="686" w:val="left" w:leader="none"/>
        </w:tabs>
        <w:spacing w:line="240" w:lineRule="auto" w:before="0" w:after="0"/>
        <w:ind w:left="686" w:right="0" w:hanging="574"/>
        <w:jc w:val="left"/>
      </w:pPr>
      <w:bookmarkStart w:name="_TOC_250006" w:id="113"/>
      <w:bookmarkEnd w:id="113"/>
      <w:r>
        <w:rPr>
          <w:color w:val="2D1E66"/>
          <w:spacing w:val="-2"/>
        </w:rPr>
        <w:t>Trapping</w:t>
      </w:r>
    </w:p>
    <w:p>
      <w:pPr>
        <w:pStyle w:val="BodyText"/>
        <w:spacing w:before="112"/>
        <w:ind w:left="112" w:right="544"/>
      </w:pPr>
      <w:r>
        <w:rPr/>
        <w:t>Establishment and monitoring of animal traps require ground vehicle and/or foot access. Trap placement outside of established roads, tracks or pathways may require vegetation clearing and soil disturbance to maintain</w:t>
      </w:r>
      <w:r>
        <w:rPr>
          <w:spacing w:val="-2"/>
        </w:rPr>
        <w:t> </w:t>
      </w:r>
      <w:r>
        <w:rPr/>
        <w:t>access,</w:t>
      </w:r>
      <w:r>
        <w:rPr>
          <w:spacing w:val="-4"/>
        </w:rPr>
        <w:t> </w:t>
      </w:r>
      <w:r>
        <w:rPr/>
        <w:t>which</w:t>
      </w:r>
      <w:r>
        <w:rPr>
          <w:spacing w:val="-4"/>
        </w:rPr>
        <w:t> </w:t>
      </w:r>
      <w:r>
        <w:rPr/>
        <w:t>combined</w:t>
      </w:r>
      <w:r>
        <w:rPr>
          <w:spacing w:val="-2"/>
        </w:rPr>
        <w:t> </w:t>
      </w:r>
      <w:r>
        <w:rPr/>
        <w:t>with</w:t>
      </w:r>
      <w:r>
        <w:rPr>
          <w:spacing w:val="-4"/>
        </w:rPr>
        <w:t> </w:t>
      </w:r>
      <w:r>
        <w:rPr/>
        <w:t>traffic</w:t>
      </w:r>
      <w:r>
        <w:rPr>
          <w:spacing w:val="-3"/>
        </w:rPr>
        <w:t> </w:t>
      </w:r>
      <w:r>
        <w:rPr/>
        <w:t>may represent</w:t>
      </w:r>
      <w:r>
        <w:rPr>
          <w:spacing w:val="-4"/>
        </w:rPr>
        <w:t> </w:t>
      </w:r>
      <w:r>
        <w:rPr/>
        <w:t>non-negligible</w:t>
      </w:r>
      <w:r>
        <w:rPr>
          <w:spacing w:val="-4"/>
        </w:rPr>
        <w:t> </w:t>
      </w:r>
      <w:r>
        <w:rPr/>
        <w:t>environmental</w:t>
      </w:r>
      <w:r>
        <w:rPr>
          <w:spacing w:val="-3"/>
        </w:rPr>
        <w:t> </w:t>
      </w:r>
      <w:r>
        <w:rPr/>
        <w:t>impacts</w:t>
      </w:r>
      <w:r>
        <w:rPr>
          <w:spacing w:val="-3"/>
        </w:rPr>
        <w:t> </w:t>
      </w:r>
      <w:r>
        <w:rPr/>
        <w:t>if</w:t>
      </w:r>
      <w:r>
        <w:rPr>
          <w:spacing w:val="-4"/>
        </w:rPr>
        <w:t> </w:t>
      </w:r>
      <w:r>
        <w:rPr/>
        <w:t>done over a large area.</w:t>
      </w:r>
    </w:p>
    <w:p>
      <w:pPr>
        <w:pStyle w:val="BodyText"/>
        <w:spacing w:before="119"/>
        <w:ind w:left="112" w:right="427"/>
      </w:pPr>
      <w:r>
        <w:rPr/>
        <w:t>Under Victorian legislation, established pest animal species (as declared under the CaLP Act including foxes,</w:t>
      </w:r>
      <w:r>
        <w:rPr>
          <w:spacing w:val="-4"/>
        </w:rPr>
        <w:t> </w:t>
      </w:r>
      <w:r>
        <w:rPr/>
        <w:t>rabbits,</w:t>
      </w:r>
      <w:r>
        <w:rPr>
          <w:spacing w:val="-3"/>
        </w:rPr>
        <w:t> </w:t>
      </w:r>
      <w:r>
        <w:rPr/>
        <w:t>Feral</w:t>
      </w:r>
      <w:r>
        <w:rPr>
          <w:spacing w:val="-3"/>
        </w:rPr>
        <w:t> </w:t>
      </w:r>
      <w:r>
        <w:rPr/>
        <w:t>Pigs</w:t>
      </w:r>
      <w:r>
        <w:rPr>
          <w:spacing w:val="-1"/>
        </w:rPr>
        <w:t> </w:t>
      </w:r>
      <w:r>
        <w:rPr/>
        <w:t>or</w:t>
      </w:r>
      <w:r>
        <w:rPr>
          <w:spacing w:val="-3"/>
        </w:rPr>
        <w:t> </w:t>
      </w:r>
      <w:r>
        <w:rPr/>
        <w:t>Wild</w:t>
      </w:r>
      <w:r>
        <w:rPr>
          <w:spacing w:val="-2"/>
        </w:rPr>
        <w:t> </w:t>
      </w:r>
      <w:r>
        <w:rPr/>
        <w:t>Dogs)</w:t>
      </w:r>
      <w:r>
        <w:rPr>
          <w:spacing w:val="-3"/>
        </w:rPr>
        <w:t> </w:t>
      </w:r>
      <w:r>
        <w:rPr/>
        <w:t>that</w:t>
      </w:r>
      <w:r>
        <w:rPr>
          <w:spacing w:val="-4"/>
        </w:rPr>
        <w:t> </w:t>
      </w:r>
      <w:r>
        <w:rPr/>
        <w:t>are live</w:t>
      </w:r>
      <w:r>
        <w:rPr>
          <w:spacing w:val="-4"/>
        </w:rPr>
        <w:t> </w:t>
      </w:r>
      <w:r>
        <w:rPr/>
        <w:t>trapped</w:t>
      </w:r>
      <w:r>
        <w:rPr>
          <w:spacing w:val="-1"/>
        </w:rPr>
        <w:t> </w:t>
      </w:r>
      <w:r>
        <w:rPr/>
        <w:t>must</w:t>
      </w:r>
      <w:r>
        <w:rPr>
          <w:spacing w:val="-4"/>
        </w:rPr>
        <w:t> </w:t>
      </w:r>
      <w:r>
        <w:rPr/>
        <w:t>subsequently</w:t>
      </w:r>
      <w:r>
        <w:rPr>
          <w:spacing w:val="-3"/>
        </w:rPr>
        <w:t> </w:t>
      </w:r>
      <w:r>
        <w:rPr/>
        <w:t>be</w:t>
      </w:r>
      <w:r>
        <w:rPr>
          <w:spacing w:val="-2"/>
        </w:rPr>
        <w:t> </w:t>
      </w:r>
      <w:r>
        <w:rPr/>
        <w:t>destroyed.</w:t>
      </w:r>
      <w:r>
        <w:rPr>
          <w:spacing w:val="-4"/>
        </w:rPr>
        <w:t> </w:t>
      </w:r>
      <w:r>
        <w:rPr/>
        <w:t>Trapping</w:t>
      </w:r>
      <w:r>
        <w:rPr>
          <w:spacing w:val="-2"/>
        </w:rPr>
        <w:t> </w:t>
      </w:r>
      <w:r>
        <w:rPr/>
        <w:t>of these species in confinement or leg-hold traps is typically associated with shooting as the most common means of destruction.</w:t>
      </w:r>
    </w:p>
    <w:p>
      <w:pPr>
        <w:pStyle w:val="BodyText"/>
        <w:spacing w:before="120"/>
        <w:ind w:left="112" w:right="278"/>
      </w:pPr>
      <w:r>
        <w:rPr/>
        <w:t>Capture of non-target animals (wildlife) in traps set for pest animal management may have environmental impacts if non-targets are significantly injured by being trapped. In these instances, veterinary attention or euthanasia is required (under the Victorian Prevention of Cruelty to Animals Regulations 2019), which therefore has the environmental impact of removing individual non-targets from the local population. While best practice trapping techniques aim to minimise the incidence of serious injury to</w:t>
      </w:r>
      <w:r>
        <w:rPr>
          <w:spacing w:val="-1"/>
        </w:rPr>
        <w:t> </w:t>
      </w:r>
      <w:r>
        <w:rPr/>
        <w:t>any non-target animals captured,</w:t>
      </w:r>
      <w:r>
        <w:rPr>
          <w:spacing w:val="-2"/>
        </w:rPr>
        <w:t> </w:t>
      </w:r>
      <w:r>
        <w:rPr/>
        <w:t>the</w:t>
      </w:r>
      <w:r>
        <w:rPr>
          <w:spacing w:val="-2"/>
        </w:rPr>
        <w:t> </w:t>
      </w:r>
      <w:r>
        <w:rPr/>
        <w:t>incidence</w:t>
      </w:r>
      <w:r>
        <w:rPr>
          <w:spacing w:val="-4"/>
        </w:rPr>
        <w:t> </w:t>
      </w:r>
      <w:r>
        <w:rPr/>
        <w:t>of non-target</w:t>
      </w:r>
      <w:r>
        <w:rPr>
          <w:spacing w:val="-4"/>
        </w:rPr>
        <w:t> </w:t>
      </w:r>
      <w:r>
        <w:rPr/>
        <w:t>captures</w:t>
      </w:r>
      <w:r>
        <w:rPr>
          <w:spacing w:val="-3"/>
        </w:rPr>
        <w:t> </w:t>
      </w:r>
      <w:r>
        <w:rPr/>
        <w:t>and</w:t>
      </w:r>
      <w:r>
        <w:rPr>
          <w:spacing w:val="-5"/>
        </w:rPr>
        <w:t> </w:t>
      </w:r>
      <w:r>
        <w:rPr/>
        <w:t>outcomes</w:t>
      </w:r>
      <w:r>
        <w:rPr>
          <w:spacing w:val="-3"/>
        </w:rPr>
        <w:t> </w:t>
      </w:r>
      <w:r>
        <w:rPr/>
        <w:t>in</w:t>
      </w:r>
      <w:r>
        <w:rPr>
          <w:spacing w:val="-4"/>
        </w:rPr>
        <w:t> </w:t>
      </w:r>
      <w:r>
        <w:rPr/>
        <w:t>pest</w:t>
      </w:r>
      <w:r>
        <w:rPr>
          <w:spacing w:val="-2"/>
        </w:rPr>
        <w:t> </w:t>
      </w:r>
      <w:r>
        <w:rPr/>
        <w:t>animal</w:t>
      </w:r>
      <w:r>
        <w:rPr>
          <w:spacing w:val="-5"/>
        </w:rPr>
        <w:t> </w:t>
      </w:r>
      <w:r>
        <w:rPr/>
        <w:t>trapping</w:t>
      </w:r>
      <w:r>
        <w:rPr>
          <w:spacing w:val="-3"/>
        </w:rPr>
        <w:t> </w:t>
      </w:r>
      <w:r>
        <w:rPr/>
        <w:t>programs are</w:t>
      </w:r>
      <w:r>
        <w:rPr>
          <w:spacing w:val="-4"/>
        </w:rPr>
        <w:t> </w:t>
      </w:r>
      <w:r>
        <w:rPr/>
        <w:t>not</w:t>
      </w:r>
      <w:r>
        <w:rPr>
          <w:spacing w:val="-4"/>
        </w:rPr>
        <w:t> </w:t>
      </w:r>
      <w:r>
        <w:rPr/>
        <w:t>well described in Victoria.</w:t>
      </w:r>
    </w:p>
    <w:p>
      <w:pPr>
        <w:spacing w:after="0"/>
        <w:sectPr>
          <w:pgSz w:w="11910" w:h="16850"/>
          <w:pgMar w:header="0" w:footer="688" w:top="1060" w:bottom="880" w:left="1020" w:right="780"/>
        </w:sectPr>
      </w:pPr>
    </w:p>
    <w:p>
      <w:pPr>
        <w:pStyle w:val="Heading2"/>
        <w:numPr>
          <w:ilvl w:val="0"/>
          <w:numId w:val="14"/>
        </w:numPr>
        <w:tabs>
          <w:tab w:pos="679" w:val="left" w:leader="none"/>
        </w:tabs>
        <w:spacing w:line="300" w:lineRule="auto" w:before="61" w:after="0"/>
        <w:ind w:left="679" w:right="428" w:hanging="567"/>
        <w:jc w:val="left"/>
      </w:pPr>
      <w:bookmarkStart w:name="_TOC_250005" w:id="114"/>
      <w:r>
        <w:rPr>
          <w:color w:val="001F5F"/>
        </w:rPr>
        <w:t>Operator health and safety when managing European Rabbits,</w:t>
      </w:r>
      <w:r>
        <w:rPr>
          <w:color w:val="001F5F"/>
          <w:spacing w:val="-3"/>
        </w:rPr>
        <w:t> </w:t>
      </w:r>
      <w:r>
        <w:rPr>
          <w:color w:val="001F5F"/>
        </w:rPr>
        <w:t>Feral</w:t>
      </w:r>
      <w:r>
        <w:rPr>
          <w:color w:val="001F5F"/>
          <w:spacing w:val="-5"/>
        </w:rPr>
        <w:t> </w:t>
      </w:r>
      <w:r>
        <w:rPr>
          <w:color w:val="001F5F"/>
        </w:rPr>
        <w:t>Pigs,</w:t>
      </w:r>
      <w:r>
        <w:rPr>
          <w:color w:val="001F5F"/>
          <w:spacing w:val="-5"/>
        </w:rPr>
        <w:t> </w:t>
      </w:r>
      <w:r>
        <w:rPr>
          <w:color w:val="001F5F"/>
        </w:rPr>
        <w:t>Red</w:t>
      </w:r>
      <w:r>
        <w:rPr>
          <w:color w:val="001F5F"/>
          <w:spacing w:val="-5"/>
        </w:rPr>
        <w:t> </w:t>
      </w:r>
      <w:r>
        <w:rPr>
          <w:color w:val="001F5F"/>
        </w:rPr>
        <w:t>Foxes</w:t>
      </w:r>
      <w:r>
        <w:rPr>
          <w:color w:val="001F5F"/>
          <w:spacing w:val="-3"/>
        </w:rPr>
        <w:t> </w:t>
      </w:r>
      <w:r>
        <w:rPr>
          <w:color w:val="001F5F"/>
        </w:rPr>
        <w:t>and</w:t>
      </w:r>
      <w:r>
        <w:rPr>
          <w:color w:val="001F5F"/>
          <w:spacing w:val="-5"/>
        </w:rPr>
        <w:t> </w:t>
      </w:r>
      <w:r>
        <w:rPr>
          <w:color w:val="001F5F"/>
        </w:rPr>
        <w:t>Dingoes</w:t>
      </w:r>
      <w:r>
        <w:rPr>
          <w:color w:val="001F5F"/>
          <w:spacing w:val="-5"/>
        </w:rPr>
        <w:t> </w:t>
      </w:r>
      <w:r>
        <w:rPr>
          <w:color w:val="001F5F"/>
        </w:rPr>
        <w:t>and</w:t>
      </w:r>
      <w:r>
        <w:rPr>
          <w:color w:val="001F5F"/>
          <w:spacing w:val="-5"/>
        </w:rPr>
        <w:t> </w:t>
      </w:r>
      <w:r>
        <w:rPr>
          <w:color w:val="001F5F"/>
        </w:rPr>
        <w:t>Wild</w:t>
      </w:r>
      <w:r>
        <w:rPr>
          <w:color w:val="001F5F"/>
          <w:spacing w:val="-5"/>
        </w:rPr>
        <w:t> </w:t>
      </w:r>
      <w:bookmarkEnd w:id="114"/>
      <w:r>
        <w:rPr>
          <w:color w:val="001F5F"/>
        </w:rPr>
        <w:t>Dogs</w:t>
      </w:r>
    </w:p>
    <w:p>
      <w:pPr>
        <w:pStyle w:val="BodyText"/>
        <w:spacing w:before="164"/>
        <w:rPr>
          <w:b/>
          <w:sz w:val="32"/>
        </w:rPr>
      </w:pPr>
    </w:p>
    <w:p>
      <w:pPr>
        <w:pStyle w:val="BodyText"/>
        <w:ind w:left="112" w:right="232"/>
      </w:pPr>
      <w:r>
        <w:rPr/>
        <w:t>In</w:t>
      </w:r>
      <w:r>
        <w:rPr>
          <w:spacing w:val="-4"/>
        </w:rPr>
        <w:t> </w:t>
      </w:r>
      <w:r>
        <w:rPr/>
        <w:t>Victoria,</w:t>
      </w:r>
      <w:r>
        <w:rPr>
          <w:spacing w:val="-3"/>
        </w:rPr>
        <w:t> </w:t>
      </w:r>
      <w:r>
        <w:rPr/>
        <w:t>SOPs</w:t>
      </w:r>
      <w:r>
        <w:rPr>
          <w:spacing w:val="-3"/>
        </w:rPr>
        <w:t> </w:t>
      </w:r>
      <w:r>
        <w:rPr/>
        <w:t>available</w:t>
      </w:r>
      <w:r>
        <w:rPr>
          <w:spacing w:val="-2"/>
        </w:rPr>
        <w:t> </w:t>
      </w:r>
      <w:r>
        <w:rPr/>
        <w:t>to</w:t>
      </w:r>
      <w:r>
        <w:rPr>
          <w:spacing w:val="-4"/>
        </w:rPr>
        <w:t> </w:t>
      </w:r>
      <w:r>
        <w:rPr/>
        <w:t>Government</w:t>
      </w:r>
      <w:r>
        <w:rPr>
          <w:spacing w:val="-2"/>
        </w:rPr>
        <w:t> </w:t>
      </w:r>
      <w:r>
        <w:rPr/>
        <w:t>employees</w:t>
      </w:r>
      <w:r>
        <w:rPr>
          <w:spacing w:val="-1"/>
        </w:rPr>
        <w:t> </w:t>
      </w:r>
      <w:r>
        <w:rPr/>
        <w:t>and</w:t>
      </w:r>
      <w:r>
        <w:rPr>
          <w:spacing w:val="-3"/>
        </w:rPr>
        <w:t> </w:t>
      </w:r>
      <w:r>
        <w:rPr/>
        <w:t>their</w:t>
      </w:r>
      <w:r>
        <w:rPr>
          <w:spacing w:val="-3"/>
        </w:rPr>
        <w:t> </w:t>
      </w:r>
      <w:r>
        <w:rPr/>
        <w:t>agents</w:t>
      </w:r>
      <w:r>
        <w:rPr>
          <w:spacing w:val="-3"/>
        </w:rPr>
        <w:t> </w:t>
      </w:r>
      <w:r>
        <w:rPr/>
        <w:t>for</w:t>
      </w:r>
      <w:r>
        <w:rPr>
          <w:spacing w:val="-3"/>
        </w:rPr>
        <w:t> </w:t>
      </w:r>
      <w:r>
        <w:rPr/>
        <w:t>the</w:t>
      </w:r>
      <w:r>
        <w:rPr>
          <w:spacing w:val="-4"/>
        </w:rPr>
        <w:t> </w:t>
      </w:r>
      <w:r>
        <w:rPr/>
        <w:t>control</w:t>
      </w:r>
      <w:r>
        <w:rPr>
          <w:spacing w:val="-4"/>
        </w:rPr>
        <w:t> </w:t>
      </w:r>
      <w:r>
        <w:rPr/>
        <w:t>of</w:t>
      </w:r>
      <w:r>
        <w:rPr>
          <w:spacing w:val="-2"/>
        </w:rPr>
        <w:t> </w:t>
      </w:r>
      <w:r>
        <w:rPr/>
        <w:t>all</w:t>
      </w:r>
      <w:r>
        <w:rPr>
          <w:spacing w:val="-4"/>
        </w:rPr>
        <w:t> </w:t>
      </w:r>
      <w:r>
        <w:rPr/>
        <w:t>four</w:t>
      </w:r>
      <w:r>
        <w:rPr>
          <w:spacing w:val="-3"/>
        </w:rPr>
        <w:t> </w:t>
      </w:r>
      <w:r>
        <w:rPr/>
        <w:t>established pest</w:t>
      </w:r>
      <w:r>
        <w:rPr>
          <w:spacing w:val="-1"/>
        </w:rPr>
        <w:t> </w:t>
      </w:r>
      <w:r>
        <w:rPr/>
        <w:t>species outline</w:t>
      </w:r>
      <w:r>
        <w:rPr>
          <w:spacing w:val="-2"/>
        </w:rPr>
        <w:t> </w:t>
      </w:r>
      <w:r>
        <w:rPr/>
        <w:t>the occupational</w:t>
      </w:r>
      <w:r>
        <w:rPr>
          <w:spacing w:val="-2"/>
        </w:rPr>
        <w:t> </w:t>
      </w:r>
      <w:r>
        <w:rPr/>
        <w:t>health and safety issues and</w:t>
      </w:r>
      <w:r>
        <w:rPr>
          <w:spacing w:val="-1"/>
        </w:rPr>
        <w:t> </w:t>
      </w:r>
      <w:r>
        <w:rPr/>
        <w:t>requirements for</w:t>
      </w:r>
      <w:r>
        <w:rPr>
          <w:spacing w:val="-1"/>
        </w:rPr>
        <w:t> </w:t>
      </w:r>
      <w:r>
        <w:rPr/>
        <w:t>managing</w:t>
      </w:r>
      <w:r>
        <w:rPr>
          <w:spacing w:val="-2"/>
        </w:rPr>
        <w:t> </w:t>
      </w:r>
      <w:r>
        <w:rPr/>
        <w:t>risk for each control measure. There are also National Standard Operating Procedures (NATSOPs, </w:t>
      </w:r>
      <w:hyperlink r:id="rId19">
        <w:r>
          <w:rPr>
            <w:color w:val="0000FF"/>
            <w:u w:val="single" w:color="0000FF"/>
          </w:rPr>
          <w:t>https://pestsmart.org.au/</w:t>
        </w:r>
      </w:hyperlink>
      <w:r>
        <w:rPr>
          <w:u w:val="none"/>
        </w:rPr>
        <w:t>) that have been endorsed by the Environment and Invasives Committee 2024.</w:t>
      </w:r>
    </w:p>
    <w:p>
      <w:pPr>
        <w:pStyle w:val="BodyText"/>
        <w:ind w:left="112"/>
      </w:pPr>
      <w:r>
        <w:rPr/>
        <w:t>These</w:t>
      </w:r>
      <w:r>
        <w:rPr>
          <w:spacing w:val="-4"/>
        </w:rPr>
        <w:t> </w:t>
      </w:r>
      <w:r>
        <w:rPr/>
        <w:t>additionally</w:t>
      </w:r>
      <w:r>
        <w:rPr>
          <w:spacing w:val="-3"/>
        </w:rPr>
        <w:t> </w:t>
      </w:r>
      <w:r>
        <w:rPr/>
        <w:t>describe</w:t>
      </w:r>
      <w:r>
        <w:rPr>
          <w:spacing w:val="-3"/>
        </w:rPr>
        <w:t> </w:t>
      </w:r>
      <w:r>
        <w:rPr/>
        <w:t>the</w:t>
      </w:r>
      <w:r>
        <w:rPr>
          <w:spacing w:val="-3"/>
        </w:rPr>
        <w:t> </w:t>
      </w:r>
      <w:r>
        <w:rPr/>
        <w:t>control</w:t>
      </w:r>
      <w:r>
        <w:rPr>
          <w:spacing w:val="-4"/>
        </w:rPr>
        <w:t> </w:t>
      </w:r>
      <w:r>
        <w:rPr/>
        <w:t>techniques,</w:t>
      </w:r>
      <w:r>
        <w:rPr>
          <w:spacing w:val="-5"/>
        </w:rPr>
        <w:t> </w:t>
      </w:r>
      <w:r>
        <w:rPr/>
        <w:t>their</w:t>
      </w:r>
      <w:r>
        <w:rPr>
          <w:spacing w:val="-4"/>
        </w:rPr>
        <w:t> </w:t>
      </w:r>
      <w:r>
        <w:rPr/>
        <w:t>application,</w:t>
      </w:r>
      <w:r>
        <w:rPr>
          <w:spacing w:val="-5"/>
        </w:rPr>
        <w:t> </w:t>
      </w:r>
      <w:r>
        <w:rPr/>
        <w:t>and</w:t>
      </w:r>
      <w:r>
        <w:rPr>
          <w:spacing w:val="-5"/>
        </w:rPr>
        <w:t> </w:t>
      </w:r>
      <w:r>
        <w:rPr/>
        <w:t>strategies</w:t>
      </w:r>
      <w:r>
        <w:rPr>
          <w:spacing w:val="-4"/>
        </w:rPr>
        <w:t> </w:t>
      </w:r>
      <w:r>
        <w:rPr/>
        <w:t>to</w:t>
      </w:r>
      <w:r>
        <w:rPr>
          <w:spacing w:val="-5"/>
        </w:rPr>
        <w:t> </w:t>
      </w:r>
      <w:r>
        <w:rPr/>
        <w:t>minimise</w:t>
      </w:r>
      <w:r>
        <w:rPr>
          <w:spacing w:val="-5"/>
        </w:rPr>
        <w:t> </w:t>
      </w:r>
      <w:r>
        <w:rPr/>
        <w:t>any</w:t>
      </w:r>
      <w:r>
        <w:rPr>
          <w:spacing w:val="-2"/>
        </w:rPr>
        <w:t> </w:t>
      </w:r>
      <w:r>
        <w:rPr/>
        <w:t>harmful impacts when managing established pest animals in Australia.</w:t>
      </w:r>
    </w:p>
    <w:p>
      <w:pPr>
        <w:pStyle w:val="BodyText"/>
        <w:spacing w:before="121"/>
        <w:ind w:left="112" w:right="247"/>
      </w:pPr>
      <w:r>
        <w:rPr/>
        <w:t>In</w:t>
      </w:r>
      <w:r>
        <w:rPr>
          <w:spacing w:val="-4"/>
        </w:rPr>
        <w:t> </w:t>
      </w:r>
      <w:r>
        <w:rPr/>
        <w:t>the</w:t>
      </w:r>
      <w:r>
        <w:rPr>
          <w:spacing w:val="-3"/>
        </w:rPr>
        <w:t> </w:t>
      </w:r>
      <w:r>
        <w:rPr/>
        <w:t>context</w:t>
      </w:r>
      <w:r>
        <w:rPr>
          <w:spacing w:val="-3"/>
        </w:rPr>
        <w:t> </w:t>
      </w:r>
      <w:r>
        <w:rPr/>
        <w:t>of</w:t>
      </w:r>
      <w:r>
        <w:rPr>
          <w:spacing w:val="-3"/>
        </w:rPr>
        <w:t> </w:t>
      </w:r>
      <w:r>
        <w:rPr/>
        <w:t>this</w:t>
      </w:r>
      <w:r>
        <w:rPr>
          <w:spacing w:val="-2"/>
        </w:rPr>
        <w:t> </w:t>
      </w:r>
      <w:r>
        <w:rPr/>
        <w:t>review,</w:t>
      </w:r>
      <w:r>
        <w:rPr>
          <w:spacing w:val="-3"/>
        </w:rPr>
        <w:t> </w:t>
      </w:r>
      <w:r>
        <w:rPr/>
        <w:t>the</w:t>
      </w:r>
      <w:r>
        <w:rPr>
          <w:spacing w:val="-2"/>
        </w:rPr>
        <w:t> </w:t>
      </w:r>
      <w:r>
        <w:rPr/>
        <w:t>health</w:t>
      </w:r>
      <w:r>
        <w:rPr>
          <w:spacing w:val="-1"/>
        </w:rPr>
        <w:t> </w:t>
      </w:r>
      <w:r>
        <w:rPr/>
        <w:t>and</w:t>
      </w:r>
      <w:r>
        <w:rPr>
          <w:spacing w:val="-3"/>
        </w:rPr>
        <w:t> </w:t>
      </w:r>
      <w:r>
        <w:rPr/>
        <w:t>safety of</w:t>
      </w:r>
      <w:r>
        <w:rPr>
          <w:spacing w:val="-3"/>
        </w:rPr>
        <w:t> </w:t>
      </w:r>
      <w:r>
        <w:rPr/>
        <w:t>operators</w:t>
      </w:r>
      <w:r>
        <w:rPr>
          <w:spacing w:val="-2"/>
        </w:rPr>
        <w:t> </w:t>
      </w:r>
      <w:r>
        <w:rPr/>
        <w:t>is</w:t>
      </w:r>
      <w:r>
        <w:rPr>
          <w:spacing w:val="-2"/>
        </w:rPr>
        <w:t> </w:t>
      </w:r>
      <w:r>
        <w:rPr/>
        <w:t>considered</w:t>
      </w:r>
      <w:r>
        <w:rPr>
          <w:spacing w:val="-4"/>
        </w:rPr>
        <w:t> </w:t>
      </w:r>
      <w:r>
        <w:rPr/>
        <w:t>for</w:t>
      </w:r>
      <w:r>
        <w:rPr>
          <w:spacing w:val="-3"/>
        </w:rPr>
        <w:t> </w:t>
      </w:r>
      <w:r>
        <w:rPr/>
        <w:t>lethal</w:t>
      </w:r>
      <w:r>
        <w:rPr>
          <w:spacing w:val="-4"/>
        </w:rPr>
        <w:t> </w:t>
      </w:r>
      <w:r>
        <w:rPr/>
        <w:t>control</w:t>
      </w:r>
      <w:r>
        <w:rPr>
          <w:spacing w:val="-2"/>
        </w:rPr>
        <w:t> </w:t>
      </w:r>
      <w:r>
        <w:rPr/>
        <w:t>methods</w:t>
      </w:r>
      <w:r>
        <w:rPr>
          <w:spacing w:val="-2"/>
        </w:rPr>
        <w:t> </w:t>
      </w:r>
      <w:r>
        <w:rPr/>
        <w:t>that require formal training. These include the use of Schedule 7 poisons and firearms.</w:t>
      </w:r>
    </w:p>
    <w:p>
      <w:pPr>
        <w:pStyle w:val="BodyText"/>
        <w:spacing w:before="118"/>
        <w:ind w:left="112" w:right="247"/>
      </w:pPr>
      <w:r>
        <w:rPr/>
        <w:t>For non-lethal techniques, OH&amp;S is not formally reviewed, but it should be recognised by land mangers that using</w:t>
      </w:r>
      <w:r>
        <w:rPr>
          <w:spacing w:val="-4"/>
        </w:rPr>
        <w:t> </w:t>
      </w:r>
      <w:r>
        <w:rPr/>
        <w:t>those</w:t>
      </w:r>
      <w:r>
        <w:rPr>
          <w:spacing w:val="-3"/>
        </w:rPr>
        <w:t> </w:t>
      </w:r>
      <w:r>
        <w:rPr/>
        <w:t>techniques</w:t>
      </w:r>
      <w:r>
        <w:rPr>
          <w:spacing w:val="-4"/>
        </w:rPr>
        <w:t> </w:t>
      </w:r>
      <w:r>
        <w:rPr/>
        <w:t>encompasses</w:t>
      </w:r>
      <w:r>
        <w:rPr>
          <w:spacing w:val="-4"/>
        </w:rPr>
        <w:t> </w:t>
      </w:r>
      <w:r>
        <w:rPr/>
        <w:t>risks</w:t>
      </w:r>
      <w:r>
        <w:rPr>
          <w:spacing w:val="-4"/>
        </w:rPr>
        <w:t> </w:t>
      </w:r>
      <w:r>
        <w:rPr/>
        <w:t>associated</w:t>
      </w:r>
      <w:r>
        <w:rPr>
          <w:spacing w:val="-3"/>
        </w:rPr>
        <w:t> </w:t>
      </w:r>
      <w:r>
        <w:rPr/>
        <w:t>with</w:t>
      </w:r>
      <w:r>
        <w:rPr>
          <w:spacing w:val="-3"/>
        </w:rPr>
        <w:t> </w:t>
      </w:r>
      <w:r>
        <w:rPr/>
        <w:t>the</w:t>
      </w:r>
      <w:r>
        <w:rPr>
          <w:spacing w:val="-4"/>
        </w:rPr>
        <w:t> </w:t>
      </w:r>
      <w:r>
        <w:rPr/>
        <w:t>operational</w:t>
      </w:r>
      <w:r>
        <w:rPr>
          <w:spacing w:val="-6"/>
        </w:rPr>
        <w:t> </w:t>
      </w:r>
      <w:r>
        <w:rPr/>
        <w:t>tasks (e.g.</w:t>
      </w:r>
      <w:r>
        <w:rPr>
          <w:spacing w:val="-3"/>
        </w:rPr>
        <w:t> </w:t>
      </w:r>
      <w:r>
        <w:rPr/>
        <w:t>installation</w:t>
      </w:r>
      <w:r>
        <w:rPr>
          <w:spacing w:val="-6"/>
        </w:rPr>
        <w:t> </w:t>
      </w:r>
      <w:r>
        <w:rPr/>
        <w:t>of</w:t>
      </w:r>
      <w:r>
        <w:rPr>
          <w:spacing w:val="-5"/>
        </w:rPr>
        <w:t> </w:t>
      </w:r>
      <w:r>
        <w:rPr/>
        <w:t>fencing, operation of machinery). Products that can be purchased from commercial outlets (e.g. pindone for rabbit baiting or sodium nitrite for Feral Pig control) come with product use descriptions or other information that informs the users of the appropriate health and safety guidelines or directions.</w:t>
      </w:r>
    </w:p>
    <w:p>
      <w:pPr>
        <w:pStyle w:val="BodyText"/>
        <w:spacing w:before="120"/>
        <w:ind w:left="112" w:right="520"/>
      </w:pPr>
      <w:r>
        <w:rPr/>
        <w:t>Table</w:t>
      </w:r>
      <w:r>
        <w:rPr>
          <w:spacing w:val="-2"/>
        </w:rPr>
        <w:t> </w:t>
      </w:r>
      <w:r>
        <w:rPr/>
        <w:t>13</w:t>
      </w:r>
      <w:r>
        <w:rPr>
          <w:spacing w:val="-4"/>
        </w:rPr>
        <w:t> </w:t>
      </w:r>
      <w:r>
        <w:rPr/>
        <w:t>summaries</w:t>
      </w:r>
      <w:r>
        <w:rPr>
          <w:spacing w:val="-3"/>
        </w:rPr>
        <w:t> </w:t>
      </w:r>
      <w:r>
        <w:rPr/>
        <w:t>the</w:t>
      </w:r>
      <w:r>
        <w:rPr>
          <w:spacing w:val="-5"/>
        </w:rPr>
        <w:t> </w:t>
      </w:r>
      <w:r>
        <w:rPr/>
        <w:t>OH&amp;S</w:t>
      </w:r>
      <w:r>
        <w:rPr>
          <w:spacing w:val="-2"/>
        </w:rPr>
        <w:t> </w:t>
      </w:r>
      <w:r>
        <w:rPr/>
        <w:t>considerations</w:t>
      </w:r>
      <w:r>
        <w:rPr>
          <w:spacing w:val="-1"/>
        </w:rPr>
        <w:t> </w:t>
      </w:r>
      <w:r>
        <w:rPr/>
        <w:t>identified</w:t>
      </w:r>
      <w:r>
        <w:rPr>
          <w:spacing w:val="-5"/>
        </w:rPr>
        <w:t> </w:t>
      </w:r>
      <w:r>
        <w:rPr/>
        <w:t>in</w:t>
      </w:r>
      <w:r>
        <w:rPr>
          <w:spacing w:val="-4"/>
        </w:rPr>
        <w:t> </w:t>
      </w:r>
      <w:r>
        <w:rPr/>
        <w:t>the</w:t>
      </w:r>
      <w:r>
        <w:rPr>
          <w:spacing w:val="-4"/>
        </w:rPr>
        <w:t> </w:t>
      </w:r>
      <w:r>
        <w:rPr/>
        <w:t>NATSOPs</w:t>
      </w:r>
      <w:r>
        <w:rPr>
          <w:spacing w:val="-3"/>
        </w:rPr>
        <w:t> </w:t>
      </w:r>
      <w:r>
        <w:rPr/>
        <w:t>for</w:t>
      </w:r>
      <w:r>
        <w:rPr>
          <w:spacing w:val="-3"/>
        </w:rPr>
        <w:t> </w:t>
      </w:r>
      <w:r>
        <w:rPr/>
        <w:t>each</w:t>
      </w:r>
      <w:r>
        <w:rPr>
          <w:spacing w:val="-4"/>
        </w:rPr>
        <w:t> </w:t>
      </w:r>
      <w:r>
        <w:rPr/>
        <w:t>of</w:t>
      </w:r>
      <w:r>
        <w:rPr>
          <w:spacing w:val="-4"/>
        </w:rPr>
        <w:t> </w:t>
      </w:r>
      <w:r>
        <w:rPr/>
        <w:t>the</w:t>
      </w:r>
      <w:r>
        <w:rPr>
          <w:spacing w:val="-3"/>
        </w:rPr>
        <w:t> </w:t>
      </w:r>
      <w:r>
        <w:rPr/>
        <w:t>lethal</w:t>
      </w:r>
      <w:r>
        <w:rPr>
          <w:spacing w:val="-3"/>
        </w:rPr>
        <w:t> </w:t>
      </w:r>
      <w:r>
        <w:rPr/>
        <w:t>techniques for the control of each of the four pest species. Further information can be found at </w:t>
      </w:r>
      <w:hyperlink r:id="rId88">
        <w:r>
          <w:rPr>
            <w:color w:val="0000FF"/>
            <w:u w:val="single" w:color="0000FF"/>
          </w:rPr>
          <w:t>https://agriculture.vic.gov.au/</w:t>
        </w:r>
      </w:hyperlink>
      <w:r>
        <w:rPr>
          <w:color w:val="0000FF"/>
          <w:spacing w:val="40"/>
          <w:u w:val="none"/>
        </w:rPr>
        <w:t> </w:t>
      </w:r>
      <w:r>
        <w:rPr>
          <w:u w:val="none"/>
        </w:rPr>
        <w:t>and </w:t>
      </w:r>
      <w:hyperlink r:id="rId19">
        <w:r>
          <w:rPr>
            <w:color w:val="0000FF"/>
            <w:u w:val="single" w:color="0000FF"/>
          </w:rPr>
          <w:t>https://pestsmart.org.au/.</w:t>
        </w:r>
      </w:hyperlink>
    </w:p>
    <w:p>
      <w:pPr>
        <w:spacing w:before="201"/>
        <w:ind w:left="112" w:right="163" w:firstLine="0"/>
        <w:jc w:val="left"/>
        <w:rPr>
          <w:b/>
          <w:sz w:val="20"/>
        </w:rPr>
      </w:pPr>
      <w:bookmarkStart w:name="_bookmark24" w:id="115"/>
      <w:bookmarkEnd w:id="115"/>
      <w:r>
        <w:rPr/>
      </w:r>
      <w:r>
        <w:rPr>
          <w:b/>
          <w:color w:val="1F1546"/>
          <w:sz w:val="20"/>
        </w:rPr>
        <w:t>Table</w:t>
      </w:r>
      <w:r>
        <w:rPr>
          <w:b/>
          <w:color w:val="1F1546"/>
          <w:spacing w:val="-3"/>
          <w:sz w:val="20"/>
        </w:rPr>
        <w:t> </w:t>
      </w:r>
      <w:r>
        <w:rPr>
          <w:b/>
          <w:color w:val="1F1546"/>
          <w:sz w:val="20"/>
        </w:rPr>
        <w:t>13.</w:t>
      </w:r>
      <w:r>
        <w:rPr>
          <w:b/>
          <w:color w:val="1F1546"/>
          <w:spacing w:val="-4"/>
          <w:sz w:val="20"/>
        </w:rPr>
        <w:t> </w:t>
      </w:r>
      <w:r>
        <w:rPr>
          <w:b/>
          <w:color w:val="1F1546"/>
          <w:sz w:val="20"/>
        </w:rPr>
        <w:t>Occupational,</w:t>
      </w:r>
      <w:r>
        <w:rPr>
          <w:b/>
          <w:color w:val="1F1546"/>
          <w:spacing w:val="-4"/>
          <w:sz w:val="20"/>
        </w:rPr>
        <w:t> </w:t>
      </w:r>
      <w:r>
        <w:rPr>
          <w:b/>
          <w:color w:val="1F1546"/>
          <w:sz w:val="20"/>
        </w:rPr>
        <w:t>health</w:t>
      </w:r>
      <w:r>
        <w:rPr>
          <w:b/>
          <w:color w:val="1F1546"/>
          <w:spacing w:val="-3"/>
          <w:sz w:val="20"/>
        </w:rPr>
        <w:t> </w:t>
      </w:r>
      <w:r>
        <w:rPr>
          <w:b/>
          <w:color w:val="1F1546"/>
          <w:sz w:val="20"/>
        </w:rPr>
        <w:t>and</w:t>
      </w:r>
      <w:r>
        <w:rPr>
          <w:b/>
          <w:color w:val="1F1546"/>
          <w:spacing w:val="-3"/>
          <w:sz w:val="20"/>
        </w:rPr>
        <w:t> </w:t>
      </w:r>
      <w:r>
        <w:rPr>
          <w:b/>
          <w:color w:val="1F1546"/>
          <w:sz w:val="20"/>
        </w:rPr>
        <w:t>safety</w:t>
      </w:r>
      <w:r>
        <w:rPr>
          <w:b/>
          <w:color w:val="1F1546"/>
          <w:spacing w:val="-4"/>
          <w:sz w:val="20"/>
        </w:rPr>
        <w:t> </w:t>
      </w:r>
      <w:r>
        <w:rPr>
          <w:b/>
          <w:color w:val="1F1546"/>
          <w:sz w:val="20"/>
        </w:rPr>
        <w:t>considerations</w:t>
      </w:r>
      <w:r>
        <w:rPr>
          <w:b/>
          <w:color w:val="1F1546"/>
          <w:spacing w:val="-4"/>
          <w:sz w:val="20"/>
        </w:rPr>
        <w:t> </w:t>
      </w:r>
      <w:r>
        <w:rPr>
          <w:b/>
          <w:color w:val="1F1546"/>
          <w:sz w:val="20"/>
        </w:rPr>
        <w:t>when</w:t>
      </w:r>
      <w:r>
        <w:rPr>
          <w:b/>
          <w:color w:val="1F1546"/>
          <w:spacing w:val="-4"/>
          <w:sz w:val="20"/>
        </w:rPr>
        <w:t> </w:t>
      </w:r>
      <w:r>
        <w:rPr>
          <w:b/>
          <w:color w:val="1F1546"/>
          <w:sz w:val="20"/>
        </w:rPr>
        <w:t>using</w:t>
      </w:r>
      <w:r>
        <w:rPr>
          <w:b/>
          <w:color w:val="1F1546"/>
          <w:spacing w:val="-3"/>
          <w:sz w:val="20"/>
        </w:rPr>
        <w:t> </w:t>
      </w:r>
      <w:r>
        <w:rPr>
          <w:b/>
          <w:color w:val="1F1546"/>
          <w:sz w:val="20"/>
        </w:rPr>
        <w:t>poisonous</w:t>
      </w:r>
      <w:r>
        <w:rPr>
          <w:b/>
          <w:color w:val="1F1546"/>
          <w:spacing w:val="-4"/>
          <w:sz w:val="20"/>
        </w:rPr>
        <w:t> </w:t>
      </w:r>
      <w:r>
        <w:rPr>
          <w:b/>
          <w:color w:val="1F1546"/>
          <w:sz w:val="20"/>
        </w:rPr>
        <w:t>substances</w:t>
      </w:r>
      <w:r>
        <w:rPr>
          <w:b/>
          <w:color w:val="1F1546"/>
          <w:spacing w:val="-5"/>
          <w:sz w:val="20"/>
        </w:rPr>
        <w:t> </w:t>
      </w:r>
      <w:r>
        <w:rPr>
          <w:b/>
          <w:color w:val="1F1546"/>
          <w:sz w:val="20"/>
        </w:rPr>
        <w:t>or</w:t>
      </w:r>
      <w:r>
        <w:rPr>
          <w:b/>
          <w:color w:val="1F1546"/>
          <w:spacing w:val="-2"/>
          <w:sz w:val="20"/>
        </w:rPr>
        <w:t> </w:t>
      </w:r>
      <w:r>
        <w:rPr>
          <w:b/>
          <w:color w:val="1F1546"/>
          <w:sz w:val="20"/>
        </w:rPr>
        <w:t>other lethal control tools for the management of the four pest species.</w:t>
      </w:r>
    </w:p>
    <w:p>
      <w:pPr>
        <w:pStyle w:val="BodyText"/>
        <w:spacing w:before="6"/>
        <w:rPr>
          <w:b/>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3"/>
        <w:gridCol w:w="6657"/>
      </w:tblGrid>
      <w:tr>
        <w:trPr>
          <w:trHeight w:val="350" w:hRule="atLeast"/>
        </w:trPr>
        <w:tc>
          <w:tcPr>
            <w:tcW w:w="3233" w:type="dxa"/>
            <w:tcBorders>
              <w:bottom w:val="single" w:sz="4" w:space="0" w:color="000000"/>
            </w:tcBorders>
            <w:shd w:val="clear" w:color="auto" w:fill="004B96"/>
          </w:tcPr>
          <w:p>
            <w:pPr>
              <w:pStyle w:val="TableParagraph"/>
              <w:spacing w:before="59"/>
              <w:ind w:left="107"/>
              <w:rPr>
                <w:b/>
                <w:sz w:val="20"/>
              </w:rPr>
            </w:pPr>
            <w:r>
              <w:rPr>
                <w:b/>
                <w:color w:val="FFFFFF"/>
                <w:spacing w:val="-2"/>
                <w:sz w:val="20"/>
              </w:rPr>
              <w:t>Method</w:t>
            </w:r>
          </w:p>
        </w:tc>
        <w:tc>
          <w:tcPr>
            <w:tcW w:w="6657" w:type="dxa"/>
            <w:tcBorders>
              <w:bottom w:val="single" w:sz="4" w:space="0" w:color="000000"/>
            </w:tcBorders>
            <w:shd w:val="clear" w:color="auto" w:fill="004B96"/>
          </w:tcPr>
          <w:p>
            <w:pPr>
              <w:pStyle w:val="TableParagraph"/>
              <w:spacing w:before="59"/>
              <w:ind w:left="161"/>
              <w:rPr>
                <w:b/>
                <w:sz w:val="20"/>
              </w:rPr>
            </w:pPr>
            <w:r>
              <w:rPr>
                <w:b/>
                <w:color w:val="FFFFFF"/>
                <w:sz w:val="20"/>
              </w:rPr>
              <w:t>Occupational</w:t>
            </w:r>
            <w:r>
              <w:rPr>
                <w:b/>
                <w:color w:val="FFFFFF"/>
                <w:spacing w:val="-9"/>
                <w:sz w:val="20"/>
              </w:rPr>
              <w:t> </w:t>
            </w:r>
            <w:r>
              <w:rPr>
                <w:b/>
                <w:color w:val="FFFFFF"/>
                <w:sz w:val="20"/>
              </w:rPr>
              <w:t>Health</w:t>
            </w:r>
            <w:r>
              <w:rPr>
                <w:b/>
                <w:color w:val="FFFFFF"/>
                <w:spacing w:val="-8"/>
                <w:sz w:val="20"/>
              </w:rPr>
              <w:t> </w:t>
            </w:r>
            <w:r>
              <w:rPr>
                <w:b/>
                <w:color w:val="FFFFFF"/>
                <w:sz w:val="20"/>
              </w:rPr>
              <w:t>and</w:t>
            </w:r>
            <w:r>
              <w:rPr>
                <w:b/>
                <w:color w:val="FFFFFF"/>
                <w:spacing w:val="-6"/>
                <w:sz w:val="20"/>
              </w:rPr>
              <w:t> </w:t>
            </w:r>
            <w:r>
              <w:rPr>
                <w:b/>
                <w:color w:val="FFFFFF"/>
                <w:sz w:val="20"/>
              </w:rPr>
              <w:t>Safety</w:t>
            </w:r>
            <w:r>
              <w:rPr>
                <w:b/>
                <w:color w:val="FFFFFF"/>
                <w:spacing w:val="-7"/>
                <w:sz w:val="20"/>
              </w:rPr>
              <w:t> </w:t>
            </w:r>
            <w:r>
              <w:rPr>
                <w:b/>
                <w:color w:val="FFFFFF"/>
                <w:spacing w:val="-2"/>
                <w:sz w:val="20"/>
              </w:rPr>
              <w:t>considerations</w:t>
            </w:r>
          </w:p>
        </w:tc>
      </w:tr>
      <w:tr>
        <w:trPr>
          <w:trHeight w:val="6218" w:hRule="atLeast"/>
        </w:trPr>
        <w:tc>
          <w:tcPr>
            <w:tcW w:w="3233" w:type="dxa"/>
            <w:tcBorders>
              <w:top w:val="single" w:sz="4" w:space="0" w:color="000000"/>
              <w:bottom w:val="single" w:sz="4" w:space="0" w:color="000000"/>
            </w:tcBorders>
          </w:tcPr>
          <w:p>
            <w:pPr>
              <w:pStyle w:val="TableParagraph"/>
              <w:spacing w:before="78"/>
              <w:ind w:left="107"/>
              <w:rPr>
                <w:sz w:val="20"/>
              </w:rPr>
            </w:pPr>
            <w:r>
              <w:rPr>
                <w:sz w:val="20"/>
              </w:rPr>
              <w:t>1080</w:t>
            </w:r>
            <w:r>
              <w:rPr>
                <w:spacing w:val="-9"/>
                <w:sz w:val="20"/>
              </w:rPr>
              <w:t> </w:t>
            </w:r>
            <w:r>
              <w:rPr>
                <w:sz w:val="20"/>
              </w:rPr>
              <w:t>(FOXOFF,</w:t>
            </w:r>
            <w:r>
              <w:rPr>
                <w:spacing w:val="-10"/>
                <w:sz w:val="20"/>
              </w:rPr>
              <w:t> </w:t>
            </w:r>
            <w:r>
              <w:rPr>
                <w:sz w:val="20"/>
              </w:rPr>
              <w:t>DOGGONE,</w:t>
            </w:r>
            <w:r>
              <w:rPr>
                <w:spacing w:val="-10"/>
                <w:sz w:val="20"/>
              </w:rPr>
              <w:t> </w:t>
            </w:r>
            <w:r>
              <w:rPr>
                <w:spacing w:val="-5"/>
                <w:sz w:val="20"/>
              </w:rPr>
              <w:t>De-</w:t>
            </w:r>
          </w:p>
          <w:p>
            <w:pPr>
              <w:pStyle w:val="TableParagraph"/>
              <w:spacing w:before="1"/>
              <w:ind w:left="107" w:right="56"/>
              <w:rPr>
                <w:sz w:val="20"/>
              </w:rPr>
            </w:pPr>
            <w:r>
              <w:rPr>
                <w:sz w:val="20"/>
              </w:rPr>
              <w:t>fox, De-K9 fresh and dried meat bait, capsules for use in candid pest</w:t>
            </w:r>
            <w:r>
              <w:rPr>
                <w:spacing w:val="-9"/>
                <w:sz w:val="20"/>
              </w:rPr>
              <w:t> </w:t>
            </w:r>
            <w:r>
              <w:rPr>
                <w:sz w:val="20"/>
              </w:rPr>
              <w:t>ejectors,</w:t>
            </w:r>
            <w:r>
              <w:rPr>
                <w:spacing w:val="-9"/>
                <w:sz w:val="20"/>
              </w:rPr>
              <w:t> </w:t>
            </w:r>
            <w:r>
              <w:rPr>
                <w:sz w:val="20"/>
              </w:rPr>
              <w:t>carrot</w:t>
            </w:r>
            <w:r>
              <w:rPr>
                <w:spacing w:val="-9"/>
                <w:sz w:val="20"/>
              </w:rPr>
              <w:t> </w:t>
            </w:r>
            <w:r>
              <w:rPr>
                <w:sz w:val="20"/>
              </w:rPr>
              <w:t>and</w:t>
            </w:r>
            <w:r>
              <w:rPr>
                <w:spacing w:val="-8"/>
                <w:sz w:val="20"/>
              </w:rPr>
              <w:t> </w:t>
            </w:r>
            <w:r>
              <w:rPr>
                <w:sz w:val="20"/>
              </w:rPr>
              <w:t>oat</w:t>
            </w:r>
            <w:r>
              <w:rPr>
                <w:spacing w:val="-9"/>
                <w:sz w:val="20"/>
              </w:rPr>
              <w:t> </w:t>
            </w:r>
            <w:r>
              <w:rPr>
                <w:sz w:val="20"/>
              </w:rPr>
              <w:t>baits for rabbit control, PIGOUT/PIGOUT Econobait for the control of Feral Pigs)</w:t>
            </w:r>
          </w:p>
        </w:tc>
        <w:tc>
          <w:tcPr>
            <w:tcW w:w="6657" w:type="dxa"/>
            <w:tcBorders>
              <w:top w:val="single" w:sz="4" w:space="0" w:color="000000"/>
              <w:bottom w:val="single" w:sz="4" w:space="0" w:color="000000"/>
            </w:tcBorders>
          </w:tcPr>
          <w:p>
            <w:pPr>
              <w:pStyle w:val="TableParagraph"/>
              <w:spacing w:before="78"/>
              <w:ind w:left="161" w:right="100"/>
              <w:rPr>
                <w:sz w:val="20"/>
              </w:rPr>
            </w:pPr>
            <w:r>
              <w:rPr>
                <w:sz w:val="20"/>
              </w:rPr>
              <w:t>1080 is a Schedule 7 poison (Dangerous Poisons) and is a</w:t>
            </w:r>
            <w:r>
              <w:rPr>
                <w:spacing w:val="-1"/>
                <w:sz w:val="20"/>
              </w:rPr>
              <w:t> </w:t>
            </w:r>
            <w:r>
              <w:rPr>
                <w:sz w:val="20"/>
              </w:rPr>
              <w:t>restricted chemical</w:t>
            </w:r>
            <w:r>
              <w:rPr>
                <w:spacing w:val="-9"/>
                <w:sz w:val="20"/>
              </w:rPr>
              <w:t> </w:t>
            </w:r>
            <w:r>
              <w:rPr>
                <w:sz w:val="20"/>
              </w:rPr>
              <w:t>product</w:t>
            </w:r>
            <w:r>
              <w:rPr>
                <w:spacing w:val="-8"/>
                <w:sz w:val="20"/>
              </w:rPr>
              <w:t> </w:t>
            </w:r>
            <w:r>
              <w:rPr>
                <w:sz w:val="20"/>
              </w:rPr>
              <w:t>under</w:t>
            </w:r>
            <w:r>
              <w:rPr>
                <w:spacing w:val="-8"/>
                <w:sz w:val="20"/>
              </w:rPr>
              <w:t> </w:t>
            </w:r>
            <w:r>
              <w:rPr>
                <w:sz w:val="20"/>
              </w:rPr>
              <w:t>Commonwealth</w:t>
            </w:r>
            <w:r>
              <w:rPr>
                <w:spacing w:val="-6"/>
                <w:sz w:val="20"/>
              </w:rPr>
              <w:t> </w:t>
            </w:r>
            <w:r>
              <w:rPr>
                <w:sz w:val="20"/>
              </w:rPr>
              <w:t>legislation.</w:t>
            </w:r>
            <w:r>
              <w:rPr>
                <w:spacing w:val="-6"/>
                <w:sz w:val="20"/>
              </w:rPr>
              <w:t> </w:t>
            </w:r>
            <w:r>
              <w:rPr>
                <w:sz w:val="20"/>
              </w:rPr>
              <w:t>The</w:t>
            </w:r>
            <w:r>
              <w:rPr>
                <w:spacing w:val="-8"/>
                <w:sz w:val="20"/>
              </w:rPr>
              <w:t> </w:t>
            </w:r>
            <w:r>
              <w:rPr>
                <w:sz w:val="20"/>
              </w:rPr>
              <w:t>manufacture, sale and use of products containing 1080 is regulated.</w:t>
            </w:r>
          </w:p>
          <w:p>
            <w:pPr>
              <w:pStyle w:val="TableParagraph"/>
              <w:spacing w:before="81"/>
              <w:ind w:left="161" w:right="100"/>
              <w:rPr>
                <w:sz w:val="20"/>
              </w:rPr>
            </w:pPr>
            <w:r>
              <w:rPr>
                <w:sz w:val="20"/>
              </w:rPr>
              <w:t>1080</w:t>
            </w:r>
            <w:r>
              <w:rPr>
                <w:spacing w:val="-4"/>
                <w:sz w:val="20"/>
              </w:rPr>
              <w:t> </w:t>
            </w:r>
            <w:r>
              <w:rPr>
                <w:sz w:val="20"/>
              </w:rPr>
              <w:t>is</w:t>
            </w:r>
            <w:r>
              <w:rPr>
                <w:spacing w:val="-4"/>
                <w:sz w:val="20"/>
              </w:rPr>
              <w:t> </w:t>
            </w:r>
            <w:r>
              <w:rPr>
                <w:sz w:val="20"/>
              </w:rPr>
              <w:t>highly</w:t>
            </w:r>
            <w:r>
              <w:rPr>
                <w:spacing w:val="-4"/>
                <w:sz w:val="20"/>
              </w:rPr>
              <w:t> </w:t>
            </w:r>
            <w:r>
              <w:rPr>
                <w:sz w:val="20"/>
              </w:rPr>
              <w:t>toxic</w:t>
            </w:r>
            <w:r>
              <w:rPr>
                <w:spacing w:val="-4"/>
                <w:sz w:val="20"/>
              </w:rPr>
              <w:t> </w:t>
            </w:r>
            <w:r>
              <w:rPr>
                <w:sz w:val="20"/>
              </w:rPr>
              <w:t>to</w:t>
            </w:r>
            <w:r>
              <w:rPr>
                <w:spacing w:val="-5"/>
                <w:sz w:val="20"/>
              </w:rPr>
              <w:t> </w:t>
            </w:r>
            <w:r>
              <w:rPr>
                <w:sz w:val="20"/>
              </w:rPr>
              <w:t>humans</w:t>
            </w:r>
            <w:r>
              <w:rPr>
                <w:spacing w:val="-4"/>
                <w:sz w:val="20"/>
              </w:rPr>
              <w:t> </w:t>
            </w:r>
            <w:r>
              <w:rPr>
                <w:sz w:val="20"/>
              </w:rPr>
              <w:t>and</w:t>
            </w:r>
            <w:r>
              <w:rPr>
                <w:spacing w:val="-5"/>
                <w:sz w:val="20"/>
              </w:rPr>
              <w:t> </w:t>
            </w:r>
            <w:r>
              <w:rPr>
                <w:sz w:val="20"/>
              </w:rPr>
              <w:t>should</w:t>
            </w:r>
            <w:r>
              <w:rPr>
                <w:spacing w:val="-4"/>
                <w:sz w:val="20"/>
              </w:rPr>
              <w:t> </w:t>
            </w:r>
            <w:r>
              <w:rPr>
                <w:sz w:val="20"/>
              </w:rPr>
              <w:t>be</w:t>
            </w:r>
            <w:r>
              <w:rPr>
                <w:spacing w:val="-4"/>
                <w:sz w:val="20"/>
              </w:rPr>
              <w:t> </w:t>
            </w:r>
            <w:r>
              <w:rPr>
                <w:sz w:val="20"/>
              </w:rPr>
              <w:t>handled</w:t>
            </w:r>
            <w:r>
              <w:rPr>
                <w:spacing w:val="-4"/>
                <w:sz w:val="20"/>
              </w:rPr>
              <w:t> </w:t>
            </w:r>
            <w:r>
              <w:rPr>
                <w:sz w:val="20"/>
              </w:rPr>
              <w:t>with</w:t>
            </w:r>
            <w:r>
              <w:rPr>
                <w:spacing w:val="-4"/>
                <w:sz w:val="20"/>
              </w:rPr>
              <w:t> </w:t>
            </w:r>
            <w:r>
              <w:rPr>
                <w:sz w:val="20"/>
              </w:rPr>
              <w:t>care.</w:t>
            </w:r>
            <w:r>
              <w:rPr>
                <w:spacing w:val="-4"/>
                <w:sz w:val="20"/>
              </w:rPr>
              <w:t> </w:t>
            </w:r>
            <w:r>
              <w:rPr>
                <w:sz w:val="20"/>
              </w:rPr>
              <w:t>Store prepared</w:t>
            </w:r>
            <w:r>
              <w:rPr>
                <w:spacing w:val="-4"/>
                <w:sz w:val="20"/>
              </w:rPr>
              <w:t> </w:t>
            </w:r>
            <w:r>
              <w:rPr>
                <w:sz w:val="20"/>
              </w:rPr>
              <w:t>bait</w:t>
            </w:r>
            <w:r>
              <w:rPr>
                <w:spacing w:val="-2"/>
                <w:sz w:val="20"/>
              </w:rPr>
              <w:t> </w:t>
            </w:r>
            <w:r>
              <w:rPr>
                <w:sz w:val="20"/>
              </w:rPr>
              <w:t>and</w:t>
            </w:r>
            <w:r>
              <w:rPr>
                <w:spacing w:val="-2"/>
                <w:sz w:val="20"/>
              </w:rPr>
              <w:t> </w:t>
            </w:r>
            <w:r>
              <w:rPr>
                <w:sz w:val="20"/>
              </w:rPr>
              <w:t>1080</w:t>
            </w:r>
            <w:r>
              <w:rPr>
                <w:spacing w:val="-4"/>
                <w:sz w:val="20"/>
              </w:rPr>
              <w:t> </w:t>
            </w:r>
            <w:r>
              <w:rPr>
                <w:sz w:val="20"/>
              </w:rPr>
              <w:t>concentrate</w:t>
            </w:r>
            <w:r>
              <w:rPr>
                <w:spacing w:val="-3"/>
                <w:sz w:val="20"/>
              </w:rPr>
              <w:t> </w:t>
            </w:r>
            <w:r>
              <w:rPr>
                <w:sz w:val="20"/>
              </w:rPr>
              <w:t>in</w:t>
            </w:r>
            <w:r>
              <w:rPr>
                <w:spacing w:val="-2"/>
                <w:sz w:val="20"/>
              </w:rPr>
              <w:t> </w:t>
            </w:r>
            <w:r>
              <w:rPr>
                <w:sz w:val="20"/>
              </w:rPr>
              <w:t>a</w:t>
            </w:r>
            <w:r>
              <w:rPr>
                <w:spacing w:val="-4"/>
                <w:sz w:val="20"/>
              </w:rPr>
              <w:t> </w:t>
            </w:r>
            <w:r>
              <w:rPr>
                <w:sz w:val="20"/>
              </w:rPr>
              <w:t>labelled</w:t>
            </w:r>
            <w:r>
              <w:rPr>
                <w:spacing w:val="-5"/>
                <w:sz w:val="20"/>
              </w:rPr>
              <w:t> </w:t>
            </w:r>
            <w:r>
              <w:rPr>
                <w:sz w:val="20"/>
              </w:rPr>
              <w:t>container</w:t>
            </w:r>
            <w:r>
              <w:rPr>
                <w:spacing w:val="-3"/>
                <w:sz w:val="20"/>
              </w:rPr>
              <w:t> </w:t>
            </w:r>
            <w:r>
              <w:rPr>
                <w:sz w:val="20"/>
              </w:rPr>
              <w:t>in</w:t>
            </w:r>
            <w:r>
              <w:rPr>
                <w:spacing w:val="-2"/>
                <w:sz w:val="20"/>
              </w:rPr>
              <w:t> </w:t>
            </w:r>
            <w:r>
              <w:rPr>
                <w:sz w:val="20"/>
              </w:rPr>
              <w:t>a</w:t>
            </w:r>
            <w:r>
              <w:rPr>
                <w:spacing w:val="-2"/>
                <w:sz w:val="20"/>
              </w:rPr>
              <w:t> </w:t>
            </w:r>
            <w:r>
              <w:rPr>
                <w:sz w:val="20"/>
              </w:rPr>
              <w:t>locked cabinet away from children, animals and food. Do not handle 1080 where there is a risk of contaminating drinking water or foodstuff/feed intended for human or animal consumption.</w:t>
            </w:r>
          </w:p>
          <w:p>
            <w:pPr>
              <w:pStyle w:val="TableParagraph"/>
              <w:spacing w:before="79"/>
              <w:ind w:left="161"/>
              <w:rPr>
                <w:sz w:val="20"/>
              </w:rPr>
            </w:pPr>
            <w:r>
              <w:rPr>
                <w:sz w:val="20"/>
              </w:rPr>
              <w:t>All</w:t>
            </w:r>
            <w:r>
              <w:rPr>
                <w:spacing w:val="-6"/>
                <w:sz w:val="20"/>
              </w:rPr>
              <w:t> </w:t>
            </w:r>
            <w:r>
              <w:rPr>
                <w:sz w:val="20"/>
              </w:rPr>
              <w:t>1080</w:t>
            </w:r>
            <w:r>
              <w:rPr>
                <w:spacing w:val="-3"/>
                <w:sz w:val="20"/>
              </w:rPr>
              <w:t> </w:t>
            </w:r>
            <w:r>
              <w:rPr>
                <w:sz w:val="20"/>
              </w:rPr>
              <w:t>use</w:t>
            </w:r>
            <w:r>
              <w:rPr>
                <w:spacing w:val="-5"/>
                <w:sz w:val="20"/>
              </w:rPr>
              <w:t> </w:t>
            </w:r>
            <w:r>
              <w:rPr>
                <w:sz w:val="20"/>
              </w:rPr>
              <w:t>must</w:t>
            </w:r>
            <w:r>
              <w:rPr>
                <w:spacing w:val="-5"/>
                <w:sz w:val="20"/>
              </w:rPr>
              <w:t> </w:t>
            </w:r>
            <w:r>
              <w:rPr>
                <w:sz w:val="20"/>
              </w:rPr>
              <w:t>comply</w:t>
            </w:r>
            <w:r>
              <w:rPr>
                <w:spacing w:val="-2"/>
                <w:sz w:val="20"/>
              </w:rPr>
              <w:t> </w:t>
            </w:r>
            <w:r>
              <w:rPr>
                <w:sz w:val="20"/>
              </w:rPr>
              <w:t>with</w:t>
            </w:r>
            <w:r>
              <w:rPr>
                <w:spacing w:val="-3"/>
                <w:sz w:val="20"/>
              </w:rPr>
              <w:t> </w:t>
            </w:r>
            <w:r>
              <w:rPr>
                <w:sz w:val="20"/>
              </w:rPr>
              <w:t>the</w:t>
            </w:r>
            <w:r>
              <w:rPr>
                <w:spacing w:val="-1"/>
                <w:sz w:val="20"/>
              </w:rPr>
              <w:t> </w:t>
            </w:r>
            <w:hyperlink r:id="rId89">
              <w:r>
                <w:rPr>
                  <w:color w:val="0000FF"/>
                  <w:sz w:val="20"/>
                  <w:u w:val="single" w:color="0000FF"/>
                </w:rPr>
                <w:t>Directions</w:t>
              </w:r>
              <w:r>
                <w:rPr>
                  <w:color w:val="0000FF"/>
                  <w:spacing w:val="-4"/>
                  <w:sz w:val="20"/>
                  <w:u w:val="single" w:color="0000FF"/>
                </w:rPr>
                <w:t> </w:t>
              </w:r>
              <w:r>
                <w:rPr>
                  <w:color w:val="0000FF"/>
                  <w:sz w:val="20"/>
                  <w:u w:val="single" w:color="0000FF"/>
                </w:rPr>
                <w:t>for</w:t>
              </w:r>
              <w:r>
                <w:rPr>
                  <w:color w:val="0000FF"/>
                  <w:spacing w:val="-5"/>
                  <w:sz w:val="20"/>
                  <w:u w:val="single" w:color="0000FF"/>
                </w:rPr>
                <w:t> </w:t>
              </w:r>
              <w:r>
                <w:rPr>
                  <w:color w:val="0000FF"/>
                  <w:sz w:val="20"/>
                  <w:u w:val="single" w:color="0000FF"/>
                </w:rPr>
                <w:t>the</w:t>
              </w:r>
              <w:r>
                <w:rPr>
                  <w:color w:val="0000FF"/>
                  <w:spacing w:val="-3"/>
                  <w:sz w:val="20"/>
                  <w:u w:val="single" w:color="0000FF"/>
                </w:rPr>
                <w:t> </w:t>
              </w:r>
              <w:r>
                <w:rPr>
                  <w:color w:val="0000FF"/>
                  <w:sz w:val="20"/>
                  <w:u w:val="single" w:color="0000FF"/>
                </w:rPr>
                <w:t>Use</w:t>
              </w:r>
              <w:r>
                <w:rPr>
                  <w:color w:val="0000FF"/>
                  <w:spacing w:val="-5"/>
                  <w:sz w:val="20"/>
                  <w:u w:val="single" w:color="0000FF"/>
                </w:rPr>
                <w:t> </w:t>
              </w:r>
              <w:r>
                <w:rPr>
                  <w:color w:val="0000FF"/>
                  <w:sz w:val="20"/>
                  <w:u w:val="single" w:color="0000FF"/>
                </w:rPr>
                <w:t>of</w:t>
              </w:r>
              <w:r>
                <w:rPr>
                  <w:color w:val="0000FF"/>
                  <w:spacing w:val="-5"/>
                  <w:sz w:val="20"/>
                  <w:u w:val="single" w:color="0000FF"/>
                </w:rPr>
                <w:t> </w:t>
              </w:r>
              <w:r>
                <w:rPr>
                  <w:color w:val="0000FF"/>
                  <w:sz w:val="20"/>
                  <w:u w:val="single" w:color="0000FF"/>
                </w:rPr>
                <w:t>1080</w:t>
              </w:r>
              <w:r>
                <w:rPr>
                  <w:color w:val="0000FF"/>
                  <w:spacing w:val="-3"/>
                  <w:sz w:val="20"/>
                  <w:u w:val="single" w:color="0000FF"/>
                </w:rPr>
                <w:t> </w:t>
              </w:r>
              <w:r>
                <w:rPr>
                  <w:color w:val="0000FF"/>
                  <w:sz w:val="20"/>
                  <w:u w:val="single" w:color="0000FF"/>
                </w:rPr>
                <w:t>and</w:t>
              </w:r>
            </w:hyperlink>
            <w:r>
              <w:rPr>
                <w:color w:val="0000FF"/>
                <w:sz w:val="20"/>
                <w:u w:val="none"/>
              </w:rPr>
              <w:t> </w:t>
            </w:r>
            <w:hyperlink r:id="rId89">
              <w:r>
                <w:rPr>
                  <w:color w:val="0000FF"/>
                  <w:sz w:val="20"/>
                  <w:u w:val="single" w:color="0000FF"/>
                </w:rPr>
                <w:t>Papp Pest Animal Bait Products in Victoria</w:t>
              </w:r>
            </w:hyperlink>
            <w:r>
              <w:rPr>
                <w:color w:val="0000FF"/>
                <w:sz w:val="20"/>
                <w:u w:val="none"/>
              </w:rPr>
              <w:t> </w:t>
            </w:r>
            <w:r>
              <w:rPr>
                <w:sz w:val="20"/>
                <w:u w:val="none"/>
              </w:rPr>
              <w:t>and the product label.</w:t>
            </w:r>
          </w:p>
          <w:p>
            <w:pPr>
              <w:pStyle w:val="TableParagraph"/>
              <w:spacing w:before="80"/>
              <w:ind w:left="161"/>
              <w:rPr>
                <w:sz w:val="20"/>
              </w:rPr>
            </w:pPr>
            <w:r>
              <w:rPr>
                <w:sz w:val="20"/>
              </w:rPr>
              <w:t>Users</w:t>
            </w:r>
            <w:r>
              <w:rPr>
                <w:spacing w:val="-4"/>
                <w:sz w:val="20"/>
              </w:rPr>
              <w:t> </w:t>
            </w:r>
            <w:r>
              <w:rPr>
                <w:sz w:val="20"/>
              </w:rPr>
              <w:t>must</w:t>
            </w:r>
            <w:r>
              <w:rPr>
                <w:spacing w:val="-5"/>
                <w:sz w:val="20"/>
              </w:rPr>
              <w:t> </w:t>
            </w:r>
            <w:r>
              <w:rPr>
                <w:sz w:val="20"/>
              </w:rPr>
              <w:t>hold</w:t>
            </w:r>
            <w:r>
              <w:rPr>
                <w:spacing w:val="-4"/>
                <w:sz w:val="20"/>
              </w:rPr>
              <w:t> </w:t>
            </w:r>
            <w:r>
              <w:rPr>
                <w:sz w:val="20"/>
              </w:rPr>
              <w:t>an</w:t>
            </w:r>
            <w:r>
              <w:rPr>
                <w:spacing w:val="-5"/>
                <w:sz w:val="20"/>
              </w:rPr>
              <w:t> </w:t>
            </w:r>
            <w:r>
              <w:rPr>
                <w:sz w:val="20"/>
              </w:rPr>
              <w:t>ACUP</w:t>
            </w:r>
            <w:r>
              <w:rPr>
                <w:spacing w:val="-4"/>
                <w:sz w:val="20"/>
              </w:rPr>
              <w:t> </w:t>
            </w:r>
            <w:r>
              <w:rPr>
                <w:sz w:val="20"/>
              </w:rPr>
              <w:t>with</w:t>
            </w:r>
            <w:r>
              <w:rPr>
                <w:spacing w:val="-4"/>
                <w:sz w:val="20"/>
              </w:rPr>
              <w:t> </w:t>
            </w:r>
            <w:r>
              <w:rPr>
                <w:sz w:val="20"/>
              </w:rPr>
              <w:t>a</w:t>
            </w:r>
            <w:r>
              <w:rPr>
                <w:spacing w:val="-5"/>
                <w:sz w:val="20"/>
              </w:rPr>
              <w:t> </w:t>
            </w:r>
            <w:r>
              <w:rPr>
                <w:sz w:val="20"/>
              </w:rPr>
              <w:t>1080</w:t>
            </w:r>
            <w:r>
              <w:rPr>
                <w:spacing w:val="-4"/>
                <w:sz w:val="20"/>
              </w:rPr>
              <w:t> </w:t>
            </w:r>
            <w:r>
              <w:rPr>
                <w:sz w:val="20"/>
              </w:rPr>
              <w:t>endorsement</w:t>
            </w:r>
            <w:r>
              <w:rPr>
                <w:spacing w:val="-5"/>
                <w:sz w:val="20"/>
              </w:rPr>
              <w:t> </w:t>
            </w:r>
            <w:r>
              <w:rPr>
                <w:sz w:val="20"/>
              </w:rPr>
              <w:t>or</w:t>
            </w:r>
            <w:r>
              <w:rPr>
                <w:spacing w:val="-5"/>
                <w:sz w:val="20"/>
              </w:rPr>
              <w:t> </w:t>
            </w:r>
            <w:r>
              <w:rPr>
                <w:sz w:val="20"/>
              </w:rPr>
              <w:t>be</w:t>
            </w:r>
            <w:r>
              <w:rPr>
                <w:spacing w:val="-6"/>
                <w:sz w:val="20"/>
              </w:rPr>
              <w:t> </w:t>
            </w:r>
            <w:r>
              <w:rPr>
                <w:sz w:val="20"/>
              </w:rPr>
              <w:t>directly supervised by an appropriately authorised person.</w:t>
            </w:r>
          </w:p>
          <w:p>
            <w:pPr>
              <w:pStyle w:val="TableParagraph"/>
              <w:spacing w:before="80"/>
              <w:ind w:left="161" w:right="151"/>
              <w:jc w:val="both"/>
              <w:rPr>
                <w:sz w:val="20"/>
              </w:rPr>
            </w:pPr>
            <w:r>
              <w:rPr>
                <w:sz w:val="20"/>
              </w:rPr>
              <w:t>Operators</w:t>
            </w:r>
            <w:r>
              <w:rPr>
                <w:spacing w:val="-5"/>
                <w:sz w:val="20"/>
              </w:rPr>
              <w:t> </w:t>
            </w:r>
            <w:r>
              <w:rPr>
                <w:sz w:val="20"/>
              </w:rPr>
              <w:t>using</w:t>
            </w:r>
            <w:r>
              <w:rPr>
                <w:spacing w:val="-6"/>
                <w:sz w:val="20"/>
              </w:rPr>
              <w:t> </w:t>
            </w:r>
            <w:r>
              <w:rPr>
                <w:sz w:val="20"/>
              </w:rPr>
              <w:t>1080</w:t>
            </w:r>
            <w:r>
              <w:rPr>
                <w:spacing w:val="-4"/>
                <w:sz w:val="20"/>
              </w:rPr>
              <w:t> </w:t>
            </w:r>
            <w:r>
              <w:rPr>
                <w:sz w:val="20"/>
              </w:rPr>
              <w:t>must</w:t>
            </w:r>
            <w:r>
              <w:rPr>
                <w:spacing w:val="-4"/>
                <w:sz w:val="20"/>
              </w:rPr>
              <w:t> </w:t>
            </w:r>
            <w:r>
              <w:rPr>
                <w:sz w:val="20"/>
              </w:rPr>
              <w:t>strictly</w:t>
            </w:r>
            <w:r>
              <w:rPr>
                <w:spacing w:val="-5"/>
                <w:sz w:val="20"/>
              </w:rPr>
              <w:t> </w:t>
            </w:r>
            <w:r>
              <w:rPr>
                <w:sz w:val="20"/>
              </w:rPr>
              <w:t>follow</w:t>
            </w:r>
            <w:r>
              <w:rPr>
                <w:spacing w:val="-4"/>
                <w:sz w:val="20"/>
              </w:rPr>
              <w:t> </w:t>
            </w:r>
            <w:r>
              <w:rPr>
                <w:sz w:val="20"/>
              </w:rPr>
              <w:t>the</w:t>
            </w:r>
            <w:r>
              <w:rPr>
                <w:spacing w:val="-4"/>
                <w:sz w:val="20"/>
              </w:rPr>
              <w:t> </w:t>
            </w:r>
            <w:r>
              <w:rPr>
                <w:sz w:val="20"/>
              </w:rPr>
              <w:t>directions</w:t>
            </w:r>
            <w:r>
              <w:rPr>
                <w:spacing w:val="-5"/>
                <w:sz w:val="20"/>
              </w:rPr>
              <w:t> </w:t>
            </w:r>
            <w:r>
              <w:rPr>
                <w:sz w:val="20"/>
              </w:rPr>
              <w:t>on</w:t>
            </w:r>
            <w:r>
              <w:rPr>
                <w:spacing w:val="-6"/>
                <w:sz w:val="20"/>
              </w:rPr>
              <w:t> </w:t>
            </w:r>
            <w:r>
              <w:rPr>
                <w:sz w:val="20"/>
              </w:rPr>
              <w:t>the</w:t>
            </w:r>
            <w:r>
              <w:rPr>
                <w:spacing w:val="-6"/>
                <w:sz w:val="20"/>
              </w:rPr>
              <w:t> </w:t>
            </w:r>
            <w:r>
              <w:rPr>
                <w:sz w:val="20"/>
              </w:rPr>
              <w:t>approved label</w:t>
            </w:r>
            <w:r>
              <w:rPr>
                <w:spacing w:val="-6"/>
                <w:sz w:val="20"/>
              </w:rPr>
              <w:t> </w:t>
            </w:r>
            <w:r>
              <w:rPr>
                <w:sz w:val="20"/>
              </w:rPr>
              <w:t>when</w:t>
            </w:r>
            <w:r>
              <w:rPr>
                <w:spacing w:val="-4"/>
                <w:sz w:val="20"/>
              </w:rPr>
              <w:t> </w:t>
            </w:r>
            <w:r>
              <w:rPr>
                <w:sz w:val="20"/>
              </w:rPr>
              <w:t>preparing</w:t>
            </w:r>
            <w:r>
              <w:rPr>
                <w:spacing w:val="-5"/>
                <w:sz w:val="20"/>
              </w:rPr>
              <w:t> </w:t>
            </w:r>
            <w:r>
              <w:rPr>
                <w:sz w:val="20"/>
              </w:rPr>
              <w:t>for</w:t>
            </w:r>
            <w:r>
              <w:rPr>
                <w:spacing w:val="-3"/>
                <w:sz w:val="20"/>
              </w:rPr>
              <w:t> </w:t>
            </w:r>
            <w:r>
              <w:rPr>
                <w:sz w:val="20"/>
              </w:rPr>
              <w:t>use,</w:t>
            </w:r>
            <w:r>
              <w:rPr>
                <w:spacing w:val="-5"/>
                <w:sz w:val="20"/>
              </w:rPr>
              <w:t> </w:t>
            </w:r>
            <w:r>
              <w:rPr>
                <w:sz w:val="20"/>
              </w:rPr>
              <w:t>using,</w:t>
            </w:r>
            <w:r>
              <w:rPr>
                <w:spacing w:val="-5"/>
                <w:sz w:val="20"/>
              </w:rPr>
              <w:t> </w:t>
            </w:r>
            <w:r>
              <w:rPr>
                <w:sz w:val="20"/>
              </w:rPr>
              <w:t>storing,</w:t>
            </w:r>
            <w:r>
              <w:rPr>
                <w:spacing w:val="-4"/>
                <w:sz w:val="20"/>
              </w:rPr>
              <w:t> </w:t>
            </w:r>
            <w:r>
              <w:rPr>
                <w:sz w:val="20"/>
              </w:rPr>
              <w:t>transporting</w:t>
            </w:r>
            <w:r>
              <w:rPr>
                <w:spacing w:val="-6"/>
                <w:sz w:val="20"/>
              </w:rPr>
              <w:t> </w:t>
            </w:r>
            <w:r>
              <w:rPr>
                <w:sz w:val="20"/>
              </w:rPr>
              <w:t>or</w:t>
            </w:r>
            <w:r>
              <w:rPr>
                <w:spacing w:val="-5"/>
                <w:sz w:val="20"/>
              </w:rPr>
              <w:t> </w:t>
            </w:r>
            <w:r>
              <w:rPr>
                <w:sz w:val="20"/>
              </w:rPr>
              <w:t>disposing</w:t>
            </w:r>
            <w:r>
              <w:rPr>
                <w:spacing w:val="-4"/>
                <w:sz w:val="20"/>
              </w:rPr>
              <w:t> </w:t>
            </w:r>
            <w:r>
              <w:rPr>
                <w:sz w:val="20"/>
              </w:rPr>
              <w:t>of the pesticide.</w:t>
            </w:r>
          </w:p>
          <w:p>
            <w:pPr>
              <w:pStyle w:val="TableParagraph"/>
              <w:spacing w:before="81"/>
              <w:ind w:left="161" w:right="162"/>
              <w:jc w:val="both"/>
              <w:rPr>
                <w:sz w:val="20"/>
              </w:rPr>
            </w:pPr>
            <w:r>
              <w:rPr>
                <w:sz w:val="20"/>
              </w:rPr>
              <w:t>Bait</w:t>
            </w:r>
            <w:r>
              <w:rPr>
                <w:spacing w:val="-5"/>
                <w:sz w:val="20"/>
              </w:rPr>
              <w:t> </w:t>
            </w:r>
            <w:r>
              <w:rPr>
                <w:sz w:val="20"/>
              </w:rPr>
              <w:t>containers</w:t>
            </w:r>
            <w:r>
              <w:rPr>
                <w:spacing w:val="-3"/>
                <w:sz w:val="20"/>
              </w:rPr>
              <w:t> </w:t>
            </w:r>
            <w:r>
              <w:rPr>
                <w:sz w:val="20"/>
              </w:rPr>
              <w:t>should</w:t>
            </w:r>
            <w:r>
              <w:rPr>
                <w:spacing w:val="-3"/>
                <w:sz w:val="20"/>
              </w:rPr>
              <w:t> </w:t>
            </w:r>
            <w:r>
              <w:rPr>
                <w:sz w:val="20"/>
              </w:rPr>
              <w:t>not</w:t>
            </w:r>
            <w:r>
              <w:rPr>
                <w:spacing w:val="-3"/>
                <w:sz w:val="20"/>
              </w:rPr>
              <w:t> </w:t>
            </w:r>
            <w:r>
              <w:rPr>
                <w:sz w:val="20"/>
              </w:rPr>
              <w:t>be</w:t>
            </w:r>
            <w:r>
              <w:rPr>
                <w:spacing w:val="-6"/>
                <w:sz w:val="20"/>
              </w:rPr>
              <w:t> </w:t>
            </w:r>
            <w:r>
              <w:rPr>
                <w:sz w:val="20"/>
              </w:rPr>
              <w:t>used</w:t>
            </w:r>
            <w:r>
              <w:rPr>
                <w:spacing w:val="-5"/>
                <w:sz w:val="20"/>
              </w:rPr>
              <w:t> </w:t>
            </w:r>
            <w:r>
              <w:rPr>
                <w:sz w:val="20"/>
              </w:rPr>
              <w:t>for</w:t>
            </w:r>
            <w:r>
              <w:rPr>
                <w:spacing w:val="-5"/>
                <w:sz w:val="20"/>
              </w:rPr>
              <w:t> </w:t>
            </w:r>
            <w:r>
              <w:rPr>
                <w:sz w:val="20"/>
              </w:rPr>
              <w:t>any</w:t>
            </w:r>
            <w:r>
              <w:rPr>
                <w:spacing w:val="-4"/>
                <w:sz w:val="20"/>
              </w:rPr>
              <w:t> </w:t>
            </w:r>
            <w:r>
              <w:rPr>
                <w:sz w:val="20"/>
              </w:rPr>
              <w:t>other</w:t>
            </w:r>
            <w:r>
              <w:rPr>
                <w:spacing w:val="-4"/>
                <w:sz w:val="20"/>
              </w:rPr>
              <w:t> </w:t>
            </w:r>
            <w:r>
              <w:rPr>
                <w:sz w:val="20"/>
              </w:rPr>
              <w:t>purpose</w:t>
            </w:r>
            <w:r>
              <w:rPr>
                <w:spacing w:val="-5"/>
                <w:sz w:val="20"/>
              </w:rPr>
              <w:t> </w:t>
            </w:r>
            <w:r>
              <w:rPr>
                <w:sz w:val="20"/>
              </w:rPr>
              <w:t>and</w:t>
            </w:r>
            <w:r>
              <w:rPr>
                <w:spacing w:val="-5"/>
                <w:sz w:val="20"/>
              </w:rPr>
              <w:t> </w:t>
            </w:r>
            <w:r>
              <w:rPr>
                <w:sz w:val="20"/>
              </w:rPr>
              <w:t>should</w:t>
            </w:r>
            <w:r>
              <w:rPr>
                <w:spacing w:val="-3"/>
                <w:sz w:val="20"/>
              </w:rPr>
              <w:t> </w:t>
            </w:r>
            <w:r>
              <w:rPr>
                <w:sz w:val="20"/>
              </w:rPr>
              <w:t>be disposed of in accordance with the safe operating procedures.</w:t>
            </w:r>
          </w:p>
          <w:p>
            <w:pPr>
              <w:pStyle w:val="TableParagraph"/>
              <w:spacing w:before="1"/>
              <w:ind w:left="161"/>
              <w:rPr>
                <w:sz w:val="20"/>
              </w:rPr>
            </w:pPr>
            <w:r>
              <w:rPr>
                <w:spacing w:val="-2"/>
                <w:sz w:val="20"/>
              </w:rPr>
              <w:t>Additionally,</w:t>
            </w:r>
          </w:p>
          <w:p>
            <w:pPr>
              <w:pStyle w:val="TableParagraph"/>
              <w:spacing w:before="80"/>
              <w:ind w:left="161" w:right="100"/>
              <w:rPr>
                <w:sz w:val="20"/>
              </w:rPr>
            </w:pPr>
            <w:r>
              <w:rPr>
                <w:sz w:val="20"/>
              </w:rPr>
              <w:t>Based on the concentration of 1080 residues recorded in pig tissues after</w:t>
            </w:r>
            <w:r>
              <w:rPr>
                <w:spacing w:val="-5"/>
                <w:sz w:val="20"/>
              </w:rPr>
              <w:t> </w:t>
            </w:r>
            <w:r>
              <w:rPr>
                <w:sz w:val="20"/>
              </w:rPr>
              <w:t>poisoning,</w:t>
            </w:r>
            <w:r>
              <w:rPr>
                <w:spacing w:val="-5"/>
                <w:sz w:val="20"/>
              </w:rPr>
              <w:t> </w:t>
            </w:r>
            <w:r>
              <w:rPr>
                <w:sz w:val="20"/>
              </w:rPr>
              <w:t>the</w:t>
            </w:r>
            <w:r>
              <w:rPr>
                <w:spacing w:val="-6"/>
                <w:sz w:val="20"/>
              </w:rPr>
              <w:t> </w:t>
            </w:r>
            <w:r>
              <w:rPr>
                <w:sz w:val="20"/>
              </w:rPr>
              <w:t>risk</w:t>
            </w:r>
            <w:r>
              <w:rPr>
                <w:spacing w:val="-4"/>
                <w:sz w:val="20"/>
              </w:rPr>
              <w:t> </w:t>
            </w:r>
            <w:r>
              <w:rPr>
                <w:sz w:val="20"/>
              </w:rPr>
              <w:t>to</w:t>
            </w:r>
            <w:r>
              <w:rPr>
                <w:spacing w:val="-4"/>
                <w:sz w:val="20"/>
              </w:rPr>
              <w:t> </w:t>
            </w:r>
            <w:r>
              <w:rPr>
                <w:sz w:val="20"/>
              </w:rPr>
              <w:t>humans</w:t>
            </w:r>
            <w:r>
              <w:rPr>
                <w:spacing w:val="-4"/>
                <w:sz w:val="20"/>
              </w:rPr>
              <w:t> </w:t>
            </w:r>
            <w:r>
              <w:rPr>
                <w:sz w:val="20"/>
              </w:rPr>
              <w:t>from</w:t>
            </w:r>
            <w:r>
              <w:rPr>
                <w:spacing w:val="-3"/>
                <w:sz w:val="20"/>
              </w:rPr>
              <w:t> </w:t>
            </w:r>
            <w:r>
              <w:rPr>
                <w:sz w:val="20"/>
              </w:rPr>
              <w:t>harvesting</w:t>
            </w:r>
            <w:r>
              <w:rPr>
                <w:spacing w:val="-6"/>
                <w:sz w:val="20"/>
              </w:rPr>
              <w:t> </w:t>
            </w:r>
            <w:r>
              <w:rPr>
                <w:sz w:val="20"/>
              </w:rPr>
              <w:t>and</w:t>
            </w:r>
            <w:r>
              <w:rPr>
                <w:spacing w:val="-5"/>
                <w:sz w:val="20"/>
              </w:rPr>
              <w:t> </w:t>
            </w:r>
            <w:r>
              <w:rPr>
                <w:sz w:val="20"/>
              </w:rPr>
              <w:t>consuming</w:t>
            </w:r>
            <w:r>
              <w:rPr>
                <w:spacing w:val="-5"/>
                <w:sz w:val="20"/>
              </w:rPr>
              <w:t> </w:t>
            </w:r>
            <w:r>
              <w:rPr>
                <w:sz w:val="20"/>
              </w:rPr>
              <w:t>pig tissue from poisoned carcasses is considered low, as long as the digestive</w:t>
            </w:r>
            <w:r>
              <w:rPr>
                <w:spacing w:val="-1"/>
                <w:sz w:val="20"/>
              </w:rPr>
              <w:t> </w:t>
            </w:r>
            <w:r>
              <w:rPr>
                <w:sz w:val="20"/>
              </w:rPr>
              <w:t>tract is not</w:t>
            </w:r>
            <w:r>
              <w:rPr>
                <w:spacing w:val="-1"/>
                <w:sz w:val="20"/>
              </w:rPr>
              <w:t> </w:t>
            </w:r>
            <w:r>
              <w:rPr>
                <w:sz w:val="20"/>
              </w:rPr>
              <w:t>consumed (Gentle</w:t>
            </w:r>
            <w:r>
              <w:rPr>
                <w:spacing w:val="-1"/>
                <w:sz w:val="20"/>
              </w:rPr>
              <w:t> </w:t>
            </w:r>
            <w:r>
              <w:rPr>
                <w:sz w:val="20"/>
              </w:rPr>
              <w:t>et al. 2005; Snow</w:t>
            </w:r>
            <w:r>
              <w:rPr>
                <w:spacing w:val="-1"/>
                <w:sz w:val="20"/>
              </w:rPr>
              <w:t> </w:t>
            </w:r>
            <w:r>
              <w:rPr>
                <w:sz w:val="20"/>
              </w:rPr>
              <w:t>et al. 2018).</w:t>
            </w:r>
          </w:p>
          <w:p>
            <w:pPr>
              <w:pStyle w:val="TableParagraph"/>
              <w:spacing w:before="81"/>
              <w:ind w:left="161"/>
              <w:rPr>
                <w:sz w:val="20"/>
              </w:rPr>
            </w:pPr>
            <w:r>
              <w:rPr>
                <w:sz w:val="20"/>
              </w:rPr>
              <w:t>For</w:t>
            </w:r>
            <w:r>
              <w:rPr>
                <w:spacing w:val="-5"/>
                <w:sz w:val="20"/>
              </w:rPr>
              <w:t> </w:t>
            </w:r>
            <w:r>
              <w:rPr>
                <w:sz w:val="20"/>
              </w:rPr>
              <w:t>further</w:t>
            </w:r>
            <w:r>
              <w:rPr>
                <w:spacing w:val="-3"/>
                <w:sz w:val="20"/>
              </w:rPr>
              <w:t> </w:t>
            </w:r>
            <w:r>
              <w:rPr>
                <w:sz w:val="20"/>
              </w:rPr>
              <w:t>information,</w:t>
            </w:r>
            <w:r>
              <w:rPr>
                <w:spacing w:val="-5"/>
                <w:sz w:val="20"/>
              </w:rPr>
              <w:t> </w:t>
            </w:r>
            <w:r>
              <w:rPr>
                <w:sz w:val="20"/>
              </w:rPr>
              <w:t>refer</w:t>
            </w:r>
            <w:r>
              <w:rPr>
                <w:spacing w:val="-5"/>
                <w:sz w:val="20"/>
              </w:rPr>
              <w:t> </w:t>
            </w:r>
            <w:r>
              <w:rPr>
                <w:sz w:val="20"/>
              </w:rPr>
              <w:t>to</w:t>
            </w:r>
            <w:r>
              <w:rPr>
                <w:spacing w:val="-6"/>
                <w:sz w:val="20"/>
              </w:rPr>
              <w:t> </w:t>
            </w:r>
            <w:r>
              <w:rPr>
                <w:sz w:val="20"/>
              </w:rPr>
              <w:t>the</w:t>
            </w:r>
            <w:r>
              <w:rPr>
                <w:spacing w:val="-4"/>
                <w:sz w:val="20"/>
              </w:rPr>
              <w:t> </w:t>
            </w:r>
            <w:r>
              <w:rPr>
                <w:sz w:val="20"/>
              </w:rPr>
              <w:t>Material</w:t>
            </w:r>
            <w:r>
              <w:rPr>
                <w:spacing w:val="-5"/>
                <w:sz w:val="20"/>
              </w:rPr>
              <w:t> </w:t>
            </w:r>
            <w:r>
              <w:rPr>
                <w:sz w:val="20"/>
              </w:rPr>
              <w:t>Safety</w:t>
            </w:r>
            <w:r>
              <w:rPr>
                <w:spacing w:val="-5"/>
                <w:sz w:val="20"/>
              </w:rPr>
              <w:t> </w:t>
            </w:r>
            <w:r>
              <w:rPr>
                <w:sz w:val="20"/>
              </w:rPr>
              <w:t>Data</w:t>
            </w:r>
            <w:r>
              <w:rPr>
                <w:spacing w:val="-5"/>
                <w:sz w:val="20"/>
              </w:rPr>
              <w:t> </w:t>
            </w:r>
            <w:r>
              <w:rPr>
                <w:sz w:val="20"/>
              </w:rPr>
              <w:t>Sheet</w:t>
            </w:r>
            <w:r>
              <w:rPr>
                <w:spacing w:val="-5"/>
                <w:sz w:val="20"/>
              </w:rPr>
              <w:t> </w:t>
            </w:r>
            <w:r>
              <w:rPr>
                <w:sz w:val="20"/>
              </w:rPr>
              <w:t>(MSDS), available from the supplier.</w:t>
            </w:r>
          </w:p>
        </w:tc>
      </w:tr>
      <w:tr>
        <w:trPr>
          <w:trHeight w:val="1309" w:hRule="atLeast"/>
        </w:trPr>
        <w:tc>
          <w:tcPr>
            <w:tcW w:w="3233" w:type="dxa"/>
            <w:tcBorders>
              <w:top w:val="single" w:sz="4" w:space="0" w:color="000000"/>
            </w:tcBorders>
          </w:tcPr>
          <w:p>
            <w:pPr>
              <w:pStyle w:val="TableParagraph"/>
              <w:spacing w:before="81"/>
              <w:ind w:left="107"/>
              <w:rPr>
                <w:sz w:val="20"/>
              </w:rPr>
            </w:pPr>
            <w:r>
              <w:rPr>
                <w:sz w:val="20"/>
              </w:rPr>
              <w:t>PAPP</w:t>
            </w:r>
            <w:r>
              <w:rPr>
                <w:spacing w:val="-9"/>
                <w:sz w:val="20"/>
              </w:rPr>
              <w:t> </w:t>
            </w:r>
            <w:r>
              <w:rPr>
                <w:sz w:val="20"/>
              </w:rPr>
              <w:t>(FOXECUTE,</w:t>
            </w:r>
            <w:r>
              <w:rPr>
                <w:spacing w:val="-9"/>
                <w:sz w:val="20"/>
              </w:rPr>
              <w:t> </w:t>
            </w:r>
            <w:r>
              <w:rPr>
                <w:spacing w:val="-2"/>
                <w:sz w:val="20"/>
              </w:rPr>
              <w:t>DOGABAIT)</w:t>
            </w:r>
          </w:p>
        </w:tc>
        <w:tc>
          <w:tcPr>
            <w:tcW w:w="6657" w:type="dxa"/>
            <w:tcBorders>
              <w:top w:val="single" w:sz="4" w:space="0" w:color="000000"/>
            </w:tcBorders>
          </w:tcPr>
          <w:p>
            <w:pPr>
              <w:pStyle w:val="TableParagraph"/>
              <w:spacing w:before="81"/>
              <w:ind w:left="161" w:right="324"/>
              <w:jc w:val="both"/>
              <w:rPr>
                <w:sz w:val="20"/>
              </w:rPr>
            </w:pPr>
            <w:r>
              <w:rPr>
                <w:sz w:val="20"/>
              </w:rPr>
              <w:t>PAPP</w:t>
            </w:r>
            <w:r>
              <w:rPr>
                <w:spacing w:val="-3"/>
                <w:sz w:val="20"/>
              </w:rPr>
              <w:t> </w:t>
            </w:r>
            <w:r>
              <w:rPr>
                <w:sz w:val="20"/>
              </w:rPr>
              <w:t>is</w:t>
            </w:r>
            <w:r>
              <w:rPr>
                <w:spacing w:val="-4"/>
                <w:sz w:val="20"/>
              </w:rPr>
              <w:t> </w:t>
            </w:r>
            <w:r>
              <w:rPr>
                <w:sz w:val="20"/>
              </w:rPr>
              <w:t>a</w:t>
            </w:r>
            <w:r>
              <w:rPr>
                <w:spacing w:val="-3"/>
                <w:sz w:val="20"/>
              </w:rPr>
              <w:t> </w:t>
            </w:r>
            <w:r>
              <w:rPr>
                <w:sz w:val="20"/>
              </w:rPr>
              <w:t>Schedule</w:t>
            </w:r>
            <w:r>
              <w:rPr>
                <w:spacing w:val="-5"/>
                <w:sz w:val="20"/>
              </w:rPr>
              <w:t> </w:t>
            </w:r>
            <w:r>
              <w:rPr>
                <w:sz w:val="20"/>
              </w:rPr>
              <w:t>7</w:t>
            </w:r>
            <w:r>
              <w:rPr>
                <w:spacing w:val="-3"/>
                <w:sz w:val="20"/>
              </w:rPr>
              <w:t> </w:t>
            </w:r>
            <w:r>
              <w:rPr>
                <w:sz w:val="20"/>
              </w:rPr>
              <w:t>poison</w:t>
            </w:r>
            <w:r>
              <w:rPr>
                <w:spacing w:val="-6"/>
                <w:sz w:val="20"/>
              </w:rPr>
              <w:t> </w:t>
            </w:r>
            <w:r>
              <w:rPr>
                <w:sz w:val="20"/>
              </w:rPr>
              <w:t>(Dangerous</w:t>
            </w:r>
            <w:r>
              <w:rPr>
                <w:spacing w:val="-4"/>
                <w:sz w:val="20"/>
              </w:rPr>
              <w:t> </w:t>
            </w:r>
            <w:r>
              <w:rPr>
                <w:sz w:val="20"/>
              </w:rPr>
              <w:t>Poisons)</w:t>
            </w:r>
            <w:r>
              <w:rPr>
                <w:spacing w:val="-4"/>
                <w:sz w:val="20"/>
              </w:rPr>
              <w:t> </w:t>
            </w:r>
            <w:r>
              <w:rPr>
                <w:sz w:val="20"/>
              </w:rPr>
              <w:t>and</w:t>
            </w:r>
            <w:r>
              <w:rPr>
                <w:spacing w:val="-1"/>
                <w:sz w:val="20"/>
              </w:rPr>
              <w:t> </w:t>
            </w:r>
            <w:r>
              <w:rPr>
                <w:sz w:val="20"/>
              </w:rPr>
              <w:t>is</w:t>
            </w:r>
            <w:r>
              <w:rPr>
                <w:spacing w:val="-4"/>
                <w:sz w:val="20"/>
              </w:rPr>
              <w:t> </w:t>
            </w:r>
            <w:r>
              <w:rPr>
                <w:sz w:val="20"/>
              </w:rPr>
              <w:t>a</w:t>
            </w:r>
            <w:r>
              <w:rPr>
                <w:spacing w:val="-5"/>
                <w:sz w:val="20"/>
              </w:rPr>
              <w:t> </w:t>
            </w:r>
            <w:r>
              <w:rPr>
                <w:sz w:val="20"/>
              </w:rPr>
              <w:t>restricted chemical</w:t>
            </w:r>
            <w:r>
              <w:rPr>
                <w:spacing w:val="-5"/>
                <w:sz w:val="20"/>
              </w:rPr>
              <w:t> </w:t>
            </w:r>
            <w:r>
              <w:rPr>
                <w:sz w:val="20"/>
              </w:rPr>
              <w:t>product</w:t>
            </w:r>
            <w:r>
              <w:rPr>
                <w:spacing w:val="-4"/>
                <w:sz w:val="20"/>
              </w:rPr>
              <w:t> </w:t>
            </w:r>
            <w:r>
              <w:rPr>
                <w:sz w:val="20"/>
              </w:rPr>
              <w:t>under</w:t>
            </w:r>
            <w:r>
              <w:rPr>
                <w:spacing w:val="-4"/>
                <w:sz w:val="20"/>
              </w:rPr>
              <w:t> </w:t>
            </w:r>
            <w:r>
              <w:rPr>
                <w:sz w:val="20"/>
              </w:rPr>
              <w:t>Commonwealth</w:t>
            </w:r>
            <w:r>
              <w:rPr>
                <w:spacing w:val="-2"/>
                <w:sz w:val="20"/>
              </w:rPr>
              <w:t> </w:t>
            </w:r>
            <w:r>
              <w:rPr>
                <w:sz w:val="20"/>
              </w:rPr>
              <w:t>legislation.</w:t>
            </w:r>
            <w:r>
              <w:rPr>
                <w:spacing w:val="-2"/>
                <w:sz w:val="20"/>
              </w:rPr>
              <w:t> </w:t>
            </w:r>
            <w:r>
              <w:rPr>
                <w:sz w:val="20"/>
              </w:rPr>
              <w:t>The</w:t>
            </w:r>
            <w:r>
              <w:rPr>
                <w:spacing w:val="-4"/>
                <w:sz w:val="20"/>
              </w:rPr>
              <w:t> </w:t>
            </w:r>
            <w:r>
              <w:rPr>
                <w:sz w:val="20"/>
              </w:rPr>
              <w:t>manufacture, sale and use of products containing PAPP is regulated.</w:t>
            </w:r>
          </w:p>
          <w:p>
            <w:pPr>
              <w:pStyle w:val="TableParagraph"/>
              <w:spacing w:line="230" w:lineRule="atLeast" w:before="58"/>
              <w:ind w:left="161" w:right="196"/>
              <w:jc w:val="both"/>
              <w:rPr>
                <w:sz w:val="20"/>
              </w:rPr>
            </w:pPr>
            <w:r>
              <w:rPr>
                <w:sz w:val="20"/>
              </w:rPr>
              <w:t>PAPP baits can be harmful to humans if swallowed. Ingesting multiple baits</w:t>
            </w:r>
            <w:r>
              <w:rPr>
                <w:spacing w:val="-5"/>
                <w:sz w:val="20"/>
              </w:rPr>
              <w:t> </w:t>
            </w:r>
            <w:r>
              <w:rPr>
                <w:sz w:val="20"/>
              </w:rPr>
              <w:t>may</w:t>
            </w:r>
            <w:r>
              <w:rPr>
                <w:spacing w:val="-6"/>
                <w:sz w:val="20"/>
              </w:rPr>
              <w:t> </w:t>
            </w:r>
            <w:r>
              <w:rPr>
                <w:sz w:val="20"/>
              </w:rPr>
              <w:t>cause</w:t>
            </w:r>
            <w:r>
              <w:rPr>
                <w:spacing w:val="-5"/>
                <w:sz w:val="20"/>
              </w:rPr>
              <w:t> </w:t>
            </w:r>
            <w:r>
              <w:rPr>
                <w:sz w:val="20"/>
              </w:rPr>
              <w:t>methaemoglobinaemia</w:t>
            </w:r>
            <w:r>
              <w:rPr>
                <w:spacing w:val="-5"/>
                <w:sz w:val="20"/>
              </w:rPr>
              <w:t> </w:t>
            </w:r>
            <w:r>
              <w:rPr>
                <w:sz w:val="20"/>
              </w:rPr>
              <w:t>leading</w:t>
            </w:r>
            <w:r>
              <w:rPr>
                <w:spacing w:val="-5"/>
                <w:sz w:val="20"/>
              </w:rPr>
              <w:t> </w:t>
            </w:r>
            <w:r>
              <w:rPr>
                <w:sz w:val="20"/>
              </w:rPr>
              <w:t>to</w:t>
            </w:r>
            <w:r>
              <w:rPr>
                <w:spacing w:val="-6"/>
                <w:sz w:val="20"/>
              </w:rPr>
              <w:t> </w:t>
            </w:r>
            <w:r>
              <w:rPr>
                <w:sz w:val="20"/>
              </w:rPr>
              <w:t>anoxia,</w:t>
            </w:r>
            <w:r>
              <w:rPr>
                <w:spacing w:val="-7"/>
                <w:sz w:val="20"/>
              </w:rPr>
              <w:t> </w:t>
            </w:r>
            <w:r>
              <w:rPr>
                <w:sz w:val="20"/>
              </w:rPr>
              <w:t>although</w:t>
            </w:r>
            <w:r>
              <w:rPr>
                <w:spacing w:val="-7"/>
                <w:sz w:val="20"/>
              </w:rPr>
              <w:t> </w:t>
            </w:r>
            <w:r>
              <w:rPr>
                <w:sz w:val="20"/>
              </w:rPr>
              <w:t>the</w:t>
            </w:r>
          </w:p>
        </w:tc>
      </w:tr>
    </w:tbl>
    <w:p>
      <w:pPr>
        <w:spacing w:after="0" w:line="230" w:lineRule="atLeast"/>
        <w:jc w:val="both"/>
        <w:rPr>
          <w:sz w:val="20"/>
        </w:rPr>
        <w:sectPr>
          <w:pgSz w:w="11910" w:h="16850"/>
          <w:pgMar w:header="0" w:footer="688" w:top="1140" w:bottom="880" w:left="1020" w:right="780"/>
        </w:sectPr>
      </w:pPr>
    </w:p>
    <w:p>
      <w:pPr>
        <w:pStyle w:val="BodyText"/>
        <w:spacing w:before="4"/>
        <w:rPr>
          <w:b/>
          <w:sz w:val="2"/>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6"/>
        <w:gridCol w:w="6871"/>
      </w:tblGrid>
      <w:tr>
        <w:trPr>
          <w:trHeight w:val="350" w:hRule="atLeast"/>
        </w:trPr>
        <w:tc>
          <w:tcPr>
            <w:tcW w:w="3026" w:type="dxa"/>
            <w:tcBorders>
              <w:bottom w:val="single" w:sz="4" w:space="0" w:color="000000"/>
            </w:tcBorders>
            <w:shd w:val="clear" w:color="auto" w:fill="004B96"/>
          </w:tcPr>
          <w:p>
            <w:pPr>
              <w:pStyle w:val="TableParagraph"/>
              <w:spacing w:before="59"/>
              <w:ind w:left="115"/>
              <w:rPr>
                <w:b/>
                <w:sz w:val="20"/>
              </w:rPr>
            </w:pPr>
            <w:r>
              <w:rPr>
                <w:b/>
                <w:color w:val="FFFFFF"/>
                <w:spacing w:val="-2"/>
                <w:sz w:val="20"/>
              </w:rPr>
              <w:t>Method</w:t>
            </w:r>
          </w:p>
        </w:tc>
        <w:tc>
          <w:tcPr>
            <w:tcW w:w="6871" w:type="dxa"/>
            <w:tcBorders>
              <w:bottom w:val="single" w:sz="4" w:space="0" w:color="000000"/>
            </w:tcBorders>
            <w:shd w:val="clear" w:color="auto" w:fill="004B96"/>
          </w:tcPr>
          <w:p>
            <w:pPr>
              <w:pStyle w:val="TableParagraph"/>
              <w:spacing w:before="59"/>
              <w:ind w:left="376"/>
              <w:rPr>
                <w:b/>
                <w:sz w:val="20"/>
              </w:rPr>
            </w:pPr>
            <w:r>
              <w:rPr>
                <w:b/>
                <w:color w:val="FFFFFF"/>
                <w:sz w:val="20"/>
              </w:rPr>
              <w:t>Occupational</w:t>
            </w:r>
            <w:r>
              <w:rPr>
                <w:b/>
                <w:color w:val="FFFFFF"/>
                <w:spacing w:val="-9"/>
                <w:sz w:val="20"/>
              </w:rPr>
              <w:t> </w:t>
            </w:r>
            <w:r>
              <w:rPr>
                <w:b/>
                <w:color w:val="FFFFFF"/>
                <w:sz w:val="20"/>
              </w:rPr>
              <w:t>Health</w:t>
            </w:r>
            <w:r>
              <w:rPr>
                <w:b/>
                <w:color w:val="FFFFFF"/>
                <w:spacing w:val="-8"/>
                <w:sz w:val="20"/>
              </w:rPr>
              <w:t> </w:t>
            </w:r>
            <w:r>
              <w:rPr>
                <w:b/>
                <w:color w:val="FFFFFF"/>
                <w:sz w:val="20"/>
              </w:rPr>
              <w:t>and</w:t>
            </w:r>
            <w:r>
              <w:rPr>
                <w:b/>
                <w:color w:val="FFFFFF"/>
                <w:spacing w:val="-6"/>
                <w:sz w:val="20"/>
              </w:rPr>
              <w:t> </w:t>
            </w:r>
            <w:r>
              <w:rPr>
                <w:b/>
                <w:color w:val="FFFFFF"/>
                <w:sz w:val="20"/>
              </w:rPr>
              <w:t>Safety</w:t>
            </w:r>
            <w:r>
              <w:rPr>
                <w:b/>
                <w:color w:val="FFFFFF"/>
                <w:spacing w:val="-7"/>
                <w:sz w:val="20"/>
              </w:rPr>
              <w:t> </w:t>
            </w:r>
            <w:r>
              <w:rPr>
                <w:b/>
                <w:color w:val="FFFFFF"/>
                <w:spacing w:val="-2"/>
                <w:sz w:val="20"/>
              </w:rPr>
              <w:t>considerations</w:t>
            </w:r>
          </w:p>
        </w:tc>
      </w:tr>
      <w:tr>
        <w:trPr>
          <w:trHeight w:val="4131" w:hRule="atLeast"/>
        </w:trPr>
        <w:tc>
          <w:tcPr>
            <w:tcW w:w="3026" w:type="dxa"/>
            <w:tcBorders>
              <w:top w:val="single" w:sz="4" w:space="0" w:color="000000"/>
              <w:bottom w:val="single" w:sz="4" w:space="0" w:color="000000"/>
            </w:tcBorders>
          </w:tcPr>
          <w:p>
            <w:pPr>
              <w:pStyle w:val="TableParagraph"/>
              <w:rPr>
                <w:rFonts w:ascii="Times New Roman"/>
                <w:sz w:val="18"/>
              </w:rPr>
            </w:pPr>
          </w:p>
        </w:tc>
        <w:tc>
          <w:tcPr>
            <w:tcW w:w="6871" w:type="dxa"/>
            <w:tcBorders>
              <w:top w:val="single" w:sz="4" w:space="0" w:color="000000"/>
              <w:bottom w:val="single" w:sz="4" w:space="0" w:color="000000"/>
            </w:tcBorders>
          </w:tcPr>
          <w:p>
            <w:pPr>
              <w:pStyle w:val="TableParagraph"/>
              <w:ind w:left="376"/>
              <w:rPr>
                <w:sz w:val="20"/>
              </w:rPr>
            </w:pPr>
            <w:r>
              <w:rPr>
                <w:sz w:val="20"/>
              </w:rPr>
              <w:t>lethal</w:t>
            </w:r>
            <w:r>
              <w:rPr>
                <w:spacing w:val="-5"/>
                <w:sz w:val="20"/>
              </w:rPr>
              <w:t> </w:t>
            </w:r>
            <w:r>
              <w:rPr>
                <w:sz w:val="20"/>
              </w:rPr>
              <w:t>dose</w:t>
            </w:r>
            <w:r>
              <w:rPr>
                <w:spacing w:val="-4"/>
                <w:sz w:val="20"/>
              </w:rPr>
              <w:t> </w:t>
            </w:r>
            <w:r>
              <w:rPr>
                <w:sz w:val="20"/>
              </w:rPr>
              <w:t>of</w:t>
            </w:r>
            <w:r>
              <w:rPr>
                <w:spacing w:val="-4"/>
                <w:sz w:val="20"/>
              </w:rPr>
              <w:t> </w:t>
            </w:r>
            <w:r>
              <w:rPr>
                <w:sz w:val="20"/>
              </w:rPr>
              <w:t>PAPP</w:t>
            </w:r>
            <w:r>
              <w:rPr>
                <w:spacing w:val="-6"/>
                <w:sz w:val="20"/>
              </w:rPr>
              <w:t> </w:t>
            </w:r>
            <w:r>
              <w:rPr>
                <w:sz w:val="20"/>
              </w:rPr>
              <w:t>(or</w:t>
            </w:r>
            <w:r>
              <w:rPr>
                <w:spacing w:val="-6"/>
                <w:sz w:val="20"/>
              </w:rPr>
              <w:t> </w:t>
            </w:r>
            <w:r>
              <w:rPr>
                <w:sz w:val="20"/>
              </w:rPr>
              <w:t>levels</w:t>
            </w:r>
            <w:r>
              <w:rPr>
                <w:spacing w:val="-5"/>
                <w:sz w:val="20"/>
              </w:rPr>
              <w:t> </w:t>
            </w:r>
            <w:r>
              <w:rPr>
                <w:sz w:val="20"/>
              </w:rPr>
              <w:t>of</w:t>
            </w:r>
            <w:r>
              <w:rPr>
                <w:spacing w:val="-4"/>
                <w:sz w:val="20"/>
              </w:rPr>
              <w:t> </w:t>
            </w:r>
            <w:r>
              <w:rPr>
                <w:sz w:val="20"/>
              </w:rPr>
              <w:t>methaemoglobin)</w:t>
            </w:r>
            <w:r>
              <w:rPr>
                <w:spacing w:val="-6"/>
                <w:sz w:val="20"/>
              </w:rPr>
              <w:t> </w:t>
            </w:r>
            <w:r>
              <w:rPr>
                <w:sz w:val="20"/>
              </w:rPr>
              <w:t>causing</w:t>
            </w:r>
            <w:r>
              <w:rPr>
                <w:spacing w:val="-5"/>
                <w:sz w:val="20"/>
              </w:rPr>
              <w:t> </w:t>
            </w:r>
            <w:r>
              <w:rPr>
                <w:sz w:val="20"/>
              </w:rPr>
              <w:t>fatality</w:t>
            </w:r>
            <w:r>
              <w:rPr>
                <w:spacing w:val="-5"/>
                <w:sz w:val="20"/>
              </w:rPr>
              <w:t> </w:t>
            </w:r>
            <w:r>
              <w:rPr>
                <w:sz w:val="20"/>
              </w:rPr>
              <w:t>for humans has not been positively established.</w:t>
            </w:r>
          </w:p>
          <w:p>
            <w:pPr>
              <w:pStyle w:val="TableParagraph"/>
              <w:spacing w:before="70"/>
              <w:ind w:left="376" w:right="168"/>
              <w:rPr>
                <w:sz w:val="20"/>
              </w:rPr>
            </w:pPr>
            <w:r>
              <w:rPr>
                <w:sz w:val="20"/>
              </w:rPr>
              <w:t>PAPP</w:t>
            </w:r>
            <w:r>
              <w:rPr>
                <w:spacing w:val="-3"/>
                <w:sz w:val="20"/>
              </w:rPr>
              <w:t> </w:t>
            </w:r>
            <w:r>
              <w:rPr>
                <w:sz w:val="20"/>
              </w:rPr>
              <w:t>use</w:t>
            </w:r>
            <w:r>
              <w:rPr>
                <w:spacing w:val="-5"/>
                <w:sz w:val="20"/>
              </w:rPr>
              <w:t> </w:t>
            </w:r>
            <w:r>
              <w:rPr>
                <w:sz w:val="20"/>
              </w:rPr>
              <w:t>must</w:t>
            </w:r>
            <w:r>
              <w:rPr>
                <w:spacing w:val="-5"/>
                <w:sz w:val="20"/>
              </w:rPr>
              <w:t> </w:t>
            </w:r>
            <w:r>
              <w:rPr>
                <w:sz w:val="20"/>
              </w:rPr>
              <w:t>comply</w:t>
            </w:r>
            <w:r>
              <w:rPr>
                <w:spacing w:val="-4"/>
                <w:sz w:val="20"/>
              </w:rPr>
              <w:t> </w:t>
            </w:r>
            <w:r>
              <w:rPr>
                <w:sz w:val="20"/>
              </w:rPr>
              <w:t>with</w:t>
            </w:r>
            <w:r>
              <w:rPr>
                <w:spacing w:val="-5"/>
                <w:sz w:val="20"/>
              </w:rPr>
              <w:t> </w:t>
            </w:r>
            <w:r>
              <w:rPr>
                <w:sz w:val="20"/>
              </w:rPr>
              <w:t>the</w:t>
            </w:r>
            <w:r>
              <w:rPr>
                <w:spacing w:val="-1"/>
                <w:sz w:val="20"/>
              </w:rPr>
              <w:t> </w:t>
            </w:r>
            <w:hyperlink r:id="rId89">
              <w:r>
                <w:rPr>
                  <w:color w:val="0000FF"/>
                  <w:sz w:val="20"/>
                  <w:u w:val="single" w:color="0000FF"/>
                </w:rPr>
                <w:t>Directions</w:t>
              </w:r>
              <w:r>
                <w:rPr>
                  <w:color w:val="0000FF"/>
                  <w:spacing w:val="-4"/>
                  <w:sz w:val="20"/>
                  <w:u w:val="single" w:color="0000FF"/>
                </w:rPr>
                <w:t> </w:t>
              </w:r>
              <w:r>
                <w:rPr>
                  <w:color w:val="0000FF"/>
                  <w:sz w:val="20"/>
                  <w:u w:val="single" w:color="0000FF"/>
                </w:rPr>
                <w:t>for</w:t>
              </w:r>
              <w:r>
                <w:rPr>
                  <w:color w:val="0000FF"/>
                  <w:spacing w:val="-5"/>
                  <w:sz w:val="20"/>
                  <w:u w:val="single" w:color="0000FF"/>
                </w:rPr>
                <w:t> </w:t>
              </w:r>
              <w:r>
                <w:rPr>
                  <w:color w:val="0000FF"/>
                  <w:sz w:val="20"/>
                  <w:u w:val="single" w:color="0000FF"/>
                </w:rPr>
                <w:t>the</w:t>
              </w:r>
              <w:r>
                <w:rPr>
                  <w:color w:val="0000FF"/>
                  <w:spacing w:val="-3"/>
                  <w:sz w:val="20"/>
                  <w:u w:val="single" w:color="0000FF"/>
                </w:rPr>
                <w:t> </w:t>
              </w:r>
              <w:r>
                <w:rPr>
                  <w:color w:val="0000FF"/>
                  <w:sz w:val="20"/>
                  <w:u w:val="single" w:color="0000FF"/>
                </w:rPr>
                <w:t>Use</w:t>
              </w:r>
              <w:r>
                <w:rPr>
                  <w:color w:val="0000FF"/>
                  <w:spacing w:val="-3"/>
                  <w:sz w:val="20"/>
                  <w:u w:val="single" w:color="0000FF"/>
                </w:rPr>
                <w:t> </w:t>
              </w:r>
              <w:r>
                <w:rPr>
                  <w:color w:val="0000FF"/>
                  <w:sz w:val="20"/>
                  <w:u w:val="single" w:color="0000FF"/>
                </w:rPr>
                <w:t>of</w:t>
              </w:r>
              <w:r>
                <w:rPr>
                  <w:color w:val="0000FF"/>
                  <w:spacing w:val="-5"/>
                  <w:sz w:val="20"/>
                  <w:u w:val="single" w:color="0000FF"/>
                </w:rPr>
                <w:t> </w:t>
              </w:r>
              <w:r>
                <w:rPr>
                  <w:color w:val="0000FF"/>
                  <w:sz w:val="20"/>
                  <w:u w:val="single" w:color="0000FF"/>
                </w:rPr>
                <w:t>1080</w:t>
              </w:r>
              <w:r>
                <w:rPr>
                  <w:color w:val="0000FF"/>
                  <w:spacing w:val="-3"/>
                  <w:sz w:val="20"/>
                  <w:u w:val="single" w:color="0000FF"/>
                </w:rPr>
                <w:t> </w:t>
              </w:r>
              <w:r>
                <w:rPr>
                  <w:color w:val="0000FF"/>
                  <w:sz w:val="20"/>
                  <w:u w:val="single" w:color="0000FF"/>
                </w:rPr>
                <w:t>and</w:t>
              </w:r>
            </w:hyperlink>
            <w:r>
              <w:rPr>
                <w:color w:val="0000FF"/>
                <w:sz w:val="20"/>
                <w:u w:val="none"/>
              </w:rPr>
              <w:t> </w:t>
            </w:r>
            <w:hyperlink r:id="rId89">
              <w:r>
                <w:rPr>
                  <w:color w:val="0000FF"/>
                  <w:sz w:val="20"/>
                  <w:u w:val="single" w:color="0000FF"/>
                </w:rPr>
                <w:t>Papp Pest Animal Bait Products in Victoria</w:t>
              </w:r>
            </w:hyperlink>
            <w:r>
              <w:rPr>
                <w:color w:val="0000FF"/>
                <w:sz w:val="20"/>
                <w:u w:val="none"/>
              </w:rPr>
              <w:t> </w:t>
            </w:r>
            <w:r>
              <w:rPr>
                <w:sz w:val="20"/>
                <w:u w:val="none"/>
              </w:rPr>
              <w:t>and the product label.</w:t>
            </w:r>
          </w:p>
          <w:p>
            <w:pPr>
              <w:pStyle w:val="TableParagraph"/>
              <w:spacing w:before="80"/>
              <w:ind w:left="376"/>
              <w:rPr>
                <w:sz w:val="20"/>
              </w:rPr>
            </w:pPr>
            <w:r>
              <w:rPr>
                <w:sz w:val="20"/>
              </w:rPr>
              <w:t>Users</w:t>
            </w:r>
            <w:r>
              <w:rPr>
                <w:spacing w:val="-4"/>
                <w:sz w:val="20"/>
              </w:rPr>
              <w:t> </w:t>
            </w:r>
            <w:r>
              <w:rPr>
                <w:sz w:val="20"/>
              </w:rPr>
              <w:t>must</w:t>
            </w:r>
            <w:r>
              <w:rPr>
                <w:spacing w:val="-5"/>
                <w:sz w:val="20"/>
              </w:rPr>
              <w:t> </w:t>
            </w:r>
            <w:r>
              <w:rPr>
                <w:sz w:val="20"/>
              </w:rPr>
              <w:t>hold</w:t>
            </w:r>
            <w:r>
              <w:rPr>
                <w:spacing w:val="-4"/>
                <w:sz w:val="20"/>
              </w:rPr>
              <w:t> </w:t>
            </w:r>
            <w:r>
              <w:rPr>
                <w:sz w:val="20"/>
              </w:rPr>
              <w:t>an</w:t>
            </w:r>
            <w:r>
              <w:rPr>
                <w:spacing w:val="-4"/>
                <w:sz w:val="20"/>
              </w:rPr>
              <w:t> </w:t>
            </w:r>
            <w:r>
              <w:rPr>
                <w:sz w:val="20"/>
              </w:rPr>
              <w:t>ACUP</w:t>
            </w:r>
            <w:r>
              <w:rPr>
                <w:spacing w:val="-4"/>
                <w:sz w:val="20"/>
              </w:rPr>
              <w:t> </w:t>
            </w:r>
            <w:r>
              <w:rPr>
                <w:sz w:val="20"/>
              </w:rPr>
              <w:t>with</w:t>
            </w:r>
            <w:r>
              <w:rPr>
                <w:spacing w:val="-4"/>
                <w:sz w:val="20"/>
              </w:rPr>
              <w:t> </w:t>
            </w:r>
            <w:r>
              <w:rPr>
                <w:sz w:val="20"/>
              </w:rPr>
              <w:t>a</w:t>
            </w:r>
            <w:r>
              <w:rPr>
                <w:spacing w:val="-5"/>
                <w:sz w:val="20"/>
              </w:rPr>
              <w:t> </w:t>
            </w:r>
            <w:r>
              <w:rPr>
                <w:sz w:val="20"/>
              </w:rPr>
              <w:t>PAPP</w:t>
            </w:r>
            <w:r>
              <w:rPr>
                <w:spacing w:val="-4"/>
                <w:sz w:val="20"/>
              </w:rPr>
              <w:t> </w:t>
            </w:r>
            <w:r>
              <w:rPr>
                <w:sz w:val="20"/>
              </w:rPr>
              <w:t>endorsement,</w:t>
            </w:r>
            <w:r>
              <w:rPr>
                <w:spacing w:val="-3"/>
                <w:sz w:val="20"/>
              </w:rPr>
              <w:t> </w:t>
            </w:r>
            <w:r>
              <w:rPr>
                <w:sz w:val="20"/>
              </w:rPr>
              <w:t>or</w:t>
            </w:r>
            <w:r>
              <w:rPr>
                <w:spacing w:val="-5"/>
                <w:sz w:val="20"/>
              </w:rPr>
              <w:t> </w:t>
            </w:r>
            <w:r>
              <w:rPr>
                <w:sz w:val="20"/>
              </w:rPr>
              <w:t>be</w:t>
            </w:r>
            <w:r>
              <w:rPr>
                <w:spacing w:val="-5"/>
                <w:sz w:val="20"/>
              </w:rPr>
              <w:t> </w:t>
            </w:r>
            <w:r>
              <w:rPr>
                <w:sz w:val="20"/>
              </w:rPr>
              <w:t>directly supervised by an appropriately authorised person.</w:t>
            </w:r>
          </w:p>
          <w:p>
            <w:pPr>
              <w:pStyle w:val="TableParagraph"/>
              <w:spacing w:before="80"/>
              <w:ind w:left="376" w:right="168"/>
              <w:rPr>
                <w:sz w:val="20"/>
              </w:rPr>
            </w:pPr>
            <w:r>
              <w:rPr>
                <w:sz w:val="20"/>
              </w:rPr>
              <w:t>Operators</w:t>
            </w:r>
            <w:r>
              <w:rPr>
                <w:spacing w:val="-5"/>
                <w:sz w:val="20"/>
              </w:rPr>
              <w:t> </w:t>
            </w:r>
            <w:r>
              <w:rPr>
                <w:sz w:val="20"/>
              </w:rPr>
              <w:t>using</w:t>
            </w:r>
            <w:r>
              <w:rPr>
                <w:spacing w:val="-5"/>
                <w:sz w:val="20"/>
              </w:rPr>
              <w:t> </w:t>
            </w:r>
            <w:r>
              <w:rPr>
                <w:sz w:val="20"/>
              </w:rPr>
              <w:t>PAPP</w:t>
            </w:r>
            <w:r>
              <w:rPr>
                <w:spacing w:val="-4"/>
                <w:sz w:val="20"/>
              </w:rPr>
              <w:t> </w:t>
            </w:r>
            <w:r>
              <w:rPr>
                <w:sz w:val="20"/>
              </w:rPr>
              <w:t>baits</w:t>
            </w:r>
            <w:r>
              <w:rPr>
                <w:spacing w:val="-5"/>
                <w:sz w:val="20"/>
              </w:rPr>
              <w:t> </w:t>
            </w:r>
            <w:r>
              <w:rPr>
                <w:sz w:val="20"/>
              </w:rPr>
              <w:t>must</w:t>
            </w:r>
            <w:r>
              <w:rPr>
                <w:spacing w:val="-6"/>
                <w:sz w:val="20"/>
              </w:rPr>
              <w:t> </w:t>
            </w:r>
            <w:r>
              <w:rPr>
                <w:sz w:val="20"/>
              </w:rPr>
              <w:t>strictly</w:t>
            </w:r>
            <w:r>
              <w:rPr>
                <w:spacing w:val="-5"/>
                <w:sz w:val="20"/>
              </w:rPr>
              <w:t> </w:t>
            </w:r>
            <w:r>
              <w:rPr>
                <w:sz w:val="20"/>
              </w:rPr>
              <w:t>follow</w:t>
            </w:r>
            <w:r>
              <w:rPr>
                <w:spacing w:val="-6"/>
                <w:sz w:val="20"/>
              </w:rPr>
              <w:t> </w:t>
            </w:r>
            <w:r>
              <w:rPr>
                <w:sz w:val="20"/>
              </w:rPr>
              <w:t>the</w:t>
            </w:r>
            <w:r>
              <w:rPr>
                <w:spacing w:val="-6"/>
                <w:sz w:val="20"/>
              </w:rPr>
              <w:t> </w:t>
            </w:r>
            <w:r>
              <w:rPr>
                <w:sz w:val="20"/>
              </w:rPr>
              <w:t>directions</w:t>
            </w:r>
            <w:r>
              <w:rPr>
                <w:spacing w:val="-3"/>
                <w:sz w:val="20"/>
              </w:rPr>
              <w:t> </w:t>
            </w:r>
            <w:r>
              <w:rPr>
                <w:sz w:val="20"/>
              </w:rPr>
              <w:t>on</w:t>
            </w:r>
            <w:r>
              <w:rPr>
                <w:spacing w:val="-6"/>
                <w:sz w:val="20"/>
              </w:rPr>
              <w:t> </w:t>
            </w:r>
            <w:r>
              <w:rPr>
                <w:sz w:val="20"/>
              </w:rPr>
              <w:t>the approved label when using, storing, transporting or disposing of the </w:t>
            </w:r>
            <w:r>
              <w:rPr>
                <w:spacing w:val="-2"/>
                <w:sz w:val="20"/>
              </w:rPr>
              <w:t>baits.</w:t>
            </w:r>
          </w:p>
          <w:p>
            <w:pPr>
              <w:pStyle w:val="TableParagraph"/>
              <w:spacing w:before="80"/>
              <w:ind w:left="376" w:right="90"/>
              <w:rPr>
                <w:sz w:val="20"/>
              </w:rPr>
            </w:pPr>
            <w:r>
              <w:rPr>
                <w:sz w:val="20"/>
              </w:rPr>
              <w:t>Store bait in the original labelled container in a locked cabinet or room away</w:t>
            </w:r>
            <w:r>
              <w:rPr>
                <w:spacing w:val="-4"/>
                <w:sz w:val="20"/>
              </w:rPr>
              <w:t> </w:t>
            </w:r>
            <w:r>
              <w:rPr>
                <w:sz w:val="20"/>
              </w:rPr>
              <w:t>from</w:t>
            </w:r>
            <w:r>
              <w:rPr>
                <w:spacing w:val="-3"/>
                <w:sz w:val="20"/>
              </w:rPr>
              <w:t> </w:t>
            </w:r>
            <w:r>
              <w:rPr>
                <w:sz w:val="20"/>
              </w:rPr>
              <w:t>children,</w:t>
            </w:r>
            <w:r>
              <w:rPr>
                <w:spacing w:val="-5"/>
                <w:sz w:val="20"/>
              </w:rPr>
              <w:t> </w:t>
            </w:r>
            <w:r>
              <w:rPr>
                <w:sz w:val="20"/>
              </w:rPr>
              <w:t>animals</w:t>
            </w:r>
            <w:r>
              <w:rPr>
                <w:spacing w:val="-4"/>
                <w:sz w:val="20"/>
              </w:rPr>
              <w:t> </w:t>
            </w:r>
            <w:r>
              <w:rPr>
                <w:sz w:val="20"/>
              </w:rPr>
              <w:t>and</w:t>
            </w:r>
            <w:r>
              <w:rPr>
                <w:spacing w:val="-5"/>
                <w:sz w:val="20"/>
              </w:rPr>
              <w:t> </w:t>
            </w:r>
            <w:r>
              <w:rPr>
                <w:sz w:val="20"/>
              </w:rPr>
              <w:t>food.</w:t>
            </w:r>
            <w:r>
              <w:rPr>
                <w:spacing w:val="-3"/>
                <w:sz w:val="20"/>
              </w:rPr>
              <w:t> </w:t>
            </w:r>
            <w:r>
              <w:rPr>
                <w:sz w:val="20"/>
              </w:rPr>
              <w:t>Do</w:t>
            </w:r>
            <w:r>
              <w:rPr>
                <w:spacing w:val="-3"/>
                <w:sz w:val="20"/>
              </w:rPr>
              <w:t> </w:t>
            </w:r>
            <w:r>
              <w:rPr>
                <w:sz w:val="20"/>
              </w:rPr>
              <w:t>not</w:t>
            </w:r>
            <w:r>
              <w:rPr>
                <w:spacing w:val="-3"/>
                <w:sz w:val="20"/>
              </w:rPr>
              <w:t> </w:t>
            </w:r>
            <w:r>
              <w:rPr>
                <w:sz w:val="20"/>
              </w:rPr>
              <w:t>handle</w:t>
            </w:r>
            <w:r>
              <w:rPr>
                <w:spacing w:val="-3"/>
                <w:sz w:val="20"/>
              </w:rPr>
              <w:t> </w:t>
            </w:r>
            <w:r>
              <w:rPr>
                <w:sz w:val="20"/>
              </w:rPr>
              <w:t>bait</w:t>
            </w:r>
            <w:r>
              <w:rPr>
                <w:spacing w:val="-3"/>
                <w:sz w:val="20"/>
              </w:rPr>
              <w:t> </w:t>
            </w:r>
            <w:r>
              <w:rPr>
                <w:sz w:val="20"/>
              </w:rPr>
              <w:t>where</w:t>
            </w:r>
            <w:r>
              <w:rPr>
                <w:spacing w:val="-5"/>
                <w:sz w:val="20"/>
              </w:rPr>
              <w:t> </w:t>
            </w:r>
            <w:r>
              <w:rPr>
                <w:sz w:val="20"/>
              </w:rPr>
              <w:t>there</w:t>
            </w:r>
            <w:r>
              <w:rPr>
                <w:spacing w:val="-5"/>
                <w:sz w:val="20"/>
              </w:rPr>
              <w:t> </w:t>
            </w:r>
            <w:r>
              <w:rPr>
                <w:sz w:val="20"/>
              </w:rPr>
              <w:t>is a risk of contaminating drinking water or foodstuff/feed intended for human or animal consumption.</w:t>
            </w:r>
          </w:p>
          <w:p>
            <w:pPr>
              <w:pStyle w:val="TableParagraph"/>
              <w:spacing w:before="79"/>
              <w:ind w:left="376" w:right="156"/>
              <w:jc w:val="both"/>
              <w:rPr>
                <w:sz w:val="20"/>
              </w:rPr>
            </w:pPr>
            <w:r>
              <w:rPr>
                <w:sz w:val="20"/>
              </w:rPr>
              <w:t>Appropriate</w:t>
            </w:r>
            <w:r>
              <w:rPr>
                <w:spacing w:val="-7"/>
                <w:sz w:val="20"/>
              </w:rPr>
              <w:t> </w:t>
            </w:r>
            <w:r>
              <w:rPr>
                <w:sz w:val="20"/>
              </w:rPr>
              <w:t>personal</w:t>
            </w:r>
            <w:r>
              <w:rPr>
                <w:spacing w:val="-7"/>
                <w:sz w:val="20"/>
              </w:rPr>
              <w:t> </w:t>
            </w:r>
            <w:r>
              <w:rPr>
                <w:sz w:val="20"/>
              </w:rPr>
              <w:t>protective</w:t>
            </w:r>
            <w:r>
              <w:rPr>
                <w:spacing w:val="-6"/>
                <w:sz w:val="20"/>
              </w:rPr>
              <w:t> </w:t>
            </w:r>
            <w:r>
              <w:rPr>
                <w:sz w:val="20"/>
              </w:rPr>
              <w:t>equipment,</w:t>
            </w:r>
            <w:r>
              <w:rPr>
                <w:spacing w:val="-5"/>
                <w:sz w:val="20"/>
              </w:rPr>
              <w:t> </w:t>
            </w:r>
            <w:r>
              <w:rPr>
                <w:sz w:val="20"/>
              </w:rPr>
              <w:t>including</w:t>
            </w:r>
            <w:r>
              <w:rPr>
                <w:spacing w:val="-7"/>
                <w:sz w:val="20"/>
              </w:rPr>
              <w:t> </w:t>
            </w:r>
            <w:r>
              <w:rPr>
                <w:sz w:val="20"/>
              </w:rPr>
              <w:t>trousers</w:t>
            </w:r>
            <w:r>
              <w:rPr>
                <w:spacing w:val="-5"/>
                <w:sz w:val="20"/>
              </w:rPr>
              <w:t> </w:t>
            </w:r>
            <w:r>
              <w:rPr>
                <w:sz w:val="20"/>
              </w:rPr>
              <w:t>and</w:t>
            </w:r>
            <w:r>
              <w:rPr>
                <w:spacing w:val="-5"/>
                <w:sz w:val="20"/>
              </w:rPr>
              <w:t> </w:t>
            </w:r>
            <w:r>
              <w:rPr>
                <w:sz w:val="20"/>
              </w:rPr>
              <w:t>long- sleeved</w:t>
            </w:r>
            <w:r>
              <w:rPr>
                <w:spacing w:val="-1"/>
                <w:sz w:val="20"/>
              </w:rPr>
              <w:t> </w:t>
            </w:r>
            <w:r>
              <w:rPr>
                <w:sz w:val="20"/>
              </w:rPr>
              <w:t>shirts or overalls and</w:t>
            </w:r>
            <w:r>
              <w:rPr>
                <w:spacing w:val="-1"/>
                <w:sz w:val="20"/>
              </w:rPr>
              <w:t> </w:t>
            </w:r>
            <w:r>
              <w:rPr>
                <w:sz w:val="20"/>
              </w:rPr>
              <w:t>chemical</w:t>
            </w:r>
            <w:r>
              <w:rPr>
                <w:spacing w:val="-1"/>
                <w:sz w:val="20"/>
              </w:rPr>
              <w:t> </w:t>
            </w:r>
            <w:r>
              <w:rPr>
                <w:sz w:val="20"/>
              </w:rPr>
              <w:t>resistant gloves should be worn when handling PAPP baits.</w:t>
            </w:r>
          </w:p>
        </w:tc>
      </w:tr>
      <w:tr>
        <w:trPr>
          <w:trHeight w:val="3451" w:hRule="atLeast"/>
        </w:trPr>
        <w:tc>
          <w:tcPr>
            <w:tcW w:w="3026" w:type="dxa"/>
            <w:tcBorders>
              <w:top w:val="single" w:sz="4" w:space="0" w:color="000000"/>
              <w:bottom w:val="single" w:sz="4" w:space="0" w:color="000000"/>
            </w:tcBorders>
          </w:tcPr>
          <w:p>
            <w:pPr>
              <w:pStyle w:val="TableParagraph"/>
              <w:spacing w:before="78"/>
              <w:ind w:left="115"/>
              <w:rPr>
                <w:sz w:val="20"/>
              </w:rPr>
            </w:pPr>
            <w:r>
              <w:rPr>
                <w:sz w:val="20"/>
              </w:rPr>
              <w:t>Phosphine gas (diffusion fumigation</w:t>
            </w:r>
            <w:r>
              <w:rPr>
                <w:spacing w:val="-14"/>
                <w:sz w:val="20"/>
              </w:rPr>
              <w:t> </w:t>
            </w:r>
            <w:r>
              <w:rPr>
                <w:sz w:val="20"/>
              </w:rPr>
              <w:t>with</w:t>
            </w:r>
            <w:r>
              <w:rPr>
                <w:spacing w:val="-14"/>
                <w:sz w:val="20"/>
              </w:rPr>
              <w:t> </w:t>
            </w:r>
            <w:r>
              <w:rPr>
                <w:sz w:val="20"/>
              </w:rPr>
              <w:t>aluminium </w:t>
            </w:r>
            <w:r>
              <w:rPr>
                <w:spacing w:val="-2"/>
                <w:sz w:val="20"/>
              </w:rPr>
              <w:t>phosphide)</w:t>
            </w:r>
          </w:p>
        </w:tc>
        <w:tc>
          <w:tcPr>
            <w:tcW w:w="6871" w:type="dxa"/>
            <w:tcBorders>
              <w:top w:val="single" w:sz="4" w:space="0" w:color="000000"/>
              <w:bottom w:val="single" w:sz="4" w:space="0" w:color="000000"/>
            </w:tcBorders>
          </w:tcPr>
          <w:p>
            <w:pPr>
              <w:pStyle w:val="TableParagraph"/>
              <w:spacing w:before="78"/>
              <w:ind w:left="376" w:right="168"/>
              <w:rPr>
                <w:sz w:val="20"/>
              </w:rPr>
            </w:pPr>
            <w:r>
              <w:rPr>
                <w:sz w:val="20"/>
              </w:rPr>
              <w:t>Aluminium</w:t>
            </w:r>
            <w:r>
              <w:rPr>
                <w:spacing w:val="-4"/>
                <w:sz w:val="20"/>
              </w:rPr>
              <w:t> </w:t>
            </w:r>
            <w:r>
              <w:rPr>
                <w:sz w:val="20"/>
              </w:rPr>
              <w:t>Phosphide</w:t>
            </w:r>
            <w:r>
              <w:rPr>
                <w:spacing w:val="-5"/>
                <w:sz w:val="20"/>
              </w:rPr>
              <w:t> </w:t>
            </w:r>
            <w:r>
              <w:rPr>
                <w:sz w:val="20"/>
              </w:rPr>
              <w:t>is</w:t>
            </w:r>
            <w:r>
              <w:rPr>
                <w:spacing w:val="-5"/>
                <w:sz w:val="20"/>
              </w:rPr>
              <w:t> </w:t>
            </w:r>
            <w:r>
              <w:rPr>
                <w:sz w:val="20"/>
              </w:rPr>
              <w:t>a</w:t>
            </w:r>
            <w:r>
              <w:rPr>
                <w:spacing w:val="-4"/>
                <w:sz w:val="20"/>
              </w:rPr>
              <w:t> </w:t>
            </w:r>
            <w:r>
              <w:rPr>
                <w:sz w:val="20"/>
              </w:rPr>
              <w:t>Schedule</w:t>
            </w:r>
            <w:r>
              <w:rPr>
                <w:spacing w:val="-5"/>
                <w:sz w:val="20"/>
              </w:rPr>
              <w:t> </w:t>
            </w:r>
            <w:r>
              <w:rPr>
                <w:sz w:val="20"/>
              </w:rPr>
              <w:t>7</w:t>
            </w:r>
            <w:r>
              <w:rPr>
                <w:spacing w:val="-4"/>
                <w:sz w:val="20"/>
              </w:rPr>
              <w:t> </w:t>
            </w:r>
            <w:r>
              <w:rPr>
                <w:sz w:val="20"/>
              </w:rPr>
              <w:t>poison,</w:t>
            </w:r>
            <w:r>
              <w:rPr>
                <w:spacing w:val="-2"/>
                <w:sz w:val="20"/>
              </w:rPr>
              <w:t> </w:t>
            </w:r>
            <w:r>
              <w:rPr>
                <w:sz w:val="20"/>
              </w:rPr>
              <w:t>and</w:t>
            </w:r>
            <w:r>
              <w:rPr>
                <w:spacing w:val="-5"/>
                <w:sz w:val="20"/>
              </w:rPr>
              <w:t> </w:t>
            </w:r>
            <w:r>
              <w:rPr>
                <w:sz w:val="20"/>
              </w:rPr>
              <w:t>an</w:t>
            </w:r>
            <w:r>
              <w:rPr>
                <w:spacing w:val="-3"/>
                <w:sz w:val="20"/>
              </w:rPr>
              <w:t> </w:t>
            </w:r>
            <w:r>
              <w:rPr>
                <w:sz w:val="20"/>
              </w:rPr>
              <w:t>ACUP</w:t>
            </w:r>
            <w:r>
              <w:rPr>
                <w:spacing w:val="-5"/>
                <w:sz w:val="20"/>
              </w:rPr>
              <w:t> </w:t>
            </w:r>
            <w:r>
              <w:rPr>
                <w:sz w:val="20"/>
              </w:rPr>
              <w:t>is</w:t>
            </w:r>
            <w:r>
              <w:rPr>
                <w:spacing w:val="-5"/>
                <w:sz w:val="20"/>
              </w:rPr>
              <w:t> </w:t>
            </w:r>
            <w:r>
              <w:rPr>
                <w:sz w:val="20"/>
              </w:rPr>
              <w:t>required to purchase and use it. Schedule 7 poisons can only be used by the holder of an ACUP or under the direct supervision of an ACUP holder.</w:t>
            </w:r>
          </w:p>
          <w:p>
            <w:pPr>
              <w:pStyle w:val="TableParagraph"/>
              <w:spacing w:before="81"/>
              <w:ind w:left="376" w:right="168"/>
              <w:rPr>
                <w:sz w:val="20"/>
              </w:rPr>
            </w:pPr>
            <w:r>
              <w:rPr>
                <w:sz w:val="20"/>
              </w:rPr>
              <w:t>Operators</w:t>
            </w:r>
            <w:r>
              <w:rPr>
                <w:spacing w:val="-4"/>
                <w:sz w:val="20"/>
              </w:rPr>
              <w:t> </w:t>
            </w:r>
            <w:r>
              <w:rPr>
                <w:sz w:val="20"/>
              </w:rPr>
              <w:t>must</w:t>
            </w:r>
            <w:r>
              <w:rPr>
                <w:spacing w:val="-5"/>
                <w:sz w:val="20"/>
              </w:rPr>
              <w:t> </w:t>
            </w:r>
            <w:r>
              <w:rPr>
                <w:sz w:val="20"/>
              </w:rPr>
              <w:t>strictly</w:t>
            </w:r>
            <w:r>
              <w:rPr>
                <w:spacing w:val="-4"/>
                <w:sz w:val="20"/>
              </w:rPr>
              <w:t> </w:t>
            </w:r>
            <w:r>
              <w:rPr>
                <w:sz w:val="20"/>
              </w:rPr>
              <w:t>follow</w:t>
            </w:r>
            <w:r>
              <w:rPr>
                <w:spacing w:val="-5"/>
                <w:sz w:val="20"/>
              </w:rPr>
              <w:t> </w:t>
            </w:r>
            <w:r>
              <w:rPr>
                <w:sz w:val="20"/>
              </w:rPr>
              <w:t>the</w:t>
            </w:r>
            <w:r>
              <w:rPr>
                <w:spacing w:val="-4"/>
                <w:sz w:val="20"/>
              </w:rPr>
              <w:t> </w:t>
            </w:r>
            <w:r>
              <w:rPr>
                <w:sz w:val="20"/>
              </w:rPr>
              <w:t>directions</w:t>
            </w:r>
            <w:r>
              <w:rPr>
                <w:spacing w:val="-2"/>
                <w:sz w:val="20"/>
              </w:rPr>
              <w:t> </w:t>
            </w:r>
            <w:r>
              <w:rPr>
                <w:sz w:val="20"/>
              </w:rPr>
              <w:t>on</w:t>
            </w:r>
            <w:r>
              <w:rPr>
                <w:spacing w:val="-6"/>
                <w:sz w:val="20"/>
              </w:rPr>
              <w:t> </w:t>
            </w:r>
            <w:r>
              <w:rPr>
                <w:sz w:val="20"/>
              </w:rPr>
              <w:t>the</w:t>
            </w:r>
            <w:r>
              <w:rPr>
                <w:spacing w:val="-6"/>
                <w:sz w:val="20"/>
              </w:rPr>
              <w:t> </w:t>
            </w:r>
            <w:r>
              <w:rPr>
                <w:sz w:val="20"/>
              </w:rPr>
              <w:t>approved</w:t>
            </w:r>
            <w:r>
              <w:rPr>
                <w:spacing w:val="-6"/>
                <w:sz w:val="20"/>
              </w:rPr>
              <w:t> </w:t>
            </w:r>
            <w:r>
              <w:rPr>
                <w:sz w:val="20"/>
              </w:rPr>
              <w:t>label</w:t>
            </w:r>
            <w:r>
              <w:rPr>
                <w:spacing w:val="-6"/>
                <w:sz w:val="20"/>
              </w:rPr>
              <w:t> </w:t>
            </w:r>
            <w:r>
              <w:rPr>
                <w:sz w:val="20"/>
              </w:rPr>
              <w:t>when using and storing aluminium phosphide tablets. They must not be used for any other purpose than the destruction of rabbits in active warrens.</w:t>
            </w:r>
          </w:p>
          <w:p>
            <w:pPr>
              <w:pStyle w:val="TableParagraph"/>
              <w:spacing w:before="80"/>
              <w:ind w:left="376"/>
              <w:rPr>
                <w:sz w:val="20"/>
              </w:rPr>
            </w:pPr>
            <w:r>
              <w:rPr>
                <w:sz w:val="20"/>
              </w:rPr>
              <w:t>Fumigation</w:t>
            </w:r>
            <w:r>
              <w:rPr>
                <w:spacing w:val="-4"/>
                <w:sz w:val="20"/>
              </w:rPr>
              <w:t> </w:t>
            </w:r>
            <w:r>
              <w:rPr>
                <w:sz w:val="20"/>
              </w:rPr>
              <w:t>must</w:t>
            </w:r>
            <w:r>
              <w:rPr>
                <w:spacing w:val="-3"/>
                <w:sz w:val="20"/>
              </w:rPr>
              <w:t> </w:t>
            </w:r>
            <w:r>
              <w:rPr>
                <w:sz w:val="20"/>
              </w:rPr>
              <w:t>always</w:t>
            </w:r>
            <w:r>
              <w:rPr>
                <w:spacing w:val="-4"/>
                <w:sz w:val="20"/>
              </w:rPr>
              <w:t> </w:t>
            </w:r>
            <w:r>
              <w:rPr>
                <w:sz w:val="20"/>
              </w:rPr>
              <w:t>be</w:t>
            </w:r>
            <w:r>
              <w:rPr>
                <w:spacing w:val="-3"/>
                <w:sz w:val="20"/>
              </w:rPr>
              <w:t> </w:t>
            </w:r>
            <w:r>
              <w:rPr>
                <w:sz w:val="20"/>
              </w:rPr>
              <w:t>carried</w:t>
            </w:r>
            <w:r>
              <w:rPr>
                <w:spacing w:val="-6"/>
                <w:sz w:val="20"/>
              </w:rPr>
              <w:t> </w:t>
            </w:r>
            <w:r>
              <w:rPr>
                <w:sz w:val="20"/>
              </w:rPr>
              <w:t>out</w:t>
            </w:r>
            <w:r>
              <w:rPr>
                <w:spacing w:val="-5"/>
                <w:sz w:val="20"/>
              </w:rPr>
              <w:t> </w:t>
            </w:r>
            <w:r>
              <w:rPr>
                <w:sz w:val="20"/>
              </w:rPr>
              <w:t>by</w:t>
            </w:r>
            <w:r>
              <w:rPr>
                <w:spacing w:val="-4"/>
                <w:sz w:val="20"/>
              </w:rPr>
              <w:t> </w:t>
            </w:r>
            <w:r>
              <w:rPr>
                <w:sz w:val="20"/>
              </w:rPr>
              <w:t>two</w:t>
            </w:r>
            <w:r>
              <w:rPr>
                <w:spacing w:val="-5"/>
                <w:sz w:val="20"/>
              </w:rPr>
              <w:t> </w:t>
            </w:r>
            <w:r>
              <w:rPr>
                <w:sz w:val="20"/>
              </w:rPr>
              <w:t>trained</w:t>
            </w:r>
            <w:r>
              <w:rPr>
                <w:spacing w:val="-4"/>
                <w:sz w:val="20"/>
              </w:rPr>
              <w:t> </w:t>
            </w:r>
            <w:r>
              <w:rPr>
                <w:sz w:val="20"/>
              </w:rPr>
              <w:t>persons</w:t>
            </w:r>
            <w:r>
              <w:rPr>
                <w:spacing w:val="-4"/>
                <w:sz w:val="20"/>
              </w:rPr>
              <w:t> </w:t>
            </w:r>
            <w:r>
              <w:rPr>
                <w:sz w:val="20"/>
              </w:rPr>
              <w:t>and</w:t>
            </w:r>
            <w:r>
              <w:rPr>
                <w:spacing w:val="-5"/>
                <w:sz w:val="20"/>
              </w:rPr>
              <w:t> </w:t>
            </w:r>
            <w:r>
              <w:rPr>
                <w:sz w:val="20"/>
              </w:rPr>
              <w:t>must not be carried out in wet conditions when it is likely that the tablets will become wet before insertion in the burrows.</w:t>
            </w:r>
          </w:p>
          <w:p>
            <w:pPr>
              <w:pStyle w:val="TableParagraph"/>
              <w:spacing w:before="81"/>
              <w:ind w:left="376"/>
              <w:rPr>
                <w:sz w:val="20"/>
              </w:rPr>
            </w:pPr>
            <w:r>
              <w:rPr>
                <w:sz w:val="20"/>
              </w:rPr>
              <w:t>Phosphine is highly toxic to humans and can kill if the tablets are swallowed</w:t>
            </w:r>
            <w:r>
              <w:rPr>
                <w:spacing w:val="-4"/>
                <w:sz w:val="20"/>
              </w:rPr>
              <w:t> </w:t>
            </w:r>
            <w:r>
              <w:rPr>
                <w:sz w:val="20"/>
              </w:rPr>
              <w:t>or</w:t>
            </w:r>
            <w:r>
              <w:rPr>
                <w:spacing w:val="-5"/>
                <w:sz w:val="20"/>
              </w:rPr>
              <w:t> </w:t>
            </w:r>
            <w:r>
              <w:rPr>
                <w:sz w:val="20"/>
              </w:rPr>
              <w:t>the</w:t>
            </w:r>
            <w:r>
              <w:rPr>
                <w:spacing w:val="-5"/>
                <w:sz w:val="20"/>
              </w:rPr>
              <w:t> </w:t>
            </w:r>
            <w:r>
              <w:rPr>
                <w:sz w:val="20"/>
              </w:rPr>
              <w:t>liberated</w:t>
            </w:r>
            <w:r>
              <w:rPr>
                <w:spacing w:val="-4"/>
                <w:sz w:val="20"/>
              </w:rPr>
              <w:t> </w:t>
            </w:r>
            <w:r>
              <w:rPr>
                <w:sz w:val="20"/>
              </w:rPr>
              <w:t>gas</w:t>
            </w:r>
            <w:r>
              <w:rPr>
                <w:spacing w:val="-4"/>
                <w:sz w:val="20"/>
              </w:rPr>
              <w:t> </w:t>
            </w:r>
            <w:r>
              <w:rPr>
                <w:sz w:val="20"/>
              </w:rPr>
              <w:t>is</w:t>
            </w:r>
            <w:r>
              <w:rPr>
                <w:spacing w:val="-4"/>
                <w:sz w:val="20"/>
              </w:rPr>
              <w:t> </w:t>
            </w:r>
            <w:r>
              <w:rPr>
                <w:sz w:val="20"/>
              </w:rPr>
              <w:t>inhaled.</w:t>
            </w:r>
            <w:r>
              <w:rPr>
                <w:spacing w:val="-4"/>
                <w:sz w:val="20"/>
              </w:rPr>
              <w:t> </w:t>
            </w:r>
            <w:r>
              <w:rPr>
                <w:sz w:val="20"/>
              </w:rPr>
              <w:t>Avoid</w:t>
            </w:r>
            <w:r>
              <w:rPr>
                <w:spacing w:val="-4"/>
                <w:sz w:val="20"/>
              </w:rPr>
              <w:t> </w:t>
            </w:r>
            <w:r>
              <w:rPr>
                <w:sz w:val="20"/>
              </w:rPr>
              <w:t>contacting</w:t>
            </w:r>
            <w:r>
              <w:rPr>
                <w:spacing w:val="-6"/>
                <w:sz w:val="20"/>
              </w:rPr>
              <w:t> </w:t>
            </w:r>
            <w:r>
              <w:rPr>
                <w:sz w:val="20"/>
              </w:rPr>
              <w:t>the</w:t>
            </w:r>
            <w:r>
              <w:rPr>
                <w:spacing w:val="-6"/>
                <w:sz w:val="20"/>
              </w:rPr>
              <w:t> </w:t>
            </w:r>
            <w:r>
              <w:rPr>
                <w:sz w:val="20"/>
              </w:rPr>
              <w:t>skin</w:t>
            </w:r>
            <w:r>
              <w:rPr>
                <w:spacing w:val="-4"/>
                <w:sz w:val="20"/>
              </w:rPr>
              <w:t> </w:t>
            </w:r>
            <w:r>
              <w:rPr>
                <w:sz w:val="20"/>
              </w:rPr>
              <w:t>with aluminium phosphide or breathing phosphine gas.</w:t>
            </w:r>
          </w:p>
          <w:p>
            <w:pPr>
              <w:pStyle w:val="TableParagraph"/>
              <w:spacing w:before="81"/>
              <w:ind w:left="376"/>
              <w:rPr>
                <w:sz w:val="20"/>
              </w:rPr>
            </w:pPr>
            <w:r>
              <w:rPr>
                <w:sz w:val="20"/>
              </w:rPr>
              <w:t>For</w:t>
            </w:r>
            <w:r>
              <w:rPr>
                <w:spacing w:val="-7"/>
                <w:sz w:val="20"/>
              </w:rPr>
              <w:t> </w:t>
            </w:r>
            <w:r>
              <w:rPr>
                <w:sz w:val="20"/>
              </w:rPr>
              <w:t>further</w:t>
            </w:r>
            <w:r>
              <w:rPr>
                <w:spacing w:val="-5"/>
                <w:sz w:val="20"/>
              </w:rPr>
              <w:t> </w:t>
            </w:r>
            <w:r>
              <w:rPr>
                <w:sz w:val="20"/>
              </w:rPr>
              <w:t>information,</w:t>
            </w:r>
            <w:r>
              <w:rPr>
                <w:spacing w:val="-7"/>
                <w:sz w:val="20"/>
              </w:rPr>
              <w:t> </w:t>
            </w:r>
            <w:r>
              <w:rPr>
                <w:sz w:val="20"/>
              </w:rPr>
              <w:t>refer</w:t>
            </w:r>
            <w:r>
              <w:rPr>
                <w:spacing w:val="-6"/>
                <w:sz w:val="20"/>
              </w:rPr>
              <w:t> </w:t>
            </w:r>
            <w:r>
              <w:rPr>
                <w:sz w:val="20"/>
              </w:rPr>
              <w:t>to</w:t>
            </w:r>
            <w:r>
              <w:rPr>
                <w:spacing w:val="-8"/>
                <w:sz w:val="20"/>
              </w:rPr>
              <w:t> </w:t>
            </w:r>
            <w:r>
              <w:rPr>
                <w:sz w:val="20"/>
              </w:rPr>
              <w:t>the</w:t>
            </w:r>
            <w:r>
              <w:rPr>
                <w:spacing w:val="-5"/>
                <w:sz w:val="20"/>
              </w:rPr>
              <w:t> </w:t>
            </w:r>
            <w:r>
              <w:rPr>
                <w:sz w:val="20"/>
              </w:rPr>
              <w:t>MSDS,</w:t>
            </w:r>
            <w:r>
              <w:rPr>
                <w:spacing w:val="-7"/>
                <w:sz w:val="20"/>
              </w:rPr>
              <w:t> </w:t>
            </w:r>
            <w:r>
              <w:rPr>
                <w:sz w:val="20"/>
              </w:rPr>
              <w:t>available</w:t>
            </w:r>
            <w:r>
              <w:rPr>
                <w:spacing w:val="-7"/>
                <w:sz w:val="20"/>
              </w:rPr>
              <w:t> </w:t>
            </w:r>
            <w:r>
              <w:rPr>
                <w:sz w:val="20"/>
              </w:rPr>
              <w:t>from</w:t>
            </w:r>
            <w:r>
              <w:rPr>
                <w:spacing w:val="-7"/>
                <w:sz w:val="20"/>
              </w:rPr>
              <w:t> </w:t>
            </w:r>
            <w:r>
              <w:rPr>
                <w:sz w:val="20"/>
              </w:rPr>
              <w:t>the</w:t>
            </w:r>
            <w:r>
              <w:rPr>
                <w:spacing w:val="-5"/>
                <w:sz w:val="20"/>
              </w:rPr>
              <w:t> </w:t>
            </w:r>
            <w:r>
              <w:rPr>
                <w:spacing w:val="-2"/>
                <w:sz w:val="20"/>
              </w:rPr>
              <w:t>supplier.</w:t>
            </w:r>
          </w:p>
        </w:tc>
      </w:tr>
      <w:tr>
        <w:trPr>
          <w:trHeight w:val="6300" w:hRule="atLeast"/>
        </w:trPr>
        <w:tc>
          <w:tcPr>
            <w:tcW w:w="3026" w:type="dxa"/>
            <w:tcBorders>
              <w:top w:val="single" w:sz="4" w:space="0" w:color="000000"/>
              <w:bottom w:val="single" w:sz="4" w:space="0" w:color="000000"/>
            </w:tcBorders>
          </w:tcPr>
          <w:p>
            <w:pPr>
              <w:pStyle w:val="TableParagraph"/>
              <w:spacing w:before="78"/>
              <w:ind w:left="115"/>
              <w:rPr>
                <w:sz w:val="20"/>
              </w:rPr>
            </w:pPr>
            <w:r>
              <w:rPr>
                <w:sz w:val="20"/>
              </w:rPr>
              <w:t>Shooting</w:t>
            </w:r>
            <w:r>
              <w:rPr>
                <w:spacing w:val="-14"/>
                <w:sz w:val="20"/>
              </w:rPr>
              <w:t> </w:t>
            </w:r>
            <w:r>
              <w:rPr>
                <w:sz w:val="20"/>
              </w:rPr>
              <w:t>(ground-based</w:t>
            </w:r>
            <w:r>
              <w:rPr>
                <w:spacing w:val="-14"/>
                <w:sz w:val="20"/>
              </w:rPr>
              <w:t> </w:t>
            </w:r>
            <w:r>
              <w:rPr>
                <w:sz w:val="20"/>
              </w:rPr>
              <w:t>and aerial shooting)</w:t>
            </w:r>
          </w:p>
        </w:tc>
        <w:tc>
          <w:tcPr>
            <w:tcW w:w="6871" w:type="dxa"/>
            <w:tcBorders>
              <w:top w:val="single" w:sz="4" w:space="0" w:color="000000"/>
              <w:bottom w:val="single" w:sz="4" w:space="0" w:color="000000"/>
            </w:tcBorders>
          </w:tcPr>
          <w:p>
            <w:pPr>
              <w:pStyle w:val="TableParagraph"/>
              <w:spacing w:before="78"/>
              <w:ind w:left="376"/>
              <w:rPr>
                <w:b/>
                <w:i/>
                <w:sz w:val="20"/>
              </w:rPr>
            </w:pPr>
            <w:r>
              <w:rPr>
                <w:b/>
                <w:i/>
                <w:spacing w:val="-2"/>
                <w:sz w:val="20"/>
              </w:rPr>
              <w:t>Ground-based</w:t>
            </w:r>
            <w:r>
              <w:rPr>
                <w:b/>
                <w:i/>
                <w:spacing w:val="8"/>
                <w:sz w:val="20"/>
              </w:rPr>
              <w:t> </w:t>
            </w:r>
            <w:r>
              <w:rPr>
                <w:b/>
                <w:i/>
                <w:spacing w:val="-2"/>
                <w:sz w:val="20"/>
              </w:rPr>
              <w:t>shooting</w:t>
            </w:r>
          </w:p>
          <w:p>
            <w:pPr>
              <w:pStyle w:val="TableParagraph"/>
              <w:spacing w:before="80"/>
              <w:ind w:left="376" w:right="168"/>
              <w:rPr>
                <w:sz w:val="20"/>
              </w:rPr>
            </w:pPr>
            <w:r>
              <w:rPr>
                <w:sz w:val="20"/>
              </w:rPr>
              <w:t>All</w:t>
            </w:r>
            <w:r>
              <w:rPr>
                <w:spacing w:val="-7"/>
                <w:sz w:val="20"/>
              </w:rPr>
              <w:t> </w:t>
            </w:r>
            <w:r>
              <w:rPr>
                <w:sz w:val="20"/>
              </w:rPr>
              <w:t>participants</w:t>
            </w:r>
            <w:r>
              <w:rPr>
                <w:spacing w:val="-3"/>
                <w:sz w:val="20"/>
              </w:rPr>
              <w:t> </w:t>
            </w:r>
            <w:r>
              <w:rPr>
                <w:sz w:val="20"/>
              </w:rPr>
              <w:t>in</w:t>
            </w:r>
            <w:r>
              <w:rPr>
                <w:spacing w:val="-6"/>
                <w:sz w:val="20"/>
              </w:rPr>
              <w:t> </w:t>
            </w:r>
            <w:r>
              <w:rPr>
                <w:sz w:val="20"/>
              </w:rPr>
              <w:t>a</w:t>
            </w:r>
            <w:r>
              <w:rPr>
                <w:spacing w:val="-4"/>
                <w:sz w:val="20"/>
              </w:rPr>
              <w:t> </w:t>
            </w:r>
            <w:r>
              <w:rPr>
                <w:sz w:val="20"/>
              </w:rPr>
              <w:t>ground-based</w:t>
            </w:r>
            <w:r>
              <w:rPr>
                <w:spacing w:val="-7"/>
                <w:sz w:val="20"/>
              </w:rPr>
              <w:t> </w:t>
            </w:r>
            <w:r>
              <w:rPr>
                <w:sz w:val="20"/>
              </w:rPr>
              <w:t>shooting</w:t>
            </w:r>
            <w:r>
              <w:rPr>
                <w:spacing w:val="-5"/>
                <w:sz w:val="20"/>
              </w:rPr>
              <w:t> </w:t>
            </w:r>
            <w:r>
              <w:rPr>
                <w:sz w:val="20"/>
              </w:rPr>
              <w:t>programme</w:t>
            </w:r>
            <w:r>
              <w:rPr>
                <w:spacing w:val="-4"/>
                <w:sz w:val="20"/>
              </w:rPr>
              <w:t> </w:t>
            </w:r>
            <w:r>
              <w:rPr>
                <w:sz w:val="20"/>
              </w:rPr>
              <w:t>must</w:t>
            </w:r>
            <w:r>
              <w:rPr>
                <w:spacing w:val="-6"/>
                <w:sz w:val="20"/>
              </w:rPr>
              <w:t> </w:t>
            </w:r>
            <w:r>
              <w:rPr>
                <w:sz w:val="20"/>
              </w:rPr>
              <w:t>stand</w:t>
            </w:r>
            <w:r>
              <w:rPr>
                <w:spacing w:val="-6"/>
                <w:sz w:val="20"/>
              </w:rPr>
              <w:t> </w:t>
            </w:r>
            <w:r>
              <w:rPr>
                <w:sz w:val="20"/>
              </w:rPr>
              <w:t>well behind the shooter when an animal is being shot. The line of fire must be</w:t>
            </w:r>
            <w:r>
              <w:rPr>
                <w:spacing w:val="-3"/>
                <w:sz w:val="20"/>
              </w:rPr>
              <w:t> </w:t>
            </w:r>
            <w:r>
              <w:rPr>
                <w:sz w:val="20"/>
              </w:rPr>
              <w:t>chosen</w:t>
            </w:r>
            <w:r>
              <w:rPr>
                <w:spacing w:val="-2"/>
                <w:sz w:val="20"/>
              </w:rPr>
              <w:t> </w:t>
            </w:r>
            <w:r>
              <w:rPr>
                <w:sz w:val="20"/>
              </w:rPr>
              <w:t>to prevent accidents</w:t>
            </w:r>
            <w:r>
              <w:rPr>
                <w:spacing w:val="-1"/>
                <w:sz w:val="20"/>
              </w:rPr>
              <w:t> </w:t>
            </w:r>
            <w:r>
              <w:rPr>
                <w:sz w:val="20"/>
              </w:rPr>
              <w:t>or</w:t>
            </w:r>
            <w:r>
              <w:rPr>
                <w:spacing w:val="-2"/>
                <w:sz w:val="20"/>
              </w:rPr>
              <w:t> </w:t>
            </w:r>
            <w:r>
              <w:rPr>
                <w:sz w:val="20"/>
              </w:rPr>
              <w:t>injury from</w:t>
            </w:r>
            <w:r>
              <w:rPr>
                <w:spacing w:val="-2"/>
                <w:sz w:val="20"/>
              </w:rPr>
              <w:t> </w:t>
            </w:r>
            <w:r>
              <w:rPr>
                <w:sz w:val="20"/>
              </w:rPr>
              <w:t>stray</w:t>
            </w:r>
            <w:r>
              <w:rPr>
                <w:spacing w:val="-1"/>
                <w:sz w:val="20"/>
              </w:rPr>
              <w:t> </w:t>
            </w:r>
            <w:r>
              <w:rPr>
                <w:sz w:val="20"/>
              </w:rPr>
              <w:t>bullets</w:t>
            </w:r>
            <w:r>
              <w:rPr>
                <w:spacing w:val="-1"/>
                <w:sz w:val="20"/>
              </w:rPr>
              <w:t> </w:t>
            </w:r>
            <w:r>
              <w:rPr>
                <w:sz w:val="20"/>
              </w:rPr>
              <w:t>or</w:t>
            </w:r>
            <w:r>
              <w:rPr>
                <w:spacing w:val="-2"/>
                <w:sz w:val="20"/>
              </w:rPr>
              <w:t> </w:t>
            </w:r>
            <w:r>
              <w:rPr>
                <w:sz w:val="20"/>
              </w:rPr>
              <w:t>ricochets.</w:t>
            </w:r>
          </w:p>
          <w:p>
            <w:pPr>
              <w:pStyle w:val="TableParagraph"/>
              <w:spacing w:before="80"/>
              <w:ind w:left="376" w:right="168"/>
              <w:rPr>
                <w:sz w:val="20"/>
              </w:rPr>
            </w:pPr>
            <w:r>
              <w:rPr>
                <w:sz w:val="20"/>
              </w:rPr>
              <w:t>Shooting from a vehicle is potentially dangerous. An agreed safety procedure between the shooter and others in the vehicle must be in place</w:t>
            </w:r>
            <w:r>
              <w:rPr>
                <w:spacing w:val="-2"/>
                <w:sz w:val="20"/>
              </w:rPr>
              <w:t> </w:t>
            </w:r>
            <w:r>
              <w:rPr>
                <w:sz w:val="20"/>
              </w:rPr>
              <w:t>to</w:t>
            </w:r>
            <w:r>
              <w:rPr>
                <w:spacing w:val="-5"/>
                <w:sz w:val="20"/>
              </w:rPr>
              <w:t> </w:t>
            </w:r>
            <w:r>
              <w:rPr>
                <w:sz w:val="20"/>
              </w:rPr>
              <w:t>ensure</w:t>
            </w:r>
            <w:r>
              <w:rPr>
                <w:spacing w:val="-4"/>
                <w:sz w:val="20"/>
              </w:rPr>
              <w:t> </w:t>
            </w:r>
            <w:r>
              <w:rPr>
                <w:sz w:val="20"/>
              </w:rPr>
              <w:t>that</w:t>
            </w:r>
            <w:r>
              <w:rPr>
                <w:spacing w:val="-2"/>
                <w:sz w:val="20"/>
              </w:rPr>
              <w:t> </w:t>
            </w:r>
            <w:r>
              <w:rPr>
                <w:sz w:val="20"/>
              </w:rPr>
              <w:t>people</w:t>
            </w:r>
            <w:r>
              <w:rPr>
                <w:spacing w:val="-2"/>
                <w:sz w:val="20"/>
              </w:rPr>
              <w:t> </w:t>
            </w:r>
            <w:r>
              <w:rPr>
                <w:sz w:val="20"/>
              </w:rPr>
              <w:t>do</w:t>
            </w:r>
            <w:r>
              <w:rPr>
                <w:spacing w:val="-5"/>
                <w:sz w:val="20"/>
              </w:rPr>
              <w:t> </w:t>
            </w:r>
            <w:r>
              <w:rPr>
                <w:sz w:val="20"/>
              </w:rPr>
              <w:t>not</w:t>
            </w:r>
            <w:r>
              <w:rPr>
                <w:spacing w:val="-4"/>
                <w:sz w:val="20"/>
              </w:rPr>
              <w:t> </w:t>
            </w:r>
            <w:r>
              <w:rPr>
                <w:sz w:val="20"/>
              </w:rPr>
              <w:t>enter</w:t>
            </w:r>
            <w:r>
              <w:rPr>
                <w:spacing w:val="-3"/>
                <w:sz w:val="20"/>
              </w:rPr>
              <w:t> </w:t>
            </w:r>
            <w:r>
              <w:rPr>
                <w:sz w:val="20"/>
              </w:rPr>
              <w:t>the</w:t>
            </w:r>
            <w:r>
              <w:rPr>
                <w:spacing w:val="-5"/>
                <w:sz w:val="20"/>
              </w:rPr>
              <w:t> </w:t>
            </w:r>
            <w:r>
              <w:rPr>
                <w:sz w:val="20"/>
              </w:rPr>
              <w:t>field</w:t>
            </w:r>
            <w:r>
              <w:rPr>
                <w:spacing w:val="-2"/>
                <w:sz w:val="20"/>
              </w:rPr>
              <w:t> </w:t>
            </w:r>
            <w:r>
              <w:rPr>
                <w:sz w:val="20"/>
              </w:rPr>
              <w:t>of</w:t>
            </w:r>
            <w:r>
              <w:rPr>
                <w:spacing w:val="-4"/>
                <w:sz w:val="20"/>
              </w:rPr>
              <w:t> </w:t>
            </w:r>
            <w:r>
              <w:rPr>
                <w:sz w:val="20"/>
              </w:rPr>
              <w:t>fire</w:t>
            </w:r>
            <w:r>
              <w:rPr>
                <w:spacing w:val="-2"/>
                <w:sz w:val="20"/>
              </w:rPr>
              <w:t> </w:t>
            </w:r>
            <w:r>
              <w:rPr>
                <w:sz w:val="20"/>
              </w:rPr>
              <w:t>or</w:t>
            </w:r>
            <w:r>
              <w:rPr>
                <w:spacing w:val="-4"/>
                <w:sz w:val="20"/>
              </w:rPr>
              <w:t> </w:t>
            </w:r>
            <w:r>
              <w:rPr>
                <w:sz w:val="20"/>
              </w:rPr>
              <w:t>disturb</w:t>
            </w:r>
            <w:r>
              <w:rPr>
                <w:spacing w:val="-4"/>
                <w:sz w:val="20"/>
              </w:rPr>
              <w:t> </w:t>
            </w:r>
            <w:r>
              <w:rPr>
                <w:sz w:val="20"/>
              </w:rPr>
              <w:t>the taking of a shot.</w:t>
            </w:r>
          </w:p>
          <w:p>
            <w:pPr>
              <w:pStyle w:val="TableParagraph"/>
              <w:spacing w:before="81"/>
              <w:ind w:left="376" w:right="228"/>
              <w:rPr>
                <w:sz w:val="20"/>
              </w:rPr>
            </w:pPr>
            <w:r>
              <w:rPr>
                <w:sz w:val="20"/>
              </w:rPr>
              <w:t>Firearm</w:t>
            </w:r>
            <w:r>
              <w:rPr>
                <w:spacing w:val="-5"/>
                <w:sz w:val="20"/>
              </w:rPr>
              <w:t> </w:t>
            </w:r>
            <w:r>
              <w:rPr>
                <w:sz w:val="20"/>
              </w:rPr>
              <w:t>users</w:t>
            </w:r>
            <w:r>
              <w:rPr>
                <w:spacing w:val="-5"/>
                <w:sz w:val="20"/>
              </w:rPr>
              <w:t> </w:t>
            </w:r>
            <w:r>
              <w:rPr>
                <w:sz w:val="20"/>
              </w:rPr>
              <w:t>must</w:t>
            </w:r>
            <w:r>
              <w:rPr>
                <w:spacing w:val="-7"/>
                <w:sz w:val="20"/>
              </w:rPr>
              <w:t> </w:t>
            </w:r>
            <w:r>
              <w:rPr>
                <w:sz w:val="20"/>
              </w:rPr>
              <w:t>strictly</w:t>
            </w:r>
            <w:r>
              <w:rPr>
                <w:spacing w:val="-4"/>
                <w:sz w:val="20"/>
              </w:rPr>
              <w:t> </w:t>
            </w:r>
            <w:r>
              <w:rPr>
                <w:sz w:val="20"/>
              </w:rPr>
              <w:t>observe</w:t>
            </w:r>
            <w:r>
              <w:rPr>
                <w:spacing w:val="-7"/>
                <w:sz w:val="20"/>
              </w:rPr>
              <w:t> </w:t>
            </w:r>
            <w:r>
              <w:rPr>
                <w:sz w:val="20"/>
              </w:rPr>
              <w:t>all</w:t>
            </w:r>
            <w:r>
              <w:rPr>
                <w:spacing w:val="-8"/>
                <w:sz w:val="20"/>
              </w:rPr>
              <w:t> </w:t>
            </w:r>
            <w:r>
              <w:rPr>
                <w:sz w:val="20"/>
              </w:rPr>
              <w:t>relevant</w:t>
            </w:r>
            <w:r>
              <w:rPr>
                <w:spacing w:val="-7"/>
                <w:sz w:val="20"/>
              </w:rPr>
              <w:t> </w:t>
            </w:r>
            <w:r>
              <w:rPr>
                <w:sz w:val="20"/>
              </w:rPr>
              <w:t>safety</w:t>
            </w:r>
            <w:r>
              <w:rPr>
                <w:spacing w:val="-6"/>
                <w:sz w:val="20"/>
              </w:rPr>
              <w:t> </w:t>
            </w:r>
            <w:r>
              <w:rPr>
                <w:sz w:val="20"/>
              </w:rPr>
              <w:t>guidelines relating to firearm ownership, possession and use.</w:t>
            </w:r>
          </w:p>
          <w:p>
            <w:pPr>
              <w:pStyle w:val="TableParagraph"/>
              <w:spacing w:before="80"/>
              <w:ind w:left="376" w:right="168"/>
              <w:rPr>
                <w:sz w:val="20"/>
              </w:rPr>
            </w:pPr>
            <w:r>
              <w:rPr>
                <w:sz w:val="20"/>
              </w:rPr>
              <w:t>Firearms</w:t>
            </w:r>
            <w:r>
              <w:rPr>
                <w:spacing w:val="-4"/>
                <w:sz w:val="20"/>
              </w:rPr>
              <w:t> </w:t>
            </w:r>
            <w:r>
              <w:rPr>
                <w:sz w:val="20"/>
              </w:rPr>
              <w:t>must</w:t>
            </w:r>
            <w:r>
              <w:rPr>
                <w:spacing w:val="-5"/>
                <w:sz w:val="20"/>
              </w:rPr>
              <w:t> </w:t>
            </w:r>
            <w:r>
              <w:rPr>
                <w:sz w:val="20"/>
              </w:rPr>
              <w:t>be</w:t>
            </w:r>
            <w:r>
              <w:rPr>
                <w:spacing w:val="-5"/>
                <w:sz w:val="20"/>
              </w:rPr>
              <w:t> </w:t>
            </w:r>
            <w:r>
              <w:rPr>
                <w:sz w:val="20"/>
              </w:rPr>
              <w:t>securely</w:t>
            </w:r>
            <w:r>
              <w:rPr>
                <w:spacing w:val="-3"/>
                <w:sz w:val="20"/>
              </w:rPr>
              <w:t> </w:t>
            </w:r>
            <w:r>
              <w:rPr>
                <w:sz w:val="20"/>
              </w:rPr>
              <w:t>stored</w:t>
            </w:r>
            <w:r>
              <w:rPr>
                <w:spacing w:val="-5"/>
                <w:sz w:val="20"/>
              </w:rPr>
              <w:t> </w:t>
            </w:r>
            <w:r>
              <w:rPr>
                <w:sz w:val="20"/>
              </w:rPr>
              <w:t>in</w:t>
            </w:r>
            <w:r>
              <w:rPr>
                <w:spacing w:val="-5"/>
                <w:sz w:val="20"/>
              </w:rPr>
              <w:t> </w:t>
            </w:r>
            <w:r>
              <w:rPr>
                <w:sz w:val="20"/>
              </w:rPr>
              <w:t>a</w:t>
            </w:r>
            <w:r>
              <w:rPr>
                <w:spacing w:val="-6"/>
                <w:sz w:val="20"/>
              </w:rPr>
              <w:t> </w:t>
            </w:r>
            <w:r>
              <w:rPr>
                <w:sz w:val="20"/>
              </w:rPr>
              <w:t>compartment</w:t>
            </w:r>
            <w:r>
              <w:rPr>
                <w:spacing w:val="-5"/>
                <w:sz w:val="20"/>
              </w:rPr>
              <w:t> </w:t>
            </w:r>
            <w:r>
              <w:rPr>
                <w:sz w:val="20"/>
              </w:rPr>
              <w:t>that</w:t>
            </w:r>
            <w:r>
              <w:rPr>
                <w:spacing w:val="-5"/>
                <w:sz w:val="20"/>
              </w:rPr>
              <w:t> </w:t>
            </w:r>
            <w:r>
              <w:rPr>
                <w:sz w:val="20"/>
              </w:rPr>
              <w:t>meets</w:t>
            </w:r>
            <w:r>
              <w:rPr>
                <w:spacing w:val="-4"/>
                <w:sz w:val="20"/>
              </w:rPr>
              <w:t> </w:t>
            </w:r>
            <w:r>
              <w:rPr>
                <w:sz w:val="20"/>
              </w:rPr>
              <w:t>state legal requirements.</w:t>
            </w:r>
          </w:p>
          <w:p>
            <w:pPr>
              <w:pStyle w:val="TableParagraph"/>
              <w:spacing w:line="242" w:lineRule="auto" w:before="79"/>
              <w:ind w:left="376" w:right="228"/>
              <w:rPr>
                <w:sz w:val="20"/>
              </w:rPr>
            </w:pPr>
            <w:r>
              <w:rPr>
                <w:sz w:val="20"/>
              </w:rPr>
              <w:t>Ammunition</w:t>
            </w:r>
            <w:r>
              <w:rPr>
                <w:spacing w:val="-5"/>
                <w:sz w:val="20"/>
              </w:rPr>
              <w:t> </w:t>
            </w:r>
            <w:r>
              <w:rPr>
                <w:sz w:val="20"/>
              </w:rPr>
              <w:t>must</w:t>
            </w:r>
            <w:r>
              <w:rPr>
                <w:spacing w:val="-6"/>
                <w:sz w:val="20"/>
              </w:rPr>
              <w:t> </w:t>
            </w:r>
            <w:r>
              <w:rPr>
                <w:sz w:val="20"/>
              </w:rPr>
              <w:t>be</w:t>
            </w:r>
            <w:r>
              <w:rPr>
                <w:spacing w:val="-6"/>
                <w:sz w:val="20"/>
              </w:rPr>
              <w:t> </w:t>
            </w:r>
            <w:r>
              <w:rPr>
                <w:sz w:val="20"/>
              </w:rPr>
              <w:t>stored</w:t>
            </w:r>
            <w:r>
              <w:rPr>
                <w:spacing w:val="-4"/>
                <w:sz w:val="20"/>
              </w:rPr>
              <w:t> </w:t>
            </w:r>
            <w:r>
              <w:rPr>
                <w:sz w:val="20"/>
              </w:rPr>
              <w:t>in</w:t>
            </w:r>
            <w:r>
              <w:rPr>
                <w:spacing w:val="-4"/>
                <w:sz w:val="20"/>
              </w:rPr>
              <w:t> </w:t>
            </w:r>
            <w:r>
              <w:rPr>
                <w:sz w:val="20"/>
              </w:rPr>
              <w:t>a</w:t>
            </w:r>
            <w:r>
              <w:rPr>
                <w:spacing w:val="-6"/>
                <w:sz w:val="20"/>
              </w:rPr>
              <w:t> </w:t>
            </w:r>
            <w:r>
              <w:rPr>
                <w:sz w:val="20"/>
              </w:rPr>
              <w:t>locked</w:t>
            </w:r>
            <w:r>
              <w:rPr>
                <w:spacing w:val="-7"/>
                <w:sz w:val="20"/>
              </w:rPr>
              <w:t> </w:t>
            </w:r>
            <w:r>
              <w:rPr>
                <w:sz w:val="20"/>
              </w:rPr>
              <w:t>container</w:t>
            </w:r>
            <w:r>
              <w:rPr>
                <w:spacing w:val="-6"/>
                <w:sz w:val="20"/>
              </w:rPr>
              <w:t> </w:t>
            </w:r>
            <w:r>
              <w:rPr>
                <w:sz w:val="20"/>
              </w:rPr>
              <w:t>separate</w:t>
            </w:r>
            <w:r>
              <w:rPr>
                <w:spacing w:val="-7"/>
                <w:sz w:val="20"/>
              </w:rPr>
              <w:t> </w:t>
            </w:r>
            <w:r>
              <w:rPr>
                <w:sz w:val="20"/>
              </w:rPr>
              <w:t>from </w:t>
            </w:r>
            <w:r>
              <w:rPr>
                <w:spacing w:val="-2"/>
                <w:sz w:val="20"/>
              </w:rPr>
              <w:t>firearms.</w:t>
            </w:r>
          </w:p>
          <w:p>
            <w:pPr>
              <w:pStyle w:val="TableParagraph"/>
              <w:spacing w:before="75"/>
              <w:ind w:left="376" w:right="168"/>
              <w:rPr>
                <w:sz w:val="20"/>
              </w:rPr>
            </w:pPr>
            <w:r>
              <w:rPr>
                <w:sz w:val="20"/>
              </w:rPr>
              <w:t>Adequate</w:t>
            </w:r>
            <w:r>
              <w:rPr>
                <w:spacing w:val="-5"/>
                <w:sz w:val="20"/>
              </w:rPr>
              <w:t> </w:t>
            </w:r>
            <w:r>
              <w:rPr>
                <w:sz w:val="20"/>
              </w:rPr>
              <w:t>hearing</w:t>
            </w:r>
            <w:r>
              <w:rPr>
                <w:spacing w:val="-4"/>
                <w:sz w:val="20"/>
              </w:rPr>
              <w:t> </w:t>
            </w:r>
            <w:r>
              <w:rPr>
                <w:sz w:val="20"/>
              </w:rPr>
              <w:t>protection</w:t>
            </w:r>
            <w:r>
              <w:rPr>
                <w:spacing w:val="-5"/>
                <w:sz w:val="20"/>
              </w:rPr>
              <w:t> </w:t>
            </w:r>
            <w:r>
              <w:rPr>
                <w:sz w:val="20"/>
              </w:rPr>
              <w:t>should</w:t>
            </w:r>
            <w:r>
              <w:rPr>
                <w:spacing w:val="-3"/>
                <w:sz w:val="20"/>
              </w:rPr>
              <w:t> </w:t>
            </w:r>
            <w:r>
              <w:rPr>
                <w:sz w:val="20"/>
              </w:rPr>
              <w:t>be</w:t>
            </w:r>
            <w:r>
              <w:rPr>
                <w:spacing w:val="-6"/>
                <w:sz w:val="20"/>
              </w:rPr>
              <w:t> </w:t>
            </w:r>
            <w:r>
              <w:rPr>
                <w:sz w:val="20"/>
              </w:rPr>
              <w:t>worn</w:t>
            </w:r>
            <w:r>
              <w:rPr>
                <w:spacing w:val="-5"/>
                <w:sz w:val="20"/>
              </w:rPr>
              <w:t> </w:t>
            </w:r>
            <w:r>
              <w:rPr>
                <w:sz w:val="20"/>
              </w:rPr>
              <w:t>by</w:t>
            </w:r>
            <w:r>
              <w:rPr>
                <w:spacing w:val="-4"/>
                <w:sz w:val="20"/>
              </w:rPr>
              <w:t> </w:t>
            </w:r>
            <w:r>
              <w:rPr>
                <w:sz w:val="20"/>
              </w:rPr>
              <w:t>the</w:t>
            </w:r>
            <w:r>
              <w:rPr>
                <w:spacing w:val="-6"/>
                <w:sz w:val="20"/>
              </w:rPr>
              <w:t> </w:t>
            </w:r>
            <w:r>
              <w:rPr>
                <w:sz w:val="20"/>
              </w:rPr>
              <w:t>shooter</w:t>
            </w:r>
            <w:r>
              <w:rPr>
                <w:spacing w:val="-5"/>
                <w:sz w:val="20"/>
              </w:rPr>
              <w:t> </w:t>
            </w:r>
            <w:r>
              <w:rPr>
                <w:sz w:val="20"/>
              </w:rPr>
              <w:t>and</w:t>
            </w:r>
            <w:r>
              <w:rPr>
                <w:spacing w:val="-4"/>
                <w:sz w:val="20"/>
              </w:rPr>
              <w:t> </w:t>
            </w:r>
            <w:r>
              <w:rPr>
                <w:sz w:val="20"/>
              </w:rPr>
              <w:t>others in the immediate vicinity of the shooter. Repeated exposure to firearm noise can cause irreversible hearing damage.</w:t>
            </w:r>
          </w:p>
          <w:p>
            <w:pPr>
              <w:pStyle w:val="TableParagraph"/>
              <w:spacing w:before="80"/>
              <w:ind w:left="376"/>
              <w:rPr>
                <w:sz w:val="20"/>
              </w:rPr>
            </w:pPr>
            <w:r>
              <w:rPr>
                <w:sz w:val="20"/>
              </w:rPr>
              <w:t>Safety</w:t>
            </w:r>
            <w:r>
              <w:rPr>
                <w:spacing w:val="-5"/>
                <w:sz w:val="20"/>
              </w:rPr>
              <w:t> </w:t>
            </w:r>
            <w:r>
              <w:rPr>
                <w:sz w:val="20"/>
              </w:rPr>
              <w:t>glasses</w:t>
            </w:r>
            <w:r>
              <w:rPr>
                <w:spacing w:val="-5"/>
                <w:sz w:val="20"/>
              </w:rPr>
              <w:t> </w:t>
            </w:r>
            <w:r>
              <w:rPr>
                <w:sz w:val="20"/>
              </w:rPr>
              <w:t>are</w:t>
            </w:r>
            <w:r>
              <w:rPr>
                <w:spacing w:val="-6"/>
                <w:sz w:val="20"/>
              </w:rPr>
              <w:t> </w:t>
            </w:r>
            <w:r>
              <w:rPr>
                <w:sz w:val="20"/>
              </w:rPr>
              <w:t>recommended</w:t>
            </w:r>
            <w:r>
              <w:rPr>
                <w:spacing w:val="-6"/>
                <w:sz w:val="20"/>
              </w:rPr>
              <w:t> </w:t>
            </w:r>
            <w:r>
              <w:rPr>
                <w:sz w:val="20"/>
              </w:rPr>
              <w:t>to</w:t>
            </w:r>
            <w:r>
              <w:rPr>
                <w:spacing w:val="-4"/>
                <w:sz w:val="20"/>
              </w:rPr>
              <w:t> </w:t>
            </w:r>
            <w:r>
              <w:rPr>
                <w:sz w:val="20"/>
              </w:rPr>
              <w:t>protect</w:t>
            </w:r>
            <w:r>
              <w:rPr>
                <w:spacing w:val="-6"/>
                <w:sz w:val="20"/>
              </w:rPr>
              <w:t> </w:t>
            </w:r>
            <w:r>
              <w:rPr>
                <w:sz w:val="20"/>
              </w:rPr>
              <w:t>eyes</w:t>
            </w:r>
            <w:r>
              <w:rPr>
                <w:spacing w:val="-5"/>
                <w:sz w:val="20"/>
              </w:rPr>
              <w:t> </w:t>
            </w:r>
            <w:r>
              <w:rPr>
                <w:sz w:val="20"/>
              </w:rPr>
              <w:t>from</w:t>
            </w:r>
            <w:r>
              <w:rPr>
                <w:spacing w:val="-2"/>
                <w:sz w:val="20"/>
              </w:rPr>
              <w:t> </w:t>
            </w:r>
            <w:r>
              <w:rPr>
                <w:sz w:val="20"/>
              </w:rPr>
              <w:t>gases,</w:t>
            </w:r>
            <w:r>
              <w:rPr>
                <w:spacing w:val="-6"/>
                <w:sz w:val="20"/>
              </w:rPr>
              <w:t> </w:t>
            </w:r>
            <w:r>
              <w:rPr>
                <w:sz w:val="20"/>
              </w:rPr>
              <w:t>metal fragments and other particles.</w:t>
            </w:r>
          </w:p>
          <w:p>
            <w:pPr>
              <w:pStyle w:val="TableParagraph"/>
              <w:spacing w:before="80"/>
              <w:ind w:left="376" w:right="168"/>
              <w:rPr>
                <w:sz w:val="20"/>
              </w:rPr>
            </w:pPr>
            <w:r>
              <w:rPr>
                <w:sz w:val="20"/>
              </w:rPr>
              <w:t>Feral</w:t>
            </w:r>
            <w:r>
              <w:rPr>
                <w:spacing w:val="-4"/>
                <w:sz w:val="20"/>
              </w:rPr>
              <w:t> </w:t>
            </w:r>
            <w:r>
              <w:rPr>
                <w:sz w:val="20"/>
              </w:rPr>
              <w:t>Pigs</w:t>
            </w:r>
            <w:r>
              <w:rPr>
                <w:spacing w:val="-2"/>
                <w:sz w:val="20"/>
              </w:rPr>
              <w:t> </w:t>
            </w:r>
            <w:r>
              <w:rPr>
                <w:sz w:val="20"/>
              </w:rPr>
              <w:t>–</w:t>
            </w:r>
            <w:r>
              <w:rPr>
                <w:spacing w:val="-5"/>
                <w:sz w:val="20"/>
              </w:rPr>
              <w:t> </w:t>
            </w:r>
            <w:r>
              <w:rPr>
                <w:sz w:val="20"/>
              </w:rPr>
              <w:t>Care</w:t>
            </w:r>
            <w:r>
              <w:rPr>
                <w:spacing w:val="-3"/>
                <w:sz w:val="20"/>
              </w:rPr>
              <w:t> </w:t>
            </w:r>
            <w:r>
              <w:rPr>
                <w:sz w:val="20"/>
              </w:rPr>
              <w:t>must</w:t>
            </w:r>
            <w:r>
              <w:rPr>
                <w:spacing w:val="-3"/>
                <w:sz w:val="20"/>
              </w:rPr>
              <w:t> </w:t>
            </w:r>
            <w:r>
              <w:rPr>
                <w:sz w:val="20"/>
              </w:rPr>
              <w:t>be</w:t>
            </w:r>
            <w:r>
              <w:rPr>
                <w:spacing w:val="-6"/>
                <w:sz w:val="20"/>
              </w:rPr>
              <w:t> </w:t>
            </w:r>
            <w:r>
              <w:rPr>
                <w:sz w:val="20"/>
              </w:rPr>
              <w:t>taken</w:t>
            </w:r>
            <w:r>
              <w:rPr>
                <w:spacing w:val="-6"/>
                <w:sz w:val="20"/>
              </w:rPr>
              <w:t> </w:t>
            </w:r>
            <w:r>
              <w:rPr>
                <w:sz w:val="20"/>
              </w:rPr>
              <w:t>when</w:t>
            </w:r>
            <w:r>
              <w:rPr>
                <w:spacing w:val="-4"/>
                <w:sz w:val="20"/>
              </w:rPr>
              <w:t> </w:t>
            </w:r>
            <w:r>
              <w:rPr>
                <w:sz w:val="20"/>
              </w:rPr>
              <w:t>handling</w:t>
            </w:r>
            <w:r>
              <w:rPr>
                <w:spacing w:val="-3"/>
                <w:sz w:val="20"/>
              </w:rPr>
              <w:t> </w:t>
            </w:r>
            <w:r>
              <w:rPr>
                <w:sz w:val="20"/>
              </w:rPr>
              <w:t>pig</w:t>
            </w:r>
            <w:r>
              <w:rPr>
                <w:spacing w:val="-5"/>
                <w:sz w:val="20"/>
              </w:rPr>
              <w:t> </w:t>
            </w:r>
            <w:r>
              <w:rPr>
                <w:sz w:val="20"/>
              </w:rPr>
              <w:t>carcasses because they may carry diseases such as leptospirosis, Q fever, brucellosis, sparganosis, melioidosis and tuberculosis that can affect humans and other animals. Carcasses can be heavy (&gt;100 kg), so care must be taken when lifting/dragging.</w:t>
            </w:r>
          </w:p>
        </w:tc>
      </w:tr>
    </w:tbl>
    <w:p>
      <w:pPr>
        <w:spacing w:after="0"/>
        <w:rPr>
          <w:sz w:val="20"/>
        </w:rPr>
        <w:sectPr>
          <w:pgSz w:w="11910" w:h="16850"/>
          <w:pgMar w:header="0" w:footer="688" w:top="1100" w:bottom="880" w:left="1020" w:right="780"/>
        </w:sectPr>
      </w:pPr>
    </w:p>
    <w:p>
      <w:pPr>
        <w:pStyle w:val="BodyText"/>
        <w:spacing w:before="4"/>
        <w:rPr>
          <w:b/>
          <w:sz w:val="2"/>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1"/>
        <w:gridCol w:w="6627"/>
      </w:tblGrid>
      <w:tr>
        <w:trPr>
          <w:trHeight w:val="350" w:hRule="atLeast"/>
        </w:trPr>
        <w:tc>
          <w:tcPr>
            <w:tcW w:w="3271" w:type="dxa"/>
            <w:tcBorders>
              <w:bottom w:val="single" w:sz="4" w:space="0" w:color="000000"/>
            </w:tcBorders>
            <w:shd w:val="clear" w:color="auto" w:fill="004B96"/>
          </w:tcPr>
          <w:p>
            <w:pPr>
              <w:pStyle w:val="TableParagraph"/>
              <w:spacing w:before="59"/>
              <w:ind w:left="116"/>
              <w:rPr>
                <w:b/>
                <w:sz w:val="20"/>
              </w:rPr>
            </w:pPr>
            <w:r>
              <w:rPr>
                <w:b/>
                <w:color w:val="FFFFFF"/>
                <w:spacing w:val="-2"/>
                <w:sz w:val="20"/>
              </w:rPr>
              <w:t>Method</w:t>
            </w:r>
          </w:p>
        </w:tc>
        <w:tc>
          <w:tcPr>
            <w:tcW w:w="6627" w:type="dxa"/>
            <w:tcBorders>
              <w:bottom w:val="single" w:sz="4" w:space="0" w:color="000000"/>
            </w:tcBorders>
            <w:shd w:val="clear" w:color="auto" w:fill="004B96"/>
          </w:tcPr>
          <w:p>
            <w:pPr>
              <w:pStyle w:val="TableParagraph"/>
              <w:spacing w:before="59"/>
              <w:ind w:left="131"/>
              <w:rPr>
                <w:b/>
                <w:sz w:val="20"/>
              </w:rPr>
            </w:pPr>
            <w:r>
              <w:rPr>
                <w:b/>
                <w:color w:val="FFFFFF"/>
                <w:sz w:val="20"/>
              </w:rPr>
              <w:t>Occupational</w:t>
            </w:r>
            <w:r>
              <w:rPr>
                <w:b/>
                <w:color w:val="FFFFFF"/>
                <w:spacing w:val="-9"/>
                <w:sz w:val="20"/>
              </w:rPr>
              <w:t> </w:t>
            </w:r>
            <w:r>
              <w:rPr>
                <w:b/>
                <w:color w:val="FFFFFF"/>
                <w:sz w:val="20"/>
              </w:rPr>
              <w:t>Health</w:t>
            </w:r>
            <w:r>
              <w:rPr>
                <w:b/>
                <w:color w:val="FFFFFF"/>
                <w:spacing w:val="-8"/>
                <w:sz w:val="20"/>
              </w:rPr>
              <w:t> </w:t>
            </w:r>
            <w:r>
              <w:rPr>
                <w:b/>
                <w:color w:val="FFFFFF"/>
                <w:sz w:val="20"/>
              </w:rPr>
              <w:t>and</w:t>
            </w:r>
            <w:r>
              <w:rPr>
                <w:b/>
                <w:color w:val="FFFFFF"/>
                <w:spacing w:val="-6"/>
                <w:sz w:val="20"/>
              </w:rPr>
              <w:t> </w:t>
            </w:r>
            <w:r>
              <w:rPr>
                <w:b/>
                <w:color w:val="FFFFFF"/>
                <w:sz w:val="20"/>
              </w:rPr>
              <w:t>Safety</w:t>
            </w:r>
            <w:r>
              <w:rPr>
                <w:b/>
                <w:color w:val="FFFFFF"/>
                <w:spacing w:val="-7"/>
                <w:sz w:val="20"/>
              </w:rPr>
              <w:t> </w:t>
            </w:r>
            <w:r>
              <w:rPr>
                <w:b/>
                <w:color w:val="FFFFFF"/>
                <w:spacing w:val="-2"/>
                <w:sz w:val="20"/>
              </w:rPr>
              <w:t>considerations</w:t>
            </w:r>
          </w:p>
        </w:tc>
      </w:tr>
      <w:tr>
        <w:trPr>
          <w:trHeight w:val="8415" w:hRule="atLeast"/>
        </w:trPr>
        <w:tc>
          <w:tcPr>
            <w:tcW w:w="3271" w:type="dxa"/>
            <w:tcBorders>
              <w:top w:val="single" w:sz="4" w:space="0" w:color="000000"/>
              <w:bottom w:val="single" w:sz="4" w:space="0" w:color="000000"/>
            </w:tcBorders>
          </w:tcPr>
          <w:p>
            <w:pPr>
              <w:pStyle w:val="TableParagraph"/>
              <w:rPr>
                <w:rFonts w:ascii="Times New Roman"/>
                <w:sz w:val="18"/>
              </w:rPr>
            </w:pPr>
          </w:p>
        </w:tc>
        <w:tc>
          <w:tcPr>
            <w:tcW w:w="6627" w:type="dxa"/>
            <w:tcBorders>
              <w:top w:val="single" w:sz="4" w:space="0" w:color="000000"/>
              <w:bottom w:val="single" w:sz="4" w:space="0" w:color="000000"/>
            </w:tcBorders>
          </w:tcPr>
          <w:p>
            <w:pPr>
              <w:pStyle w:val="TableParagraph"/>
              <w:spacing w:before="9"/>
              <w:ind w:left="131" w:right="122"/>
              <w:rPr>
                <w:sz w:val="20"/>
              </w:rPr>
            </w:pPr>
            <w:r>
              <w:rPr>
                <w:sz w:val="20"/>
              </w:rPr>
              <w:t>Dingoes</w:t>
            </w:r>
            <w:r>
              <w:rPr>
                <w:spacing w:val="-4"/>
                <w:sz w:val="20"/>
              </w:rPr>
              <w:t> </w:t>
            </w:r>
            <w:r>
              <w:rPr>
                <w:sz w:val="20"/>
              </w:rPr>
              <w:t>and</w:t>
            </w:r>
            <w:r>
              <w:rPr>
                <w:spacing w:val="-3"/>
                <w:sz w:val="20"/>
              </w:rPr>
              <w:t> </w:t>
            </w:r>
            <w:r>
              <w:rPr>
                <w:sz w:val="20"/>
              </w:rPr>
              <w:t>Wild</w:t>
            </w:r>
            <w:r>
              <w:rPr>
                <w:spacing w:val="-3"/>
                <w:sz w:val="20"/>
              </w:rPr>
              <w:t> </w:t>
            </w:r>
            <w:r>
              <w:rPr>
                <w:sz w:val="20"/>
              </w:rPr>
              <w:t>Dogs</w:t>
            </w:r>
            <w:r>
              <w:rPr>
                <w:spacing w:val="-3"/>
                <w:sz w:val="20"/>
              </w:rPr>
              <w:t> </w:t>
            </w:r>
            <w:r>
              <w:rPr>
                <w:sz w:val="20"/>
              </w:rPr>
              <w:t>–</w:t>
            </w:r>
            <w:r>
              <w:rPr>
                <w:spacing w:val="-1"/>
                <w:sz w:val="20"/>
              </w:rPr>
              <w:t> </w:t>
            </w:r>
            <w:r>
              <w:rPr>
                <w:sz w:val="20"/>
              </w:rPr>
              <w:t>Care</w:t>
            </w:r>
            <w:r>
              <w:rPr>
                <w:spacing w:val="-5"/>
                <w:sz w:val="20"/>
              </w:rPr>
              <w:t> </w:t>
            </w:r>
            <w:r>
              <w:rPr>
                <w:sz w:val="20"/>
              </w:rPr>
              <w:t>must</w:t>
            </w:r>
            <w:r>
              <w:rPr>
                <w:spacing w:val="-5"/>
                <w:sz w:val="20"/>
              </w:rPr>
              <w:t> </w:t>
            </w:r>
            <w:r>
              <w:rPr>
                <w:sz w:val="20"/>
              </w:rPr>
              <w:t>be</w:t>
            </w:r>
            <w:r>
              <w:rPr>
                <w:spacing w:val="-3"/>
                <w:sz w:val="20"/>
              </w:rPr>
              <w:t> </w:t>
            </w:r>
            <w:r>
              <w:rPr>
                <w:sz w:val="20"/>
              </w:rPr>
              <w:t>taken</w:t>
            </w:r>
            <w:r>
              <w:rPr>
                <w:spacing w:val="-4"/>
                <w:sz w:val="20"/>
              </w:rPr>
              <w:t> </w:t>
            </w:r>
            <w:r>
              <w:rPr>
                <w:sz w:val="20"/>
              </w:rPr>
              <w:t>when</w:t>
            </w:r>
            <w:r>
              <w:rPr>
                <w:spacing w:val="-5"/>
                <w:sz w:val="20"/>
              </w:rPr>
              <w:t> </w:t>
            </w:r>
            <w:r>
              <w:rPr>
                <w:sz w:val="20"/>
              </w:rPr>
              <w:t>handling</w:t>
            </w:r>
            <w:r>
              <w:rPr>
                <w:spacing w:val="-5"/>
                <w:sz w:val="20"/>
              </w:rPr>
              <w:t> </w:t>
            </w:r>
            <w:r>
              <w:rPr>
                <w:sz w:val="20"/>
              </w:rPr>
              <w:t>carcasses as they may carry diseases such as hydatidosis and sarcoptic mange that can affect humans and other animals. An animal with obvious mange should only be handled while wearing gloves.</w:t>
            </w:r>
          </w:p>
          <w:p>
            <w:pPr>
              <w:pStyle w:val="TableParagraph"/>
              <w:spacing w:before="81"/>
              <w:ind w:left="131"/>
              <w:rPr>
                <w:b/>
                <w:i/>
                <w:sz w:val="20"/>
              </w:rPr>
            </w:pPr>
            <w:r>
              <w:rPr>
                <w:b/>
                <w:i/>
                <w:sz w:val="20"/>
              </w:rPr>
              <w:t>Aerial</w:t>
            </w:r>
            <w:r>
              <w:rPr>
                <w:b/>
                <w:i/>
                <w:spacing w:val="-10"/>
                <w:sz w:val="20"/>
              </w:rPr>
              <w:t> </w:t>
            </w:r>
            <w:r>
              <w:rPr>
                <w:b/>
                <w:i/>
                <w:spacing w:val="-2"/>
                <w:sz w:val="20"/>
              </w:rPr>
              <w:t>shooting</w:t>
            </w:r>
          </w:p>
          <w:p>
            <w:pPr>
              <w:pStyle w:val="TableParagraph"/>
              <w:spacing w:before="80"/>
              <w:ind w:left="131" w:right="122"/>
              <w:rPr>
                <w:sz w:val="20"/>
              </w:rPr>
            </w:pPr>
            <w:r>
              <w:rPr>
                <w:sz w:val="20"/>
              </w:rPr>
              <w:t>Shooting from a helicopter can be hazardous, particularly in rugged areas.</w:t>
            </w:r>
            <w:r>
              <w:rPr>
                <w:spacing w:val="-6"/>
                <w:sz w:val="20"/>
              </w:rPr>
              <w:t> </w:t>
            </w:r>
            <w:r>
              <w:rPr>
                <w:sz w:val="20"/>
              </w:rPr>
              <w:t>The</w:t>
            </w:r>
            <w:r>
              <w:rPr>
                <w:spacing w:val="-4"/>
                <w:sz w:val="20"/>
              </w:rPr>
              <w:t> </w:t>
            </w:r>
            <w:r>
              <w:rPr>
                <w:sz w:val="20"/>
              </w:rPr>
              <w:t>combination</w:t>
            </w:r>
            <w:r>
              <w:rPr>
                <w:spacing w:val="-7"/>
                <w:sz w:val="20"/>
              </w:rPr>
              <w:t> </w:t>
            </w:r>
            <w:r>
              <w:rPr>
                <w:sz w:val="20"/>
              </w:rPr>
              <w:t>of</w:t>
            </w:r>
            <w:r>
              <w:rPr>
                <w:spacing w:val="-6"/>
                <w:sz w:val="20"/>
              </w:rPr>
              <w:t> </w:t>
            </w:r>
            <w:r>
              <w:rPr>
                <w:sz w:val="20"/>
              </w:rPr>
              <w:t>low-level</w:t>
            </w:r>
            <w:r>
              <w:rPr>
                <w:spacing w:val="-7"/>
                <w:sz w:val="20"/>
              </w:rPr>
              <w:t> </w:t>
            </w:r>
            <w:r>
              <w:rPr>
                <w:sz w:val="20"/>
              </w:rPr>
              <w:t>flight,</w:t>
            </w:r>
            <w:r>
              <w:rPr>
                <w:spacing w:val="-4"/>
                <w:sz w:val="20"/>
              </w:rPr>
              <w:t> </w:t>
            </w:r>
            <w:r>
              <w:rPr>
                <w:sz w:val="20"/>
              </w:rPr>
              <w:t>proximity</w:t>
            </w:r>
            <w:r>
              <w:rPr>
                <w:spacing w:val="-5"/>
                <w:sz w:val="20"/>
              </w:rPr>
              <w:t> </w:t>
            </w:r>
            <w:r>
              <w:rPr>
                <w:sz w:val="20"/>
              </w:rPr>
              <w:t>to</w:t>
            </w:r>
            <w:r>
              <w:rPr>
                <w:spacing w:val="-5"/>
                <w:sz w:val="20"/>
              </w:rPr>
              <w:t> </w:t>
            </w:r>
            <w:r>
              <w:rPr>
                <w:sz w:val="20"/>
              </w:rPr>
              <w:t>obstacles</w:t>
            </w:r>
            <w:r>
              <w:rPr>
                <w:spacing w:val="-5"/>
                <w:sz w:val="20"/>
              </w:rPr>
              <w:t> </w:t>
            </w:r>
            <w:r>
              <w:rPr>
                <w:sz w:val="20"/>
              </w:rPr>
              <w:t>(trees, rocks, wires), and</w:t>
            </w:r>
            <w:r>
              <w:rPr>
                <w:spacing w:val="-1"/>
                <w:sz w:val="20"/>
              </w:rPr>
              <w:t> </w:t>
            </w:r>
            <w:r>
              <w:rPr>
                <w:sz w:val="20"/>
              </w:rPr>
              <w:t>the use of firearms makes this activity high-risk. The risks are mitigated through:</w:t>
            </w:r>
          </w:p>
          <w:p>
            <w:pPr>
              <w:pStyle w:val="TableParagraph"/>
              <w:numPr>
                <w:ilvl w:val="0"/>
                <w:numId w:val="29"/>
              </w:numPr>
              <w:tabs>
                <w:tab w:pos="851" w:val="left" w:leader="none"/>
              </w:tabs>
              <w:spacing w:line="240" w:lineRule="auto" w:before="81" w:after="0"/>
              <w:ind w:left="851" w:right="446" w:hanging="360"/>
              <w:jc w:val="left"/>
              <w:rPr>
                <w:sz w:val="20"/>
              </w:rPr>
            </w:pPr>
            <w:r>
              <w:rPr>
                <w:sz w:val="20"/>
              </w:rPr>
              <w:t>adhering</w:t>
            </w:r>
            <w:r>
              <w:rPr>
                <w:spacing w:val="-6"/>
                <w:sz w:val="20"/>
              </w:rPr>
              <w:t> </w:t>
            </w:r>
            <w:r>
              <w:rPr>
                <w:sz w:val="20"/>
              </w:rPr>
              <w:t>to</w:t>
            </w:r>
            <w:r>
              <w:rPr>
                <w:spacing w:val="-7"/>
                <w:sz w:val="20"/>
              </w:rPr>
              <w:t> </w:t>
            </w:r>
            <w:r>
              <w:rPr>
                <w:sz w:val="20"/>
              </w:rPr>
              <w:t>an</w:t>
            </w:r>
            <w:r>
              <w:rPr>
                <w:spacing w:val="-9"/>
                <w:sz w:val="20"/>
              </w:rPr>
              <w:t> </w:t>
            </w:r>
            <w:r>
              <w:rPr>
                <w:sz w:val="20"/>
              </w:rPr>
              <w:t>approved</w:t>
            </w:r>
            <w:r>
              <w:rPr>
                <w:spacing w:val="-8"/>
                <w:sz w:val="20"/>
              </w:rPr>
              <w:t> </w:t>
            </w:r>
            <w:r>
              <w:rPr>
                <w:sz w:val="20"/>
              </w:rPr>
              <w:t>aerial</w:t>
            </w:r>
            <w:r>
              <w:rPr>
                <w:spacing w:val="-9"/>
                <w:sz w:val="20"/>
              </w:rPr>
              <w:t> </w:t>
            </w:r>
            <w:r>
              <w:rPr>
                <w:sz w:val="20"/>
              </w:rPr>
              <w:t>shooting</w:t>
            </w:r>
            <w:r>
              <w:rPr>
                <w:spacing w:val="-6"/>
                <w:sz w:val="20"/>
              </w:rPr>
              <w:t> </w:t>
            </w:r>
            <w:r>
              <w:rPr>
                <w:sz w:val="20"/>
              </w:rPr>
              <w:t>safety</w:t>
            </w:r>
            <w:r>
              <w:rPr>
                <w:spacing w:val="-7"/>
                <w:sz w:val="20"/>
              </w:rPr>
              <w:t> </w:t>
            </w:r>
            <w:r>
              <w:rPr>
                <w:sz w:val="20"/>
              </w:rPr>
              <w:t>management plan or similar jurisdictional documents</w:t>
            </w:r>
          </w:p>
          <w:p>
            <w:pPr>
              <w:pStyle w:val="TableParagraph"/>
              <w:numPr>
                <w:ilvl w:val="0"/>
                <w:numId w:val="29"/>
              </w:numPr>
              <w:tabs>
                <w:tab w:pos="851" w:val="left" w:leader="none"/>
              </w:tabs>
              <w:spacing w:line="240" w:lineRule="auto" w:before="77" w:after="0"/>
              <w:ind w:left="851" w:right="235" w:hanging="360"/>
              <w:jc w:val="left"/>
              <w:rPr>
                <w:sz w:val="20"/>
              </w:rPr>
            </w:pPr>
            <w:r>
              <w:rPr>
                <w:sz w:val="20"/>
              </w:rPr>
              <w:t>appropriate</w:t>
            </w:r>
            <w:r>
              <w:rPr>
                <w:spacing w:val="-8"/>
                <w:sz w:val="20"/>
              </w:rPr>
              <w:t> </w:t>
            </w:r>
            <w:r>
              <w:rPr>
                <w:sz w:val="20"/>
              </w:rPr>
              <w:t>training</w:t>
            </w:r>
            <w:r>
              <w:rPr>
                <w:spacing w:val="-7"/>
                <w:sz w:val="20"/>
              </w:rPr>
              <w:t> </w:t>
            </w:r>
            <w:r>
              <w:rPr>
                <w:sz w:val="20"/>
              </w:rPr>
              <w:t>and</w:t>
            </w:r>
            <w:r>
              <w:rPr>
                <w:spacing w:val="-6"/>
                <w:sz w:val="20"/>
              </w:rPr>
              <w:t> </w:t>
            </w:r>
            <w:r>
              <w:rPr>
                <w:sz w:val="20"/>
              </w:rPr>
              <w:t>experience</w:t>
            </w:r>
            <w:r>
              <w:rPr>
                <w:spacing w:val="-8"/>
                <w:sz w:val="20"/>
              </w:rPr>
              <w:t> </w:t>
            </w:r>
            <w:r>
              <w:rPr>
                <w:sz w:val="20"/>
              </w:rPr>
              <w:t>of</w:t>
            </w:r>
            <w:r>
              <w:rPr>
                <w:spacing w:val="-6"/>
                <w:sz w:val="20"/>
              </w:rPr>
              <w:t> </w:t>
            </w:r>
            <w:r>
              <w:rPr>
                <w:sz w:val="20"/>
              </w:rPr>
              <w:t>all</w:t>
            </w:r>
            <w:r>
              <w:rPr>
                <w:spacing w:val="-8"/>
                <w:sz w:val="20"/>
              </w:rPr>
              <w:t> </w:t>
            </w:r>
            <w:r>
              <w:rPr>
                <w:sz w:val="20"/>
              </w:rPr>
              <w:t>personnel</w:t>
            </w:r>
            <w:r>
              <w:rPr>
                <w:spacing w:val="-8"/>
                <w:sz w:val="20"/>
              </w:rPr>
              <w:t> </w:t>
            </w:r>
            <w:r>
              <w:rPr>
                <w:sz w:val="20"/>
              </w:rPr>
              <w:t>(helicopter crew and shooter)</w:t>
            </w:r>
          </w:p>
          <w:p>
            <w:pPr>
              <w:pStyle w:val="TableParagraph"/>
              <w:numPr>
                <w:ilvl w:val="0"/>
                <w:numId w:val="29"/>
              </w:numPr>
              <w:tabs>
                <w:tab w:pos="851" w:val="left" w:leader="none"/>
              </w:tabs>
              <w:spacing w:line="240" w:lineRule="auto" w:before="80" w:after="0"/>
              <w:ind w:left="851" w:right="499" w:hanging="360"/>
              <w:jc w:val="left"/>
              <w:rPr>
                <w:sz w:val="20"/>
              </w:rPr>
            </w:pPr>
            <w:r>
              <w:rPr>
                <w:sz w:val="20"/>
              </w:rPr>
              <w:t>approval from landholders to undertake shooting on their property,</w:t>
            </w:r>
            <w:r>
              <w:rPr>
                <w:spacing w:val="-7"/>
                <w:sz w:val="20"/>
              </w:rPr>
              <w:t> </w:t>
            </w:r>
            <w:r>
              <w:rPr>
                <w:sz w:val="20"/>
              </w:rPr>
              <w:t>reminders</w:t>
            </w:r>
            <w:r>
              <w:rPr>
                <w:spacing w:val="-6"/>
                <w:sz w:val="20"/>
              </w:rPr>
              <w:t> </w:t>
            </w:r>
            <w:r>
              <w:rPr>
                <w:sz w:val="20"/>
              </w:rPr>
              <w:t>to</w:t>
            </w:r>
            <w:r>
              <w:rPr>
                <w:spacing w:val="-6"/>
                <w:sz w:val="20"/>
              </w:rPr>
              <w:t> </w:t>
            </w:r>
            <w:r>
              <w:rPr>
                <w:sz w:val="20"/>
              </w:rPr>
              <w:t>landholders</w:t>
            </w:r>
            <w:r>
              <w:rPr>
                <w:spacing w:val="-6"/>
                <w:sz w:val="20"/>
              </w:rPr>
              <w:t> </w:t>
            </w:r>
            <w:r>
              <w:rPr>
                <w:sz w:val="20"/>
              </w:rPr>
              <w:t>of</w:t>
            </w:r>
            <w:r>
              <w:rPr>
                <w:spacing w:val="-7"/>
                <w:sz w:val="20"/>
              </w:rPr>
              <w:t> </w:t>
            </w:r>
            <w:r>
              <w:rPr>
                <w:sz w:val="20"/>
              </w:rPr>
              <w:t>when</w:t>
            </w:r>
            <w:r>
              <w:rPr>
                <w:spacing w:val="-5"/>
                <w:sz w:val="20"/>
              </w:rPr>
              <w:t> </w:t>
            </w:r>
            <w:r>
              <w:rPr>
                <w:sz w:val="20"/>
              </w:rPr>
              <w:t>the</w:t>
            </w:r>
            <w:r>
              <w:rPr>
                <w:spacing w:val="-5"/>
                <w:sz w:val="20"/>
              </w:rPr>
              <w:t> </w:t>
            </w:r>
            <w:r>
              <w:rPr>
                <w:sz w:val="20"/>
              </w:rPr>
              <w:t>shooting</w:t>
            </w:r>
            <w:r>
              <w:rPr>
                <w:spacing w:val="-7"/>
                <w:sz w:val="20"/>
              </w:rPr>
              <w:t> </w:t>
            </w:r>
            <w:r>
              <w:rPr>
                <w:sz w:val="20"/>
              </w:rPr>
              <w:t>will occur, and notifying neighbours</w:t>
            </w:r>
          </w:p>
          <w:p>
            <w:pPr>
              <w:pStyle w:val="TableParagraph"/>
              <w:numPr>
                <w:ilvl w:val="0"/>
                <w:numId w:val="29"/>
              </w:numPr>
              <w:tabs>
                <w:tab w:pos="851" w:val="left" w:leader="none"/>
              </w:tabs>
              <w:spacing w:line="240" w:lineRule="auto" w:before="78" w:after="0"/>
              <w:ind w:left="851" w:right="0" w:hanging="360"/>
              <w:jc w:val="left"/>
              <w:rPr>
                <w:sz w:val="20"/>
              </w:rPr>
            </w:pPr>
            <w:r>
              <w:rPr>
                <w:sz w:val="20"/>
              </w:rPr>
              <w:t>mapping</w:t>
            </w:r>
            <w:r>
              <w:rPr>
                <w:spacing w:val="-7"/>
                <w:sz w:val="20"/>
              </w:rPr>
              <w:t> </w:t>
            </w:r>
            <w:r>
              <w:rPr>
                <w:sz w:val="20"/>
              </w:rPr>
              <w:t>of</w:t>
            </w:r>
            <w:r>
              <w:rPr>
                <w:spacing w:val="-5"/>
                <w:sz w:val="20"/>
              </w:rPr>
              <w:t> </w:t>
            </w:r>
            <w:r>
              <w:rPr>
                <w:sz w:val="20"/>
              </w:rPr>
              <w:t>the</w:t>
            </w:r>
            <w:r>
              <w:rPr>
                <w:spacing w:val="-5"/>
                <w:sz w:val="20"/>
              </w:rPr>
              <w:t> </w:t>
            </w:r>
            <w:r>
              <w:rPr>
                <w:sz w:val="20"/>
              </w:rPr>
              <w:t>shooting</w:t>
            </w:r>
            <w:r>
              <w:rPr>
                <w:spacing w:val="-7"/>
                <w:sz w:val="20"/>
              </w:rPr>
              <w:t> </w:t>
            </w:r>
            <w:r>
              <w:rPr>
                <w:sz w:val="20"/>
              </w:rPr>
              <w:t>zone,</w:t>
            </w:r>
            <w:r>
              <w:rPr>
                <w:spacing w:val="-7"/>
                <w:sz w:val="20"/>
              </w:rPr>
              <w:t> </w:t>
            </w:r>
            <w:r>
              <w:rPr>
                <w:sz w:val="20"/>
              </w:rPr>
              <w:t>buffers,</w:t>
            </w:r>
            <w:r>
              <w:rPr>
                <w:spacing w:val="-7"/>
                <w:sz w:val="20"/>
              </w:rPr>
              <w:t> </w:t>
            </w:r>
            <w:r>
              <w:rPr>
                <w:sz w:val="20"/>
              </w:rPr>
              <w:t>and</w:t>
            </w:r>
            <w:r>
              <w:rPr>
                <w:spacing w:val="-6"/>
                <w:sz w:val="20"/>
              </w:rPr>
              <w:t> </w:t>
            </w:r>
            <w:r>
              <w:rPr>
                <w:sz w:val="20"/>
              </w:rPr>
              <w:t>no-shoot</w:t>
            </w:r>
            <w:r>
              <w:rPr>
                <w:spacing w:val="-7"/>
                <w:sz w:val="20"/>
              </w:rPr>
              <w:t> </w:t>
            </w:r>
            <w:r>
              <w:rPr>
                <w:spacing w:val="-4"/>
                <w:sz w:val="20"/>
              </w:rPr>
              <w:t>zones</w:t>
            </w:r>
          </w:p>
          <w:p>
            <w:pPr>
              <w:pStyle w:val="TableParagraph"/>
              <w:numPr>
                <w:ilvl w:val="0"/>
                <w:numId w:val="29"/>
              </w:numPr>
              <w:tabs>
                <w:tab w:pos="851" w:val="left" w:leader="none"/>
              </w:tabs>
              <w:spacing w:line="240" w:lineRule="auto" w:before="79" w:after="0"/>
              <w:ind w:left="851" w:right="0" w:hanging="360"/>
              <w:jc w:val="left"/>
              <w:rPr>
                <w:sz w:val="20"/>
              </w:rPr>
            </w:pPr>
            <w:r>
              <w:rPr>
                <w:sz w:val="20"/>
              </w:rPr>
              <w:t>clear</w:t>
            </w:r>
            <w:r>
              <w:rPr>
                <w:spacing w:val="-9"/>
                <w:sz w:val="20"/>
              </w:rPr>
              <w:t> </w:t>
            </w:r>
            <w:r>
              <w:rPr>
                <w:sz w:val="20"/>
              </w:rPr>
              <w:t>communication</w:t>
            </w:r>
            <w:r>
              <w:rPr>
                <w:spacing w:val="-9"/>
                <w:sz w:val="20"/>
              </w:rPr>
              <w:t> </w:t>
            </w:r>
            <w:r>
              <w:rPr>
                <w:sz w:val="20"/>
              </w:rPr>
              <w:t>among</w:t>
            </w:r>
            <w:r>
              <w:rPr>
                <w:spacing w:val="-10"/>
                <w:sz w:val="20"/>
              </w:rPr>
              <w:t> </w:t>
            </w:r>
            <w:r>
              <w:rPr>
                <w:sz w:val="20"/>
              </w:rPr>
              <w:t>flight</w:t>
            </w:r>
            <w:r>
              <w:rPr>
                <w:spacing w:val="-10"/>
                <w:sz w:val="20"/>
              </w:rPr>
              <w:t> </w:t>
            </w:r>
            <w:r>
              <w:rPr>
                <w:spacing w:val="-4"/>
                <w:sz w:val="20"/>
              </w:rPr>
              <w:t>crew</w:t>
            </w:r>
          </w:p>
          <w:p>
            <w:pPr>
              <w:pStyle w:val="TableParagraph"/>
              <w:numPr>
                <w:ilvl w:val="0"/>
                <w:numId w:val="29"/>
              </w:numPr>
              <w:tabs>
                <w:tab w:pos="851" w:val="left" w:leader="none"/>
              </w:tabs>
              <w:spacing w:line="240" w:lineRule="auto" w:before="79" w:after="0"/>
              <w:ind w:left="851" w:right="0" w:hanging="360"/>
              <w:jc w:val="left"/>
              <w:rPr>
                <w:sz w:val="20"/>
              </w:rPr>
            </w:pPr>
            <w:r>
              <w:rPr>
                <w:sz w:val="20"/>
              </w:rPr>
              <w:t>daily</w:t>
            </w:r>
            <w:r>
              <w:rPr>
                <w:spacing w:val="-6"/>
                <w:sz w:val="20"/>
              </w:rPr>
              <w:t> </w:t>
            </w:r>
            <w:r>
              <w:rPr>
                <w:sz w:val="20"/>
              </w:rPr>
              <w:t>reviews</w:t>
            </w:r>
            <w:r>
              <w:rPr>
                <w:spacing w:val="-4"/>
                <w:sz w:val="20"/>
              </w:rPr>
              <w:t> </w:t>
            </w:r>
            <w:r>
              <w:rPr>
                <w:sz w:val="20"/>
              </w:rPr>
              <w:t>of</w:t>
            </w:r>
            <w:r>
              <w:rPr>
                <w:spacing w:val="-7"/>
                <w:sz w:val="20"/>
              </w:rPr>
              <w:t> </w:t>
            </w:r>
            <w:r>
              <w:rPr>
                <w:spacing w:val="-2"/>
                <w:sz w:val="20"/>
              </w:rPr>
              <w:t>operations</w:t>
            </w:r>
          </w:p>
          <w:p>
            <w:pPr>
              <w:pStyle w:val="TableParagraph"/>
              <w:numPr>
                <w:ilvl w:val="0"/>
                <w:numId w:val="29"/>
              </w:numPr>
              <w:tabs>
                <w:tab w:pos="851" w:val="left" w:leader="none"/>
              </w:tabs>
              <w:spacing w:line="240" w:lineRule="auto" w:before="76" w:after="0"/>
              <w:ind w:left="851" w:right="0" w:hanging="360"/>
              <w:jc w:val="left"/>
              <w:rPr>
                <w:sz w:val="20"/>
              </w:rPr>
            </w:pPr>
            <w:r>
              <w:rPr>
                <w:sz w:val="20"/>
              </w:rPr>
              <w:t>risk</w:t>
            </w:r>
            <w:r>
              <w:rPr>
                <w:spacing w:val="-9"/>
                <w:sz w:val="20"/>
              </w:rPr>
              <w:t> </w:t>
            </w:r>
            <w:r>
              <w:rPr>
                <w:sz w:val="20"/>
              </w:rPr>
              <w:t>assessments</w:t>
            </w:r>
            <w:r>
              <w:rPr>
                <w:spacing w:val="-9"/>
                <w:sz w:val="20"/>
              </w:rPr>
              <w:t> </w:t>
            </w:r>
            <w:r>
              <w:rPr>
                <w:sz w:val="20"/>
              </w:rPr>
              <w:t>and</w:t>
            </w:r>
            <w:r>
              <w:rPr>
                <w:spacing w:val="-7"/>
                <w:sz w:val="20"/>
              </w:rPr>
              <w:t> </w:t>
            </w:r>
            <w:r>
              <w:rPr>
                <w:sz w:val="20"/>
              </w:rPr>
              <w:t>operational</w:t>
            </w:r>
            <w:r>
              <w:rPr>
                <w:spacing w:val="-11"/>
                <w:sz w:val="20"/>
              </w:rPr>
              <w:t> </w:t>
            </w:r>
            <w:r>
              <w:rPr>
                <w:spacing w:val="-2"/>
                <w:sz w:val="20"/>
              </w:rPr>
              <w:t>reviews.</w:t>
            </w:r>
          </w:p>
          <w:p>
            <w:pPr>
              <w:pStyle w:val="TableParagraph"/>
              <w:spacing w:before="79"/>
              <w:rPr>
                <w:b/>
                <w:sz w:val="20"/>
              </w:rPr>
            </w:pPr>
          </w:p>
          <w:p>
            <w:pPr>
              <w:pStyle w:val="TableParagraph"/>
              <w:ind w:left="131" w:right="224"/>
              <w:rPr>
                <w:sz w:val="20"/>
              </w:rPr>
            </w:pPr>
            <w:r>
              <w:rPr>
                <w:sz w:val="20"/>
              </w:rPr>
              <w:t>Aerial</w:t>
            </w:r>
            <w:r>
              <w:rPr>
                <w:spacing w:val="-7"/>
                <w:sz w:val="20"/>
              </w:rPr>
              <w:t> </w:t>
            </w:r>
            <w:r>
              <w:rPr>
                <w:sz w:val="20"/>
              </w:rPr>
              <w:t>shooting</w:t>
            </w:r>
            <w:r>
              <w:rPr>
                <w:spacing w:val="-5"/>
                <w:sz w:val="20"/>
              </w:rPr>
              <w:t> </w:t>
            </w:r>
            <w:r>
              <w:rPr>
                <w:sz w:val="20"/>
              </w:rPr>
              <w:t>operations</w:t>
            </w:r>
            <w:r>
              <w:rPr>
                <w:spacing w:val="-3"/>
                <w:sz w:val="20"/>
              </w:rPr>
              <w:t> </w:t>
            </w:r>
            <w:r>
              <w:rPr>
                <w:sz w:val="20"/>
              </w:rPr>
              <w:t>must</w:t>
            </w:r>
            <w:r>
              <w:rPr>
                <w:spacing w:val="-6"/>
                <w:sz w:val="20"/>
              </w:rPr>
              <w:t> </w:t>
            </w:r>
            <w:r>
              <w:rPr>
                <w:sz w:val="20"/>
              </w:rPr>
              <w:t>comply</w:t>
            </w:r>
            <w:r>
              <w:rPr>
                <w:spacing w:val="-5"/>
                <w:sz w:val="20"/>
              </w:rPr>
              <w:t> </w:t>
            </w:r>
            <w:r>
              <w:rPr>
                <w:sz w:val="20"/>
              </w:rPr>
              <w:t>with</w:t>
            </w:r>
            <w:r>
              <w:rPr>
                <w:spacing w:val="-7"/>
                <w:sz w:val="20"/>
              </w:rPr>
              <w:t> </w:t>
            </w:r>
            <w:r>
              <w:rPr>
                <w:sz w:val="20"/>
              </w:rPr>
              <w:t>the</w:t>
            </w:r>
            <w:r>
              <w:rPr>
                <w:spacing w:val="-7"/>
                <w:sz w:val="20"/>
              </w:rPr>
              <w:t> </w:t>
            </w:r>
            <w:r>
              <w:rPr>
                <w:sz w:val="20"/>
              </w:rPr>
              <w:t>CASA</w:t>
            </w:r>
            <w:r>
              <w:rPr>
                <w:spacing w:val="-6"/>
                <w:sz w:val="20"/>
              </w:rPr>
              <w:t> </w:t>
            </w:r>
            <w:r>
              <w:rPr>
                <w:sz w:val="20"/>
              </w:rPr>
              <w:t>requirements and jurisdictional work, health and safety legislation.</w:t>
            </w:r>
          </w:p>
          <w:p>
            <w:pPr>
              <w:pStyle w:val="TableParagraph"/>
              <w:spacing w:before="80"/>
              <w:ind w:left="131"/>
              <w:rPr>
                <w:sz w:val="20"/>
              </w:rPr>
            </w:pPr>
            <w:r>
              <w:rPr>
                <w:sz w:val="20"/>
              </w:rPr>
              <w:t>When</w:t>
            </w:r>
            <w:r>
              <w:rPr>
                <w:spacing w:val="-5"/>
                <w:sz w:val="20"/>
              </w:rPr>
              <w:t> </w:t>
            </w:r>
            <w:r>
              <w:rPr>
                <w:sz w:val="20"/>
              </w:rPr>
              <w:t>not</w:t>
            </w:r>
            <w:r>
              <w:rPr>
                <w:spacing w:val="-5"/>
                <w:sz w:val="20"/>
              </w:rPr>
              <w:t> </w:t>
            </w:r>
            <w:r>
              <w:rPr>
                <w:sz w:val="20"/>
              </w:rPr>
              <w:t>in</w:t>
            </w:r>
            <w:r>
              <w:rPr>
                <w:spacing w:val="-5"/>
                <w:sz w:val="20"/>
              </w:rPr>
              <w:t> </w:t>
            </w:r>
            <w:r>
              <w:rPr>
                <w:sz w:val="20"/>
              </w:rPr>
              <w:t>use,</w:t>
            </w:r>
            <w:r>
              <w:rPr>
                <w:spacing w:val="-3"/>
                <w:sz w:val="20"/>
              </w:rPr>
              <w:t> </w:t>
            </w:r>
            <w:r>
              <w:rPr>
                <w:sz w:val="20"/>
              </w:rPr>
              <w:t>firearms</w:t>
            </w:r>
            <w:r>
              <w:rPr>
                <w:spacing w:val="-3"/>
                <w:sz w:val="20"/>
              </w:rPr>
              <w:t> </w:t>
            </w:r>
            <w:r>
              <w:rPr>
                <w:sz w:val="20"/>
              </w:rPr>
              <w:t>and</w:t>
            </w:r>
            <w:r>
              <w:rPr>
                <w:spacing w:val="-6"/>
                <w:sz w:val="20"/>
              </w:rPr>
              <w:t> </w:t>
            </w:r>
            <w:r>
              <w:rPr>
                <w:sz w:val="20"/>
              </w:rPr>
              <w:t>ammunition</w:t>
            </w:r>
            <w:r>
              <w:rPr>
                <w:spacing w:val="-5"/>
                <w:sz w:val="20"/>
              </w:rPr>
              <w:t> </w:t>
            </w:r>
            <w:r>
              <w:rPr>
                <w:sz w:val="20"/>
              </w:rPr>
              <w:t>must</w:t>
            </w:r>
            <w:r>
              <w:rPr>
                <w:spacing w:val="-5"/>
                <w:sz w:val="20"/>
              </w:rPr>
              <w:t> </w:t>
            </w:r>
            <w:r>
              <w:rPr>
                <w:sz w:val="20"/>
              </w:rPr>
              <w:t>be</w:t>
            </w:r>
            <w:r>
              <w:rPr>
                <w:spacing w:val="-5"/>
                <w:sz w:val="20"/>
              </w:rPr>
              <w:t> </w:t>
            </w:r>
            <w:r>
              <w:rPr>
                <w:sz w:val="20"/>
              </w:rPr>
              <w:t>securely</w:t>
            </w:r>
            <w:r>
              <w:rPr>
                <w:spacing w:val="-4"/>
                <w:sz w:val="20"/>
              </w:rPr>
              <w:t> </w:t>
            </w:r>
            <w:r>
              <w:rPr>
                <w:sz w:val="20"/>
              </w:rPr>
              <w:t>stored</w:t>
            </w:r>
            <w:r>
              <w:rPr>
                <w:spacing w:val="-3"/>
                <w:sz w:val="20"/>
              </w:rPr>
              <w:t> </w:t>
            </w:r>
            <w:r>
              <w:rPr>
                <w:sz w:val="20"/>
              </w:rPr>
              <w:t>in</w:t>
            </w:r>
            <w:r>
              <w:rPr>
                <w:spacing w:val="-3"/>
                <w:sz w:val="20"/>
              </w:rPr>
              <w:t> </w:t>
            </w:r>
            <w:r>
              <w:rPr>
                <w:sz w:val="20"/>
              </w:rPr>
              <w:t>a manner that meets jurisdictional requirements.</w:t>
            </w:r>
          </w:p>
          <w:p>
            <w:pPr>
              <w:pStyle w:val="TableParagraph"/>
              <w:spacing w:before="80"/>
              <w:ind w:left="131"/>
              <w:rPr>
                <w:sz w:val="20"/>
              </w:rPr>
            </w:pPr>
            <w:r>
              <w:rPr>
                <w:sz w:val="20"/>
              </w:rPr>
              <w:t>Firearms</w:t>
            </w:r>
            <w:r>
              <w:rPr>
                <w:spacing w:val="-4"/>
                <w:sz w:val="20"/>
              </w:rPr>
              <w:t> </w:t>
            </w:r>
            <w:r>
              <w:rPr>
                <w:sz w:val="20"/>
              </w:rPr>
              <w:t>are</w:t>
            </w:r>
            <w:r>
              <w:rPr>
                <w:spacing w:val="-3"/>
                <w:sz w:val="20"/>
              </w:rPr>
              <w:t> </w:t>
            </w:r>
            <w:r>
              <w:rPr>
                <w:sz w:val="20"/>
              </w:rPr>
              <w:t>not</w:t>
            </w:r>
            <w:r>
              <w:rPr>
                <w:spacing w:val="-3"/>
                <w:sz w:val="20"/>
              </w:rPr>
              <w:t> </w:t>
            </w:r>
            <w:r>
              <w:rPr>
                <w:sz w:val="20"/>
              </w:rPr>
              <w:t>loaded</w:t>
            </w:r>
            <w:r>
              <w:rPr>
                <w:spacing w:val="-5"/>
                <w:sz w:val="20"/>
              </w:rPr>
              <w:t> </w:t>
            </w:r>
            <w:r>
              <w:rPr>
                <w:sz w:val="20"/>
              </w:rPr>
              <w:t>until</w:t>
            </w:r>
            <w:r>
              <w:rPr>
                <w:spacing w:val="-6"/>
                <w:sz w:val="20"/>
              </w:rPr>
              <w:t> </w:t>
            </w:r>
            <w:r>
              <w:rPr>
                <w:sz w:val="20"/>
              </w:rPr>
              <w:t>the</w:t>
            </w:r>
            <w:r>
              <w:rPr>
                <w:spacing w:val="-4"/>
                <w:sz w:val="20"/>
              </w:rPr>
              <w:t> </w:t>
            </w:r>
            <w:r>
              <w:rPr>
                <w:sz w:val="20"/>
              </w:rPr>
              <w:t>helicopter</w:t>
            </w:r>
            <w:r>
              <w:rPr>
                <w:spacing w:val="-5"/>
                <w:sz w:val="20"/>
              </w:rPr>
              <w:t> </w:t>
            </w:r>
            <w:r>
              <w:rPr>
                <w:sz w:val="20"/>
              </w:rPr>
              <w:t>is</w:t>
            </w:r>
            <w:r>
              <w:rPr>
                <w:spacing w:val="-2"/>
                <w:sz w:val="20"/>
              </w:rPr>
              <w:t> </w:t>
            </w:r>
            <w:r>
              <w:rPr>
                <w:sz w:val="20"/>
              </w:rPr>
              <w:t>in</w:t>
            </w:r>
            <w:r>
              <w:rPr>
                <w:spacing w:val="-5"/>
                <w:sz w:val="20"/>
              </w:rPr>
              <w:t> </w:t>
            </w:r>
            <w:r>
              <w:rPr>
                <w:sz w:val="20"/>
              </w:rPr>
              <w:t>the</w:t>
            </w:r>
            <w:r>
              <w:rPr>
                <w:spacing w:val="-4"/>
                <w:sz w:val="20"/>
              </w:rPr>
              <w:t> </w:t>
            </w:r>
            <w:r>
              <w:rPr>
                <w:sz w:val="20"/>
              </w:rPr>
              <w:t>air</w:t>
            </w:r>
            <w:r>
              <w:rPr>
                <w:spacing w:val="-2"/>
                <w:sz w:val="20"/>
              </w:rPr>
              <w:t> </w:t>
            </w:r>
            <w:r>
              <w:rPr>
                <w:sz w:val="20"/>
              </w:rPr>
              <w:t>and</w:t>
            </w:r>
            <w:r>
              <w:rPr>
                <w:spacing w:val="-3"/>
                <w:sz w:val="20"/>
              </w:rPr>
              <w:t> </w:t>
            </w:r>
            <w:r>
              <w:rPr>
                <w:sz w:val="20"/>
              </w:rPr>
              <w:t>approval</w:t>
            </w:r>
            <w:r>
              <w:rPr>
                <w:spacing w:val="-4"/>
                <w:sz w:val="20"/>
              </w:rPr>
              <w:t> </w:t>
            </w:r>
            <w:r>
              <w:rPr>
                <w:sz w:val="20"/>
              </w:rPr>
              <w:t>is given by the pilot.</w:t>
            </w:r>
          </w:p>
          <w:p>
            <w:pPr>
              <w:pStyle w:val="TableParagraph"/>
              <w:spacing w:before="80"/>
              <w:ind w:left="131" w:right="224"/>
              <w:rPr>
                <w:sz w:val="20"/>
              </w:rPr>
            </w:pPr>
            <w:r>
              <w:rPr>
                <w:sz w:val="20"/>
              </w:rPr>
              <w:t>Approved</w:t>
            </w:r>
            <w:r>
              <w:rPr>
                <w:spacing w:val="-5"/>
                <w:sz w:val="20"/>
              </w:rPr>
              <w:t> </w:t>
            </w:r>
            <w:r>
              <w:rPr>
                <w:sz w:val="20"/>
              </w:rPr>
              <w:t>helmets</w:t>
            </w:r>
            <w:r>
              <w:rPr>
                <w:spacing w:val="-4"/>
                <w:sz w:val="20"/>
              </w:rPr>
              <w:t> </w:t>
            </w:r>
            <w:r>
              <w:rPr>
                <w:sz w:val="20"/>
              </w:rPr>
              <w:t>and</w:t>
            </w:r>
            <w:r>
              <w:rPr>
                <w:spacing w:val="-6"/>
                <w:sz w:val="20"/>
              </w:rPr>
              <w:t> </w:t>
            </w:r>
            <w:r>
              <w:rPr>
                <w:sz w:val="20"/>
              </w:rPr>
              <w:t>hearing</w:t>
            </w:r>
            <w:r>
              <w:rPr>
                <w:spacing w:val="-6"/>
                <w:sz w:val="20"/>
              </w:rPr>
              <w:t> </w:t>
            </w:r>
            <w:r>
              <w:rPr>
                <w:sz w:val="20"/>
              </w:rPr>
              <w:t>protection</w:t>
            </w:r>
            <w:r>
              <w:rPr>
                <w:spacing w:val="-6"/>
                <w:sz w:val="20"/>
              </w:rPr>
              <w:t> </w:t>
            </w:r>
            <w:r>
              <w:rPr>
                <w:sz w:val="20"/>
              </w:rPr>
              <w:t>should</w:t>
            </w:r>
            <w:r>
              <w:rPr>
                <w:spacing w:val="-5"/>
                <w:sz w:val="20"/>
              </w:rPr>
              <w:t> </w:t>
            </w:r>
            <w:r>
              <w:rPr>
                <w:sz w:val="20"/>
              </w:rPr>
              <w:t>be</w:t>
            </w:r>
            <w:r>
              <w:rPr>
                <w:spacing w:val="-5"/>
                <w:sz w:val="20"/>
              </w:rPr>
              <w:t> </w:t>
            </w:r>
            <w:r>
              <w:rPr>
                <w:sz w:val="20"/>
              </w:rPr>
              <w:t>worn</w:t>
            </w:r>
            <w:r>
              <w:rPr>
                <w:spacing w:val="-5"/>
                <w:sz w:val="20"/>
              </w:rPr>
              <w:t> </w:t>
            </w:r>
            <w:r>
              <w:rPr>
                <w:sz w:val="20"/>
              </w:rPr>
              <w:t>by</w:t>
            </w:r>
            <w:r>
              <w:rPr>
                <w:spacing w:val="-4"/>
                <w:sz w:val="20"/>
              </w:rPr>
              <w:t> </w:t>
            </w:r>
            <w:r>
              <w:rPr>
                <w:sz w:val="20"/>
              </w:rPr>
              <w:t>the shooter and others in the helicopter.</w:t>
            </w:r>
          </w:p>
          <w:p>
            <w:pPr>
              <w:pStyle w:val="TableParagraph"/>
              <w:spacing w:before="80"/>
              <w:ind w:left="131" w:right="224"/>
              <w:rPr>
                <w:sz w:val="20"/>
              </w:rPr>
            </w:pPr>
            <w:r>
              <w:rPr>
                <w:sz w:val="20"/>
              </w:rPr>
              <w:t>Safety</w:t>
            </w:r>
            <w:r>
              <w:rPr>
                <w:spacing w:val="-4"/>
                <w:sz w:val="20"/>
              </w:rPr>
              <w:t> </w:t>
            </w:r>
            <w:r>
              <w:rPr>
                <w:sz w:val="20"/>
              </w:rPr>
              <w:t>glasses,</w:t>
            </w:r>
            <w:r>
              <w:rPr>
                <w:spacing w:val="-5"/>
                <w:sz w:val="20"/>
              </w:rPr>
              <w:t> </w:t>
            </w:r>
            <w:r>
              <w:rPr>
                <w:sz w:val="20"/>
              </w:rPr>
              <w:t>or</w:t>
            </w:r>
            <w:r>
              <w:rPr>
                <w:spacing w:val="-4"/>
                <w:sz w:val="20"/>
              </w:rPr>
              <w:t> </w:t>
            </w:r>
            <w:r>
              <w:rPr>
                <w:sz w:val="20"/>
              </w:rPr>
              <w:t>visors</w:t>
            </w:r>
            <w:r>
              <w:rPr>
                <w:spacing w:val="-3"/>
                <w:sz w:val="20"/>
              </w:rPr>
              <w:t> </w:t>
            </w:r>
            <w:r>
              <w:rPr>
                <w:sz w:val="20"/>
              </w:rPr>
              <w:t>attached</w:t>
            </w:r>
            <w:r>
              <w:rPr>
                <w:spacing w:val="-5"/>
                <w:sz w:val="20"/>
              </w:rPr>
              <w:t> </w:t>
            </w:r>
            <w:r>
              <w:rPr>
                <w:sz w:val="20"/>
              </w:rPr>
              <w:t>to</w:t>
            </w:r>
            <w:r>
              <w:rPr>
                <w:spacing w:val="-5"/>
                <w:sz w:val="20"/>
              </w:rPr>
              <w:t> </w:t>
            </w:r>
            <w:r>
              <w:rPr>
                <w:sz w:val="20"/>
              </w:rPr>
              <w:t>the</w:t>
            </w:r>
            <w:r>
              <w:rPr>
                <w:spacing w:val="-5"/>
                <w:sz w:val="20"/>
              </w:rPr>
              <w:t> </w:t>
            </w:r>
            <w:r>
              <w:rPr>
                <w:sz w:val="20"/>
              </w:rPr>
              <w:t>helmets,</w:t>
            </w:r>
            <w:r>
              <w:rPr>
                <w:spacing w:val="-5"/>
                <w:sz w:val="20"/>
              </w:rPr>
              <w:t> </w:t>
            </w:r>
            <w:r>
              <w:rPr>
                <w:sz w:val="20"/>
              </w:rPr>
              <w:t>may</w:t>
            </w:r>
            <w:r>
              <w:rPr>
                <w:spacing w:val="-2"/>
                <w:sz w:val="20"/>
              </w:rPr>
              <w:t> </w:t>
            </w:r>
            <w:r>
              <w:rPr>
                <w:sz w:val="20"/>
              </w:rPr>
              <w:t>be</w:t>
            </w:r>
            <w:r>
              <w:rPr>
                <w:spacing w:val="-6"/>
                <w:sz w:val="20"/>
              </w:rPr>
              <w:t> </w:t>
            </w:r>
            <w:r>
              <w:rPr>
                <w:sz w:val="20"/>
              </w:rPr>
              <w:t>used</w:t>
            </w:r>
            <w:r>
              <w:rPr>
                <w:spacing w:val="-5"/>
                <w:sz w:val="20"/>
              </w:rPr>
              <w:t> </w:t>
            </w:r>
            <w:r>
              <w:rPr>
                <w:sz w:val="20"/>
              </w:rPr>
              <w:t>to protect the eyes from gases and metal fragments.</w:t>
            </w:r>
          </w:p>
        </w:tc>
      </w:tr>
      <w:tr>
        <w:trPr>
          <w:trHeight w:val="5140" w:hRule="atLeast"/>
        </w:trPr>
        <w:tc>
          <w:tcPr>
            <w:tcW w:w="3271" w:type="dxa"/>
            <w:tcBorders>
              <w:top w:val="single" w:sz="4" w:space="0" w:color="000000"/>
              <w:bottom w:val="single" w:sz="4" w:space="0" w:color="000000"/>
            </w:tcBorders>
          </w:tcPr>
          <w:p>
            <w:pPr>
              <w:pStyle w:val="TableParagraph"/>
              <w:spacing w:before="78"/>
              <w:ind w:left="116"/>
              <w:rPr>
                <w:sz w:val="20"/>
              </w:rPr>
            </w:pPr>
            <w:r>
              <w:rPr>
                <w:sz w:val="20"/>
              </w:rPr>
              <w:t>Carbon</w:t>
            </w:r>
            <w:r>
              <w:rPr>
                <w:spacing w:val="-14"/>
                <w:sz w:val="20"/>
              </w:rPr>
              <w:t> </w:t>
            </w:r>
            <w:r>
              <w:rPr>
                <w:sz w:val="20"/>
              </w:rPr>
              <w:t>monoxide</w:t>
            </w:r>
            <w:r>
              <w:rPr>
                <w:spacing w:val="-14"/>
                <w:sz w:val="20"/>
              </w:rPr>
              <w:t> </w:t>
            </w:r>
            <w:r>
              <w:rPr>
                <w:sz w:val="20"/>
              </w:rPr>
              <w:t>(CO</w:t>
            </w:r>
            <w:r>
              <w:rPr>
                <w:spacing w:val="-14"/>
                <w:sz w:val="20"/>
              </w:rPr>
              <w:t> </w:t>
            </w:r>
            <w:r>
              <w:rPr>
                <w:sz w:val="20"/>
              </w:rPr>
              <w:t>diffusion fumigation with cartridges or pressure fumigation)</w:t>
            </w:r>
          </w:p>
          <w:p>
            <w:pPr>
              <w:pStyle w:val="TableParagraph"/>
              <w:spacing w:before="81"/>
              <w:ind w:left="116" w:right="129"/>
              <w:rPr>
                <w:sz w:val="20"/>
              </w:rPr>
            </w:pPr>
            <w:r>
              <w:rPr>
                <w:sz w:val="20"/>
              </w:rPr>
              <w:t>Alternatively, and preferably, the Den-Co-Fume®</w:t>
            </w:r>
            <w:r>
              <w:rPr>
                <w:spacing w:val="-14"/>
                <w:sz w:val="20"/>
              </w:rPr>
              <w:t> </w:t>
            </w:r>
            <w:r>
              <w:rPr>
                <w:sz w:val="20"/>
              </w:rPr>
              <w:t>Fumigator</w:t>
            </w:r>
            <w:r>
              <w:rPr>
                <w:spacing w:val="-13"/>
                <w:sz w:val="20"/>
              </w:rPr>
              <w:t> </w:t>
            </w:r>
            <w:r>
              <w:rPr>
                <w:sz w:val="20"/>
              </w:rPr>
              <w:t>can</w:t>
            </w:r>
            <w:r>
              <w:rPr>
                <w:spacing w:val="-14"/>
                <w:sz w:val="20"/>
              </w:rPr>
              <w:t> </w:t>
            </w:r>
            <w:r>
              <w:rPr>
                <w:sz w:val="20"/>
              </w:rPr>
              <w:t>be </w:t>
            </w:r>
            <w:r>
              <w:rPr>
                <w:spacing w:val="-2"/>
                <w:sz w:val="20"/>
              </w:rPr>
              <w:t>used.</w:t>
            </w:r>
          </w:p>
        </w:tc>
        <w:tc>
          <w:tcPr>
            <w:tcW w:w="6627" w:type="dxa"/>
            <w:tcBorders>
              <w:top w:val="single" w:sz="4" w:space="0" w:color="000000"/>
              <w:bottom w:val="single" w:sz="4" w:space="0" w:color="000000"/>
            </w:tcBorders>
          </w:tcPr>
          <w:p>
            <w:pPr>
              <w:pStyle w:val="TableParagraph"/>
              <w:spacing w:before="78"/>
              <w:ind w:left="131" w:right="122"/>
              <w:rPr>
                <w:sz w:val="20"/>
              </w:rPr>
            </w:pPr>
            <w:r>
              <w:rPr>
                <w:sz w:val="20"/>
              </w:rPr>
              <w:t>Exposure</w:t>
            </w:r>
            <w:r>
              <w:rPr>
                <w:spacing w:val="-5"/>
                <w:sz w:val="20"/>
              </w:rPr>
              <w:t> </w:t>
            </w:r>
            <w:r>
              <w:rPr>
                <w:sz w:val="20"/>
              </w:rPr>
              <w:t>to</w:t>
            </w:r>
            <w:r>
              <w:rPr>
                <w:spacing w:val="-5"/>
                <w:sz w:val="20"/>
              </w:rPr>
              <w:t> </w:t>
            </w:r>
            <w:r>
              <w:rPr>
                <w:sz w:val="20"/>
              </w:rPr>
              <w:t>carbon</w:t>
            </w:r>
            <w:r>
              <w:rPr>
                <w:spacing w:val="-5"/>
                <w:sz w:val="20"/>
              </w:rPr>
              <w:t> </w:t>
            </w:r>
            <w:r>
              <w:rPr>
                <w:sz w:val="20"/>
              </w:rPr>
              <w:t>monoxide</w:t>
            </w:r>
            <w:r>
              <w:rPr>
                <w:spacing w:val="-6"/>
                <w:sz w:val="20"/>
              </w:rPr>
              <w:t> </w:t>
            </w:r>
            <w:r>
              <w:rPr>
                <w:sz w:val="20"/>
              </w:rPr>
              <w:t>results</w:t>
            </w:r>
            <w:r>
              <w:rPr>
                <w:spacing w:val="-4"/>
                <w:sz w:val="20"/>
              </w:rPr>
              <w:t> </w:t>
            </w:r>
            <w:r>
              <w:rPr>
                <w:sz w:val="20"/>
              </w:rPr>
              <w:t>in</w:t>
            </w:r>
            <w:r>
              <w:rPr>
                <w:spacing w:val="-3"/>
                <w:sz w:val="20"/>
              </w:rPr>
              <w:t> </w:t>
            </w:r>
            <w:r>
              <w:rPr>
                <w:sz w:val="20"/>
              </w:rPr>
              <w:t>a</w:t>
            </w:r>
            <w:r>
              <w:rPr>
                <w:spacing w:val="-5"/>
                <w:sz w:val="20"/>
              </w:rPr>
              <w:t> </w:t>
            </w:r>
            <w:r>
              <w:rPr>
                <w:sz w:val="20"/>
              </w:rPr>
              <w:t>deficiency</w:t>
            </w:r>
            <w:r>
              <w:rPr>
                <w:spacing w:val="-4"/>
                <w:sz w:val="20"/>
              </w:rPr>
              <w:t> </w:t>
            </w:r>
            <w:r>
              <w:rPr>
                <w:sz w:val="20"/>
              </w:rPr>
              <w:t>of</w:t>
            </w:r>
            <w:r>
              <w:rPr>
                <w:spacing w:val="-3"/>
                <w:sz w:val="20"/>
              </w:rPr>
              <w:t> </w:t>
            </w:r>
            <w:r>
              <w:rPr>
                <w:sz w:val="20"/>
              </w:rPr>
              <w:t>oxygen</w:t>
            </w:r>
            <w:r>
              <w:rPr>
                <w:spacing w:val="-5"/>
                <w:sz w:val="20"/>
              </w:rPr>
              <w:t> </w:t>
            </w:r>
            <w:r>
              <w:rPr>
                <w:sz w:val="20"/>
              </w:rPr>
              <w:t>reaching the body, causing tissue damage to a range of organs including the brain and heart.</w:t>
            </w:r>
          </w:p>
          <w:p>
            <w:pPr>
              <w:pStyle w:val="TableParagraph"/>
              <w:spacing w:before="81"/>
              <w:ind w:left="131" w:right="137"/>
              <w:rPr>
                <w:sz w:val="20"/>
              </w:rPr>
            </w:pPr>
            <w:r>
              <w:rPr>
                <w:sz w:val="20"/>
              </w:rPr>
              <w:t>A</w:t>
            </w:r>
            <w:r>
              <w:rPr>
                <w:spacing w:val="-4"/>
                <w:sz w:val="20"/>
              </w:rPr>
              <w:t> </w:t>
            </w:r>
            <w:r>
              <w:rPr>
                <w:sz w:val="20"/>
              </w:rPr>
              <w:t>review</w:t>
            </w:r>
            <w:r>
              <w:rPr>
                <w:spacing w:val="-4"/>
                <w:sz w:val="20"/>
              </w:rPr>
              <w:t> </w:t>
            </w:r>
            <w:r>
              <w:rPr>
                <w:sz w:val="20"/>
              </w:rPr>
              <w:t>of</w:t>
            </w:r>
            <w:r>
              <w:rPr>
                <w:spacing w:val="-2"/>
                <w:sz w:val="20"/>
              </w:rPr>
              <w:t> </w:t>
            </w:r>
            <w:r>
              <w:rPr>
                <w:sz w:val="20"/>
              </w:rPr>
              <w:t>the</w:t>
            </w:r>
            <w:r>
              <w:rPr>
                <w:spacing w:val="-5"/>
                <w:sz w:val="20"/>
              </w:rPr>
              <w:t> </w:t>
            </w:r>
            <w:r>
              <w:rPr>
                <w:sz w:val="20"/>
              </w:rPr>
              <w:t>scientific</w:t>
            </w:r>
            <w:r>
              <w:rPr>
                <w:spacing w:val="-3"/>
                <w:sz w:val="20"/>
              </w:rPr>
              <w:t> </w:t>
            </w:r>
            <w:r>
              <w:rPr>
                <w:sz w:val="20"/>
              </w:rPr>
              <w:t>and</w:t>
            </w:r>
            <w:r>
              <w:rPr>
                <w:spacing w:val="-4"/>
                <w:sz w:val="20"/>
              </w:rPr>
              <w:t> </w:t>
            </w:r>
            <w:r>
              <w:rPr>
                <w:sz w:val="20"/>
              </w:rPr>
              <w:t>medical</w:t>
            </w:r>
            <w:r>
              <w:rPr>
                <w:spacing w:val="-5"/>
                <w:sz w:val="20"/>
              </w:rPr>
              <w:t> </w:t>
            </w:r>
            <w:r>
              <w:rPr>
                <w:sz w:val="20"/>
              </w:rPr>
              <w:t>literature</w:t>
            </w:r>
            <w:r>
              <w:rPr>
                <w:spacing w:val="-4"/>
                <w:sz w:val="20"/>
              </w:rPr>
              <w:t> </w:t>
            </w:r>
            <w:r>
              <w:rPr>
                <w:sz w:val="20"/>
              </w:rPr>
              <w:t>showed</w:t>
            </w:r>
            <w:r>
              <w:rPr>
                <w:spacing w:val="-2"/>
                <w:sz w:val="20"/>
              </w:rPr>
              <w:t> </w:t>
            </w:r>
            <w:r>
              <w:rPr>
                <w:sz w:val="20"/>
              </w:rPr>
              <w:t>that</w:t>
            </w:r>
            <w:r>
              <w:rPr>
                <w:spacing w:val="-2"/>
                <w:sz w:val="20"/>
              </w:rPr>
              <w:t> </w:t>
            </w:r>
            <w:r>
              <w:rPr>
                <w:sz w:val="20"/>
              </w:rPr>
              <w:t>exposure</w:t>
            </w:r>
            <w:r>
              <w:rPr>
                <w:spacing w:val="-2"/>
                <w:sz w:val="20"/>
              </w:rPr>
              <w:t> </w:t>
            </w:r>
            <w:r>
              <w:rPr>
                <w:sz w:val="20"/>
              </w:rPr>
              <w:t>of humans to CO concentrations of more than 1% caused loss of sensibility before any unpleasant effects or convulsions occurred (Stewart 1976). Exposure to concentrations of 0.5% or less caused some</w:t>
            </w:r>
            <w:r>
              <w:rPr>
                <w:spacing w:val="-4"/>
                <w:sz w:val="20"/>
              </w:rPr>
              <w:t> </w:t>
            </w:r>
            <w:r>
              <w:rPr>
                <w:sz w:val="20"/>
              </w:rPr>
              <w:t>unpleasant</w:t>
            </w:r>
            <w:r>
              <w:rPr>
                <w:spacing w:val="-4"/>
                <w:sz w:val="20"/>
              </w:rPr>
              <w:t> </w:t>
            </w:r>
            <w:r>
              <w:rPr>
                <w:sz w:val="20"/>
              </w:rPr>
              <w:t>effects,</w:t>
            </w:r>
            <w:r>
              <w:rPr>
                <w:spacing w:val="-4"/>
                <w:sz w:val="20"/>
              </w:rPr>
              <w:t> </w:t>
            </w:r>
            <w:r>
              <w:rPr>
                <w:sz w:val="20"/>
              </w:rPr>
              <w:t>but</w:t>
            </w:r>
            <w:r>
              <w:rPr>
                <w:spacing w:val="-4"/>
                <w:sz w:val="20"/>
              </w:rPr>
              <w:t> </w:t>
            </w:r>
            <w:r>
              <w:rPr>
                <w:sz w:val="20"/>
              </w:rPr>
              <w:t>only</w:t>
            </w:r>
            <w:r>
              <w:rPr>
                <w:spacing w:val="-3"/>
                <w:sz w:val="20"/>
              </w:rPr>
              <w:t> </w:t>
            </w:r>
            <w:r>
              <w:rPr>
                <w:sz w:val="20"/>
              </w:rPr>
              <w:t>after</w:t>
            </w:r>
            <w:r>
              <w:rPr>
                <w:spacing w:val="-4"/>
                <w:sz w:val="20"/>
              </w:rPr>
              <w:t> </w:t>
            </w:r>
            <w:r>
              <w:rPr>
                <w:sz w:val="20"/>
              </w:rPr>
              <w:t>29</w:t>
            </w:r>
            <w:r>
              <w:rPr>
                <w:spacing w:val="-2"/>
                <w:sz w:val="20"/>
              </w:rPr>
              <w:t> </w:t>
            </w:r>
            <w:r>
              <w:rPr>
                <w:sz w:val="20"/>
              </w:rPr>
              <w:t>min</w:t>
            </w:r>
            <w:r>
              <w:rPr>
                <w:spacing w:val="-4"/>
                <w:sz w:val="20"/>
              </w:rPr>
              <w:t> </w:t>
            </w:r>
            <w:r>
              <w:rPr>
                <w:sz w:val="20"/>
              </w:rPr>
              <w:t>(at</w:t>
            </w:r>
            <w:r>
              <w:rPr>
                <w:spacing w:val="-2"/>
                <w:sz w:val="20"/>
              </w:rPr>
              <w:t> </w:t>
            </w:r>
            <w:r>
              <w:rPr>
                <w:sz w:val="20"/>
              </w:rPr>
              <w:t>0.41%)</w:t>
            </w:r>
            <w:r>
              <w:rPr>
                <w:spacing w:val="-2"/>
                <w:sz w:val="20"/>
              </w:rPr>
              <w:t> </w:t>
            </w:r>
            <w:r>
              <w:rPr>
                <w:sz w:val="20"/>
              </w:rPr>
              <w:t>or</w:t>
            </w:r>
            <w:r>
              <w:rPr>
                <w:spacing w:val="-4"/>
                <w:sz w:val="20"/>
              </w:rPr>
              <w:t> </w:t>
            </w:r>
            <w:r>
              <w:rPr>
                <w:sz w:val="20"/>
              </w:rPr>
              <w:t>120</w:t>
            </w:r>
            <w:r>
              <w:rPr>
                <w:spacing w:val="-3"/>
                <w:sz w:val="20"/>
              </w:rPr>
              <w:t> </w:t>
            </w:r>
            <w:r>
              <w:rPr>
                <w:sz w:val="20"/>
              </w:rPr>
              <w:t>min</w:t>
            </w:r>
            <w:r>
              <w:rPr>
                <w:spacing w:val="-4"/>
                <w:sz w:val="20"/>
              </w:rPr>
              <w:t> </w:t>
            </w:r>
            <w:r>
              <w:rPr>
                <w:sz w:val="20"/>
              </w:rPr>
              <w:t>(at </w:t>
            </w:r>
            <w:r>
              <w:rPr>
                <w:spacing w:val="-2"/>
                <w:sz w:val="20"/>
              </w:rPr>
              <w:t>0.12%).</w:t>
            </w:r>
          </w:p>
          <w:p>
            <w:pPr>
              <w:pStyle w:val="TableParagraph"/>
              <w:spacing w:before="80"/>
              <w:ind w:left="131" w:right="122"/>
              <w:rPr>
                <w:sz w:val="20"/>
              </w:rPr>
            </w:pPr>
            <w:r>
              <w:rPr>
                <w:sz w:val="20"/>
              </w:rPr>
              <w:t>Appropriate controls for the emission, use, handling and storage of carbon</w:t>
            </w:r>
            <w:r>
              <w:rPr>
                <w:spacing w:val="-5"/>
                <w:sz w:val="20"/>
              </w:rPr>
              <w:t> </w:t>
            </w:r>
            <w:r>
              <w:rPr>
                <w:sz w:val="20"/>
              </w:rPr>
              <w:t>monoxide</w:t>
            </w:r>
            <w:r>
              <w:rPr>
                <w:spacing w:val="-4"/>
                <w:sz w:val="20"/>
              </w:rPr>
              <w:t> </w:t>
            </w:r>
            <w:r>
              <w:rPr>
                <w:sz w:val="20"/>
              </w:rPr>
              <w:t>gas</w:t>
            </w:r>
            <w:r>
              <w:rPr>
                <w:spacing w:val="-4"/>
                <w:sz w:val="20"/>
              </w:rPr>
              <w:t> </w:t>
            </w:r>
            <w:r>
              <w:rPr>
                <w:sz w:val="20"/>
              </w:rPr>
              <w:t>will</w:t>
            </w:r>
            <w:r>
              <w:rPr>
                <w:spacing w:val="-6"/>
                <w:sz w:val="20"/>
              </w:rPr>
              <w:t> </w:t>
            </w:r>
            <w:r>
              <w:rPr>
                <w:sz w:val="20"/>
              </w:rPr>
              <w:t>reduce</w:t>
            </w:r>
            <w:r>
              <w:rPr>
                <w:spacing w:val="-5"/>
                <w:sz w:val="20"/>
              </w:rPr>
              <w:t> </w:t>
            </w:r>
            <w:r>
              <w:rPr>
                <w:sz w:val="20"/>
              </w:rPr>
              <w:t>the</w:t>
            </w:r>
            <w:r>
              <w:rPr>
                <w:spacing w:val="-6"/>
                <w:sz w:val="20"/>
              </w:rPr>
              <w:t> </w:t>
            </w:r>
            <w:r>
              <w:rPr>
                <w:sz w:val="20"/>
              </w:rPr>
              <w:t>risk</w:t>
            </w:r>
            <w:r>
              <w:rPr>
                <w:spacing w:val="-4"/>
                <w:sz w:val="20"/>
              </w:rPr>
              <w:t> </w:t>
            </w:r>
            <w:r>
              <w:rPr>
                <w:sz w:val="20"/>
              </w:rPr>
              <w:t>of</w:t>
            </w:r>
            <w:r>
              <w:rPr>
                <w:spacing w:val="-3"/>
                <w:sz w:val="20"/>
              </w:rPr>
              <w:t> </w:t>
            </w:r>
            <w:r>
              <w:rPr>
                <w:sz w:val="20"/>
              </w:rPr>
              <w:t>hazardous</w:t>
            </w:r>
            <w:r>
              <w:rPr>
                <w:spacing w:val="-4"/>
                <w:sz w:val="20"/>
              </w:rPr>
              <w:t> </w:t>
            </w:r>
            <w:r>
              <w:rPr>
                <w:sz w:val="20"/>
              </w:rPr>
              <w:t>exposures</w:t>
            </w:r>
            <w:r>
              <w:rPr>
                <w:spacing w:val="-3"/>
                <w:sz w:val="20"/>
              </w:rPr>
              <w:t> </w:t>
            </w:r>
            <w:r>
              <w:rPr>
                <w:sz w:val="20"/>
              </w:rPr>
              <w:t>and illness in the workplace.</w:t>
            </w:r>
          </w:p>
          <w:p>
            <w:pPr>
              <w:pStyle w:val="TableParagraph"/>
              <w:spacing w:before="80"/>
              <w:ind w:left="131"/>
              <w:rPr>
                <w:sz w:val="20"/>
              </w:rPr>
            </w:pPr>
            <w:r>
              <w:rPr>
                <w:sz w:val="20"/>
              </w:rPr>
              <w:t>Do not touch burning cartridges; they can cause severe burns. Once ignited the cartridge will burn vigorously for several minutes, creating a risk</w:t>
            </w:r>
            <w:r>
              <w:rPr>
                <w:spacing w:val="-4"/>
                <w:sz w:val="20"/>
              </w:rPr>
              <w:t> </w:t>
            </w:r>
            <w:r>
              <w:rPr>
                <w:sz w:val="20"/>
              </w:rPr>
              <w:t>of</w:t>
            </w:r>
            <w:r>
              <w:rPr>
                <w:spacing w:val="-5"/>
                <w:sz w:val="20"/>
              </w:rPr>
              <w:t> </w:t>
            </w:r>
            <w:r>
              <w:rPr>
                <w:sz w:val="20"/>
              </w:rPr>
              <w:t>fire</w:t>
            </w:r>
            <w:r>
              <w:rPr>
                <w:spacing w:val="-3"/>
                <w:sz w:val="20"/>
              </w:rPr>
              <w:t> </w:t>
            </w:r>
            <w:r>
              <w:rPr>
                <w:sz w:val="20"/>
              </w:rPr>
              <w:t>in</w:t>
            </w:r>
            <w:r>
              <w:rPr>
                <w:spacing w:val="-5"/>
                <w:sz w:val="20"/>
              </w:rPr>
              <w:t> </w:t>
            </w:r>
            <w:r>
              <w:rPr>
                <w:sz w:val="20"/>
              </w:rPr>
              <w:t>surrounding</w:t>
            </w:r>
            <w:r>
              <w:rPr>
                <w:spacing w:val="-5"/>
                <w:sz w:val="20"/>
              </w:rPr>
              <w:t> </w:t>
            </w:r>
            <w:r>
              <w:rPr>
                <w:sz w:val="20"/>
              </w:rPr>
              <w:t>vegetation.</w:t>
            </w:r>
            <w:r>
              <w:rPr>
                <w:spacing w:val="-5"/>
                <w:sz w:val="20"/>
              </w:rPr>
              <w:t> </w:t>
            </w:r>
            <w:r>
              <w:rPr>
                <w:sz w:val="20"/>
              </w:rPr>
              <w:t>This</w:t>
            </w:r>
            <w:r>
              <w:rPr>
                <w:spacing w:val="-4"/>
                <w:sz w:val="20"/>
              </w:rPr>
              <w:t> </w:t>
            </w:r>
            <w:r>
              <w:rPr>
                <w:sz w:val="20"/>
              </w:rPr>
              <w:t>can</w:t>
            </w:r>
            <w:r>
              <w:rPr>
                <w:spacing w:val="-4"/>
                <w:sz w:val="20"/>
              </w:rPr>
              <w:t> </w:t>
            </w:r>
            <w:r>
              <w:rPr>
                <w:sz w:val="20"/>
              </w:rPr>
              <w:t>be</w:t>
            </w:r>
            <w:r>
              <w:rPr>
                <w:spacing w:val="-4"/>
                <w:sz w:val="20"/>
              </w:rPr>
              <w:t> </w:t>
            </w:r>
            <w:r>
              <w:rPr>
                <w:sz w:val="20"/>
              </w:rPr>
              <w:t>minimised</w:t>
            </w:r>
            <w:r>
              <w:rPr>
                <w:spacing w:val="-4"/>
                <w:sz w:val="20"/>
              </w:rPr>
              <w:t> </w:t>
            </w:r>
            <w:r>
              <w:rPr>
                <w:sz w:val="20"/>
              </w:rPr>
              <w:t>by</w:t>
            </w:r>
            <w:r>
              <w:rPr>
                <w:spacing w:val="-4"/>
                <w:sz w:val="20"/>
              </w:rPr>
              <w:t> </w:t>
            </w:r>
            <w:r>
              <w:rPr>
                <w:sz w:val="20"/>
              </w:rPr>
              <w:t>ensuring that the cartridges are inserted and lighted in-situ.</w:t>
            </w:r>
          </w:p>
          <w:p>
            <w:pPr>
              <w:pStyle w:val="TableParagraph"/>
              <w:spacing w:before="81"/>
              <w:ind w:left="131"/>
              <w:rPr>
                <w:sz w:val="20"/>
              </w:rPr>
            </w:pPr>
            <w:r>
              <w:rPr>
                <w:sz w:val="20"/>
              </w:rPr>
              <w:t>The ingredients in the cartridge are harmless until ignited. Precautions must</w:t>
            </w:r>
            <w:r>
              <w:rPr>
                <w:spacing w:val="-7"/>
                <w:sz w:val="20"/>
              </w:rPr>
              <w:t> </w:t>
            </w:r>
            <w:r>
              <w:rPr>
                <w:sz w:val="20"/>
              </w:rPr>
              <w:t>be</w:t>
            </w:r>
            <w:r>
              <w:rPr>
                <w:spacing w:val="-5"/>
                <w:sz w:val="20"/>
              </w:rPr>
              <w:t> </w:t>
            </w:r>
            <w:r>
              <w:rPr>
                <w:sz w:val="20"/>
              </w:rPr>
              <w:t>taken</w:t>
            </w:r>
            <w:r>
              <w:rPr>
                <w:spacing w:val="-5"/>
                <w:sz w:val="20"/>
              </w:rPr>
              <w:t> </w:t>
            </w:r>
            <w:r>
              <w:rPr>
                <w:sz w:val="20"/>
              </w:rPr>
              <w:t>to</w:t>
            </w:r>
            <w:r>
              <w:rPr>
                <w:spacing w:val="-6"/>
                <w:sz w:val="20"/>
              </w:rPr>
              <w:t> </w:t>
            </w:r>
            <w:r>
              <w:rPr>
                <w:sz w:val="20"/>
              </w:rPr>
              <w:t>prevent</w:t>
            </w:r>
            <w:r>
              <w:rPr>
                <w:spacing w:val="-5"/>
                <w:sz w:val="20"/>
              </w:rPr>
              <w:t> </w:t>
            </w:r>
            <w:r>
              <w:rPr>
                <w:sz w:val="20"/>
              </w:rPr>
              <w:t>unintentional</w:t>
            </w:r>
            <w:r>
              <w:rPr>
                <w:spacing w:val="-6"/>
                <w:sz w:val="20"/>
              </w:rPr>
              <w:t> </w:t>
            </w:r>
            <w:r>
              <w:rPr>
                <w:sz w:val="20"/>
              </w:rPr>
              <w:t>ignition</w:t>
            </w:r>
            <w:r>
              <w:rPr>
                <w:spacing w:val="-7"/>
                <w:sz w:val="20"/>
              </w:rPr>
              <w:t> </w:t>
            </w:r>
            <w:r>
              <w:rPr>
                <w:sz w:val="20"/>
              </w:rPr>
              <w:t>during</w:t>
            </w:r>
            <w:r>
              <w:rPr>
                <w:spacing w:val="-3"/>
                <w:sz w:val="20"/>
              </w:rPr>
              <w:t> </w:t>
            </w:r>
            <w:r>
              <w:rPr>
                <w:sz w:val="20"/>
              </w:rPr>
              <w:t>storage,</w:t>
            </w:r>
            <w:r>
              <w:rPr>
                <w:spacing w:val="-7"/>
                <w:sz w:val="20"/>
              </w:rPr>
              <w:t> </w:t>
            </w:r>
            <w:r>
              <w:rPr>
                <w:sz w:val="20"/>
              </w:rPr>
              <w:t>transport and use.</w:t>
            </w:r>
          </w:p>
          <w:p>
            <w:pPr>
              <w:pStyle w:val="TableParagraph"/>
              <w:spacing w:before="80"/>
              <w:ind w:left="131"/>
              <w:rPr>
                <w:sz w:val="20"/>
              </w:rPr>
            </w:pPr>
            <w:r>
              <w:rPr>
                <w:sz w:val="20"/>
              </w:rPr>
              <w:t>For</w:t>
            </w:r>
            <w:r>
              <w:rPr>
                <w:spacing w:val="-7"/>
                <w:sz w:val="20"/>
              </w:rPr>
              <w:t> </w:t>
            </w:r>
            <w:r>
              <w:rPr>
                <w:sz w:val="20"/>
              </w:rPr>
              <w:t>further</w:t>
            </w:r>
            <w:r>
              <w:rPr>
                <w:spacing w:val="-5"/>
                <w:sz w:val="20"/>
              </w:rPr>
              <w:t> </w:t>
            </w:r>
            <w:r>
              <w:rPr>
                <w:sz w:val="20"/>
              </w:rPr>
              <w:t>information,</w:t>
            </w:r>
            <w:r>
              <w:rPr>
                <w:spacing w:val="-7"/>
                <w:sz w:val="20"/>
              </w:rPr>
              <w:t> </w:t>
            </w:r>
            <w:r>
              <w:rPr>
                <w:sz w:val="20"/>
              </w:rPr>
              <w:t>refer</w:t>
            </w:r>
            <w:r>
              <w:rPr>
                <w:spacing w:val="-6"/>
                <w:sz w:val="20"/>
              </w:rPr>
              <w:t> </w:t>
            </w:r>
            <w:r>
              <w:rPr>
                <w:sz w:val="20"/>
              </w:rPr>
              <w:t>to</w:t>
            </w:r>
            <w:r>
              <w:rPr>
                <w:spacing w:val="-8"/>
                <w:sz w:val="20"/>
              </w:rPr>
              <w:t> </w:t>
            </w:r>
            <w:r>
              <w:rPr>
                <w:sz w:val="20"/>
              </w:rPr>
              <w:t>the</w:t>
            </w:r>
            <w:r>
              <w:rPr>
                <w:spacing w:val="-5"/>
                <w:sz w:val="20"/>
              </w:rPr>
              <w:t> </w:t>
            </w:r>
            <w:r>
              <w:rPr>
                <w:sz w:val="20"/>
              </w:rPr>
              <w:t>MSDS,</w:t>
            </w:r>
            <w:r>
              <w:rPr>
                <w:spacing w:val="-7"/>
                <w:sz w:val="20"/>
              </w:rPr>
              <w:t> </w:t>
            </w:r>
            <w:r>
              <w:rPr>
                <w:sz w:val="20"/>
              </w:rPr>
              <w:t>available</w:t>
            </w:r>
            <w:r>
              <w:rPr>
                <w:spacing w:val="-7"/>
                <w:sz w:val="20"/>
              </w:rPr>
              <w:t> </w:t>
            </w:r>
            <w:r>
              <w:rPr>
                <w:sz w:val="20"/>
              </w:rPr>
              <w:t>from</w:t>
            </w:r>
            <w:r>
              <w:rPr>
                <w:spacing w:val="-7"/>
                <w:sz w:val="20"/>
              </w:rPr>
              <w:t> </w:t>
            </w:r>
            <w:r>
              <w:rPr>
                <w:sz w:val="20"/>
              </w:rPr>
              <w:t>the</w:t>
            </w:r>
            <w:r>
              <w:rPr>
                <w:spacing w:val="-5"/>
                <w:sz w:val="20"/>
              </w:rPr>
              <w:t> </w:t>
            </w:r>
            <w:r>
              <w:rPr>
                <w:spacing w:val="-2"/>
                <w:sz w:val="20"/>
              </w:rPr>
              <w:t>supplier.</w:t>
            </w:r>
          </w:p>
        </w:tc>
      </w:tr>
    </w:tbl>
    <w:p>
      <w:pPr>
        <w:spacing w:after="0"/>
        <w:rPr>
          <w:sz w:val="20"/>
        </w:rPr>
        <w:sectPr>
          <w:pgSz w:w="11910" w:h="16850"/>
          <w:pgMar w:header="0" w:footer="688" w:top="1100" w:bottom="880" w:left="1020" w:right="780"/>
        </w:sectPr>
      </w:pPr>
    </w:p>
    <w:p>
      <w:pPr>
        <w:pStyle w:val="Heading2"/>
        <w:numPr>
          <w:ilvl w:val="0"/>
          <w:numId w:val="14"/>
        </w:numPr>
        <w:tabs>
          <w:tab w:pos="678" w:val="left" w:leader="none"/>
        </w:tabs>
        <w:spacing w:line="240" w:lineRule="auto" w:before="61" w:after="0"/>
        <w:ind w:left="678" w:right="0" w:hanging="566"/>
        <w:jc w:val="left"/>
      </w:pPr>
      <w:bookmarkStart w:name="_TOC_250004" w:id="116"/>
      <w:bookmarkEnd w:id="116"/>
      <w:r>
        <w:rPr>
          <w:color w:val="001F5F"/>
          <w:spacing w:val="-2"/>
        </w:rPr>
        <w:t>Summary</w:t>
      </w:r>
    </w:p>
    <w:p>
      <w:pPr>
        <w:pStyle w:val="BodyText"/>
        <w:spacing w:before="255"/>
        <w:rPr>
          <w:b/>
          <w:sz w:val="32"/>
        </w:rPr>
      </w:pPr>
    </w:p>
    <w:p>
      <w:pPr>
        <w:pStyle w:val="BodyText"/>
        <w:spacing w:before="1"/>
        <w:ind w:left="112" w:right="247"/>
      </w:pPr>
      <w:r>
        <w:rPr/>
        <w:t>The toxin 1080 is widely used and relied upon by land managers in Victoria to effectively manage the economic,</w:t>
      </w:r>
      <w:r>
        <w:rPr>
          <w:spacing w:val="-4"/>
        </w:rPr>
        <w:t> </w:t>
      </w:r>
      <w:r>
        <w:rPr/>
        <w:t>environmental,</w:t>
      </w:r>
      <w:r>
        <w:rPr>
          <w:spacing w:val="-4"/>
        </w:rPr>
        <w:t> </w:t>
      </w:r>
      <w:r>
        <w:rPr/>
        <w:t>social</w:t>
      </w:r>
      <w:r>
        <w:rPr>
          <w:spacing w:val="-3"/>
        </w:rPr>
        <w:t> </w:t>
      </w:r>
      <w:r>
        <w:rPr/>
        <w:t>and</w:t>
      </w:r>
      <w:r>
        <w:rPr>
          <w:spacing w:val="-4"/>
        </w:rPr>
        <w:t> </w:t>
      </w:r>
      <w:r>
        <w:rPr/>
        <w:t>cultural impact</w:t>
      </w:r>
      <w:r>
        <w:rPr>
          <w:spacing w:val="-2"/>
        </w:rPr>
        <w:t> </w:t>
      </w:r>
      <w:r>
        <w:rPr/>
        <w:t>of</w:t>
      </w:r>
      <w:r>
        <w:rPr>
          <w:spacing w:val="-1"/>
        </w:rPr>
        <w:t> </w:t>
      </w:r>
      <w:r>
        <w:rPr/>
        <w:t>European</w:t>
      </w:r>
      <w:r>
        <w:rPr>
          <w:spacing w:val="-2"/>
        </w:rPr>
        <w:t> </w:t>
      </w:r>
      <w:r>
        <w:rPr/>
        <w:t>Rabbits,</w:t>
      </w:r>
      <w:r>
        <w:rPr>
          <w:spacing w:val="-3"/>
        </w:rPr>
        <w:t> </w:t>
      </w:r>
      <w:r>
        <w:rPr/>
        <w:t>Feral</w:t>
      </w:r>
      <w:r>
        <w:rPr>
          <w:spacing w:val="-2"/>
        </w:rPr>
        <w:t> </w:t>
      </w:r>
      <w:r>
        <w:rPr/>
        <w:t>Pigs,</w:t>
      </w:r>
      <w:r>
        <w:rPr>
          <w:spacing w:val="-4"/>
        </w:rPr>
        <w:t> </w:t>
      </w:r>
      <w:r>
        <w:rPr/>
        <w:t>foxes</w:t>
      </w:r>
      <w:r>
        <w:rPr>
          <w:spacing w:val="-3"/>
        </w:rPr>
        <w:t> </w:t>
      </w:r>
      <w:r>
        <w:rPr/>
        <w:t>and</w:t>
      </w:r>
      <w:r>
        <w:rPr>
          <w:spacing w:val="-3"/>
        </w:rPr>
        <w:t> </w:t>
      </w:r>
      <w:r>
        <w:rPr/>
        <w:t>Dingoes</w:t>
      </w:r>
      <w:r>
        <w:rPr>
          <w:spacing w:val="-3"/>
        </w:rPr>
        <w:t> </w:t>
      </w:r>
      <w:r>
        <w:rPr/>
        <w:t>and Wild Dogs. However, there is ongoing community discourse on the non-target impacts and humaneness of 1080, and therefore a need to consider the use of other methods and their relative impacts.</w:t>
      </w:r>
    </w:p>
    <w:p>
      <w:pPr>
        <w:pStyle w:val="BodyText"/>
        <w:spacing w:before="119"/>
        <w:ind w:left="112" w:right="278"/>
      </w:pPr>
      <w:r>
        <w:rPr/>
        <w:t>1080 is a</w:t>
      </w:r>
      <w:r>
        <w:rPr>
          <w:spacing w:val="-1"/>
        </w:rPr>
        <w:t> </w:t>
      </w:r>
      <w:r>
        <w:rPr/>
        <w:t>cost-effective tool for controlling populations of rabbits, Feral Pigs, foxes, and Dingoes and Wild Dogs.</w:t>
      </w:r>
      <w:r>
        <w:rPr>
          <w:spacing w:val="-3"/>
        </w:rPr>
        <w:t> </w:t>
      </w:r>
      <w:r>
        <w:rPr/>
        <w:t>It</w:t>
      </w:r>
      <w:r>
        <w:rPr>
          <w:spacing w:val="-2"/>
        </w:rPr>
        <w:t> </w:t>
      </w:r>
      <w:r>
        <w:rPr/>
        <w:t>has</w:t>
      </w:r>
      <w:r>
        <w:rPr>
          <w:spacing w:val="-3"/>
        </w:rPr>
        <w:t> </w:t>
      </w:r>
      <w:r>
        <w:rPr/>
        <w:t>been</w:t>
      </w:r>
      <w:r>
        <w:rPr>
          <w:spacing w:val="-2"/>
        </w:rPr>
        <w:t> </w:t>
      </w:r>
      <w:r>
        <w:rPr/>
        <w:t>demonstrated</w:t>
      </w:r>
      <w:r>
        <w:rPr>
          <w:spacing w:val="-3"/>
        </w:rPr>
        <w:t> </w:t>
      </w:r>
      <w:r>
        <w:rPr/>
        <w:t>to</w:t>
      </w:r>
      <w:r>
        <w:rPr>
          <w:spacing w:val="-3"/>
        </w:rPr>
        <w:t> </w:t>
      </w:r>
      <w:r>
        <w:rPr/>
        <w:t>reduce</w:t>
      </w:r>
      <w:r>
        <w:rPr>
          <w:spacing w:val="-3"/>
        </w:rPr>
        <w:t> </w:t>
      </w:r>
      <w:r>
        <w:rPr/>
        <w:t>populations of</w:t>
      </w:r>
      <w:r>
        <w:rPr>
          <w:spacing w:val="-3"/>
        </w:rPr>
        <w:t> </w:t>
      </w:r>
      <w:r>
        <w:rPr/>
        <w:t>all</w:t>
      </w:r>
      <w:r>
        <w:rPr>
          <w:spacing w:val="-3"/>
        </w:rPr>
        <w:t> </w:t>
      </w:r>
      <w:r>
        <w:rPr/>
        <w:t>four</w:t>
      </w:r>
      <w:r>
        <w:rPr>
          <w:spacing w:val="-3"/>
        </w:rPr>
        <w:t> </w:t>
      </w:r>
      <w:r>
        <w:rPr/>
        <w:t>pests,</w:t>
      </w:r>
      <w:r>
        <w:rPr>
          <w:spacing w:val="-3"/>
        </w:rPr>
        <w:t> </w:t>
      </w:r>
      <w:r>
        <w:rPr/>
        <w:t>improving</w:t>
      </w:r>
      <w:r>
        <w:rPr>
          <w:spacing w:val="-1"/>
        </w:rPr>
        <w:t> </w:t>
      </w:r>
      <w:r>
        <w:rPr/>
        <w:t>the</w:t>
      </w:r>
      <w:r>
        <w:rPr>
          <w:spacing w:val="-4"/>
        </w:rPr>
        <w:t> </w:t>
      </w:r>
      <w:r>
        <w:rPr/>
        <w:t>status</w:t>
      </w:r>
      <w:r>
        <w:rPr>
          <w:spacing w:val="-3"/>
        </w:rPr>
        <w:t> </w:t>
      </w:r>
      <w:r>
        <w:rPr/>
        <w:t>of</w:t>
      </w:r>
      <w:r>
        <w:rPr>
          <w:spacing w:val="-3"/>
        </w:rPr>
        <w:t> </w:t>
      </w:r>
      <w:r>
        <w:rPr/>
        <w:t>threatened plant and animal species, reducing the economic burden on agriculture, and arresting social and cultural impacts. Best practice management protocols minimise potential off target impacts.</w:t>
      </w:r>
    </w:p>
    <w:p>
      <w:pPr>
        <w:pStyle w:val="BodyText"/>
        <w:spacing w:before="122"/>
        <w:ind w:left="112" w:right="721"/>
      </w:pPr>
      <w:r>
        <w:rPr/>
        <w:t>However, despite being in use for more than 70 years in Australia, there remains uncertainty around the cost-effectiveness</w:t>
      </w:r>
      <w:r>
        <w:rPr>
          <w:spacing w:val="-5"/>
        </w:rPr>
        <w:t> </w:t>
      </w:r>
      <w:r>
        <w:rPr/>
        <w:t>of</w:t>
      </w:r>
      <w:r>
        <w:rPr>
          <w:spacing w:val="-6"/>
        </w:rPr>
        <w:t> </w:t>
      </w:r>
      <w:r>
        <w:rPr/>
        <w:t>some</w:t>
      </w:r>
      <w:r>
        <w:rPr>
          <w:spacing w:val="-4"/>
        </w:rPr>
        <w:t> </w:t>
      </w:r>
      <w:r>
        <w:rPr/>
        <w:t>applications,</w:t>
      </w:r>
      <w:r>
        <w:rPr>
          <w:spacing w:val="-4"/>
        </w:rPr>
        <w:t> </w:t>
      </w:r>
      <w:r>
        <w:rPr/>
        <w:t>and</w:t>
      </w:r>
      <w:r>
        <w:rPr>
          <w:spacing w:val="-4"/>
        </w:rPr>
        <w:t> </w:t>
      </w:r>
      <w:r>
        <w:rPr/>
        <w:t>issues</w:t>
      </w:r>
      <w:r>
        <w:rPr>
          <w:spacing w:val="-5"/>
        </w:rPr>
        <w:t> </w:t>
      </w:r>
      <w:r>
        <w:rPr/>
        <w:t>regarding</w:t>
      </w:r>
      <w:r>
        <w:rPr>
          <w:spacing w:val="-5"/>
        </w:rPr>
        <w:t> </w:t>
      </w:r>
      <w:r>
        <w:rPr/>
        <w:t>humanness and</w:t>
      </w:r>
      <w:r>
        <w:rPr>
          <w:spacing w:val="-6"/>
        </w:rPr>
        <w:t> </w:t>
      </w:r>
      <w:r>
        <w:rPr/>
        <w:t>social</w:t>
      </w:r>
      <w:r>
        <w:rPr>
          <w:spacing w:val="-5"/>
        </w:rPr>
        <w:t> </w:t>
      </w:r>
      <w:r>
        <w:rPr/>
        <w:t>acceptance</w:t>
      </w:r>
      <w:r>
        <w:rPr>
          <w:spacing w:val="-2"/>
        </w:rPr>
        <w:t> </w:t>
      </w:r>
      <w:r>
        <w:rPr/>
        <w:t>persist.</w:t>
      </w:r>
    </w:p>
    <w:p>
      <w:pPr>
        <w:pStyle w:val="BodyText"/>
        <w:spacing w:before="118"/>
        <w:ind w:left="112" w:right="380"/>
      </w:pPr>
      <w:r>
        <w:rPr/>
        <w:t>Other lethal and non-lethal tools for controlling each of the four pest species are available, and to some degree</w:t>
      </w:r>
      <w:r>
        <w:rPr>
          <w:spacing w:val="-4"/>
        </w:rPr>
        <w:t> </w:t>
      </w:r>
      <w:r>
        <w:rPr/>
        <w:t>address</w:t>
      </w:r>
      <w:r>
        <w:rPr>
          <w:spacing w:val="-3"/>
        </w:rPr>
        <w:t> </w:t>
      </w:r>
      <w:r>
        <w:rPr/>
        <w:t>these</w:t>
      </w:r>
      <w:r>
        <w:rPr>
          <w:spacing w:val="-2"/>
        </w:rPr>
        <w:t> </w:t>
      </w:r>
      <w:r>
        <w:rPr/>
        <w:t>issues.</w:t>
      </w:r>
      <w:r>
        <w:rPr>
          <w:spacing w:val="-1"/>
        </w:rPr>
        <w:t> </w:t>
      </w:r>
      <w:r>
        <w:rPr/>
        <w:t>These</w:t>
      </w:r>
      <w:r>
        <w:rPr>
          <w:spacing w:val="-2"/>
        </w:rPr>
        <w:t> </w:t>
      </w:r>
      <w:r>
        <w:rPr/>
        <w:t>methods</w:t>
      </w:r>
      <w:r>
        <w:rPr>
          <w:spacing w:val="-3"/>
        </w:rPr>
        <w:t> </w:t>
      </w:r>
      <w:r>
        <w:rPr/>
        <w:t>can</w:t>
      </w:r>
      <w:r>
        <w:rPr>
          <w:spacing w:val="-3"/>
        </w:rPr>
        <w:t> </w:t>
      </w:r>
      <w:r>
        <w:rPr/>
        <w:t>be alternatives</w:t>
      </w:r>
      <w:r>
        <w:rPr>
          <w:spacing w:val="-3"/>
        </w:rPr>
        <w:t> </w:t>
      </w:r>
      <w:r>
        <w:rPr/>
        <w:t>but are</w:t>
      </w:r>
      <w:r>
        <w:rPr>
          <w:spacing w:val="-4"/>
        </w:rPr>
        <w:t> </w:t>
      </w:r>
      <w:r>
        <w:rPr/>
        <w:t>often</w:t>
      </w:r>
      <w:r>
        <w:rPr>
          <w:spacing w:val="-3"/>
        </w:rPr>
        <w:t> </w:t>
      </w:r>
      <w:r>
        <w:rPr/>
        <w:t>used</w:t>
      </w:r>
      <w:r>
        <w:rPr>
          <w:spacing w:val="-5"/>
        </w:rPr>
        <w:t> </w:t>
      </w:r>
      <w:r>
        <w:rPr/>
        <w:t>as</w:t>
      </w:r>
      <w:r>
        <w:rPr>
          <w:spacing w:val="-3"/>
        </w:rPr>
        <w:t> </w:t>
      </w:r>
      <w:r>
        <w:rPr/>
        <w:t>part</w:t>
      </w:r>
      <w:r>
        <w:rPr>
          <w:spacing w:val="-2"/>
        </w:rPr>
        <w:t> </w:t>
      </w:r>
      <w:r>
        <w:rPr/>
        <w:t>of</w:t>
      </w:r>
      <w:r>
        <w:rPr>
          <w:spacing w:val="-4"/>
        </w:rPr>
        <w:t> </w:t>
      </w:r>
      <w:r>
        <w:rPr/>
        <w:t>an</w:t>
      </w:r>
      <w:r>
        <w:rPr>
          <w:spacing w:val="-4"/>
        </w:rPr>
        <w:t> </w:t>
      </w:r>
      <w:r>
        <w:rPr/>
        <w:t>integrated control program. The majority of 1080 users in Victoria who have used it to control rabbits (98%), foxes (89%), Feral Pigs (96%) or wild dogs (91%) report they have used other methods in the last 5 years.</w:t>
      </w:r>
    </w:p>
    <w:p>
      <w:pPr>
        <w:pStyle w:val="BodyText"/>
        <w:spacing w:before="122"/>
        <w:ind w:left="112" w:right="490"/>
      </w:pPr>
      <w:r>
        <w:rPr/>
        <w:t>Whether these other methods are as cost-effective as 1080 products can depend on the pest species and the context of the control operations. For rabbits, integrated control using combinations of poisoning with pindone, warren ripping and fumigation timed to coincide with outbreaks of RHDV can achieve long-lasting knockdown effects. However, pindone has potential non-target impacts, requires repeat applications to be effective,</w:t>
      </w:r>
      <w:r>
        <w:rPr>
          <w:spacing w:val="-4"/>
        </w:rPr>
        <w:t> </w:t>
      </w:r>
      <w:r>
        <w:rPr/>
        <w:t>making</w:t>
      </w:r>
      <w:r>
        <w:rPr>
          <w:spacing w:val="-3"/>
        </w:rPr>
        <w:t> </w:t>
      </w:r>
      <w:r>
        <w:rPr/>
        <w:t>it</w:t>
      </w:r>
      <w:r>
        <w:rPr>
          <w:spacing w:val="-2"/>
        </w:rPr>
        <w:t> </w:t>
      </w:r>
      <w:r>
        <w:rPr/>
        <w:t>less</w:t>
      </w:r>
      <w:r>
        <w:rPr>
          <w:spacing w:val="-3"/>
        </w:rPr>
        <w:t> </w:t>
      </w:r>
      <w:r>
        <w:rPr/>
        <w:t>cost-effective</w:t>
      </w:r>
      <w:r>
        <w:rPr>
          <w:spacing w:val="-2"/>
        </w:rPr>
        <w:t> </w:t>
      </w:r>
      <w:r>
        <w:rPr/>
        <w:t>than</w:t>
      </w:r>
      <w:r>
        <w:rPr>
          <w:spacing w:val="-4"/>
        </w:rPr>
        <w:t> </w:t>
      </w:r>
      <w:r>
        <w:rPr/>
        <w:t>1080,</w:t>
      </w:r>
      <w:r>
        <w:rPr>
          <w:spacing w:val="-2"/>
        </w:rPr>
        <w:t> </w:t>
      </w:r>
      <w:r>
        <w:rPr/>
        <w:t>and</w:t>
      </w:r>
      <w:r>
        <w:rPr>
          <w:spacing w:val="-2"/>
        </w:rPr>
        <w:t> </w:t>
      </w:r>
      <w:r>
        <w:rPr/>
        <w:t>is</w:t>
      </w:r>
      <w:r>
        <w:rPr>
          <w:spacing w:val="-3"/>
        </w:rPr>
        <w:t> </w:t>
      </w:r>
      <w:r>
        <w:rPr/>
        <w:t>relatively</w:t>
      </w:r>
      <w:r>
        <w:rPr>
          <w:spacing w:val="-3"/>
        </w:rPr>
        <w:t> </w:t>
      </w:r>
      <w:r>
        <w:rPr/>
        <w:t>less</w:t>
      </w:r>
      <w:r>
        <w:rPr>
          <w:spacing w:val="-3"/>
        </w:rPr>
        <w:t> </w:t>
      </w:r>
      <w:r>
        <w:rPr/>
        <w:t>humane than</w:t>
      </w:r>
      <w:r>
        <w:rPr>
          <w:spacing w:val="-5"/>
        </w:rPr>
        <w:t> </w:t>
      </w:r>
      <w:r>
        <w:rPr/>
        <w:t>1080.</w:t>
      </w:r>
      <w:r>
        <w:rPr>
          <w:spacing w:val="-2"/>
        </w:rPr>
        <w:t> </w:t>
      </w:r>
      <w:r>
        <w:rPr/>
        <w:t>Successful</w:t>
      </w:r>
      <w:r>
        <w:rPr>
          <w:spacing w:val="-5"/>
        </w:rPr>
        <w:t> </w:t>
      </w:r>
      <w:r>
        <w:rPr/>
        <w:t>rabbit control can be achieved without the use of pindone or 1080 under the right circumstances. While there are some data on the relative cost-effectiveness of other methods, more information is needed on integrating RHDV-K5 with non-toxic control methods.</w:t>
      </w:r>
    </w:p>
    <w:p>
      <w:pPr>
        <w:pStyle w:val="BodyText"/>
        <w:spacing w:before="119"/>
        <w:ind w:left="112" w:right="247"/>
      </w:pPr>
      <w:r>
        <w:rPr/>
        <w:t>For</w:t>
      </w:r>
      <w:r>
        <w:rPr>
          <w:spacing w:val="-3"/>
        </w:rPr>
        <w:t> </w:t>
      </w:r>
      <w:r>
        <w:rPr/>
        <w:t>Feral</w:t>
      </w:r>
      <w:r>
        <w:rPr>
          <w:spacing w:val="-3"/>
        </w:rPr>
        <w:t> </w:t>
      </w:r>
      <w:r>
        <w:rPr/>
        <w:t>Pigs,</w:t>
      </w:r>
      <w:r>
        <w:rPr>
          <w:spacing w:val="-4"/>
        </w:rPr>
        <w:t> </w:t>
      </w:r>
      <w:r>
        <w:rPr/>
        <w:t>localised</w:t>
      </w:r>
      <w:r>
        <w:rPr>
          <w:spacing w:val="-5"/>
        </w:rPr>
        <w:t> </w:t>
      </w:r>
      <w:r>
        <w:rPr/>
        <w:t>reduction</w:t>
      </w:r>
      <w:r>
        <w:rPr>
          <w:spacing w:val="-4"/>
        </w:rPr>
        <w:t> </w:t>
      </w:r>
      <w:r>
        <w:rPr/>
        <w:t>in</w:t>
      </w:r>
      <w:r>
        <w:rPr>
          <w:spacing w:val="-4"/>
        </w:rPr>
        <w:t> </w:t>
      </w:r>
      <w:r>
        <w:rPr/>
        <w:t>density</w:t>
      </w:r>
      <w:r>
        <w:rPr>
          <w:spacing w:val="-3"/>
        </w:rPr>
        <w:t> </w:t>
      </w:r>
      <w:r>
        <w:rPr/>
        <w:t>to</w:t>
      </w:r>
      <w:r>
        <w:rPr>
          <w:spacing w:val="-4"/>
        </w:rPr>
        <w:t> </w:t>
      </w:r>
      <w:r>
        <w:rPr/>
        <w:t>levels</w:t>
      </w:r>
      <w:r>
        <w:rPr>
          <w:spacing w:val="-3"/>
        </w:rPr>
        <w:t> </w:t>
      </w:r>
      <w:r>
        <w:rPr/>
        <w:t>that</w:t>
      </w:r>
      <w:r>
        <w:rPr>
          <w:spacing w:val="-4"/>
        </w:rPr>
        <w:t> </w:t>
      </w:r>
      <w:r>
        <w:rPr/>
        <w:t>reduce or</w:t>
      </w:r>
      <w:r>
        <w:rPr>
          <w:spacing w:val="-3"/>
        </w:rPr>
        <w:t> </w:t>
      </w:r>
      <w:r>
        <w:rPr/>
        <w:t>cease</w:t>
      </w:r>
      <w:r>
        <w:rPr>
          <w:spacing w:val="-4"/>
        </w:rPr>
        <w:t> </w:t>
      </w:r>
      <w:r>
        <w:rPr/>
        <w:t>agricultural</w:t>
      </w:r>
      <w:r>
        <w:rPr>
          <w:spacing w:val="-3"/>
        </w:rPr>
        <w:t> </w:t>
      </w:r>
      <w:r>
        <w:rPr/>
        <w:t>and</w:t>
      </w:r>
      <w:r>
        <w:rPr>
          <w:spacing w:val="-2"/>
        </w:rPr>
        <w:t> </w:t>
      </w:r>
      <w:r>
        <w:rPr/>
        <w:t>environmental damage is possible using combinations of trapping, aerial shooting and poisoning with sodium nitrite.</w:t>
      </w:r>
    </w:p>
    <w:p>
      <w:pPr>
        <w:pStyle w:val="BodyText"/>
        <w:spacing w:before="1"/>
        <w:ind w:left="112" w:right="397"/>
      </w:pPr>
      <w:r>
        <w:rPr/>
        <w:t>However, this relies on a better understanding of the environmental and ecological conditions to apply these tools in Victoria, and the relative cost-effectiveness of various combinations of these tools. In situations where</w:t>
      </w:r>
      <w:r>
        <w:rPr>
          <w:spacing w:val="-2"/>
        </w:rPr>
        <w:t> </w:t>
      </w:r>
      <w:r>
        <w:rPr/>
        <w:t>poisoning</w:t>
      </w:r>
      <w:r>
        <w:rPr>
          <w:spacing w:val="-1"/>
        </w:rPr>
        <w:t> </w:t>
      </w:r>
      <w:r>
        <w:rPr/>
        <w:t>is</w:t>
      </w:r>
      <w:r>
        <w:rPr>
          <w:spacing w:val="-1"/>
        </w:rPr>
        <w:t> </w:t>
      </w:r>
      <w:r>
        <w:rPr/>
        <w:t>the appropriate</w:t>
      </w:r>
      <w:r>
        <w:rPr>
          <w:spacing w:val="-2"/>
        </w:rPr>
        <w:t> </w:t>
      </w:r>
      <w:r>
        <w:rPr/>
        <w:t>tool, sodium nitrite is emerging</w:t>
      </w:r>
      <w:r>
        <w:rPr>
          <w:spacing w:val="-1"/>
        </w:rPr>
        <w:t> </w:t>
      </w:r>
      <w:r>
        <w:rPr/>
        <w:t>as</w:t>
      </w:r>
      <w:r>
        <w:rPr>
          <w:spacing w:val="-1"/>
        </w:rPr>
        <w:t> </w:t>
      </w:r>
      <w:r>
        <w:rPr/>
        <w:t>a</w:t>
      </w:r>
      <w:r>
        <w:rPr>
          <w:spacing w:val="-3"/>
        </w:rPr>
        <w:t> </w:t>
      </w:r>
      <w:r>
        <w:rPr/>
        <w:t>viable</w:t>
      </w:r>
      <w:r>
        <w:rPr>
          <w:spacing w:val="-2"/>
        </w:rPr>
        <w:t> </w:t>
      </w:r>
      <w:r>
        <w:rPr/>
        <w:t>alternative to</w:t>
      </w:r>
      <w:r>
        <w:rPr>
          <w:spacing w:val="-1"/>
        </w:rPr>
        <w:t> </w:t>
      </w:r>
      <w:r>
        <w:rPr/>
        <w:t>1080,</w:t>
      </w:r>
      <w:r>
        <w:rPr>
          <w:spacing w:val="-2"/>
        </w:rPr>
        <w:t> </w:t>
      </w:r>
      <w:r>
        <w:rPr/>
        <w:t>although</w:t>
      </w:r>
      <w:r>
        <w:rPr>
          <w:spacing w:val="-2"/>
        </w:rPr>
        <w:t> </w:t>
      </w:r>
      <w:r>
        <w:rPr/>
        <w:t>it is</w:t>
      </w:r>
      <w:r>
        <w:rPr>
          <w:spacing w:val="-2"/>
        </w:rPr>
        <w:t> </w:t>
      </w:r>
      <w:r>
        <w:rPr/>
        <w:t>a</w:t>
      </w:r>
      <w:r>
        <w:rPr>
          <w:spacing w:val="-4"/>
        </w:rPr>
        <w:t> </w:t>
      </w:r>
      <w:r>
        <w:rPr/>
        <w:t>more</w:t>
      </w:r>
      <w:r>
        <w:rPr>
          <w:spacing w:val="-3"/>
        </w:rPr>
        <w:t> </w:t>
      </w:r>
      <w:r>
        <w:rPr/>
        <w:t>expensive</w:t>
      </w:r>
      <w:r>
        <w:rPr>
          <w:spacing w:val="-1"/>
        </w:rPr>
        <w:t> </w:t>
      </w:r>
      <w:r>
        <w:rPr/>
        <w:t>option at</w:t>
      </w:r>
      <w:r>
        <w:rPr>
          <w:spacing w:val="-3"/>
        </w:rPr>
        <w:t> </w:t>
      </w:r>
      <w:r>
        <w:rPr/>
        <w:t>present,</w:t>
      </w:r>
      <w:r>
        <w:rPr>
          <w:spacing w:val="-3"/>
        </w:rPr>
        <w:t> </w:t>
      </w:r>
      <w:r>
        <w:rPr/>
        <w:t>but</w:t>
      </w:r>
      <w:r>
        <w:rPr>
          <w:spacing w:val="-3"/>
        </w:rPr>
        <w:t> </w:t>
      </w:r>
      <w:r>
        <w:rPr/>
        <w:t>is</w:t>
      </w:r>
      <w:r>
        <w:rPr>
          <w:spacing w:val="-2"/>
        </w:rPr>
        <w:t> </w:t>
      </w:r>
      <w:r>
        <w:rPr/>
        <w:t>considered</w:t>
      </w:r>
      <w:r>
        <w:rPr>
          <w:spacing w:val="-3"/>
        </w:rPr>
        <w:t> </w:t>
      </w:r>
      <w:r>
        <w:rPr/>
        <w:t>more humane</w:t>
      </w:r>
      <w:r>
        <w:rPr>
          <w:spacing w:val="-3"/>
        </w:rPr>
        <w:t> </w:t>
      </w:r>
      <w:r>
        <w:rPr/>
        <w:t>than</w:t>
      </w:r>
      <w:r>
        <w:rPr>
          <w:spacing w:val="-2"/>
        </w:rPr>
        <w:t> </w:t>
      </w:r>
      <w:r>
        <w:rPr/>
        <w:t>1080.</w:t>
      </w:r>
      <w:r>
        <w:rPr>
          <w:spacing w:val="-1"/>
        </w:rPr>
        <w:t> </w:t>
      </w:r>
      <w:r>
        <w:rPr/>
        <w:t>There</w:t>
      </w:r>
      <w:r>
        <w:rPr>
          <w:spacing w:val="-1"/>
        </w:rPr>
        <w:t> </w:t>
      </w:r>
      <w:r>
        <w:rPr/>
        <w:t>is</w:t>
      </w:r>
      <w:r>
        <w:rPr>
          <w:spacing w:val="-2"/>
        </w:rPr>
        <w:t> </w:t>
      </w:r>
      <w:r>
        <w:rPr/>
        <w:t>also</w:t>
      </w:r>
      <w:r>
        <w:rPr>
          <w:spacing w:val="-3"/>
        </w:rPr>
        <w:t> </w:t>
      </w:r>
      <w:r>
        <w:rPr/>
        <w:t>concern</w:t>
      </w:r>
      <w:r>
        <w:rPr>
          <w:spacing w:val="-3"/>
        </w:rPr>
        <w:t> </w:t>
      </w:r>
      <w:r>
        <w:rPr/>
        <w:t>that in the event of an emergency animal disease outbreak, e.g., African Swine Fever, supply of sodium nitrite may be limited, as there is only currently one manufacturer in Victoria.</w:t>
      </w:r>
    </w:p>
    <w:p>
      <w:pPr>
        <w:pStyle w:val="BodyText"/>
        <w:spacing w:before="120"/>
        <w:ind w:left="112" w:right="364"/>
      </w:pPr>
      <w:r>
        <w:rPr/>
        <w:t>For foxes, 1080 is currently the most cost-effective tool for managing their populations and mitigating their impacts on biodiversity. PAPP is a more humane alternative and seems to have a comparable knockdown rate – although little quantitative data are available to make broad generalisations and therefore, further investigation is needed. PAPP also has potentially broader non-target impacts, which may limit its use to specific times or seasons or places. Other methods are ineffective at landscape-scale control. However, coordinated localised use of shooting, or fencing with LGAs is a viable option in smaller-scale agricultural settings.</w:t>
      </w:r>
      <w:r>
        <w:rPr>
          <w:spacing w:val="-4"/>
        </w:rPr>
        <w:t> </w:t>
      </w:r>
      <w:r>
        <w:rPr/>
        <w:t>This</w:t>
      </w:r>
      <w:r>
        <w:rPr>
          <w:spacing w:val="-3"/>
        </w:rPr>
        <w:t> </w:t>
      </w:r>
      <w:r>
        <w:rPr/>
        <w:t>too</w:t>
      </w:r>
      <w:r>
        <w:rPr>
          <w:spacing w:val="-4"/>
        </w:rPr>
        <w:t> </w:t>
      </w:r>
      <w:r>
        <w:rPr/>
        <w:t>requires</w:t>
      </w:r>
      <w:r>
        <w:rPr>
          <w:spacing w:val="-3"/>
        </w:rPr>
        <w:t> </w:t>
      </w:r>
      <w:r>
        <w:rPr/>
        <w:t>a</w:t>
      </w:r>
      <w:r>
        <w:rPr>
          <w:spacing w:val="-5"/>
        </w:rPr>
        <w:t> </w:t>
      </w:r>
      <w:r>
        <w:rPr/>
        <w:t>better</w:t>
      </w:r>
      <w:r>
        <w:rPr>
          <w:spacing w:val="-4"/>
        </w:rPr>
        <w:t> </w:t>
      </w:r>
      <w:r>
        <w:rPr/>
        <w:t>understanding</w:t>
      </w:r>
      <w:r>
        <w:rPr>
          <w:spacing w:val="-3"/>
        </w:rPr>
        <w:t> </w:t>
      </w:r>
      <w:r>
        <w:rPr/>
        <w:t>of</w:t>
      </w:r>
      <w:r>
        <w:rPr>
          <w:spacing w:val="-4"/>
        </w:rPr>
        <w:t> </w:t>
      </w:r>
      <w:r>
        <w:rPr/>
        <w:t>the</w:t>
      </w:r>
      <w:r>
        <w:rPr>
          <w:spacing w:val="-4"/>
        </w:rPr>
        <w:t> </w:t>
      </w:r>
      <w:r>
        <w:rPr/>
        <w:t>use</w:t>
      </w:r>
      <w:r>
        <w:rPr>
          <w:spacing w:val="-4"/>
        </w:rPr>
        <w:t> </w:t>
      </w:r>
      <w:r>
        <w:rPr/>
        <w:t>of</w:t>
      </w:r>
      <w:r>
        <w:rPr>
          <w:spacing w:val="-4"/>
        </w:rPr>
        <w:t> </w:t>
      </w:r>
      <w:r>
        <w:rPr/>
        <w:t>LGAs</w:t>
      </w:r>
      <w:r>
        <w:rPr>
          <w:spacing w:val="-1"/>
        </w:rPr>
        <w:t> </w:t>
      </w:r>
      <w:r>
        <w:rPr/>
        <w:t>and</w:t>
      </w:r>
      <w:r>
        <w:rPr>
          <w:spacing w:val="-2"/>
        </w:rPr>
        <w:t> </w:t>
      </w:r>
      <w:r>
        <w:rPr/>
        <w:t>the</w:t>
      </w:r>
      <w:r>
        <w:rPr>
          <w:spacing w:val="-3"/>
        </w:rPr>
        <w:t> </w:t>
      </w:r>
      <w:r>
        <w:rPr/>
        <w:t>associated</w:t>
      </w:r>
      <w:r>
        <w:rPr>
          <w:spacing w:val="-4"/>
        </w:rPr>
        <w:t> </w:t>
      </w:r>
      <w:r>
        <w:rPr/>
        <w:t>impacts</w:t>
      </w:r>
      <w:r>
        <w:rPr>
          <w:spacing w:val="-3"/>
        </w:rPr>
        <w:t> </w:t>
      </w:r>
      <w:r>
        <w:rPr/>
        <w:t>they</w:t>
      </w:r>
      <w:r>
        <w:rPr>
          <w:spacing w:val="-3"/>
        </w:rPr>
        <w:t> </w:t>
      </w:r>
      <w:r>
        <w:rPr/>
        <w:t>might have on native and pest species.</w:t>
      </w:r>
    </w:p>
    <w:p>
      <w:pPr>
        <w:pStyle w:val="BodyText"/>
        <w:spacing w:before="119"/>
        <w:ind w:left="112" w:right="383"/>
      </w:pPr>
      <w:r>
        <w:rPr/>
        <w:t>For Dingoes and Wild Dogs, the use of 1080 is part of an integrated management strategy. Alternative methods</w:t>
      </w:r>
      <w:r>
        <w:rPr>
          <w:spacing w:val="-2"/>
        </w:rPr>
        <w:t> </w:t>
      </w:r>
      <w:r>
        <w:rPr/>
        <w:t>are</w:t>
      </w:r>
      <w:r>
        <w:rPr>
          <w:spacing w:val="-2"/>
        </w:rPr>
        <w:t> </w:t>
      </w:r>
      <w:r>
        <w:rPr/>
        <w:t>applied</w:t>
      </w:r>
      <w:r>
        <w:rPr>
          <w:spacing w:val="-3"/>
        </w:rPr>
        <w:t> </w:t>
      </w:r>
      <w:r>
        <w:rPr/>
        <w:t>in</w:t>
      </w:r>
      <w:r>
        <w:rPr>
          <w:spacing w:val="-2"/>
        </w:rPr>
        <w:t> </w:t>
      </w:r>
      <w:r>
        <w:rPr/>
        <w:t>a</w:t>
      </w:r>
      <w:r>
        <w:rPr>
          <w:spacing w:val="-3"/>
        </w:rPr>
        <w:t> </w:t>
      </w:r>
      <w:r>
        <w:rPr/>
        <w:t>coordinated</w:t>
      </w:r>
      <w:r>
        <w:rPr>
          <w:spacing w:val="-5"/>
        </w:rPr>
        <w:t> </w:t>
      </w:r>
      <w:r>
        <w:rPr/>
        <w:t>cross</w:t>
      </w:r>
      <w:r>
        <w:rPr>
          <w:spacing w:val="-3"/>
        </w:rPr>
        <w:t> </w:t>
      </w:r>
      <w:r>
        <w:rPr/>
        <w:t>tenure</w:t>
      </w:r>
      <w:r>
        <w:rPr>
          <w:spacing w:val="-4"/>
        </w:rPr>
        <w:t> </w:t>
      </w:r>
      <w:r>
        <w:rPr/>
        <w:t>and</w:t>
      </w:r>
      <w:r>
        <w:rPr>
          <w:spacing w:val="-4"/>
        </w:rPr>
        <w:t> </w:t>
      </w:r>
      <w:r>
        <w:rPr/>
        <w:t>integrated</w:t>
      </w:r>
      <w:r>
        <w:rPr>
          <w:spacing w:val="-3"/>
        </w:rPr>
        <w:t> </w:t>
      </w:r>
      <w:r>
        <w:rPr/>
        <w:t>management approach,</w:t>
      </w:r>
      <w:r>
        <w:rPr>
          <w:spacing w:val="-2"/>
        </w:rPr>
        <w:t> </w:t>
      </w:r>
      <w:r>
        <w:rPr/>
        <w:t>with</w:t>
      </w:r>
      <w:r>
        <w:rPr>
          <w:spacing w:val="-4"/>
        </w:rPr>
        <w:t> </w:t>
      </w:r>
      <w:r>
        <w:rPr/>
        <w:t>1080</w:t>
      </w:r>
      <w:r>
        <w:rPr>
          <w:spacing w:val="-2"/>
        </w:rPr>
        <w:t> </w:t>
      </w:r>
      <w:r>
        <w:rPr/>
        <w:t>used</w:t>
      </w:r>
      <w:r>
        <w:rPr>
          <w:spacing w:val="-3"/>
        </w:rPr>
        <w:t> </w:t>
      </w:r>
      <w:r>
        <w:rPr/>
        <w:t>as a pro-active tool in ground- and (until recently) aerial bating operations. Large-scale fencing (connecting neighbouring properties) that is well maintained in combination with trapping, and on-farm management practices are part of the overall control strategy to reducing livestock attacks. However, there needs to be a significant and lasting contribution from Government to support the community. LGAs have been shown to</w:t>
      </w:r>
      <w:r>
        <w:rPr>
          <w:spacing w:val="40"/>
        </w:rPr>
        <w:t> </w:t>
      </w:r>
      <w:r>
        <w:rPr/>
        <w:t>be</w:t>
      </w:r>
      <w:r>
        <w:rPr>
          <w:spacing w:val="-2"/>
        </w:rPr>
        <w:t> </w:t>
      </w:r>
      <w:r>
        <w:rPr/>
        <w:t>effective under</w:t>
      </w:r>
      <w:r>
        <w:rPr>
          <w:spacing w:val="-1"/>
        </w:rPr>
        <w:t> </w:t>
      </w:r>
      <w:r>
        <w:rPr/>
        <w:t>specific circumstances but to date, have</w:t>
      </w:r>
      <w:r>
        <w:rPr>
          <w:spacing w:val="-1"/>
        </w:rPr>
        <w:t> </w:t>
      </w:r>
      <w:r>
        <w:rPr/>
        <w:t>been used in</w:t>
      </w:r>
      <w:r>
        <w:rPr>
          <w:spacing w:val="-1"/>
        </w:rPr>
        <w:t> </w:t>
      </w:r>
      <w:r>
        <w:rPr/>
        <w:t>combination with</w:t>
      </w:r>
      <w:r>
        <w:rPr>
          <w:spacing w:val="-1"/>
        </w:rPr>
        <w:t> </w:t>
      </w:r>
      <w:r>
        <w:rPr/>
        <w:t>fencing</w:t>
      </w:r>
      <w:r>
        <w:rPr>
          <w:spacing w:val="-1"/>
        </w:rPr>
        <w:t> </w:t>
      </w:r>
      <w:r>
        <w:rPr/>
        <w:t>and</w:t>
      </w:r>
      <w:r>
        <w:rPr>
          <w:spacing w:val="-1"/>
        </w:rPr>
        <w:t> </w:t>
      </w:r>
      <w:r>
        <w:rPr/>
        <w:t>some form of lethal control. The use of LGAs, as for foxes, requires further assessment to improve our understanding of their relative impacts and benefits.</w:t>
      </w:r>
    </w:p>
    <w:p>
      <w:pPr>
        <w:pStyle w:val="BodyText"/>
        <w:spacing w:before="122"/>
        <w:ind w:left="112" w:right="380"/>
      </w:pPr>
      <w:r>
        <w:rPr/>
        <w:t>Adequate monitoring is critical to understanding the effectiveness of all control methods. Outside ‘research projects’, the required data to properly assess if the investment in pest control is achieving the necessary level of population reduction, are generally lacking. While there are some data from Victoria, these data are not consistently recorded or recorded in a format that is readily accessible. For example, in their review on pest</w:t>
      </w:r>
      <w:r>
        <w:rPr>
          <w:spacing w:val="-1"/>
        </w:rPr>
        <w:t> </w:t>
      </w:r>
      <w:r>
        <w:rPr/>
        <w:t>animal</w:t>
      </w:r>
      <w:r>
        <w:rPr>
          <w:spacing w:val="-2"/>
        </w:rPr>
        <w:t> </w:t>
      </w:r>
      <w:r>
        <w:rPr/>
        <w:t>control in Australia, Reddiex et al. (2006) found that</w:t>
      </w:r>
      <w:r>
        <w:rPr>
          <w:spacing w:val="-1"/>
        </w:rPr>
        <w:t> </w:t>
      </w:r>
      <w:r>
        <w:rPr/>
        <w:t>monitoring</w:t>
      </w:r>
      <w:r>
        <w:rPr>
          <w:spacing w:val="-1"/>
        </w:rPr>
        <w:t> </w:t>
      </w:r>
      <w:r>
        <w:rPr/>
        <w:t>of the pests occurred</w:t>
      </w:r>
      <w:r>
        <w:rPr>
          <w:spacing w:val="-2"/>
        </w:rPr>
        <w:t> </w:t>
      </w:r>
      <w:r>
        <w:rPr/>
        <w:t>in</w:t>
      </w:r>
      <w:r>
        <w:rPr>
          <w:spacing w:val="-1"/>
        </w:rPr>
        <w:t> </w:t>
      </w:r>
      <w:r>
        <w:rPr/>
        <w:t>50–56% of</w:t>
      </w:r>
      <w:r>
        <w:rPr>
          <w:spacing w:val="-4"/>
        </w:rPr>
        <w:t> </w:t>
      </w:r>
      <w:r>
        <w:rPr/>
        <w:t>control</w:t>
      </w:r>
      <w:r>
        <w:rPr>
          <w:spacing w:val="-5"/>
        </w:rPr>
        <w:t> </w:t>
      </w:r>
      <w:r>
        <w:rPr/>
        <w:t>actions</w:t>
      </w:r>
      <w:r>
        <w:rPr>
          <w:spacing w:val="-1"/>
        </w:rPr>
        <w:t> </w:t>
      </w:r>
      <w:r>
        <w:rPr/>
        <w:t>in</w:t>
      </w:r>
      <w:r>
        <w:rPr>
          <w:spacing w:val="-4"/>
        </w:rPr>
        <w:t> </w:t>
      </w:r>
      <w:r>
        <w:rPr/>
        <w:t>which</w:t>
      </w:r>
      <w:r>
        <w:rPr>
          <w:spacing w:val="-2"/>
        </w:rPr>
        <w:t> </w:t>
      </w:r>
      <w:r>
        <w:rPr/>
        <w:t>foxes</w:t>
      </w:r>
      <w:r>
        <w:rPr>
          <w:spacing w:val="-3"/>
        </w:rPr>
        <w:t> </w:t>
      </w:r>
      <w:r>
        <w:rPr/>
        <w:t>and Dingo</w:t>
      </w:r>
      <w:r>
        <w:rPr>
          <w:spacing w:val="-2"/>
        </w:rPr>
        <w:t> </w:t>
      </w:r>
      <w:r>
        <w:rPr/>
        <w:t>and</w:t>
      </w:r>
      <w:r>
        <w:rPr>
          <w:spacing w:val="-2"/>
        </w:rPr>
        <w:t> </w:t>
      </w:r>
      <w:r>
        <w:rPr/>
        <w:t>Wild</w:t>
      </w:r>
      <w:r>
        <w:rPr>
          <w:spacing w:val="-4"/>
        </w:rPr>
        <w:t> </w:t>
      </w:r>
      <w:r>
        <w:rPr/>
        <w:t>Dogs</w:t>
      </w:r>
      <w:r>
        <w:rPr>
          <w:spacing w:val="-3"/>
        </w:rPr>
        <w:t> </w:t>
      </w:r>
      <w:r>
        <w:rPr/>
        <w:t>were</w:t>
      </w:r>
      <w:r>
        <w:rPr>
          <w:spacing w:val="-4"/>
        </w:rPr>
        <w:t> </w:t>
      </w:r>
      <w:r>
        <w:rPr/>
        <w:t>targeted,</w:t>
      </w:r>
      <w:r>
        <w:rPr>
          <w:spacing w:val="-2"/>
        </w:rPr>
        <w:t> </w:t>
      </w:r>
      <w:r>
        <w:rPr/>
        <w:t>but</w:t>
      </w:r>
      <w:r>
        <w:rPr>
          <w:spacing w:val="-2"/>
        </w:rPr>
        <w:t> </w:t>
      </w:r>
      <w:r>
        <w:rPr/>
        <w:t>only</w:t>
      </w:r>
      <w:r>
        <w:rPr>
          <w:spacing w:val="-3"/>
        </w:rPr>
        <w:t> </w:t>
      </w:r>
      <w:r>
        <w:rPr/>
        <w:t>22–26%</w:t>
      </w:r>
      <w:r>
        <w:rPr>
          <w:spacing w:val="-1"/>
        </w:rPr>
        <w:t> </w:t>
      </w:r>
      <w:r>
        <w:rPr/>
        <w:t>of</w:t>
      </w:r>
      <w:r>
        <w:rPr>
          <w:spacing w:val="-4"/>
        </w:rPr>
        <w:t> </w:t>
      </w:r>
      <w:r>
        <w:rPr/>
        <w:t>control</w:t>
      </w:r>
      <w:r>
        <w:rPr>
          <w:spacing w:val="-5"/>
        </w:rPr>
        <w:t> </w:t>
      </w:r>
      <w:r>
        <w:rPr/>
        <w:t>actions in which rabbits and Feral Pigs were targeted. Efficacy and ethics require that management be evidence-</w:t>
      </w:r>
    </w:p>
    <w:p>
      <w:pPr>
        <w:spacing w:after="0"/>
        <w:sectPr>
          <w:pgSz w:w="11910" w:h="16850"/>
          <w:pgMar w:header="0" w:footer="688" w:top="1140" w:bottom="880" w:left="1020" w:right="780"/>
        </w:sectPr>
      </w:pPr>
    </w:p>
    <w:p>
      <w:pPr>
        <w:pStyle w:val="BodyText"/>
        <w:spacing w:before="71"/>
        <w:ind w:left="112" w:right="403"/>
      </w:pPr>
      <w:r>
        <w:rPr/>
        <w:t>based, and evidence of the benefit is needed to justify ongoing control actions. Detailed cost-effectiveness data</w:t>
      </w:r>
      <w:r>
        <w:rPr>
          <w:spacing w:val="-2"/>
        </w:rPr>
        <w:t> </w:t>
      </w:r>
      <w:r>
        <w:rPr/>
        <w:t>were</w:t>
      </w:r>
      <w:r>
        <w:rPr>
          <w:spacing w:val="-4"/>
        </w:rPr>
        <w:t> </w:t>
      </w:r>
      <w:r>
        <w:rPr/>
        <w:t>not</w:t>
      </w:r>
      <w:r>
        <w:rPr>
          <w:spacing w:val="-2"/>
        </w:rPr>
        <w:t> </w:t>
      </w:r>
      <w:r>
        <w:rPr/>
        <w:t>available</w:t>
      </w:r>
      <w:r>
        <w:rPr>
          <w:spacing w:val="-1"/>
        </w:rPr>
        <w:t> </w:t>
      </w:r>
      <w:r>
        <w:rPr/>
        <w:t>or</w:t>
      </w:r>
      <w:r>
        <w:rPr>
          <w:spacing w:val="-4"/>
        </w:rPr>
        <w:t> </w:t>
      </w:r>
      <w:r>
        <w:rPr/>
        <w:t>collected</w:t>
      </w:r>
      <w:r>
        <w:rPr>
          <w:spacing w:val="-3"/>
        </w:rPr>
        <w:t> </w:t>
      </w:r>
      <w:r>
        <w:rPr/>
        <w:t>in</w:t>
      </w:r>
      <w:r>
        <w:rPr>
          <w:spacing w:val="-2"/>
        </w:rPr>
        <w:t> </w:t>
      </w:r>
      <w:r>
        <w:rPr/>
        <w:t>a</w:t>
      </w:r>
      <w:r>
        <w:rPr>
          <w:spacing w:val="-4"/>
        </w:rPr>
        <w:t> </w:t>
      </w:r>
      <w:r>
        <w:rPr/>
        <w:t>form</w:t>
      </w:r>
      <w:r>
        <w:rPr>
          <w:spacing w:val="-4"/>
        </w:rPr>
        <w:t> </w:t>
      </w:r>
      <w:r>
        <w:rPr/>
        <w:t>that</w:t>
      </w:r>
      <w:r>
        <w:rPr>
          <w:spacing w:val="-4"/>
        </w:rPr>
        <w:t> </w:t>
      </w:r>
      <w:r>
        <w:rPr/>
        <w:t>could</w:t>
      </w:r>
      <w:r>
        <w:rPr>
          <w:spacing w:val="-2"/>
        </w:rPr>
        <w:t> </w:t>
      </w:r>
      <w:r>
        <w:rPr/>
        <w:t>be</w:t>
      </w:r>
      <w:r>
        <w:rPr>
          <w:spacing w:val="-5"/>
        </w:rPr>
        <w:t> </w:t>
      </w:r>
      <w:r>
        <w:rPr/>
        <w:t>readily</w:t>
      </w:r>
      <w:r>
        <w:rPr>
          <w:spacing w:val="-3"/>
        </w:rPr>
        <w:t> </w:t>
      </w:r>
      <w:r>
        <w:rPr/>
        <w:t>accessed for</w:t>
      </w:r>
      <w:r>
        <w:rPr>
          <w:spacing w:val="-1"/>
        </w:rPr>
        <w:t> </w:t>
      </w:r>
      <w:r>
        <w:rPr/>
        <w:t>all</w:t>
      </w:r>
      <w:r>
        <w:rPr>
          <w:spacing w:val="-2"/>
        </w:rPr>
        <w:t> </w:t>
      </w:r>
      <w:r>
        <w:rPr/>
        <w:t>the</w:t>
      </w:r>
      <w:r>
        <w:rPr>
          <w:spacing w:val="-4"/>
        </w:rPr>
        <w:t> </w:t>
      </w:r>
      <w:r>
        <w:rPr/>
        <w:t>control</w:t>
      </w:r>
      <w:r>
        <w:rPr>
          <w:spacing w:val="-3"/>
        </w:rPr>
        <w:t> </w:t>
      </w:r>
      <w:r>
        <w:rPr/>
        <w:t>options across the</w:t>
      </w:r>
      <w:r>
        <w:rPr>
          <w:spacing w:val="-3"/>
        </w:rPr>
        <w:t> </w:t>
      </w:r>
      <w:r>
        <w:rPr/>
        <w:t>four</w:t>
      </w:r>
      <w:r>
        <w:rPr>
          <w:spacing w:val="-3"/>
        </w:rPr>
        <w:t> </w:t>
      </w:r>
      <w:r>
        <w:rPr/>
        <w:t>pest</w:t>
      </w:r>
      <w:r>
        <w:rPr>
          <w:spacing w:val="-3"/>
        </w:rPr>
        <w:t> </w:t>
      </w:r>
      <w:r>
        <w:rPr/>
        <w:t>species.</w:t>
      </w:r>
      <w:r>
        <w:rPr>
          <w:spacing w:val="-4"/>
        </w:rPr>
        <w:t> </w:t>
      </w:r>
      <w:r>
        <w:rPr/>
        <w:t>This</w:t>
      </w:r>
      <w:r>
        <w:rPr>
          <w:spacing w:val="-3"/>
        </w:rPr>
        <w:t> </w:t>
      </w:r>
      <w:r>
        <w:rPr/>
        <w:t>information</w:t>
      </w:r>
      <w:r>
        <w:rPr>
          <w:spacing w:val="-2"/>
        </w:rPr>
        <w:t> </w:t>
      </w:r>
      <w:r>
        <w:rPr/>
        <w:t>is</w:t>
      </w:r>
      <w:r>
        <w:rPr>
          <w:spacing w:val="-3"/>
        </w:rPr>
        <w:t> </w:t>
      </w:r>
      <w:r>
        <w:rPr/>
        <w:t>crucial</w:t>
      </w:r>
      <w:r>
        <w:rPr>
          <w:spacing w:val="-2"/>
        </w:rPr>
        <w:t> </w:t>
      </w:r>
      <w:r>
        <w:rPr/>
        <w:t>in</w:t>
      </w:r>
      <w:r>
        <w:rPr>
          <w:spacing w:val="-2"/>
        </w:rPr>
        <w:t> </w:t>
      </w:r>
      <w:r>
        <w:rPr/>
        <w:t>making</w:t>
      </w:r>
      <w:r>
        <w:rPr>
          <w:spacing w:val="-3"/>
        </w:rPr>
        <w:t> </w:t>
      </w:r>
      <w:r>
        <w:rPr/>
        <w:t>informed</w:t>
      </w:r>
      <w:r>
        <w:rPr>
          <w:spacing w:val="-3"/>
        </w:rPr>
        <w:t> </w:t>
      </w:r>
      <w:r>
        <w:rPr/>
        <w:t>decisions</w:t>
      </w:r>
      <w:r>
        <w:rPr>
          <w:spacing w:val="-3"/>
        </w:rPr>
        <w:t> </w:t>
      </w:r>
      <w:r>
        <w:rPr/>
        <w:t>on</w:t>
      </w:r>
      <w:r>
        <w:rPr>
          <w:spacing w:val="-4"/>
        </w:rPr>
        <w:t> </w:t>
      </w:r>
      <w:r>
        <w:rPr/>
        <w:t>the</w:t>
      </w:r>
      <w:r>
        <w:rPr>
          <w:spacing w:val="-4"/>
        </w:rPr>
        <w:t> </w:t>
      </w:r>
      <w:r>
        <w:rPr/>
        <w:t>economic effectiveness of 1080 compared to lethal and non-lethal alternatives. Based on the literature that was available, alternatives and combinations of other methods are likely to be more</w:t>
      </w:r>
      <w:r>
        <w:rPr>
          <w:spacing w:val="-1"/>
        </w:rPr>
        <w:t> </w:t>
      </w:r>
      <w:r>
        <w:rPr/>
        <w:t>costly and generally less effective than </w:t>
      </w:r>
      <w:r>
        <w:rPr>
          <w:spacing w:val="-2"/>
        </w:rPr>
        <w:t>1080.</w:t>
      </w:r>
    </w:p>
    <w:p>
      <w:pPr>
        <w:pStyle w:val="BodyText"/>
        <w:spacing w:before="121"/>
        <w:ind w:left="112" w:right="397"/>
      </w:pPr>
      <w:r>
        <w:rPr/>
        <w:t>A</w:t>
      </w:r>
      <w:r>
        <w:rPr>
          <w:spacing w:val="-4"/>
        </w:rPr>
        <w:t> </w:t>
      </w:r>
      <w:r>
        <w:rPr/>
        <w:t>critical</w:t>
      </w:r>
      <w:r>
        <w:rPr>
          <w:spacing w:val="-5"/>
        </w:rPr>
        <w:t> </w:t>
      </w:r>
      <w:r>
        <w:rPr/>
        <w:t>piece</w:t>
      </w:r>
      <w:r>
        <w:rPr>
          <w:spacing w:val="-2"/>
        </w:rPr>
        <w:t> </w:t>
      </w:r>
      <w:r>
        <w:rPr/>
        <w:t>of</w:t>
      </w:r>
      <w:r>
        <w:rPr>
          <w:spacing w:val="-2"/>
        </w:rPr>
        <w:t> </w:t>
      </w:r>
      <w:r>
        <w:rPr/>
        <w:t>information</w:t>
      </w:r>
      <w:r>
        <w:rPr>
          <w:spacing w:val="-4"/>
        </w:rPr>
        <w:t> </w:t>
      </w:r>
      <w:r>
        <w:rPr/>
        <w:t>needed</w:t>
      </w:r>
      <w:r>
        <w:rPr>
          <w:spacing w:val="-4"/>
        </w:rPr>
        <w:t> </w:t>
      </w:r>
      <w:r>
        <w:rPr/>
        <w:t>to</w:t>
      </w:r>
      <w:r>
        <w:rPr>
          <w:spacing w:val="-4"/>
        </w:rPr>
        <w:t> </w:t>
      </w:r>
      <w:r>
        <w:rPr/>
        <w:t>cost-effectively manage</w:t>
      </w:r>
      <w:r>
        <w:rPr>
          <w:spacing w:val="-2"/>
        </w:rPr>
        <w:t> </w:t>
      </w:r>
      <w:r>
        <w:rPr/>
        <w:t>pest</w:t>
      </w:r>
      <w:r>
        <w:rPr>
          <w:spacing w:val="-2"/>
        </w:rPr>
        <w:t> </w:t>
      </w:r>
      <w:r>
        <w:rPr/>
        <w:t>animal</w:t>
      </w:r>
      <w:r>
        <w:rPr>
          <w:spacing w:val="-5"/>
        </w:rPr>
        <w:t> </w:t>
      </w:r>
      <w:r>
        <w:rPr/>
        <w:t>damage</w:t>
      </w:r>
      <w:r>
        <w:rPr>
          <w:spacing w:val="-5"/>
        </w:rPr>
        <w:t> </w:t>
      </w:r>
      <w:r>
        <w:rPr/>
        <w:t>is</w:t>
      </w:r>
      <w:r>
        <w:rPr>
          <w:spacing w:val="-1"/>
        </w:rPr>
        <w:t> </w:t>
      </w:r>
      <w:r>
        <w:rPr/>
        <w:t>our</w:t>
      </w:r>
      <w:r>
        <w:rPr>
          <w:spacing w:val="-3"/>
        </w:rPr>
        <w:t> </w:t>
      </w:r>
      <w:r>
        <w:rPr/>
        <w:t>understanding</w:t>
      </w:r>
      <w:r>
        <w:rPr>
          <w:spacing w:val="-3"/>
        </w:rPr>
        <w:t> </w:t>
      </w:r>
      <w:r>
        <w:rPr/>
        <w:t>of the relationship between the pest’s density and the level of damage caused, and if we can effectively and acceptably reduce and maintain pests to levels below a threshold density that allows for mitigation or</w:t>
      </w:r>
      <w:r>
        <w:rPr/>
        <w:t> reversal of the impact. If we cannot reach or exceed and maintain this level, we risk wasting scarce public and private resources and potentially creating unintended consequences (e.g. increases in pest species via compensatory breeding (Lazenby et al. 2014), and changes in vegetation from over-browsing by herbivores (Dexter et al. 2013). Presently there is a considerable lack of understanding of density and damage thresholds for each of the four pest species considered in this review. Some knowledge does exist for fox predation of rabbits, and rabbit and Feral Pig damage to native vegetation and crops, but it is far from general knowledge and generally does not include comparisons with alternative control methods. Outside of this fundamentally important concept, lies a raft of associated dependencies that add significantly to our ability (or not) to effectively manage these pest species.</w:t>
      </w:r>
    </w:p>
    <w:p>
      <w:pPr>
        <w:pStyle w:val="BodyText"/>
        <w:spacing w:before="121"/>
        <w:ind w:left="112" w:right="427"/>
      </w:pPr>
      <w:r>
        <w:rPr/>
        <w:t>The question of efficacy is related to issues of humaneness, animal welfare and societies’ acceptance of lethal pest control. Ineffective control actions result in pointless suffering, with little or no welfare or conservation benefit for native animals, or reductions in impacts on agricultural enterprise. This also acts to further</w:t>
      </w:r>
      <w:r>
        <w:rPr>
          <w:spacing w:val="-4"/>
        </w:rPr>
        <w:t> </w:t>
      </w:r>
      <w:r>
        <w:rPr/>
        <w:t>erode</w:t>
      </w:r>
      <w:r>
        <w:rPr>
          <w:spacing w:val="-3"/>
        </w:rPr>
        <w:t> </w:t>
      </w:r>
      <w:r>
        <w:rPr/>
        <w:t>public</w:t>
      </w:r>
      <w:r>
        <w:rPr>
          <w:spacing w:val="-1"/>
        </w:rPr>
        <w:t> </w:t>
      </w:r>
      <w:r>
        <w:rPr/>
        <w:t>acceptance</w:t>
      </w:r>
      <w:r>
        <w:rPr>
          <w:spacing w:val="-4"/>
        </w:rPr>
        <w:t> </w:t>
      </w:r>
      <w:r>
        <w:rPr/>
        <w:t>of different</w:t>
      </w:r>
      <w:r>
        <w:rPr>
          <w:spacing w:val="-4"/>
        </w:rPr>
        <w:t> </w:t>
      </w:r>
      <w:r>
        <w:rPr/>
        <w:t>control</w:t>
      </w:r>
      <w:r>
        <w:rPr>
          <w:spacing w:val="-5"/>
        </w:rPr>
        <w:t> </w:t>
      </w:r>
      <w:r>
        <w:rPr/>
        <w:t>tools.</w:t>
      </w:r>
      <w:r>
        <w:rPr>
          <w:spacing w:val="-1"/>
        </w:rPr>
        <w:t> </w:t>
      </w:r>
      <w:r>
        <w:rPr/>
        <w:t>To</w:t>
      </w:r>
      <w:r>
        <w:rPr>
          <w:spacing w:val="-4"/>
        </w:rPr>
        <w:t> </w:t>
      </w:r>
      <w:r>
        <w:rPr/>
        <w:t>be</w:t>
      </w:r>
      <w:r>
        <w:rPr>
          <w:spacing w:val="-4"/>
        </w:rPr>
        <w:t> </w:t>
      </w:r>
      <w:r>
        <w:rPr/>
        <w:t>effective,</w:t>
      </w:r>
      <w:r>
        <w:rPr>
          <w:spacing w:val="-1"/>
        </w:rPr>
        <w:t> </w:t>
      </w:r>
      <w:r>
        <w:rPr/>
        <w:t>all</w:t>
      </w:r>
      <w:r>
        <w:rPr>
          <w:spacing w:val="-5"/>
        </w:rPr>
        <w:t> </w:t>
      </w:r>
      <w:r>
        <w:rPr/>
        <w:t>control</w:t>
      </w:r>
      <w:r>
        <w:rPr>
          <w:spacing w:val="-5"/>
        </w:rPr>
        <w:t> </w:t>
      </w:r>
      <w:r>
        <w:rPr/>
        <w:t>actions must</w:t>
      </w:r>
      <w:r>
        <w:rPr>
          <w:spacing w:val="-4"/>
        </w:rPr>
        <w:t> </w:t>
      </w:r>
      <w:r>
        <w:rPr/>
        <w:t>reduce</w:t>
      </w:r>
      <w:r>
        <w:rPr>
          <w:spacing w:val="-4"/>
        </w:rPr>
        <w:t> </w:t>
      </w:r>
      <w:r>
        <w:rPr/>
        <w:t>the population of harmful species enough to achieve a net benefit. They must also be cost-effective, and the level of pain of suffering needs to be acceptable to the broader community.</w:t>
      </w:r>
    </w:p>
    <w:p>
      <w:pPr>
        <w:pStyle w:val="BodyText"/>
        <w:spacing w:before="120"/>
        <w:ind w:left="112" w:right="420"/>
      </w:pPr>
      <w:r>
        <w:rPr/>
        <w:t>None of the other lethal or non-lethal options to the use of 1080 are without issues pertaining to humaneness, animal welfare, environmental or social and cultural impacts. Sharp and Saunders (2011) developed a model approach to assess the relative humaneness and welfare of pest animal control options, which allows land managers to make an informed decision about the relative humaneness of each method. While this provides a practical approach enabling land managers to assess the relative impacts of specific control</w:t>
      </w:r>
      <w:r>
        <w:rPr>
          <w:spacing w:val="-3"/>
        </w:rPr>
        <w:t> </w:t>
      </w:r>
      <w:r>
        <w:rPr/>
        <w:t>measure,</w:t>
      </w:r>
      <w:r>
        <w:rPr>
          <w:spacing w:val="-4"/>
        </w:rPr>
        <w:t> </w:t>
      </w:r>
      <w:r>
        <w:rPr/>
        <w:t>it</w:t>
      </w:r>
      <w:r>
        <w:rPr>
          <w:spacing w:val="-4"/>
        </w:rPr>
        <w:t> </w:t>
      </w:r>
      <w:r>
        <w:rPr/>
        <w:t>does</w:t>
      </w:r>
      <w:r>
        <w:rPr>
          <w:spacing w:val="-3"/>
        </w:rPr>
        <w:t> </w:t>
      </w:r>
      <w:r>
        <w:rPr/>
        <w:t>not</w:t>
      </w:r>
      <w:r>
        <w:rPr>
          <w:spacing w:val="-4"/>
        </w:rPr>
        <w:t> </w:t>
      </w:r>
      <w:r>
        <w:rPr/>
        <w:t>address</w:t>
      </w:r>
      <w:r>
        <w:rPr>
          <w:spacing w:val="-3"/>
        </w:rPr>
        <w:t> </w:t>
      </w:r>
      <w:r>
        <w:rPr/>
        <w:t>the fundamental</w:t>
      </w:r>
      <w:r>
        <w:rPr>
          <w:spacing w:val="-2"/>
        </w:rPr>
        <w:t> </w:t>
      </w:r>
      <w:r>
        <w:rPr/>
        <w:t>question</w:t>
      </w:r>
      <w:r>
        <w:rPr>
          <w:spacing w:val="-3"/>
        </w:rPr>
        <w:t> </w:t>
      </w:r>
      <w:r>
        <w:rPr/>
        <w:t>about</w:t>
      </w:r>
      <w:r>
        <w:rPr>
          <w:spacing w:val="-4"/>
        </w:rPr>
        <w:t> </w:t>
      </w:r>
      <w:r>
        <w:rPr/>
        <w:t>the</w:t>
      </w:r>
      <w:r>
        <w:rPr>
          <w:spacing w:val="-4"/>
        </w:rPr>
        <w:t> </w:t>
      </w:r>
      <w:r>
        <w:rPr/>
        <w:t>ethics</w:t>
      </w:r>
      <w:r>
        <w:rPr>
          <w:spacing w:val="-3"/>
        </w:rPr>
        <w:t> </w:t>
      </w:r>
      <w:r>
        <w:rPr/>
        <w:t>of</w:t>
      </w:r>
      <w:r>
        <w:rPr>
          <w:spacing w:val="-2"/>
        </w:rPr>
        <w:t> </w:t>
      </w:r>
      <w:r>
        <w:rPr/>
        <w:t>subjecting</w:t>
      </w:r>
      <w:r>
        <w:rPr>
          <w:spacing w:val="-2"/>
        </w:rPr>
        <w:t> </w:t>
      </w:r>
      <w:r>
        <w:rPr/>
        <w:t>pest</w:t>
      </w:r>
      <w:r>
        <w:rPr>
          <w:spacing w:val="-2"/>
        </w:rPr>
        <w:t> </w:t>
      </w:r>
      <w:r>
        <w:rPr/>
        <w:t>animals</w:t>
      </w:r>
      <w:r>
        <w:rPr>
          <w:spacing w:val="-3"/>
        </w:rPr>
        <w:t> </w:t>
      </w:r>
      <w:r>
        <w:rPr/>
        <w:t>to some degree of pain and suffering</w:t>
      </w:r>
      <w:r>
        <w:rPr>
          <w:spacing w:val="-1"/>
        </w:rPr>
        <w:t> </w:t>
      </w:r>
      <w:r>
        <w:rPr/>
        <w:t>to achieve a reduction in, or elimination of, the social, economic, cultural, and environmental impact of the pest animal. Depending on the target pest species and circumstances where their management is required,</w:t>
      </w:r>
      <w:r>
        <w:rPr>
          <w:spacing w:val="-1"/>
        </w:rPr>
        <w:t> </w:t>
      </w:r>
      <w:r>
        <w:rPr/>
        <w:t>there may be</w:t>
      </w:r>
      <w:r>
        <w:rPr>
          <w:spacing w:val="-1"/>
        </w:rPr>
        <w:t> </w:t>
      </w:r>
      <w:r>
        <w:rPr/>
        <w:t>limited</w:t>
      </w:r>
      <w:r>
        <w:rPr>
          <w:spacing w:val="-2"/>
        </w:rPr>
        <w:t> </w:t>
      </w:r>
      <w:r>
        <w:rPr/>
        <w:t>choices of legal and</w:t>
      </w:r>
      <w:r>
        <w:rPr>
          <w:spacing w:val="-1"/>
        </w:rPr>
        <w:t> </w:t>
      </w:r>
      <w:r>
        <w:rPr/>
        <w:t>appropriate</w:t>
      </w:r>
      <w:r>
        <w:rPr>
          <w:spacing w:val="-2"/>
        </w:rPr>
        <w:t> </w:t>
      </w:r>
      <w:r>
        <w:rPr/>
        <w:t>control methods.</w:t>
      </w:r>
    </w:p>
    <w:p>
      <w:pPr>
        <w:pStyle w:val="BodyText"/>
        <w:spacing w:before="122"/>
        <w:ind w:left="112" w:right="247"/>
      </w:pPr>
      <w:r>
        <w:rPr/>
        <w:t>Resolving this ethical and moral dilemma is outside the scope of this review; however, it is an important consideration and drives a considerable amount of the debate surrounding the use of lethal and non-lethal control</w:t>
      </w:r>
      <w:r>
        <w:rPr>
          <w:spacing w:val="-3"/>
        </w:rPr>
        <w:t> </w:t>
      </w:r>
      <w:r>
        <w:rPr/>
        <w:t>and</w:t>
      </w:r>
      <w:r>
        <w:rPr>
          <w:spacing w:val="-2"/>
        </w:rPr>
        <w:t> </w:t>
      </w:r>
      <w:r>
        <w:rPr/>
        <w:t>the</w:t>
      </w:r>
      <w:r>
        <w:rPr>
          <w:spacing w:val="-2"/>
        </w:rPr>
        <w:t> </w:t>
      </w:r>
      <w:r>
        <w:rPr/>
        <w:t>impact</w:t>
      </w:r>
      <w:r>
        <w:rPr>
          <w:spacing w:val="-4"/>
        </w:rPr>
        <w:t> </w:t>
      </w:r>
      <w:r>
        <w:rPr/>
        <w:t>on</w:t>
      </w:r>
      <w:r>
        <w:rPr>
          <w:spacing w:val="-4"/>
        </w:rPr>
        <w:t> </w:t>
      </w:r>
      <w:r>
        <w:rPr/>
        <w:t>non-target</w:t>
      </w:r>
      <w:r>
        <w:rPr>
          <w:spacing w:val="-4"/>
        </w:rPr>
        <w:t> </w:t>
      </w:r>
      <w:r>
        <w:rPr/>
        <w:t>animals</w:t>
      </w:r>
      <w:r>
        <w:rPr>
          <w:spacing w:val="-1"/>
        </w:rPr>
        <w:t> </w:t>
      </w:r>
      <w:r>
        <w:rPr/>
        <w:t>(De</w:t>
      </w:r>
      <w:r>
        <w:rPr>
          <w:spacing w:val="-2"/>
        </w:rPr>
        <w:t> </w:t>
      </w:r>
      <w:r>
        <w:rPr/>
        <w:t>Ridder</w:t>
      </w:r>
      <w:r>
        <w:rPr>
          <w:spacing w:val="-4"/>
        </w:rPr>
        <w:t> </w:t>
      </w:r>
      <w:r>
        <w:rPr/>
        <w:t>and</w:t>
      </w:r>
      <w:r>
        <w:rPr>
          <w:spacing w:val="-3"/>
        </w:rPr>
        <w:t> </w:t>
      </w:r>
      <w:r>
        <w:rPr/>
        <w:t>Knight</w:t>
      </w:r>
      <w:r>
        <w:rPr>
          <w:spacing w:val="-4"/>
        </w:rPr>
        <w:t> </w:t>
      </w:r>
      <w:r>
        <w:rPr/>
        <w:t>2024;</w:t>
      </w:r>
      <w:r>
        <w:rPr>
          <w:spacing w:val="-2"/>
        </w:rPr>
        <w:t> </w:t>
      </w:r>
      <w:r>
        <w:rPr/>
        <w:t>PETA</w:t>
      </w:r>
      <w:r>
        <w:rPr>
          <w:spacing w:val="-2"/>
        </w:rPr>
        <w:t> </w:t>
      </w:r>
      <w:r>
        <w:rPr/>
        <w:t>2024;</w:t>
      </w:r>
      <w:r>
        <w:rPr>
          <w:spacing w:val="-4"/>
        </w:rPr>
        <w:t> </w:t>
      </w:r>
      <w:r>
        <w:rPr/>
        <w:t>RSPCA</w:t>
      </w:r>
      <w:r>
        <w:rPr>
          <w:spacing w:val="-4"/>
        </w:rPr>
        <w:t> </w:t>
      </w:r>
      <w:r>
        <w:rPr/>
        <w:t>2019).</w:t>
      </w:r>
      <w:r>
        <w:rPr>
          <w:spacing w:val="-4"/>
        </w:rPr>
        <w:t> </w:t>
      </w:r>
      <w:r>
        <w:rPr/>
        <w:t>The impact of using 1080 and other methods on social and cultural values is understudied and requires further </w:t>
      </w:r>
      <w:r>
        <w:rPr>
          <w:spacing w:val="-2"/>
        </w:rPr>
        <w:t>investigation.</w:t>
      </w:r>
    </w:p>
    <w:p>
      <w:pPr>
        <w:spacing w:after="0"/>
        <w:sectPr>
          <w:pgSz w:w="11910" w:h="16850"/>
          <w:pgMar w:header="0" w:footer="688" w:top="1060" w:bottom="880" w:left="1020" w:right="780"/>
        </w:sectPr>
      </w:pPr>
    </w:p>
    <w:p>
      <w:pPr>
        <w:pStyle w:val="Heading2"/>
        <w:numPr>
          <w:ilvl w:val="0"/>
          <w:numId w:val="14"/>
        </w:numPr>
        <w:tabs>
          <w:tab w:pos="678" w:val="left" w:leader="none"/>
        </w:tabs>
        <w:spacing w:line="240" w:lineRule="auto" w:before="61" w:after="0"/>
        <w:ind w:left="678" w:right="0" w:hanging="566"/>
        <w:jc w:val="left"/>
      </w:pPr>
      <w:bookmarkStart w:name="_TOC_250003" w:id="117"/>
      <w:r>
        <w:rPr>
          <w:color w:val="001F5F"/>
        </w:rPr>
        <w:t>Knowledge</w:t>
      </w:r>
      <w:r>
        <w:rPr>
          <w:color w:val="001F5F"/>
          <w:spacing w:val="-18"/>
        </w:rPr>
        <w:t> </w:t>
      </w:r>
      <w:bookmarkEnd w:id="117"/>
      <w:r>
        <w:rPr>
          <w:color w:val="001F5F"/>
          <w:spacing w:val="-4"/>
        </w:rPr>
        <w:t>gaps</w:t>
      </w:r>
    </w:p>
    <w:p>
      <w:pPr>
        <w:pStyle w:val="BodyText"/>
        <w:spacing w:before="255"/>
        <w:rPr>
          <w:b/>
          <w:sz w:val="32"/>
        </w:rPr>
      </w:pPr>
    </w:p>
    <w:p>
      <w:pPr>
        <w:pStyle w:val="BodyText"/>
        <w:spacing w:before="1"/>
        <w:ind w:left="112" w:right="247"/>
      </w:pPr>
      <w:r>
        <w:rPr/>
        <w:t>During</w:t>
      </w:r>
      <w:r>
        <w:rPr>
          <w:spacing w:val="-3"/>
        </w:rPr>
        <w:t> </w:t>
      </w:r>
      <w:r>
        <w:rPr/>
        <w:t>the</w:t>
      </w:r>
      <w:r>
        <w:rPr>
          <w:spacing w:val="-4"/>
        </w:rPr>
        <w:t> </w:t>
      </w:r>
      <w:r>
        <w:rPr/>
        <w:t>review,</w:t>
      </w:r>
      <w:r>
        <w:rPr>
          <w:spacing w:val="-3"/>
        </w:rPr>
        <w:t> </w:t>
      </w:r>
      <w:r>
        <w:rPr/>
        <w:t>we</w:t>
      </w:r>
      <w:r>
        <w:rPr>
          <w:spacing w:val="-2"/>
        </w:rPr>
        <w:t> </w:t>
      </w:r>
      <w:r>
        <w:rPr/>
        <w:t>identified</w:t>
      </w:r>
      <w:r>
        <w:rPr>
          <w:spacing w:val="-5"/>
        </w:rPr>
        <w:t> </w:t>
      </w:r>
      <w:r>
        <w:rPr/>
        <w:t>knowledge</w:t>
      </w:r>
      <w:r>
        <w:rPr>
          <w:spacing w:val="-4"/>
        </w:rPr>
        <w:t> </w:t>
      </w:r>
      <w:r>
        <w:rPr/>
        <w:t>gaps in</w:t>
      </w:r>
      <w:r>
        <w:rPr>
          <w:spacing w:val="-2"/>
        </w:rPr>
        <w:t> </w:t>
      </w:r>
      <w:r>
        <w:rPr/>
        <w:t>our</w:t>
      </w:r>
      <w:r>
        <w:rPr>
          <w:spacing w:val="-1"/>
        </w:rPr>
        <w:t> </w:t>
      </w:r>
      <w:r>
        <w:rPr/>
        <w:t>understanding</w:t>
      </w:r>
      <w:r>
        <w:rPr>
          <w:spacing w:val="-2"/>
        </w:rPr>
        <w:t> </w:t>
      </w:r>
      <w:r>
        <w:rPr/>
        <w:t>of</w:t>
      </w:r>
      <w:r>
        <w:rPr>
          <w:spacing w:val="-3"/>
        </w:rPr>
        <w:t> </w:t>
      </w:r>
      <w:r>
        <w:rPr/>
        <w:t>the</w:t>
      </w:r>
      <w:r>
        <w:rPr>
          <w:spacing w:val="-3"/>
        </w:rPr>
        <w:t> </w:t>
      </w:r>
      <w:r>
        <w:rPr/>
        <w:t>effectiveness</w:t>
      </w:r>
      <w:r>
        <w:rPr>
          <w:spacing w:val="-3"/>
        </w:rPr>
        <w:t> </w:t>
      </w:r>
      <w:r>
        <w:rPr/>
        <w:t>of</w:t>
      </w:r>
      <w:r>
        <w:rPr>
          <w:spacing w:val="-2"/>
        </w:rPr>
        <w:t> </w:t>
      </w:r>
      <w:r>
        <w:rPr/>
        <w:t>lethal</w:t>
      </w:r>
      <w:r>
        <w:rPr>
          <w:spacing w:val="-5"/>
        </w:rPr>
        <w:t> </w:t>
      </w:r>
      <w:r>
        <w:rPr/>
        <w:t>and</w:t>
      </w:r>
      <w:r>
        <w:rPr>
          <w:spacing w:val="-4"/>
        </w:rPr>
        <w:t> </w:t>
      </w:r>
      <w:r>
        <w:rPr/>
        <w:t>non- lethal control tools, as well as the impact of social and cultural values on the use of pest control tools.</w:t>
      </w:r>
    </w:p>
    <w:p>
      <w:pPr>
        <w:pStyle w:val="BodyText"/>
        <w:ind w:left="112" w:right="427"/>
      </w:pPr>
      <w:r>
        <w:rPr/>
        <w:t>Assessing</w:t>
      </w:r>
      <w:r>
        <w:rPr>
          <w:spacing w:val="-3"/>
        </w:rPr>
        <w:t> </w:t>
      </w:r>
      <w:r>
        <w:rPr/>
        <w:t>humanness</w:t>
      </w:r>
      <w:r>
        <w:rPr>
          <w:spacing w:val="-1"/>
        </w:rPr>
        <w:t> </w:t>
      </w:r>
      <w:r>
        <w:rPr/>
        <w:t>remains</w:t>
      </w:r>
      <w:r>
        <w:rPr>
          <w:spacing w:val="-1"/>
        </w:rPr>
        <w:t> </w:t>
      </w:r>
      <w:r>
        <w:rPr/>
        <w:t>an</w:t>
      </w:r>
      <w:r>
        <w:rPr>
          <w:spacing w:val="-2"/>
        </w:rPr>
        <w:t> </w:t>
      </w:r>
      <w:r>
        <w:rPr/>
        <w:t>area</w:t>
      </w:r>
      <w:r>
        <w:rPr>
          <w:spacing w:val="-2"/>
        </w:rPr>
        <w:t> </w:t>
      </w:r>
      <w:r>
        <w:rPr/>
        <w:t>of diverse</w:t>
      </w:r>
      <w:r>
        <w:rPr>
          <w:spacing w:val="-2"/>
        </w:rPr>
        <w:t> </w:t>
      </w:r>
      <w:r>
        <w:rPr/>
        <w:t>views.</w:t>
      </w:r>
      <w:r>
        <w:rPr>
          <w:spacing w:val="-2"/>
        </w:rPr>
        <w:t> </w:t>
      </w:r>
      <w:r>
        <w:rPr/>
        <w:t>Below is</w:t>
      </w:r>
      <w:r>
        <w:rPr>
          <w:spacing w:val="-1"/>
        </w:rPr>
        <w:t> </w:t>
      </w:r>
      <w:r>
        <w:rPr/>
        <w:t>a list of</w:t>
      </w:r>
      <w:r>
        <w:rPr>
          <w:spacing w:val="-1"/>
        </w:rPr>
        <w:t> </w:t>
      </w:r>
      <w:r>
        <w:rPr/>
        <w:t>knowledge gaps identified</w:t>
      </w:r>
      <w:r>
        <w:rPr>
          <w:spacing w:val="-1"/>
        </w:rPr>
        <w:t> </w:t>
      </w:r>
      <w:r>
        <w:rPr/>
        <w:t>during the review that, if filled, could improve our understanding of the effectiveness of pest management in Victoria.</w:t>
      </w:r>
      <w:r>
        <w:rPr>
          <w:spacing w:val="-3"/>
        </w:rPr>
        <w:t> </w:t>
      </w:r>
      <w:r>
        <w:rPr/>
        <w:t>These</w:t>
      </w:r>
      <w:r>
        <w:rPr>
          <w:spacing w:val="-3"/>
        </w:rPr>
        <w:t> </w:t>
      </w:r>
      <w:r>
        <w:rPr/>
        <w:t>are</w:t>
      </w:r>
      <w:r>
        <w:rPr>
          <w:spacing w:val="-1"/>
        </w:rPr>
        <w:t> </w:t>
      </w:r>
      <w:r>
        <w:rPr/>
        <w:t>presented</w:t>
      </w:r>
      <w:r>
        <w:rPr>
          <w:spacing w:val="-4"/>
        </w:rPr>
        <w:t> </w:t>
      </w:r>
      <w:r>
        <w:rPr/>
        <w:t>in</w:t>
      </w:r>
      <w:r>
        <w:rPr>
          <w:spacing w:val="-3"/>
        </w:rPr>
        <w:t> </w:t>
      </w:r>
      <w:r>
        <w:rPr/>
        <w:t>order</w:t>
      </w:r>
      <w:r>
        <w:rPr>
          <w:spacing w:val="-3"/>
        </w:rPr>
        <w:t> </w:t>
      </w:r>
      <w:r>
        <w:rPr/>
        <w:t>of the</w:t>
      </w:r>
      <w:r>
        <w:rPr>
          <w:spacing w:val="-4"/>
        </w:rPr>
        <w:t> </w:t>
      </w:r>
      <w:r>
        <w:rPr/>
        <w:t>review</w:t>
      </w:r>
      <w:r>
        <w:rPr>
          <w:spacing w:val="-3"/>
        </w:rPr>
        <w:t> </w:t>
      </w:r>
      <w:r>
        <w:rPr/>
        <w:t>topics.</w:t>
      </w:r>
      <w:r>
        <w:rPr>
          <w:spacing w:val="-3"/>
        </w:rPr>
        <w:t> </w:t>
      </w:r>
      <w:r>
        <w:rPr/>
        <w:t>A</w:t>
      </w:r>
      <w:r>
        <w:rPr>
          <w:spacing w:val="-4"/>
        </w:rPr>
        <w:t> </w:t>
      </w:r>
      <w:r>
        <w:rPr/>
        <w:t>subject</w:t>
      </w:r>
      <w:r>
        <w:rPr>
          <w:spacing w:val="-3"/>
        </w:rPr>
        <w:t> </w:t>
      </w:r>
      <w:r>
        <w:rPr/>
        <w:t>matter</w:t>
      </w:r>
      <w:r>
        <w:rPr>
          <w:spacing w:val="-3"/>
        </w:rPr>
        <w:t> </w:t>
      </w:r>
      <w:r>
        <w:rPr/>
        <w:t>expert</w:t>
      </w:r>
      <w:r>
        <w:rPr>
          <w:spacing w:val="-3"/>
        </w:rPr>
        <w:t> </w:t>
      </w:r>
      <w:r>
        <w:rPr/>
        <w:t>elicitation</w:t>
      </w:r>
      <w:r>
        <w:rPr>
          <w:spacing w:val="-3"/>
        </w:rPr>
        <w:t> </w:t>
      </w:r>
      <w:r>
        <w:rPr/>
        <w:t>process</w:t>
      </w:r>
      <w:r>
        <w:rPr>
          <w:spacing w:val="-2"/>
        </w:rPr>
        <w:t> </w:t>
      </w:r>
      <w:r>
        <w:rPr/>
        <w:t>would enable ordering these into priority areas.</w:t>
      </w:r>
    </w:p>
    <w:p>
      <w:pPr>
        <w:spacing w:before="120"/>
        <w:ind w:left="112" w:right="0" w:firstLine="0"/>
        <w:jc w:val="left"/>
        <w:rPr>
          <w:b/>
          <w:sz w:val="20"/>
        </w:rPr>
      </w:pPr>
      <w:r>
        <w:rPr>
          <w:b/>
          <w:sz w:val="20"/>
        </w:rPr>
        <w:t>All</w:t>
      </w:r>
      <w:r>
        <w:rPr>
          <w:b/>
          <w:spacing w:val="-8"/>
          <w:sz w:val="20"/>
        </w:rPr>
        <w:t> </w:t>
      </w:r>
      <w:r>
        <w:rPr>
          <w:b/>
          <w:sz w:val="20"/>
        </w:rPr>
        <w:t>species</w:t>
      </w:r>
      <w:r>
        <w:rPr>
          <w:b/>
          <w:spacing w:val="-6"/>
          <w:sz w:val="20"/>
        </w:rPr>
        <w:t> </w:t>
      </w:r>
      <w:r>
        <w:rPr>
          <w:b/>
          <w:sz w:val="20"/>
        </w:rPr>
        <w:t>and</w:t>
      </w:r>
      <w:r>
        <w:rPr>
          <w:b/>
          <w:spacing w:val="-6"/>
          <w:sz w:val="20"/>
        </w:rPr>
        <w:t> </w:t>
      </w:r>
      <w:r>
        <w:rPr>
          <w:b/>
          <w:sz w:val="20"/>
        </w:rPr>
        <w:t>combinations</w:t>
      </w:r>
      <w:r>
        <w:rPr>
          <w:b/>
          <w:spacing w:val="-8"/>
          <w:sz w:val="20"/>
        </w:rPr>
        <w:t> </w:t>
      </w:r>
      <w:r>
        <w:rPr>
          <w:b/>
          <w:sz w:val="20"/>
        </w:rPr>
        <w:t>of</w:t>
      </w:r>
      <w:r>
        <w:rPr>
          <w:b/>
          <w:spacing w:val="-6"/>
          <w:sz w:val="20"/>
        </w:rPr>
        <w:t> </w:t>
      </w:r>
      <w:r>
        <w:rPr>
          <w:b/>
          <w:sz w:val="20"/>
        </w:rPr>
        <w:t>control</w:t>
      </w:r>
      <w:r>
        <w:rPr>
          <w:b/>
          <w:spacing w:val="-8"/>
          <w:sz w:val="20"/>
        </w:rPr>
        <w:t> </w:t>
      </w:r>
      <w:r>
        <w:rPr>
          <w:b/>
          <w:spacing w:val="-2"/>
          <w:sz w:val="20"/>
        </w:rPr>
        <w:t>methods</w:t>
      </w:r>
    </w:p>
    <w:p>
      <w:pPr>
        <w:pStyle w:val="ListParagraph"/>
        <w:numPr>
          <w:ilvl w:val="0"/>
          <w:numId w:val="30"/>
        </w:numPr>
        <w:tabs>
          <w:tab w:pos="833" w:val="left" w:leader="none"/>
        </w:tabs>
        <w:spacing w:line="280" w:lineRule="auto" w:before="135" w:after="0"/>
        <w:ind w:left="833" w:right="427" w:hanging="360"/>
        <w:jc w:val="left"/>
        <w:rPr>
          <w:sz w:val="20"/>
        </w:rPr>
      </w:pPr>
      <w:r>
        <w:rPr>
          <w:sz w:val="20"/>
        </w:rPr>
        <w:t>There</w:t>
      </w:r>
      <w:r>
        <w:rPr>
          <w:spacing w:val="-3"/>
          <w:sz w:val="20"/>
        </w:rPr>
        <w:t> </w:t>
      </w:r>
      <w:r>
        <w:rPr>
          <w:sz w:val="20"/>
        </w:rPr>
        <w:t>is a</w:t>
      </w:r>
      <w:r>
        <w:rPr>
          <w:spacing w:val="-3"/>
          <w:sz w:val="20"/>
        </w:rPr>
        <w:t> </w:t>
      </w:r>
      <w:r>
        <w:rPr>
          <w:sz w:val="20"/>
        </w:rPr>
        <w:t>general</w:t>
      </w:r>
      <w:r>
        <w:rPr>
          <w:spacing w:val="-4"/>
          <w:sz w:val="20"/>
        </w:rPr>
        <w:t> </w:t>
      </w:r>
      <w:r>
        <w:rPr>
          <w:sz w:val="20"/>
        </w:rPr>
        <w:t>lack</w:t>
      </w:r>
      <w:r>
        <w:rPr>
          <w:spacing w:val="-2"/>
          <w:sz w:val="20"/>
        </w:rPr>
        <w:t> </w:t>
      </w:r>
      <w:r>
        <w:rPr>
          <w:sz w:val="20"/>
        </w:rPr>
        <w:t>of</w:t>
      </w:r>
      <w:r>
        <w:rPr>
          <w:spacing w:val="-3"/>
          <w:sz w:val="20"/>
        </w:rPr>
        <w:t> </w:t>
      </w:r>
      <w:r>
        <w:rPr>
          <w:sz w:val="20"/>
        </w:rPr>
        <w:t>detailed</w:t>
      </w:r>
      <w:r>
        <w:rPr>
          <w:spacing w:val="-3"/>
          <w:sz w:val="20"/>
        </w:rPr>
        <w:t> </w:t>
      </w:r>
      <w:r>
        <w:rPr>
          <w:sz w:val="20"/>
        </w:rPr>
        <w:t>formation</w:t>
      </w:r>
      <w:r>
        <w:rPr>
          <w:spacing w:val="-2"/>
          <w:sz w:val="20"/>
        </w:rPr>
        <w:t> </w:t>
      </w:r>
      <w:r>
        <w:rPr>
          <w:sz w:val="20"/>
        </w:rPr>
        <w:t>on</w:t>
      </w:r>
      <w:r>
        <w:rPr>
          <w:spacing w:val="-4"/>
          <w:sz w:val="20"/>
        </w:rPr>
        <w:t> </w:t>
      </w:r>
      <w:r>
        <w:rPr>
          <w:sz w:val="20"/>
        </w:rPr>
        <w:t>the</w:t>
      </w:r>
      <w:r>
        <w:rPr>
          <w:spacing w:val="-4"/>
          <w:sz w:val="20"/>
        </w:rPr>
        <w:t> </w:t>
      </w:r>
      <w:r>
        <w:rPr>
          <w:sz w:val="20"/>
        </w:rPr>
        <w:t>cost-effectiveness</w:t>
      </w:r>
      <w:r>
        <w:rPr>
          <w:spacing w:val="-2"/>
          <w:sz w:val="20"/>
        </w:rPr>
        <w:t> </w:t>
      </w:r>
      <w:r>
        <w:rPr>
          <w:sz w:val="20"/>
        </w:rPr>
        <w:t>of</w:t>
      </w:r>
      <w:r>
        <w:rPr>
          <w:spacing w:val="-3"/>
          <w:sz w:val="20"/>
        </w:rPr>
        <w:t> </w:t>
      </w:r>
      <w:r>
        <w:rPr>
          <w:sz w:val="20"/>
        </w:rPr>
        <w:t>methods,</w:t>
      </w:r>
      <w:r>
        <w:rPr>
          <w:spacing w:val="-3"/>
          <w:sz w:val="20"/>
        </w:rPr>
        <w:t> </w:t>
      </w:r>
      <w:r>
        <w:rPr>
          <w:sz w:val="20"/>
        </w:rPr>
        <w:t>or</w:t>
      </w:r>
      <w:r>
        <w:rPr>
          <w:spacing w:val="-2"/>
          <w:sz w:val="20"/>
        </w:rPr>
        <w:t> </w:t>
      </w:r>
      <w:r>
        <w:rPr>
          <w:sz w:val="20"/>
        </w:rPr>
        <w:t>combination</w:t>
      </w:r>
      <w:r>
        <w:rPr>
          <w:spacing w:val="-4"/>
          <w:sz w:val="20"/>
        </w:rPr>
        <w:t> </w:t>
      </w:r>
      <w:r>
        <w:rPr>
          <w:sz w:val="20"/>
        </w:rPr>
        <w:t>of methods for all species, particularly in Victoria. While some information exists, it is either not in the right format or is not in easily assessable formats. Appendix A1 presents a list of data that could be captured operationally to assess the cost-effectiveness of different control tools for each of the four pest species.</w:t>
      </w:r>
    </w:p>
    <w:p>
      <w:pPr>
        <w:spacing w:before="92"/>
        <w:ind w:left="112" w:right="0" w:firstLine="0"/>
        <w:jc w:val="left"/>
        <w:rPr>
          <w:b/>
          <w:sz w:val="20"/>
        </w:rPr>
      </w:pPr>
      <w:r>
        <w:rPr>
          <w:b/>
          <w:sz w:val="20"/>
        </w:rPr>
        <w:t>European</w:t>
      </w:r>
      <w:r>
        <w:rPr>
          <w:b/>
          <w:spacing w:val="-11"/>
          <w:sz w:val="20"/>
        </w:rPr>
        <w:t> </w:t>
      </w:r>
      <w:r>
        <w:rPr>
          <w:b/>
          <w:spacing w:val="-2"/>
          <w:sz w:val="20"/>
        </w:rPr>
        <w:t>Rabbits</w:t>
      </w:r>
    </w:p>
    <w:p>
      <w:pPr>
        <w:pStyle w:val="ListParagraph"/>
        <w:numPr>
          <w:ilvl w:val="0"/>
          <w:numId w:val="30"/>
        </w:numPr>
        <w:tabs>
          <w:tab w:pos="833" w:val="left" w:leader="none"/>
        </w:tabs>
        <w:spacing w:line="276" w:lineRule="auto" w:before="138" w:after="0"/>
        <w:ind w:left="833" w:right="1140" w:hanging="360"/>
        <w:jc w:val="left"/>
        <w:rPr>
          <w:sz w:val="20"/>
        </w:rPr>
      </w:pPr>
      <w:r>
        <w:rPr>
          <w:sz w:val="20"/>
        </w:rPr>
        <w:t>It</w:t>
      </w:r>
      <w:r>
        <w:rPr>
          <w:spacing w:val="-4"/>
          <w:sz w:val="20"/>
        </w:rPr>
        <w:t> </w:t>
      </w:r>
      <w:r>
        <w:rPr>
          <w:sz w:val="20"/>
        </w:rPr>
        <w:t>is</w:t>
      </w:r>
      <w:r>
        <w:rPr>
          <w:spacing w:val="-3"/>
          <w:sz w:val="20"/>
        </w:rPr>
        <w:t> </w:t>
      </w:r>
      <w:r>
        <w:rPr>
          <w:sz w:val="20"/>
        </w:rPr>
        <w:t>unclear</w:t>
      </w:r>
      <w:r>
        <w:rPr>
          <w:spacing w:val="-1"/>
          <w:sz w:val="20"/>
        </w:rPr>
        <w:t> </w:t>
      </w:r>
      <w:r>
        <w:rPr>
          <w:sz w:val="20"/>
        </w:rPr>
        <w:t>if</w:t>
      </w:r>
      <w:r>
        <w:rPr>
          <w:spacing w:val="-4"/>
          <w:sz w:val="20"/>
        </w:rPr>
        <w:t> </w:t>
      </w:r>
      <w:r>
        <w:rPr>
          <w:sz w:val="20"/>
        </w:rPr>
        <w:t>RDHV-K5</w:t>
      </w:r>
      <w:r>
        <w:rPr>
          <w:spacing w:val="-4"/>
          <w:sz w:val="20"/>
        </w:rPr>
        <w:t> </w:t>
      </w:r>
      <w:r>
        <w:rPr>
          <w:sz w:val="20"/>
        </w:rPr>
        <w:t>can</w:t>
      </w:r>
      <w:r>
        <w:rPr>
          <w:spacing w:val="-4"/>
          <w:sz w:val="20"/>
        </w:rPr>
        <w:t> </w:t>
      </w:r>
      <w:r>
        <w:rPr>
          <w:sz w:val="20"/>
        </w:rPr>
        <w:t>be</w:t>
      </w:r>
      <w:r>
        <w:rPr>
          <w:spacing w:val="-2"/>
          <w:sz w:val="20"/>
        </w:rPr>
        <w:t> </w:t>
      </w:r>
      <w:r>
        <w:rPr>
          <w:sz w:val="20"/>
        </w:rPr>
        <w:t>effective</w:t>
      </w:r>
      <w:r>
        <w:rPr>
          <w:spacing w:val="-4"/>
          <w:sz w:val="20"/>
        </w:rPr>
        <w:t> </w:t>
      </w:r>
      <w:r>
        <w:rPr>
          <w:sz w:val="20"/>
        </w:rPr>
        <w:t>except</w:t>
      </w:r>
      <w:r>
        <w:rPr>
          <w:spacing w:val="-2"/>
          <w:sz w:val="20"/>
        </w:rPr>
        <w:t> </w:t>
      </w:r>
      <w:r>
        <w:rPr>
          <w:sz w:val="20"/>
        </w:rPr>
        <w:t>under</w:t>
      </w:r>
      <w:r>
        <w:rPr>
          <w:spacing w:val="-1"/>
          <w:sz w:val="20"/>
        </w:rPr>
        <w:t> </w:t>
      </w:r>
      <w:r>
        <w:rPr>
          <w:sz w:val="20"/>
        </w:rPr>
        <w:t>very</w:t>
      </w:r>
      <w:r>
        <w:rPr>
          <w:spacing w:val="-2"/>
          <w:sz w:val="20"/>
        </w:rPr>
        <w:t> </w:t>
      </w:r>
      <w:r>
        <w:rPr>
          <w:sz w:val="20"/>
        </w:rPr>
        <w:t>specific</w:t>
      </w:r>
      <w:r>
        <w:rPr>
          <w:spacing w:val="-3"/>
          <w:sz w:val="20"/>
        </w:rPr>
        <w:t> </w:t>
      </w:r>
      <w:r>
        <w:rPr>
          <w:sz w:val="20"/>
        </w:rPr>
        <w:t>circumstances</w:t>
      </w:r>
      <w:r>
        <w:rPr>
          <w:spacing w:val="-3"/>
          <w:sz w:val="20"/>
        </w:rPr>
        <w:t> </w:t>
      </w:r>
      <w:r>
        <w:rPr>
          <w:sz w:val="20"/>
        </w:rPr>
        <w:t>given</w:t>
      </w:r>
      <w:r>
        <w:rPr>
          <w:spacing w:val="-5"/>
          <w:sz w:val="20"/>
        </w:rPr>
        <w:t> </w:t>
      </w:r>
      <w:r>
        <w:rPr>
          <w:sz w:val="20"/>
        </w:rPr>
        <w:t>the prevalence of RHDV2.</w:t>
      </w:r>
    </w:p>
    <w:p>
      <w:pPr>
        <w:pStyle w:val="ListParagraph"/>
        <w:numPr>
          <w:ilvl w:val="0"/>
          <w:numId w:val="30"/>
        </w:numPr>
        <w:tabs>
          <w:tab w:pos="833" w:val="left" w:leader="none"/>
        </w:tabs>
        <w:spacing w:line="276" w:lineRule="auto" w:before="0" w:after="0"/>
        <w:ind w:left="833" w:right="680" w:hanging="360"/>
        <w:jc w:val="left"/>
        <w:rPr>
          <w:sz w:val="20"/>
        </w:rPr>
      </w:pPr>
      <w:r>
        <w:rPr>
          <w:sz w:val="20"/>
        </w:rPr>
        <w:t>Under</w:t>
      </w:r>
      <w:r>
        <w:rPr>
          <w:spacing w:val="-5"/>
          <w:sz w:val="20"/>
        </w:rPr>
        <w:t> </w:t>
      </w:r>
      <w:r>
        <w:rPr>
          <w:sz w:val="20"/>
        </w:rPr>
        <w:t>what</w:t>
      </w:r>
      <w:r>
        <w:rPr>
          <w:spacing w:val="-5"/>
          <w:sz w:val="20"/>
        </w:rPr>
        <w:t> </w:t>
      </w:r>
      <w:r>
        <w:rPr>
          <w:sz w:val="20"/>
        </w:rPr>
        <w:t>conditions</w:t>
      </w:r>
      <w:r>
        <w:rPr>
          <w:spacing w:val="-2"/>
          <w:sz w:val="20"/>
        </w:rPr>
        <w:t> </w:t>
      </w:r>
      <w:r>
        <w:rPr>
          <w:sz w:val="20"/>
        </w:rPr>
        <w:t>can</w:t>
      </w:r>
      <w:r>
        <w:rPr>
          <w:spacing w:val="-2"/>
          <w:sz w:val="20"/>
        </w:rPr>
        <w:t> </w:t>
      </w:r>
      <w:r>
        <w:rPr>
          <w:sz w:val="20"/>
        </w:rPr>
        <w:t>RHDV-K5</w:t>
      </w:r>
      <w:r>
        <w:rPr>
          <w:spacing w:val="-5"/>
          <w:sz w:val="20"/>
        </w:rPr>
        <w:t> </w:t>
      </w:r>
      <w:r>
        <w:rPr>
          <w:sz w:val="20"/>
        </w:rPr>
        <w:t>be</w:t>
      </w:r>
      <w:r>
        <w:rPr>
          <w:spacing w:val="-5"/>
          <w:sz w:val="20"/>
        </w:rPr>
        <w:t> </w:t>
      </w:r>
      <w:r>
        <w:rPr>
          <w:sz w:val="20"/>
        </w:rPr>
        <w:t>effectively</w:t>
      </w:r>
      <w:r>
        <w:rPr>
          <w:spacing w:val="-4"/>
          <w:sz w:val="20"/>
        </w:rPr>
        <w:t> </w:t>
      </w:r>
      <w:r>
        <w:rPr>
          <w:sz w:val="20"/>
        </w:rPr>
        <w:t>combined with</w:t>
      </w:r>
      <w:r>
        <w:rPr>
          <w:spacing w:val="-5"/>
          <w:sz w:val="20"/>
        </w:rPr>
        <w:t> </w:t>
      </w:r>
      <w:r>
        <w:rPr>
          <w:sz w:val="20"/>
        </w:rPr>
        <w:t>warren</w:t>
      </w:r>
      <w:r>
        <w:rPr>
          <w:spacing w:val="-5"/>
          <w:sz w:val="20"/>
        </w:rPr>
        <w:t> </w:t>
      </w:r>
      <w:r>
        <w:rPr>
          <w:sz w:val="20"/>
        </w:rPr>
        <w:t>ripping,</w:t>
      </w:r>
      <w:r>
        <w:rPr>
          <w:spacing w:val="-3"/>
          <w:sz w:val="20"/>
        </w:rPr>
        <w:t> </w:t>
      </w:r>
      <w:r>
        <w:rPr>
          <w:sz w:val="20"/>
        </w:rPr>
        <w:t>fumigation</w:t>
      </w:r>
      <w:r>
        <w:rPr>
          <w:spacing w:val="-5"/>
          <w:sz w:val="20"/>
        </w:rPr>
        <w:t> </w:t>
      </w:r>
      <w:r>
        <w:rPr>
          <w:sz w:val="20"/>
        </w:rPr>
        <w:t>and poisoning with either pindone or 1080.</w:t>
      </w:r>
    </w:p>
    <w:p>
      <w:pPr>
        <w:pStyle w:val="ListParagraph"/>
        <w:numPr>
          <w:ilvl w:val="0"/>
          <w:numId w:val="30"/>
        </w:numPr>
        <w:tabs>
          <w:tab w:pos="833" w:val="left" w:leader="none"/>
        </w:tabs>
        <w:spacing w:line="239" w:lineRule="exact" w:before="0" w:after="0"/>
        <w:ind w:left="833" w:right="0" w:hanging="360"/>
        <w:jc w:val="left"/>
        <w:rPr>
          <w:sz w:val="20"/>
        </w:rPr>
      </w:pPr>
      <w:r>
        <w:rPr>
          <w:sz w:val="20"/>
        </w:rPr>
        <w:t>The</w:t>
      </w:r>
      <w:r>
        <w:rPr>
          <w:spacing w:val="-8"/>
          <w:sz w:val="20"/>
        </w:rPr>
        <w:t> </w:t>
      </w:r>
      <w:r>
        <w:rPr>
          <w:sz w:val="20"/>
        </w:rPr>
        <w:t>impact</w:t>
      </w:r>
      <w:r>
        <w:rPr>
          <w:spacing w:val="-5"/>
          <w:sz w:val="20"/>
        </w:rPr>
        <w:t> </w:t>
      </w:r>
      <w:r>
        <w:rPr>
          <w:sz w:val="20"/>
        </w:rPr>
        <w:t>of</w:t>
      </w:r>
      <w:r>
        <w:rPr>
          <w:spacing w:val="-7"/>
          <w:sz w:val="20"/>
        </w:rPr>
        <w:t> </w:t>
      </w:r>
      <w:r>
        <w:rPr>
          <w:sz w:val="20"/>
        </w:rPr>
        <w:t>warren</w:t>
      </w:r>
      <w:r>
        <w:rPr>
          <w:spacing w:val="-7"/>
          <w:sz w:val="20"/>
        </w:rPr>
        <w:t> </w:t>
      </w:r>
      <w:r>
        <w:rPr>
          <w:sz w:val="20"/>
        </w:rPr>
        <w:t>fumigation</w:t>
      </w:r>
      <w:r>
        <w:rPr>
          <w:spacing w:val="-7"/>
          <w:sz w:val="20"/>
        </w:rPr>
        <w:t> </w:t>
      </w:r>
      <w:r>
        <w:rPr>
          <w:sz w:val="20"/>
        </w:rPr>
        <w:t>on</w:t>
      </w:r>
      <w:r>
        <w:rPr>
          <w:spacing w:val="-7"/>
          <w:sz w:val="20"/>
        </w:rPr>
        <w:t> </w:t>
      </w:r>
      <w:r>
        <w:rPr>
          <w:sz w:val="20"/>
        </w:rPr>
        <w:t>non-target</w:t>
      </w:r>
      <w:r>
        <w:rPr>
          <w:spacing w:val="-7"/>
          <w:sz w:val="20"/>
        </w:rPr>
        <w:t> </w:t>
      </w:r>
      <w:r>
        <w:rPr>
          <w:sz w:val="20"/>
        </w:rPr>
        <w:t>species</w:t>
      </w:r>
      <w:r>
        <w:rPr>
          <w:spacing w:val="-6"/>
          <w:sz w:val="20"/>
        </w:rPr>
        <w:t> </w:t>
      </w:r>
      <w:r>
        <w:rPr>
          <w:sz w:val="20"/>
        </w:rPr>
        <w:t>in</w:t>
      </w:r>
      <w:r>
        <w:rPr>
          <w:spacing w:val="-5"/>
          <w:sz w:val="20"/>
        </w:rPr>
        <w:t> </w:t>
      </w:r>
      <w:r>
        <w:rPr>
          <w:spacing w:val="-2"/>
          <w:sz w:val="20"/>
        </w:rPr>
        <w:t>Australia.</w:t>
      </w:r>
    </w:p>
    <w:p>
      <w:pPr>
        <w:spacing w:before="122"/>
        <w:ind w:left="112" w:right="0" w:firstLine="0"/>
        <w:jc w:val="left"/>
        <w:rPr>
          <w:b/>
          <w:sz w:val="20"/>
        </w:rPr>
      </w:pPr>
      <w:r>
        <w:rPr>
          <w:b/>
          <w:sz w:val="20"/>
        </w:rPr>
        <w:t>Feral</w:t>
      </w:r>
      <w:r>
        <w:rPr>
          <w:b/>
          <w:spacing w:val="-7"/>
          <w:sz w:val="20"/>
        </w:rPr>
        <w:t> </w:t>
      </w:r>
      <w:r>
        <w:rPr>
          <w:b/>
          <w:spacing w:val="-4"/>
          <w:sz w:val="20"/>
        </w:rPr>
        <w:t>Pigs</w:t>
      </w:r>
    </w:p>
    <w:p>
      <w:pPr>
        <w:pStyle w:val="ListParagraph"/>
        <w:numPr>
          <w:ilvl w:val="0"/>
          <w:numId w:val="30"/>
        </w:numPr>
        <w:tabs>
          <w:tab w:pos="833" w:val="left" w:leader="none"/>
        </w:tabs>
        <w:spacing w:line="280" w:lineRule="auto" w:before="136" w:after="0"/>
        <w:ind w:left="833" w:right="434" w:hanging="360"/>
        <w:jc w:val="left"/>
        <w:rPr>
          <w:sz w:val="20"/>
        </w:rPr>
      </w:pPr>
      <w:r>
        <w:rPr>
          <w:sz w:val="20"/>
        </w:rPr>
        <w:t>It is possible that Feral Pig carcasses pose a secondary non-target risk to Dingoes. There is no information</w:t>
      </w:r>
      <w:r>
        <w:rPr>
          <w:spacing w:val="-4"/>
          <w:sz w:val="20"/>
        </w:rPr>
        <w:t> </w:t>
      </w:r>
      <w:r>
        <w:rPr>
          <w:sz w:val="20"/>
        </w:rPr>
        <w:t>currently</w:t>
      </w:r>
      <w:r>
        <w:rPr>
          <w:spacing w:val="-3"/>
          <w:sz w:val="20"/>
        </w:rPr>
        <w:t> </w:t>
      </w:r>
      <w:r>
        <w:rPr>
          <w:sz w:val="20"/>
        </w:rPr>
        <w:t>available</w:t>
      </w:r>
      <w:r>
        <w:rPr>
          <w:spacing w:val="-2"/>
          <w:sz w:val="20"/>
        </w:rPr>
        <w:t> </w:t>
      </w:r>
      <w:r>
        <w:rPr>
          <w:sz w:val="20"/>
        </w:rPr>
        <w:t>in</w:t>
      </w:r>
      <w:r>
        <w:rPr>
          <w:spacing w:val="-2"/>
          <w:sz w:val="20"/>
        </w:rPr>
        <w:t> </w:t>
      </w:r>
      <w:r>
        <w:rPr>
          <w:sz w:val="20"/>
        </w:rPr>
        <w:t>the</w:t>
      </w:r>
      <w:r>
        <w:rPr>
          <w:spacing w:val="-3"/>
          <w:sz w:val="20"/>
        </w:rPr>
        <w:t> </w:t>
      </w:r>
      <w:r>
        <w:rPr>
          <w:sz w:val="20"/>
        </w:rPr>
        <w:t>literature</w:t>
      </w:r>
      <w:r>
        <w:rPr>
          <w:spacing w:val="-1"/>
          <w:sz w:val="20"/>
        </w:rPr>
        <w:t> </w:t>
      </w:r>
      <w:r>
        <w:rPr>
          <w:sz w:val="20"/>
        </w:rPr>
        <w:t>on</w:t>
      </w:r>
      <w:r>
        <w:rPr>
          <w:spacing w:val="-2"/>
          <w:sz w:val="20"/>
        </w:rPr>
        <w:t> </w:t>
      </w:r>
      <w:r>
        <w:rPr>
          <w:sz w:val="20"/>
        </w:rPr>
        <w:t>the</w:t>
      </w:r>
      <w:r>
        <w:rPr>
          <w:spacing w:val="-4"/>
          <w:sz w:val="20"/>
        </w:rPr>
        <w:t> </w:t>
      </w:r>
      <w:r>
        <w:rPr>
          <w:sz w:val="20"/>
        </w:rPr>
        <w:t>use</w:t>
      </w:r>
      <w:r>
        <w:rPr>
          <w:spacing w:val="-4"/>
          <w:sz w:val="20"/>
        </w:rPr>
        <w:t> </w:t>
      </w:r>
      <w:r>
        <w:rPr>
          <w:sz w:val="20"/>
        </w:rPr>
        <w:t>of</w:t>
      </w:r>
      <w:r>
        <w:rPr>
          <w:spacing w:val="-3"/>
          <w:sz w:val="20"/>
        </w:rPr>
        <w:t> </w:t>
      </w:r>
      <w:r>
        <w:rPr>
          <w:sz w:val="20"/>
        </w:rPr>
        <w:t>Feral</w:t>
      </w:r>
      <w:r>
        <w:rPr>
          <w:spacing w:val="-5"/>
          <w:sz w:val="20"/>
        </w:rPr>
        <w:t> </w:t>
      </w:r>
      <w:r>
        <w:rPr>
          <w:sz w:val="20"/>
        </w:rPr>
        <w:t>Pig</w:t>
      </w:r>
      <w:r>
        <w:rPr>
          <w:spacing w:val="-4"/>
          <w:sz w:val="20"/>
        </w:rPr>
        <w:t> </w:t>
      </w:r>
      <w:r>
        <w:rPr>
          <w:sz w:val="20"/>
        </w:rPr>
        <w:t>carcasses</w:t>
      </w:r>
      <w:r>
        <w:rPr>
          <w:spacing w:val="-2"/>
          <w:sz w:val="20"/>
        </w:rPr>
        <w:t> </w:t>
      </w:r>
      <w:r>
        <w:rPr>
          <w:sz w:val="20"/>
        </w:rPr>
        <w:t>poisoned</w:t>
      </w:r>
      <w:r>
        <w:rPr>
          <w:spacing w:val="-5"/>
          <w:sz w:val="20"/>
        </w:rPr>
        <w:t> </w:t>
      </w:r>
      <w:r>
        <w:rPr>
          <w:sz w:val="20"/>
        </w:rPr>
        <w:t>with</w:t>
      </w:r>
      <w:r>
        <w:rPr>
          <w:spacing w:val="-2"/>
          <w:sz w:val="20"/>
        </w:rPr>
        <w:t> </w:t>
      </w:r>
      <w:r>
        <w:rPr>
          <w:sz w:val="20"/>
        </w:rPr>
        <w:t>1080 by Dingoes.</w:t>
      </w:r>
    </w:p>
    <w:p>
      <w:pPr>
        <w:spacing w:before="89"/>
        <w:ind w:left="112" w:right="0" w:firstLine="0"/>
        <w:jc w:val="left"/>
        <w:rPr>
          <w:b/>
          <w:sz w:val="20"/>
        </w:rPr>
      </w:pPr>
      <w:r>
        <w:rPr>
          <w:b/>
          <w:sz w:val="20"/>
        </w:rPr>
        <w:t>Red</w:t>
      </w:r>
      <w:r>
        <w:rPr>
          <w:b/>
          <w:spacing w:val="-4"/>
          <w:sz w:val="20"/>
        </w:rPr>
        <w:t> </w:t>
      </w:r>
      <w:r>
        <w:rPr>
          <w:b/>
          <w:spacing w:val="-2"/>
          <w:sz w:val="20"/>
        </w:rPr>
        <w:t>Foxes</w:t>
      </w:r>
    </w:p>
    <w:p>
      <w:pPr>
        <w:pStyle w:val="ListParagraph"/>
        <w:numPr>
          <w:ilvl w:val="0"/>
          <w:numId w:val="30"/>
        </w:numPr>
        <w:tabs>
          <w:tab w:pos="833" w:val="left" w:leader="none"/>
        </w:tabs>
        <w:spacing w:line="278" w:lineRule="auto" w:before="135" w:after="0"/>
        <w:ind w:left="833" w:right="653" w:hanging="360"/>
        <w:jc w:val="left"/>
        <w:rPr>
          <w:sz w:val="20"/>
        </w:rPr>
      </w:pPr>
      <w:r>
        <w:rPr>
          <w:sz w:val="20"/>
        </w:rPr>
        <w:t>An</w:t>
      </w:r>
      <w:r>
        <w:rPr>
          <w:spacing w:val="-4"/>
          <w:sz w:val="20"/>
        </w:rPr>
        <w:t> </w:t>
      </w:r>
      <w:r>
        <w:rPr>
          <w:sz w:val="20"/>
        </w:rPr>
        <w:t>evaluation</w:t>
      </w:r>
      <w:r>
        <w:rPr>
          <w:spacing w:val="-2"/>
          <w:sz w:val="20"/>
        </w:rPr>
        <w:t> </w:t>
      </w:r>
      <w:r>
        <w:rPr>
          <w:sz w:val="20"/>
        </w:rPr>
        <w:t>of</w:t>
      </w:r>
      <w:r>
        <w:rPr>
          <w:spacing w:val="-4"/>
          <w:sz w:val="20"/>
        </w:rPr>
        <w:t> </w:t>
      </w:r>
      <w:r>
        <w:rPr>
          <w:sz w:val="20"/>
        </w:rPr>
        <w:t>factors</w:t>
      </w:r>
      <w:r>
        <w:rPr>
          <w:spacing w:val="-2"/>
          <w:sz w:val="20"/>
        </w:rPr>
        <w:t> </w:t>
      </w:r>
      <w:r>
        <w:rPr>
          <w:sz w:val="20"/>
        </w:rPr>
        <w:t>influencing</w:t>
      </w:r>
      <w:r>
        <w:rPr>
          <w:spacing w:val="-5"/>
          <w:sz w:val="20"/>
        </w:rPr>
        <w:t> </w:t>
      </w:r>
      <w:r>
        <w:rPr>
          <w:sz w:val="20"/>
        </w:rPr>
        <w:t>the</w:t>
      </w:r>
      <w:r>
        <w:rPr>
          <w:spacing w:val="-3"/>
          <w:sz w:val="20"/>
        </w:rPr>
        <w:t> </w:t>
      </w:r>
      <w:r>
        <w:rPr>
          <w:sz w:val="20"/>
        </w:rPr>
        <w:t>likelihood</w:t>
      </w:r>
      <w:r>
        <w:rPr>
          <w:spacing w:val="-4"/>
          <w:sz w:val="20"/>
        </w:rPr>
        <w:t> </w:t>
      </w:r>
      <w:r>
        <w:rPr>
          <w:sz w:val="20"/>
        </w:rPr>
        <w:t>of</w:t>
      </w:r>
      <w:r>
        <w:rPr>
          <w:spacing w:val="-2"/>
          <w:sz w:val="20"/>
        </w:rPr>
        <w:t> </w:t>
      </w:r>
      <w:r>
        <w:rPr>
          <w:sz w:val="20"/>
        </w:rPr>
        <w:t>non-target</w:t>
      </w:r>
      <w:r>
        <w:rPr>
          <w:spacing w:val="-4"/>
          <w:sz w:val="20"/>
        </w:rPr>
        <w:t> </w:t>
      </w:r>
      <w:r>
        <w:rPr>
          <w:sz w:val="20"/>
        </w:rPr>
        <w:t>species,</w:t>
      </w:r>
      <w:r>
        <w:rPr>
          <w:spacing w:val="-2"/>
          <w:sz w:val="20"/>
        </w:rPr>
        <w:t> </w:t>
      </w:r>
      <w:r>
        <w:rPr>
          <w:sz w:val="20"/>
        </w:rPr>
        <w:t>particularly</w:t>
      </w:r>
      <w:r>
        <w:rPr>
          <w:spacing w:val="-2"/>
          <w:sz w:val="20"/>
        </w:rPr>
        <w:t> </w:t>
      </w:r>
      <w:r>
        <w:rPr>
          <w:sz w:val="20"/>
        </w:rPr>
        <w:t>Spotted-tailed Quolls, interactions with CPEs.</w:t>
      </w:r>
    </w:p>
    <w:p>
      <w:pPr>
        <w:pStyle w:val="ListParagraph"/>
        <w:numPr>
          <w:ilvl w:val="0"/>
          <w:numId w:val="30"/>
        </w:numPr>
        <w:tabs>
          <w:tab w:pos="833" w:val="left" w:leader="none"/>
        </w:tabs>
        <w:spacing w:line="234" w:lineRule="exact" w:before="0" w:after="0"/>
        <w:ind w:left="833" w:right="0" w:hanging="360"/>
        <w:jc w:val="left"/>
        <w:rPr>
          <w:sz w:val="20"/>
        </w:rPr>
      </w:pPr>
      <w:r>
        <w:rPr>
          <w:sz w:val="20"/>
        </w:rPr>
        <w:t>The</w:t>
      </w:r>
      <w:r>
        <w:rPr>
          <w:spacing w:val="-8"/>
          <w:sz w:val="20"/>
        </w:rPr>
        <w:t> </w:t>
      </w:r>
      <w:r>
        <w:rPr>
          <w:sz w:val="20"/>
        </w:rPr>
        <w:t>effectiveness</w:t>
      </w:r>
      <w:r>
        <w:rPr>
          <w:spacing w:val="-7"/>
          <w:sz w:val="20"/>
        </w:rPr>
        <w:t> </w:t>
      </w:r>
      <w:r>
        <w:rPr>
          <w:sz w:val="20"/>
        </w:rPr>
        <w:t>of</w:t>
      </w:r>
      <w:r>
        <w:rPr>
          <w:spacing w:val="-5"/>
          <w:sz w:val="20"/>
        </w:rPr>
        <w:t> </w:t>
      </w:r>
      <w:r>
        <w:rPr>
          <w:sz w:val="20"/>
        </w:rPr>
        <w:t>PAPP-based</w:t>
      </w:r>
      <w:r>
        <w:rPr>
          <w:spacing w:val="-7"/>
          <w:sz w:val="20"/>
        </w:rPr>
        <w:t> </w:t>
      </w:r>
      <w:r>
        <w:rPr>
          <w:sz w:val="20"/>
        </w:rPr>
        <w:t>ground</w:t>
      </w:r>
      <w:r>
        <w:rPr>
          <w:spacing w:val="-7"/>
          <w:sz w:val="20"/>
        </w:rPr>
        <w:t> </w:t>
      </w:r>
      <w:r>
        <w:rPr>
          <w:sz w:val="20"/>
        </w:rPr>
        <w:t>baits</w:t>
      </w:r>
      <w:r>
        <w:rPr>
          <w:spacing w:val="-7"/>
          <w:sz w:val="20"/>
        </w:rPr>
        <w:t> </w:t>
      </w:r>
      <w:r>
        <w:rPr>
          <w:sz w:val="20"/>
        </w:rPr>
        <w:t>for</w:t>
      </w:r>
      <w:r>
        <w:rPr>
          <w:spacing w:val="-8"/>
          <w:sz w:val="20"/>
        </w:rPr>
        <w:t> </w:t>
      </w:r>
      <w:r>
        <w:rPr>
          <w:spacing w:val="-2"/>
          <w:sz w:val="20"/>
        </w:rPr>
        <w:t>foxes.</w:t>
      </w:r>
    </w:p>
    <w:p>
      <w:pPr>
        <w:pStyle w:val="ListParagraph"/>
        <w:numPr>
          <w:ilvl w:val="0"/>
          <w:numId w:val="30"/>
        </w:numPr>
        <w:tabs>
          <w:tab w:pos="833" w:val="left" w:leader="none"/>
        </w:tabs>
        <w:spacing w:line="278" w:lineRule="auto" w:before="27" w:after="0"/>
        <w:ind w:left="833" w:right="739" w:hanging="360"/>
        <w:jc w:val="left"/>
        <w:rPr>
          <w:sz w:val="20"/>
        </w:rPr>
      </w:pPr>
      <w:r>
        <w:rPr>
          <w:sz w:val="20"/>
        </w:rPr>
        <w:t>There</w:t>
      </w:r>
      <w:r>
        <w:rPr>
          <w:spacing w:val="-4"/>
          <w:sz w:val="20"/>
        </w:rPr>
        <w:t> </w:t>
      </w:r>
      <w:r>
        <w:rPr>
          <w:sz w:val="20"/>
        </w:rPr>
        <w:t>is</w:t>
      </w:r>
      <w:r>
        <w:rPr>
          <w:spacing w:val="-1"/>
          <w:sz w:val="20"/>
        </w:rPr>
        <w:t> </w:t>
      </w:r>
      <w:r>
        <w:rPr>
          <w:sz w:val="20"/>
        </w:rPr>
        <w:t>no</w:t>
      </w:r>
      <w:r>
        <w:rPr>
          <w:spacing w:val="-5"/>
          <w:sz w:val="20"/>
        </w:rPr>
        <w:t> </w:t>
      </w:r>
      <w:r>
        <w:rPr>
          <w:sz w:val="20"/>
        </w:rPr>
        <w:t>quantitative</w:t>
      </w:r>
      <w:r>
        <w:rPr>
          <w:spacing w:val="-2"/>
          <w:sz w:val="20"/>
        </w:rPr>
        <w:t> </w:t>
      </w:r>
      <w:r>
        <w:rPr>
          <w:sz w:val="20"/>
        </w:rPr>
        <w:t>information</w:t>
      </w:r>
      <w:r>
        <w:rPr>
          <w:spacing w:val="-3"/>
          <w:sz w:val="20"/>
        </w:rPr>
        <w:t> </w:t>
      </w:r>
      <w:r>
        <w:rPr>
          <w:sz w:val="20"/>
        </w:rPr>
        <w:t>on</w:t>
      </w:r>
      <w:r>
        <w:rPr>
          <w:spacing w:val="-5"/>
          <w:sz w:val="20"/>
        </w:rPr>
        <w:t> </w:t>
      </w:r>
      <w:r>
        <w:rPr>
          <w:sz w:val="20"/>
        </w:rPr>
        <w:t>the</w:t>
      </w:r>
      <w:r>
        <w:rPr>
          <w:spacing w:val="-5"/>
          <w:sz w:val="20"/>
        </w:rPr>
        <w:t> </w:t>
      </w:r>
      <w:r>
        <w:rPr>
          <w:sz w:val="20"/>
        </w:rPr>
        <w:t>risk</w:t>
      </w:r>
      <w:r>
        <w:rPr>
          <w:spacing w:val="-3"/>
          <w:sz w:val="20"/>
        </w:rPr>
        <w:t> </w:t>
      </w:r>
      <w:r>
        <w:rPr>
          <w:sz w:val="20"/>
        </w:rPr>
        <w:t>to Dingoes</w:t>
      </w:r>
      <w:r>
        <w:rPr>
          <w:spacing w:val="-2"/>
          <w:sz w:val="20"/>
        </w:rPr>
        <w:t> </w:t>
      </w:r>
      <w:r>
        <w:rPr>
          <w:sz w:val="20"/>
        </w:rPr>
        <w:t>from</w:t>
      </w:r>
      <w:r>
        <w:rPr>
          <w:spacing w:val="-4"/>
          <w:sz w:val="20"/>
        </w:rPr>
        <w:t> </w:t>
      </w:r>
      <w:r>
        <w:rPr>
          <w:sz w:val="20"/>
        </w:rPr>
        <w:t>various</w:t>
      </w:r>
      <w:r>
        <w:rPr>
          <w:spacing w:val="-1"/>
          <w:sz w:val="20"/>
        </w:rPr>
        <w:t> </w:t>
      </w:r>
      <w:r>
        <w:rPr>
          <w:sz w:val="20"/>
        </w:rPr>
        <w:t>bait</w:t>
      </w:r>
      <w:r>
        <w:rPr>
          <w:spacing w:val="-4"/>
          <w:sz w:val="20"/>
        </w:rPr>
        <w:t> </w:t>
      </w:r>
      <w:r>
        <w:rPr>
          <w:sz w:val="20"/>
        </w:rPr>
        <w:t>substrates</w:t>
      </w:r>
      <w:r>
        <w:rPr>
          <w:spacing w:val="-3"/>
          <w:sz w:val="20"/>
        </w:rPr>
        <w:t> </w:t>
      </w:r>
      <w:r>
        <w:rPr>
          <w:sz w:val="20"/>
        </w:rPr>
        <w:t>use</w:t>
      </w:r>
      <w:r>
        <w:rPr>
          <w:spacing w:val="-4"/>
          <w:sz w:val="20"/>
        </w:rPr>
        <w:t> </w:t>
      </w:r>
      <w:r>
        <w:rPr>
          <w:sz w:val="20"/>
        </w:rPr>
        <w:t>in</w:t>
      </w:r>
      <w:r>
        <w:rPr>
          <w:spacing w:val="-4"/>
          <w:sz w:val="20"/>
        </w:rPr>
        <w:t> </w:t>
      </w:r>
      <w:r>
        <w:rPr>
          <w:sz w:val="20"/>
        </w:rPr>
        <w:t>fox </w:t>
      </w:r>
      <w:r>
        <w:rPr>
          <w:spacing w:val="-2"/>
          <w:sz w:val="20"/>
        </w:rPr>
        <w:t>control.</w:t>
      </w:r>
    </w:p>
    <w:p>
      <w:pPr>
        <w:spacing w:before="91"/>
        <w:ind w:left="112" w:right="0" w:firstLine="0"/>
        <w:jc w:val="left"/>
        <w:rPr>
          <w:b/>
          <w:sz w:val="20"/>
        </w:rPr>
      </w:pPr>
      <w:r>
        <w:rPr>
          <w:b/>
          <w:sz w:val="20"/>
        </w:rPr>
        <w:t>Dingoes</w:t>
      </w:r>
      <w:r>
        <w:rPr>
          <w:b/>
          <w:spacing w:val="-8"/>
          <w:sz w:val="20"/>
        </w:rPr>
        <w:t> </w:t>
      </w:r>
      <w:r>
        <w:rPr>
          <w:b/>
          <w:sz w:val="20"/>
        </w:rPr>
        <w:t>and</w:t>
      </w:r>
      <w:r>
        <w:rPr>
          <w:b/>
          <w:spacing w:val="-4"/>
          <w:sz w:val="20"/>
        </w:rPr>
        <w:t> </w:t>
      </w:r>
      <w:r>
        <w:rPr>
          <w:b/>
          <w:sz w:val="20"/>
        </w:rPr>
        <w:t>Wild</w:t>
      </w:r>
      <w:r>
        <w:rPr>
          <w:b/>
          <w:spacing w:val="-6"/>
          <w:sz w:val="20"/>
        </w:rPr>
        <w:t> </w:t>
      </w:r>
      <w:r>
        <w:rPr>
          <w:b/>
          <w:spacing w:val="-4"/>
          <w:sz w:val="20"/>
        </w:rPr>
        <w:t>Dogs</w:t>
      </w:r>
    </w:p>
    <w:p>
      <w:pPr>
        <w:pStyle w:val="ListParagraph"/>
        <w:numPr>
          <w:ilvl w:val="0"/>
          <w:numId w:val="30"/>
        </w:numPr>
        <w:tabs>
          <w:tab w:pos="833" w:val="left" w:leader="none"/>
        </w:tabs>
        <w:spacing w:line="240" w:lineRule="auto" w:before="138" w:after="0"/>
        <w:ind w:left="833" w:right="0" w:hanging="360"/>
        <w:jc w:val="left"/>
        <w:rPr>
          <w:sz w:val="20"/>
        </w:rPr>
      </w:pPr>
      <w:r>
        <w:rPr>
          <w:sz w:val="20"/>
        </w:rPr>
        <w:t>The</w:t>
      </w:r>
      <w:r>
        <w:rPr>
          <w:spacing w:val="-8"/>
          <w:sz w:val="20"/>
        </w:rPr>
        <w:t> </w:t>
      </w:r>
      <w:r>
        <w:rPr>
          <w:sz w:val="20"/>
        </w:rPr>
        <w:t>effectiveness</w:t>
      </w:r>
      <w:r>
        <w:rPr>
          <w:spacing w:val="-6"/>
          <w:sz w:val="20"/>
        </w:rPr>
        <w:t> </w:t>
      </w:r>
      <w:r>
        <w:rPr>
          <w:sz w:val="20"/>
        </w:rPr>
        <w:t>of</w:t>
      </w:r>
      <w:r>
        <w:rPr>
          <w:spacing w:val="-5"/>
          <w:sz w:val="20"/>
        </w:rPr>
        <w:t> </w:t>
      </w:r>
      <w:r>
        <w:rPr>
          <w:sz w:val="20"/>
        </w:rPr>
        <w:t>PAPP-based</w:t>
      </w:r>
      <w:r>
        <w:rPr>
          <w:spacing w:val="-7"/>
          <w:sz w:val="20"/>
        </w:rPr>
        <w:t> </w:t>
      </w:r>
      <w:r>
        <w:rPr>
          <w:sz w:val="20"/>
        </w:rPr>
        <w:t>ground</w:t>
      </w:r>
      <w:r>
        <w:rPr>
          <w:spacing w:val="-7"/>
          <w:sz w:val="20"/>
        </w:rPr>
        <w:t> </w:t>
      </w:r>
      <w:r>
        <w:rPr>
          <w:sz w:val="20"/>
        </w:rPr>
        <w:t>baits</w:t>
      </w:r>
      <w:r>
        <w:rPr>
          <w:spacing w:val="-6"/>
          <w:sz w:val="20"/>
        </w:rPr>
        <w:t> </w:t>
      </w:r>
      <w:r>
        <w:rPr>
          <w:sz w:val="20"/>
        </w:rPr>
        <w:t>for</w:t>
      </w:r>
      <w:r>
        <w:rPr>
          <w:spacing w:val="-5"/>
          <w:sz w:val="20"/>
        </w:rPr>
        <w:t> </w:t>
      </w:r>
      <w:r>
        <w:rPr>
          <w:sz w:val="20"/>
        </w:rPr>
        <w:t>Dingoes</w:t>
      </w:r>
      <w:r>
        <w:rPr>
          <w:spacing w:val="-7"/>
          <w:sz w:val="20"/>
        </w:rPr>
        <w:t> </w:t>
      </w:r>
      <w:r>
        <w:rPr>
          <w:sz w:val="20"/>
        </w:rPr>
        <w:t>and</w:t>
      </w:r>
      <w:r>
        <w:rPr>
          <w:spacing w:val="-5"/>
          <w:sz w:val="20"/>
        </w:rPr>
        <w:t> </w:t>
      </w:r>
      <w:r>
        <w:rPr>
          <w:sz w:val="20"/>
        </w:rPr>
        <w:t>Wild</w:t>
      </w:r>
      <w:r>
        <w:rPr>
          <w:spacing w:val="-7"/>
          <w:sz w:val="20"/>
        </w:rPr>
        <w:t> </w:t>
      </w:r>
      <w:r>
        <w:rPr>
          <w:spacing w:val="-2"/>
          <w:sz w:val="20"/>
        </w:rPr>
        <w:t>Dogs.</w:t>
      </w:r>
    </w:p>
    <w:p>
      <w:pPr>
        <w:pStyle w:val="ListParagraph"/>
        <w:numPr>
          <w:ilvl w:val="0"/>
          <w:numId w:val="30"/>
        </w:numPr>
        <w:tabs>
          <w:tab w:pos="833" w:val="left" w:leader="none"/>
        </w:tabs>
        <w:spacing w:line="278" w:lineRule="auto" w:before="24" w:after="0"/>
        <w:ind w:left="833" w:right="500" w:hanging="360"/>
        <w:jc w:val="left"/>
        <w:rPr>
          <w:sz w:val="20"/>
        </w:rPr>
      </w:pPr>
      <w:r>
        <w:rPr>
          <w:sz w:val="20"/>
        </w:rPr>
        <w:t>PAPP</w:t>
      </w:r>
      <w:r>
        <w:rPr>
          <w:spacing w:val="-3"/>
          <w:sz w:val="20"/>
        </w:rPr>
        <w:t> </w:t>
      </w:r>
      <w:r>
        <w:rPr>
          <w:sz w:val="20"/>
        </w:rPr>
        <w:t>has</w:t>
      </w:r>
      <w:r>
        <w:rPr>
          <w:spacing w:val="-4"/>
          <w:sz w:val="20"/>
        </w:rPr>
        <w:t> </w:t>
      </w:r>
      <w:r>
        <w:rPr>
          <w:sz w:val="20"/>
        </w:rPr>
        <w:t>had</w:t>
      </w:r>
      <w:r>
        <w:rPr>
          <w:spacing w:val="-4"/>
          <w:sz w:val="20"/>
        </w:rPr>
        <w:t> </w:t>
      </w:r>
      <w:r>
        <w:rPr>
          <w:sz w:val="20"/>
        </w:rPr>
        <w:t>limited</w:t>
      </w:r>
      <w:r>
        <w:rPr>
          <w:spacing w:val="-4"/>
          <w:sz w:val="20"/>
        </w:rPr>
        <w:t> </w:t>
      </w:r>
      <w:r>
        <w:rPr>
          <w:sz w:val="20"/>
        </w:rPr>
        <w:t>large-scale</w:t>
      </w:r>
      <w:r>
        <w:rPr>
          <w:spacing w:val="-5"/>
          <w:sz w:val="20"/>
        </w:rPr>
        <w:t> </w:t>
      </w:r>
      <w:r>
        <w:rPr>
          <w:sz w:val="20"/>
        </w:rPr>
        <w:t>deployment,</w:t>
      </w:r>
      <w:r>
        <w:rPr>
          <w:spacing w:val="-3"/>
          <w:sz w:val="20"/>
        </w:rPr>
        <w:t> </w:t>
      </w:r>
      <w:r>
        <w:rPr>
          <w:sz w:val="20"/>
        </w:rPr>
        <w:t>leaving field</w:t>
      </w:r>
      <w:r>
        <w:rPr>
          <w:spacing w:val="-5"/>
          <w:sz w:val="20"/>
        </w:rPr>
        <w:t> </w:t>
      </w:r>
      <w:r>
        <w:rPr>
          <w:sz w:val="20"/>
        </w:rPr>
        <w:t>assessments</w:t>
      </w:r>
      <w:r>
        <w:rPr>
          <w:spacing w:val="-4"/>
          <w:sz w:val="20"/>
        </w:rPr>
        <w:t> </w:t>
      </w:r>
      <w:r>
        <w:rPr>
          <w:sz w:val="20"/>
        </w:rPr>
        <w:t>of</w:t>
      </w:r>
      <w:r>
        <w:rPr>
          <w:spacing w:val="-2"/>
          <w:sz w:val="20"/>
        </w:rPr>
        <w:t> </w:t>
      </w:r>
      <w:r>
        <w:rPr>
          <w:sz w:val="20"/>
        </w:rPr>
        <w:t>non-target</w:t>
      </w:r>
      <w:r>
        <w:rPr>
          <w:spacing w:val="-5"/>
          <w:sz w:val="20"/>
        </w:rPr>
        <w:t> </w:t>
      </w:r>
      <w:r>
        <w:rPr>
          <w:sz w:val="20"/>
        </w:rPr>
        <w:t>and</w:t>
      </w:r>
      <w:r>
        <w:rPr>
          <w:spacing w:val="-4"/>
          <w:sz w:val="20"/>
        </w:rPr>
        <w:t> </w:t>
      </w:r>
      <w:r>
        <w:rPr>
          <w:sz w:val="20"/>
        </w:rPr>
        <w:t>broader ecological impacts underexplored.</w:t>
      </w:r>
    </w:p>
    <w:p>
      <w:pPr>
        <w:spacing w:before="93"/>
        <w:ind w:left="112" w:right="0" w:firstLine="0"/>
        <w:jc w:val="left"/>
        <w:rPr>
          <w:b/>
          <w:sz w:val="20"/>
        </w:rPr>
      </w:pPr>
      <w:r>
        <w:rPr>
          <w:b/>
          <w:spacing w:val="-4"/>
          <w:sz w:val="20"/>
        </w:rPr>
        <w:t>LGAs</w:t>
      </w:r>
    </w:p>
    <w:p>
      <w:pPr>
        <w:pStyle w:val="ListParagraph"/>
        <w:numPr>
          <w:ilvl w:val="0"/>
          <w:numId w:val="30"/>
        </w:numPr>
        <w:tabs>
          <w:tab w:pos="833" w:val="left" w:leader="none"/>
        </w:tabs>
        <w:spacing w:line="280" w:lineRule="auto" w:before="136" w:after="0"/>
        <w:ind w:left="833" w:right="488" w:hanging="360"/>
        <w:jc w:val="left"/>
        <w:rPr>
          <w:sz w:val="20"/>
        </w:rPr>
      </w:pPr>
      <w:r>
        <w:rPr>
          <w:sz w:val="20"/>
        </w:rPr>
        <w:t>Donkeys</w:t>
      </w:r>
      <w:r>
        <w:rPr>
          <w:spacing w:val="-4"/>
          <w:sz w:val="20"/>
        </w:rPr>
        <w:t> </w:t>
      </w:r>
      <w:r>
        <w:rPr>
          <w:sz w:val="20"/>
        </w:rPr>
        <w:t>have</w:t>
      </w:r>
      <w:r>
        <w:rPr>
          <w:spacing w:val="-3"/>
          <w:sz w:val="20"/>
        </w:rPr>
        <w:t> </w:t>
      </w:r>
      <w:r>
        <w:rPr>
          <w:sz w:val="20"/>
        </w:rPr>
        <w:t>been</w:t>
      </w:r>
      <w:r>
        <w:rPr>
          <w:spacing w:val="-5"/>
          <w:sz w:val="20"/>
        </w:rPr>
        <w:t> </w:t>
      </w:r>
      <w:r>
        <w:rPr>
          <w:sz w:val="20"/>
        </w:rPr>
        <w:t>suggested</w:t>
      </w:r>
      <w:r>
        <w:rPr>
          <w:spacing w:val="-5"/>
          <w:sz w:val="20"/>
        </w:rPr>
        <w:t> </w:t>
      </w:r>
      <w:r>
        <w:rPr>
          <w:sz w:val="20"/>
        </w:rPr>
        <w:t>as</w:t>
      </w:r>
      <w:r>
        <w:rPr>
          <w:spacing w:val="-4"/>
          <w:sz w:val="20"/>
        </w:rPr>
        <w:t> </w:t>
      </w:r>
      <w:r>
        <w:rPr>
          <w:sz w:val="20"/>
        </w:rPr>
        <w:t>potential</w:t>
      </w:r>
      <w:r>
        <w:rPr>
          <w:spacing w:val="-5"/>
          <w:sz w:val="20"/>
        </w:rPr>
        <w:t> </w:t>
      </w:r>
      <w:r>
        <w:rPr>
          <w:sz w:val="20"/>
        </w:rPr>
        <w:t>LGAs</w:t>
      </w:r>
      <w:r>
        <w:rPr>
          <w:spacing w:val="-4"/>
          <w:sz w:val="20"/>
        </w:rPr>
        <w:t> </w:t>
      </w:r>
      <w:r>
        <w:rPr>
          <w:sz w:val="20"/>
        </w:rPr>
        <w:t>with</w:t>
      </w:r>
      <w:r>
        <w:rPr>
          <w:spacing w:val="-3"/>
          <w:sz w:val="20"/>
        </w:rPr>
        <w:t> </w:t>
      </w:r>
      <w:r>
        <w:rPr>
          <w:sz w:val="20"/>
        </w:rPr>
        <w:t>some</w:t>
      </w:r>
      <w:r>
        <w:rPr>
          <w:spacing w:val="-5"/>
          <w:sz w:val="20"/>
        </w:rPr>
        <w:t> </w:t>
      </w:r>
      <w:r>
        <w:rPr>
          <w:sz w:val="20"/>
        </w:rPr>
        <w:t>advantages</w:t>
      </w:r>
      <w:r>
        <w:rPr>
          <w:spacing w:val="-2"/>
          <w:sz w:val="20"/>
        </w:rPr>
        <w:t> </w:t>
      </w:r>
      <w:r>
        <w:rPr>
          <w:sz w:val="20"/>
        </w:rPr>
        <w:t>over Alpacas</w:t>
      </w:r>
      <w:r>
        <w:rPr>
          <w:spacing w:val="-3"/>
          <w:sz w:val="20"/>
        </w:rPr>
        <w:t> </w:t>
      </w:r>
      <w:r>
        <w:rPr>
          <w:sz w:val="20"/>
        </w:rPr>
        <w:t>and</w:t>
      </w:r>
      <w:r>
        <w:rPr>
          <w:spacing w:val="-3"/>
          <w:sz w:val="20"/>
        </w:rPr>
        <w:t> </w:t>
      </w:r>
      <w:r>
        <w:rPr>
          <w:sz w:val="20"/>
        </w:rPr>
        <w:t>Llamas. However, there are no data on the cost-effectiveness of these compared to other LGAs, and under what conditions they could be effective in Victoria.</w:t>
      </w:r>
    </w:p>
    <w:p>
      <w:pPr>
        <w:spacing w:before="89"/>
        <w:ind w:left="112" w:right="0" w:firstLine="0"/>
        <w:jc w:val="left"/>
        <w:rPr>
          <w:b/>
          <w:sz w:val="20"/>
        </w:rPr>
      </w:pPr>
      <w:r>
        <w:rPr>
          <w:b/>
          <w:sz w:val="20"/>
        </w:rPr>
        <w:t>Non-lethal</w:t>
      </w:r>
      <w:r>
        <w:rPr>
          <w:b/>
          <w:spacing w:val="-10"/>
          <w:sz w:val="20"/>
        </w:rPr>
        <w:t> </w:t>
      </w:r>
      <w:r>
        <w:rPr>
          <w:b/>
          <w:spacing w:val="-2"/>
          <w:sz w:val="20"/>
        </w:rPr>
        <w:t>methods</w:t>
      </w:r>
    </w:p>
    <w:p>
      <w:pPr>
        <w:pStyle w:val="ListParagraph"/>
        <w:numPr>
          <w:ilvl w:val="0"/>
          <w:numId w:val="30"/>
        </w:numPr>
        <w:tabs>
          <w:tab w:pos="833" w:val="left" w:leader="none"/>
        </w:tabs>
        <w:spacing w:line="280" w:lineRule="auto" w:before="136" w:after="0"/>
        <w:ind w:left="833" w:right="600" w:hanging="360"/>
        <w:jc w:val="left"/>
        <w:rPr>
          <w:sz w:val="20"/>
        </w:rPr>
      </w:pPr>
      <w:r>
        <w:rPr>
          <w:sz w:val="20"/>
        </w:rPr>
        <w:t>Livestock</w:t>
      </w:r>
      <w:r>
        <w:rPr>
          <w:spacing w:val="-3"/>
          <w:sz w:val="20"/>
        </w:rPr>
        <w:t> </w:t>
      </w:r>
      <w:r>
        <w:rPr>
          <w:sz w:val="20"/>
        </w:rPr>
        <w:t>collars</w:t>
      </w:r>
      <w:r>
        <w:rPr>
          <w:spacing w:val="-2"/>
          <w:sz w:val="20"/>
        </w:rPr>
        <w:t> </w:t>
      </w:r>
      <w:r>
        <w:rPr>
          <w:sz w:val="20"/>
        </w:rPr>
        <w:t>aim</w:t>
      </w:r>
      <w:r>
        <w:rPr>
          <w:spacing w:val="-4"/>
          <w:sz w:val="20"/>
        </w:rPr>
        <w:t> </w:t>
      </w:r>
      <w:r>
        <w:rPr>
          <w:sz w:val="20"/>
        </w:rPr>
        <w:t>to</w:t>
      </w:r>
      <w:r>
        <w:rPr>
          <w:spacing w:val="-2"/>
          <w:sz w:val="20"/>
        </w:rPr>
        <w:t> </w:t>
      </w:r>
      <w:r>
        <w:rPr>
          <w:sz w:val="20"/>
        </w:rPr>
        <w:t>protect</w:t>
      </w:r>
      <w:r>
        <w:rPr>
          <w:spacing w:val="-4"/>
          <w:sz w:val="20"/>
        </w:rPr>
        <w:t> </w:t>
      </w:r>
      <w:r>
        <w:rPr>
          <w:sz w:val="20"/>
        </w:rPr>
        <w:t>against</w:t>
      </w:r>
      <w:r>
        <w:rPr>
          <w:spacing w:val="-2"/>
          <w:sz w:val="20"/>
        </w:rPr>
        <w:t> </w:t>
      </w:r>
      <w:r>
        <w:rPr>
          <w:sz w:val="20"/>
        </w:rPr>
        <w:t>predation</w:t>
      </w:r>
      <w:r>
        <w:rPr>
          <w:spacing w:val="-5"/>
          <w:sz w:val="20"/>
        </w:rPr>
        <w:t> </w:t>
      </w:r>
      <w:r>
        <w:rPr>
          <w:sz w:val="20"/>
        </w:rPr>
        <w:t>by</w:t>
      </w:r>
      <w:r>
        <w:rPr>
          <w:spacing w:val="-1"/>
          <w:sz w:val="20"/>
        </w:rPr>
        <w:t> </w:t>
      </w:r>
      <w:r>
        <w:rPr>
          <w:sz w:val="20"/>
        </w:rPr>
        <w:t>limiting</w:t>
      </w:r>
      <w:r>
        <w:rPr>
          <w:spacing w:val="-3"/>
          <w:sz w:val="20"/>
        </w:rPr>
        <w:t> </w:t>
      </w:r>
      <w:r>
        <w:rPr>
          <w:sz w:val="20"/>
        </w:rPr>
        <w:t>predators’</w:t>
      </w:r>
      <w:r>
        <w:rPr>
          <w:spacing w:val="-3"/>
          <w:sz w:val="20"/>
        </w:rPr>
        <w:t> </w:t>
      </w:r>
      <w:r>
        <w:rPr>
          <w:sz w:val="20"/>
        </w:rPr>
        <w:t>ability</w:t>
      </w:r>
      <w:r>
        <w:rPr>
          <w:spacing w:val="-3"/>
          <w:sz w:val="20"/>
        </w:rPr>
        <w:t> </w:t>
      </w:r>
      <w:r>
        <w:rPr>
          <w:sz w:val="20"/>
        </w:rPr>
        <w:t>to</w:t>
      </w:r>
      <w:r>
        <w:rPr>
          <w:spacing w:val="-5"/>
          <w:sz w:val="20"/>
        </w:rPr>
        <w:t> </w:t>
      </w:r>
      <w:r>
        <w:rPr>
          <w:sz w:val="20"/>
        </w:rPr>
        <w:t>grip</w:t>
      </w:r>
      <w:r>
        <w:rPr>
          <w:spacing w:val="-4"/>
          <w:sz w:val="20"/>
        </w:rPr>
        <w:t> </w:t>
      </w:r>
      <w:r>
        <w:rPr>
          <w:sz w:val="20"/>
        </w:rPr>
        <w:t>and</w:t>
      </w:r>
      <w:r>
        <w:rPr>
          <w:spacing w:val="-4"/>
          <w:sz w:val="20"/>
        </w:rPr>
        <w:t> </w:t>
      </w:r>
      <w:r>
        <w:rPr>
          <w:sz w:val="20"/>
        </w:rPr>
        <w:t>kill.</w:t>
      </w:r>
      <w:r>
        <w:rPr>
          <w:spacing w:val="-2"/>
          <w:sz w:val="20"/>
        </w:rPr>
        <w:t> </w:t>
      </w:r>
      <w:r>
        <w:rPr>
          <w:sz w:val="20"/>
        </w:rPr>
        <w:t>While initially effective due to predator unfamiliarity, long-term efficacy is uncertain given predator adaptability. Further research is necessary to evaluate the practicality and durability of such measures in diverse environments.</w:t>
      </w:r>
    </w:p>
    <w:p>
      <w:pPr>
        <w:spacing w:before="91"/>
        <w:ind w:left="112" w:right="0" w:firstLine="0"/>
        <w:jc w:val="left"/>
        <w:rPr>
          <w:b/>
          <w:sz w:val="20"/>
        </w:rPr>
      </w:pPr>
      <w:r>
        <w:rPr>
          <w:b/>
          <w:sz w:val="20"/>
        </w:rPr>
        <w:t>Social</w:t>
      </w:r>
      <w:r>
        <w:rPr>
          <w:b/>
          <w:spacing w:val="-8"/>
          <w:sz w:val="20"/>
        </w:rPr>
        <w:t> </w:t>
      </w:r>
      <w:r>
        <w:rPr>
          <w:b/>
          <w:sz w:val="20"/>
        </w:rPr>
        <w:t>and</w:t>
      </w:r>
      <w:r>
        <w:rPr>
          <w:b/>
          <w:spacing w:val="-6"/>
          <w:sz w:val="20"/>
        </w:rPr>
        <w:t> </w:t>
      </w:r>
      <w:r>
        <w:rPr>
          <w:b/>
          <w:sz w:val="20"/>
        </w:rPr>
        <w:t>cultural</w:t>
      </w:r>
      <w:r>
        <w:rPr>
          <w:b/>
          <w:spacing w:val="-7"/>
          <w:sz w:val="20"/>
        </w:rPr>
        <w:t> </w:t>
      </w:r>
      <w:r>
        <w:rPr>
          <w:b/>
          <w:spacing w:val="-2"/>
          <w:sz w:val="20"/>
        </w:rPr>
        <w:t>issues</w:t>
      </w:r>
    </w:p>
    <w:p>
      <w:pPr>
        <w:pStyle w:val="ListParagraph"/>
        <w:numPr>
          <w:ilvl w:val="0"/>
          <w:numId w:val="30"/>
        </w:numPr>
        <w:tabs>
          <w:tab w:pos="833" w:val="left" w:leader="none"/>
        </w:tabs>
        <w:spacing w:line="280" w:lineRule="auto" w:before="136" w:after="0"/>
        <w:ind w:left="833" w:right="542" w:hanging="360"/>
        <w:jc w:val="left"/>
        <w:rPr>
          <w:sz w:val="20"/>
        </w:rPr>
      </w:pPr>
      <w:r>
        <w:rPr>
          <w:sz w:val="20"/>
        </w:rPr>
        <w:t>Specific studies on the social and cultural effects of transitioning from 1080 to alternative methods are</w:t>
      </w:r>
      <w:r>
        <w:rPr>
          <w:spacing w:val="-4"/>
          <w:sz w:val="20"/>
        </w:rPr>
        <w:t> </w:t>
      </w:r>
      <w:r>
        <w:rPr>
          <w:sz w:val="20"/>
        </w:rPr>
        <w:t>lacking.</w:t>
      </w:r>
      <w:r>
        <w:rPr>
          <w:spacing w:val="-4"/>
          <w:sz w:val="20"/>
        </w:rPr>
        <w:t> </w:t>
      </w:r>
      <w:r>
        <w:rPr>
          <w:sz w:val="20"/>
        </w:rPr>
        <w:t>This</w:t>
      </w:r>
      <w:r>
        <w:rPr>
          <w:spacing w:val="-3"/>
          <w:sz w:val="20"/>
        </w:rPr>
        <w:t> </w:t>
      </w:r>
      <w:r>
        <w:rPr>
          <w:sz w:val="20"/>
        </w:rPr>
        <w:t>could</w:t>
      </w:r>
      <w:r>
        <w:rPr>
          <w:spacing w:val="-2"/>
          <w:sz w:val="20"/>
        </w:rPr>
        <w:t> </w:t>
      </w:r>
      <w:r>
        <w:rPr>
          <w:sz w:val="20"/>
        </w:rPr>
        <w:t>include</w:t>
      </w:r>
      <w:r>
        <w:rPr>
          <w:spacing w:val="-4"/>
          <w:sz w:val="20"/>
        </w:rPr>
        <w:t> </w:t>
      </w:r>
      <w:r>
        <w:rPr>
          <w:sz w:val="20"/>
        </w:rPr>
        <w:t>studies</w:t>
      </w:r>
      <w:r>
        <w:rPr>
          <w:spacing w:val="-3"/>
          <w:sz w:val="20"/>
        </w:rPr>
        <w:t> </w:t>
      </w:r>
      <w:r>
        <w:rPr>
          <w:sz w:val="20"/>
        </w:rPr>
        <w:t>on</w:t>
      </w:r>
      <w:r>
        <w:rPr>
          <w:spacing w:val="-5"/>
          <w:sz w:val="20"/>
        </w:rPr>
        <w:t> </w:t>
      </w:r>
      <w:r>
        <w:rPr>
          <w:sz w:val="20"/>
        </w:rPr>
        <w:t>the</w:t>
      </w:r>
      <w:r>
        <w:rPr>
          <w:spacing w:val="-3"/>
          <w:sz w:val="20"/>
        </w:rPr>
        <w:t> </w:t>
      </w:r>
      <w:r>
        <w:rPr>
          <w:sz w:val="20"/>
        </w:rPr>
        <w:t>impact</w:t>
      </w:r>
      <w:r>
        <w:rPr>
          <w:spacing w:val="-4"/>
          <w:sz w:val="20"/>
        </w:rPr>
        <w:t> </w:t>
      </w:r>
      <w:r>
        <w:rPr>
          <w:sz w:val="20"/>
        </w:rPr>
        <w:t>of</w:t>
      </w:r>
      <w:r>
        <w:rPr>
          <w:spacing w:val="-4"/>
          <w:sz w:val="20"/>
        </w:rPr>
        <w:t> </w:t>
      </w:r>
      <w:r>
        <w:rPr>
          <w:sz w:val="20"/>
        </w:rPr>
        <w:t>social</w:t>
      </w:r>
      <w:r>
        <w:rPr>
          <w:spacing w:val="-3"/>
          <w:sz w:val="20"/>
        </w:rPr>
        <w:t> </w:t>
      </w:r>
      <w:r>
        <w:rPr>
          <w:sz w:val="20"/>
        </w:rPr>
        <w:t>media</w:t>
      </w:r>
      <w:r>
        <w:rPr>
          <w:spacing w:val="-4"/>
          <w:sz w:val="20"/>
        </w:rPr>
        <w:t> </w:t>
      </w:r>
      <w:r>
        <w:rPr>
          <w:sz w:val="20"/>
        </w:rPr>
        <w:t>on</w:t>
      </w:r>
      <w:r>
        <w:rPr>
          <w:spacing w:val="-2"/>
          <w:sz w:val="20"/>
        </w:rPr>
        <w:t> </w:t>
      </w:r>
      <w:r>
        <w:rPr>
          <w:sz w:val="20"/>
        </w:rPr>
        <w:t>social</w:t>
      </w:r>
      <w:r>
        <w:rPr>
          <w:spacing w:val="-5"/>
          <w:sz w:val="20"/>
        </w:rPr>
        <w:t> </w:t>
      </w:r>
      <w:r>
        <w:rPr>
          <w:sz w:val="20"/>
        </w:rPr>
        <w:t>licence</w:t>
      </w:r>
      <w:r>
        <w:rPr>
          <w:spacing w:val="-4"/>
          <w:sz w:val="20"/>
        </w:rPr>
        <w:t> </w:t>
      </w:r>
      <w:r>
        <w:rPr>
          <w:sz w:val="20"/>
        </w:rPr>
        <w:t>to</w:t>
      </w:r>
      <w:r>
        <w:rPr>
          <w:spacing w:val="-2"/>
          <w:sz w:val="20"/>
        </w:rPr>
        <w:t> </w:t>
      </w:r>
      <w:r>
        <w:rPr>
          <w:sz w:val="20"/>
        </w:rPr>
        <w:t>implement lethal and non-lethal control options.</w:t>
      </w:r>
    </w:p>
    <w:p>
      <w:pPr>
        <w:spacing w:after="0" w:line="280" w:lineRule="auto"/>
        <w:jc w:val="left"/>
        <w:rPr>
          <w:sz w:val="20"/>
        </w:rPr>
        <w:sectPr>
          <w:pgSz w:w="11910" w:h="16850"/>
          <w:pgMar w:header="0" w:footer="688" w:top="1140" w:bottom="880" w:left="1020" w:right="780"/>
        </w:sectPr>
      </w:pPr>
    </w:p>
    <w:p>
      <w:pPr>
        <w:pStyle w:val="ListParagraph"/>
        <w:numPr>
          <w:ilvl w:val="0"/>
          <w:numId w:val="30"/>
        </w:numPr>
        <w:tabs>
          <w:tab w:pos="833" w:val="left" w:leader="none"/>
        </w:tabs>
        <w:spacing w:line="278" w:lineRule="auto" w:before="69" w:after="0"/>
        <w:ind w:left="833" w:right="845" w:hanging="360"/>
        <w:jc w:val="left"/>
        <w:rPr>
          <w:sz w:val="20"/>
        </w:rPr>
      </w:pPr>
      <w:r>
        <w:rPr>
          <w:sz w:val="20"/>
        </w:rPr>
        <w:t>Future</w:t>
      </w:r>
      <w:r>
        <w:rPr>
          <w:spacing w:val="-4"/>
          <w:sz w:val="20"/>
        </w:rPr>
        <w:t> </w:t>
      </w:r>
      <w:r>
        <w:rPr>
          <w:sz w:val="20"/>
        </w:rPr>
        <w:t>research</w:t>
      </w:r>
      <w:r>
        <w:rPr>
          <w:spacing w:val="-4"/>
          <w:sz w:val="20"/>
        </w:rPr>
        <w:t> </w:t>
      </w:r>
      <w:r>
        <w:rPr>
          <w:sz w:val="20"/>
        </w:rPr>
        <w:t>should</w:t>
      </w:r>
      <w:r>
        <w:rPr>
          <w:spacing w:val="-2"/>
          <w:sz w:val="20"/>
        </w:rPr>
        <w:t> </w:t>
      </w:r>
      <w:r>
        <w:rPr>
          <w:sz w:val="20"/>
        </w:rPr>
        <w:t>explore</w:t>
      </w:r>
      <w:r>
        <w:rPr>
          <w:spacing w:val="-4"/>
          <w:sz w:val="20"/>
        </w:rPr>
        <w:t> </w:t>
      </w:r>
      <w:r>
        <w:rPr>
          <w:sz w:val="20"/>
        </w:rPr>
        <w:t>how</w:t>
      </w:r>
      <w:r>
        <w:rPr>
          <w:spacing w:val="-1"/>
          <w:sz w:val="20"/>
        </w:rPr>
        <w:t> </w:t>
      </w:r>
      <w:r>
        <w:rPr>
          <w:sz w:val="20"/>
        </w:rPr>
        <w:t>the</w:t>
      </w:r>
      <w:r>
        <w:rPr>
          <w:spacing w:val="-3"/>
          <w:sz w:val="20"/>
        </w:rPr>
        <w:t> </w:t>
      </w:r>
      <w:r>
        <w:rPr>
          <w:sz w:val="20"/>
        </w:rPr>
        <w:t>use</w:t>
      </w:r>
      <w:r>
        <w:rPr>
          <w:spacing w:val="-4"/>
          <w:sz w:val="20"/>
        </w:rPr>
        <w:t> </w:t>
      </w:r>
      <w:r>
        <w:rPr>
          <w:sz w:val="20"/>
        </w:rPr>
        <w:t>of</w:t>
      </w:r>
      <w:r>
        <w:rPr>
          <w:spacing w:val="-1"/>
          <w:sz w:val="20"/>
        </w:rPr>
        <w:t> </w:t>
      </w:r>
      <w:r>
        <w:rPr>
          <w:sz w:val="20"/>
        </w:rPr>
        <w:t>different</w:t>
      </w:r>
      <w:r>
        <w:rPr>
          <w:spacing w:val="-4"/>
          <w:sz w:val="20"/>
        </w:rPr>
        <w:t> </w:t>
      </w:r>
      <w:r>
        <w:rPr>
          <w:sz w:val="20"/>
        </w:rPr>
        <w:t>control</w:t>
      </w:r>
      <w:r>
        <w:rPr>
          <w:spacing w:val="-1"/>
          <w:sz w:val="20"/>
        </w:rPr>
        <w:t> </w:t>
      </w:r>
      <w:r>
        <w:rPr>
          <w:sz w:val="20"/>
        </w:rPr>
        <w:t>tools</w:t>
      </w:r>
      <w:r>
        <w:rPr>
          <w:spacing w:val="-3"/>
          <w:sz w:val="20"/>
        </w:rPr>
        <w:t> </w:t>
      </w:r>
      <w:r>
        <w:rPr>
          <w:sz w:val="20"/>
        </w:rPr>
        <w:t>can</w:t>
      </w:r>
      <w:r>
        <w:rPr>
          <w:spacing w:val="-3"/>
          <w:sz w:val="20"/>
        </w:rPr>
        <w:t> </w:t>
      </w:r>
      <w:r>
        <w:rPr>
          <w:sz w:val="20"/>
        </w:rPr>
        <w:t>mitigate</w:t>
      </w:r>
      <w:r>
        <w:rPr>
          <w:spacing w:val="-3"/>
          <w:sz w:val="20"/>
        </w:rPr>
        <w:t> </w:t>
      </w:r>
      <w:r>
        <w:rPr>
          <w:sz w:val="20"/>
        </w:rPr>
        <w:t>impacts</w:t>
      </w:r>
      <w:r>
        <w:rPr>
          <w:spacing w:val="-3"/>
          <w:sz w:val="20"/>
        </w:rPr>
        <w:t> </w:t>
      </w:r>
      <w:r>
        <w:rPr>
          <w:sz w:val="20"/>
        </w:rPr>
        <w:t>while respecting cultural values and enhancing community wellbeing.</w:t>
      </w:r>
    </w:p>
    <w:p>
      <w:pPr>
        <w:spacing w:after="0" w:line="278" w:lineRule="auto"/>
        <w:jc w:val="left"/>
        <w:rPr>
          <w:sz w:val="20"/>
        </w:rPr>
        <w:sectPr>
          <w:pgSz w:w="11910" w:h="16850"/>
          <w:pgMar w:header="0" w:footer="688" w:top="1080" w:bottom="880" w:left="1020" w:right="780"/>
        </w:sectPr>
      </w:pPr>
    </w:p>
    <w:p>
      <w:pPr>
        <w:pStyle w:val="Heading2"/>
        <w:spacing w:before="65"/>
        <w:ind w:left="112" w:firstLine="0"/>
      </w:pPr>
      <w:bookmarkStart w:name="_TOC_250002" w:id="118"/>
      <w:bookmarkEnd w:id="118"/>
      <w:r>
        <w:rPr>
          <w:color w:val="001F5F"/>
          <w:spacing w:val="-2"/>
        </w:rPr>
        <w:t>References</w:t>
      </w:r>
    </w:p>
    <w:p>
      <w:pPr>
        <w:pStyle w:val="BodyText"/>
        <w:spacing w:before="231"/>
        <w:rPr>
          <w:b/>
          <w:sz w:val="32"/>
        </w:rPr>
      </w:pPr>
    </w:p>
    <w:p>
      <w:pPr>
        <w:pStyle w:val="BodyText"/>
        <w:spacing w:before="1"/>
        <w:ind w:left="833" w:right="232" w:hanging="721"/>
      </w:pPr>
      <w:r>
        <w:rPr/>
        <w:t>Abrantes,</w:t>
      </w:r>
      <w:r>
        <w:rPr>
          <w:spacing w:val="-4"/>
        </w:rPr>
        <w:t> </w:t>
      </w:r>
      <w:r>
        <w:rPr/>
        <w:t>J.,</w:t>
      </w:r>
      <w:r>
        <w:rPr>
          <w:spacing w:val="-2"/>
        </w:rPr>
        <w:t> </w:t>
      </w:r>
      <w:r>
        <w:rPr/>
        <w:t>Van</w:t>
      </w:r>
      <w:r>
        <w:rPr>
          <w:spacing w:val="-3"/>
        </w:rPr>
        <w:t> </w:t>
      </w:r>
      <w:r>
        <w:rPr/>
        <w:t>Der</w:t>
      </w:r>
      <w:r>
        <w:rPr>
          <w:spacing w:val="-3"/>
        </w:rPr>
        <w:t> </w:t>
      </w:r>
      <w:r>
        <w:rPr/>
        <w:t>Loo,</w:t>
      </w:r>
      <w:r>
        <w:rPr>
          <w:spacing w:val="-2"/>
        </w:rPr>
        <w:t> </w:t>
      </w:r>
      <w:r>
        <w:rPr/>
        <w:t>W.,</w:t>
      </w:r>
      <w:r>
        <w:rPr>
          <w:spacing w:val="-4"/>
        </w:rPr>
        <w:t> </w:t>
      </w:r>
      <w:r>
        <w:rPr/>
        <w:t>Le</w:t>
      </w:r>
      <w:r>
        <w:rPr>
          <w:spacing w:val="-2"/>
        </w:rPr>
        <w:t> </w:t>
      </w:r>
      <w:r>
        <w:rPr/>
        <w:t>Pendu,</w:t>
      </w:r>
      <w:r>
        <w:rPr>
          <w:spacing w:val="-4"/>
        </w:rPr>
        <w:t> </w:t>
      </w:r>
      <w:r>
        <w:rPr/>
        <w:t>J.,</w:t>
      </w:r>
      <w:r>
        <w:rPr>
          <w:spacing w:val="-2"/>
        </w:rPr>
        <w:t> </w:t>
      </w:r>
      <w:r>
        <w:rPr/>
        <w:t>and</w:t>
      </w:r>
      <w:r>
        <w:rPr>
          <w:spacing w:val="-2"/>
        </w:rPr>
        <w:t> </w:t>
      </w:r>
      <w:r>
        <w:rPr/>
        <w:t>Esteves,</w:t>
      </w:r>
      <w:r>
        <w:rPr>
          <w:spacing w:val="-4"/>
        </w:rPr>
        <w:t> </w:t>
      </w:r>
      <w:r>
        <w:rPr/>
        <w:t>P.J.</w:t>
      </w:r>
      <w:r>
        <w:rPr>
          <w:spacing w:val="-4"/>
        </w:rPr>
        <w:t> </w:t>
      </w:r>
      <w:r>
        <w:rPr/>
        <w:t>(2012).</w:t>
      </w:r>
      <w:r>
        <w:rPr>
          <w:spacing w:val="-4"/>
        </w:rPr>
        <w:t> </w:t>
      </w:r>
      <w:r>
        <w:rPr/>
        <w:t>Rabbit</w:t>
      </w:r>
      <w:r>
        <w:rPr>
          <w:spacing w:val="-4"/>
        </w:rPr>
        <w:t> </w:t>
      </w:r>
      <w:r>
        <w:rPr/>
        <w:t>haemorrhagic</w:t>
      </w:r>
      <w:r>
        <w:rPr>
          <w:spacing w:val="-3"/>
        </w:rPr>
        <w:t> </w:t>
      </w:r>
      <w:r>
        <w:rPr/>
        <w:t>disease (RHD) and rabbit haemorrhagic disease virus (RHDV): a review. </w:t>
      </w:r>
      <w:r>
        <w:rPr>
          <w:i/>
        </w:rPr>
        <w:t>Veterinary Research </w:t>
      </w:r>
      <w:r>
        <w:rPr>
          <w:b/>
        </w:rPr>
        <w:t>43</w:t>
      </w:r>
      <w:r>
        <w:rPr/>
        <w:t>(1):12.</w:t>
      </w:r>
    </w:p>
    <w:p>
      <w:pPr>
        <w:pStyle w:val="BodyText"/>
        <w:spacing w:before="10"/>
      </w:pPr>
    </w:p>
    <w:p>
      <w:pPr>
        <w:pStyle w:val="BodyText"/>
        <w:ind w:left="833" w:right="163" w:hanging="721"/>
      </w:pPr>
      <w:r>
        <w:rPr/>
        <w:t>ACTA.</w:t>
      </w:r>
      <w:r>
        <w:rPr>
          <w:spacing w:val="-5"/>
        </w:rPr>
        <w:t> </w:t>
      </w:r>
      <w:r>
        <w:rPr/>
        <w:t>(2024).</w:t>
      </w:r>
      <w:r>
        <w:rPr>
          <w:spacing w:val="-7"/>
        </w:rPr>
        <w:t> </w:t>
      </w:r>
      <w:r>
        <w:rPr/>
        <w:t>HOGGONE®</w:t>
      </w:r>
      <w:r>
        <w:rPr>
          <w:spacing w:val="-7"/>
        </w:rPr>
        <w:t> </w:t>
      </w:r>
      <w:r>
        <w:rPr/>
        <w:t>mesn</w:t>
      </w:r>
      <w:r>
        <w:rPr>
          <w:spacing w:val="-5"/>
        </w:rPr>
        <w:t> </w:t>
      </w:r>
      <w:r>
        <w:rPr/>
        <w:t>feral</w:t>
      </w:r>
      <w:r>
        <w:rPr>
          <w:spacing w:val="-8"/>
        </w:rPr>
        <w:t> </w:t>
      </w:r>
      <w:r>
        <w:rPr/>
        <w:t>pig</w:t>
      </w:r>
      <w:r>
        <w:rPr>
          <w:spacing w:val="-5"/>
        </w:rPr>
        <w:t> </w:t>
      </w:r>
      <w:r>
        <w:rPr/>
        <w:t>bait.</w:t>
      </w:r>
      <w:r>
        <w:rPr>
          <w:spacing w:val="-3"/>
        </w:rPr>
        <w:t> </w:t>
      </w:r>
      <w:hyperlink r:id="rId90">
        <w:r>
          <w:rPr>
            <w:color w:val="0000FF"/>
            <w:u w:val="single" w:color="0000FF"/>
          </w:rPr>
          <w:t>https://animalcontrol.com.au/products/hoggone.(accessed</w:t>
        </w:r>
      </w:hyperlink>
      <w:r>
        <w:rPr>
          <w:color w:val="0000FF"/>
          <w:u w:val="none"/>
        </w:rPr>
        <w:t> </w:t>
      </w:r>
      <w:r>
        <w:rPr>
          <w:spacing w:val="-2"/>
          <w:u w:val="none"/>
        </w:rPr>
        <w:t>25/1/2025).</w:t>
      </w:r>
    </w:p>
    <w:p>
      <w:pPr>
        <w:pStyle w:val="BodyText"/>
        <w:spacing w:before="9"/>
      </w:pPr>
    </w:p>
    <w:p>
      <w:pPr>
        <w:pStyle w:val="BodyText"/>
        <w:ind w:left="833" w:right="163" w:hanging="721"/>
      </w:pPr>
      <w:r>
        <w:rPr/>
        <w:t>Adams,</w:t>
      </w:r>
      <w:r>
        <w:rPr>
          <w:spacing w:val="-2"/>
        </w:rPr>
        <w:t> </w:t>
      </w:r>
      <w:r>
        <w:rPr/>
        <w:t>P.J.,</w:t>
      </w:r>
      <w:r>
        <w:rPr>
          <w:spacing w:val="-1"/>
        </w:rPr>
        <w:t> </w:t>
      </w:r>
      <w:r>
        <w:rPr/>
        <w:t>Fontaine,</w:t>
      </w:r>
      <w:r>
        <w:rPr>
          <w:spacing w:val="-3"/>
        </w:rPr>
        <w:t> </w:t>
      </w:r>
      <w:r>
        <w:rPr/>
        <w:t>J.B.,</w:t>
      </w:r>
      <w:r>
        <w:rPr>
          <w:spacing w:val="-3"/>
        </w:rPr>
        <w:t> </w:t>
      </w:r>
      <w:r>
        <w:rPr/>
        <w:t>Huston,</w:t>
      </w:r>
      <w:r>
        <w:rPr>
          <w:spacing w:val="-2"/>
        </w:rPr>
        <w:t> </w:t>
      </w:r>
      <w:r>
        <w:rPr/>
        <w:t>R.M.,</w:t>
      </w:r>
      <w:r>
        <w:rPr>
          <w:spacing w:val="-3"/>
        </w:rPr>
        <w:t> </w:t>
      </w:r>
      <w:r>
        <w:rPr/>
        <w:t>and</w:t>
      </w:r>
      <w:r>
        <w:rPr>
          <w:spacing w:val="-4"/>
        </w:rPr>
        <w:t> </w:t>
      </w:r>
      <w:r>
        <w:rPr/>
        <w:t>Fleming,</w:t>
      </w:r>
      <w:r>
        <w:rPr>
          <w:spacing w:val="-3"/>
        </w:rPr>
        <w:t> </w:t>
      </w:r>
      <w:r>
        <w:rPr/>
        <w:t>P.A.</w:t>
      </w:r>
      <w:r>
        <w:rPr>
          <w:spacing w:val="-3"/>
        </w:rPr>
        <w:t> </w:t>
      </w:r>
      <w:r>
        <w:rPr/>
        <w:t>(2019). Quantifying</w:t>
      </w:r>
      <w:r>
        <w:rPr>
          <w:spacing w:val="-2"/>
        </w:rPr>
        <w:t> </w:t>
      </w:r>
      <w:r>
        <w:rPr/>
        <w:t>efficacy</w:t>
      </w:r>
      <w:r>
        <w:rPr>
          <w:spacing w:val="-2"/>
        </w:rPr>
        <w:t> </w:t>
      </w:r>
      <w:r>
        <w:rPr/>
        <w:t>of</w:t>
      </w:r>
      <w:r>
        <w:rPr>
          <w:spacing w:val="-1"/>
        </w:rPr>
        <w:t> </w:t>
      </w:r>
      <w:r>
        <w:rPr/>
        <w:t>feral</w:t>
      </w:r>
      <w:r>
        <w:rPr>
          <w:spacing w:val="-2"/>
        </w:rPr>
        <w:t> </w:t>
      </w:r>
      <w:r>
        <w:rPr/>
        <w:t>pig</w:t>
      </w:r>
      <w:r>
        <w:rPr>
          <w:spacing w:val="-3"/>
        </w:rPr>
        <w:t> </w:t>
      </w:r>
      <w:r>
        <w:rPr/>
        <w:t>(</w:t>
      </w:r>
      <w:r>
        <w:rPr>
          <w:i/>
        </w:rPr>
        <w:t>Sus</w:t>
      </w:r>
      <w:r>
        <w:rPr>
          <w:i/>
        </w:rPr>
        <w:t> scrofa</w:t>
      </w:r>
      <w:r>
        <w:rPr/>
        <w:t>) population management. </w:t>
      </w:r>
      <w:r>
        <w:rPr>
          <w:i/>
        </w:rPr>
        <w:t>Wildlife Research </w:t>
      </w:r>
      <w:r>
        <w:rPr>
          <w:b/>
        </w:rPr>
        <w:t>46</w:t>
      </w:r>
      <w:r>
        <w:rPr/>
        <w:t>(7):587. doi: 10.1071/WR18100.</w:t>
      </w:r>
    </w:p>
    <w:p>
      <w:pPr>
        <w:pStyle w:val="BodyText"/>
        <w:spacing w:before="11"/>
      </w:pPr>
    </w:p>
    <w:p>
      <w:pPr>
        <w:pStyle w:val="BodyText"/>
        <w:ind w:left="112"/>
        <w:jc w:val="both"/>
      </w:pPr>
      <w:r>
        <w:rPr/>
        <w:t>Agriculture</w:t>
      </w:r>
      <w:r>
        <w:rPr>
          <w:spacing w:val="-6"/>
        </w:rPr>
        <w:t> </w:t>
      </w:r>
      <w:r>
        <w:rPr/>
        <w:t>Victoria.</w:t>
      </w:r>
      <w:r>
        <w:rPr>
          <w:spacing w:val="-6"/>
        </w:rPr>
        <w:t> </w:t>
      </w:r>
      <w:r>
        <w:rPr/>
        <w:t>(2024).</w:t>
      </w:r>
      <w:r>
        <w:rPr>
          <w:spacing w:val="-6"/>
        </w:rPr>
        <w:t> </w:t>
      </w:r>
      <w:r>
        <w:rPr/>
        <w:t>Directions</w:t>
      </w:r>
      <w:r>
        <w:rPr>
          <w:spacing w:val="-6"/>
        </w:rPr>
        <w:t> </w:t>
      </w:r>
      <w:r>
        <w:rPr/>
        <w:t>for</w:t>
      </w:r>
      <w:r>
        <w:rPr>
          <w:spacing w:val="-6"/>
        </w:rPr>
        <w:t> </w:t>
      </w:r>
      <w:r>
        <w:rPr/>
        <w:t>the</w:t>
      </w:r>
      <w:r>
        <w:rPr>
          <w:spacing w:val="-6"/>
        </w:rPr>
        <w:t> </w:t>
      </w:r>
      <w:r>
        <w:rPr/>
        <w:t>use</w:t>
      </w:r>
      <w:r>
        <w:rPr>
          <w:spacing w:val="-6"/>
        </w:rPr>
        <w:t> </w:t>
      </w:r>
      <w:r>
        <w:rPr/>
        <w:t>of</w:t>
      </w:r>
      <w:r>
        <w:rPr>
          <w:spacing w:val="-6"/>
        </w:rPr>
        <w:t> </w:t>
      </w:r>
      <w:r>
        <w:rPr/>
        <w:t>1080</w:t>
      </w:r>
      <w:r>
        <w:rPr>
          <w:spacing w:val="-6"/>
        </w:rPr>
        <w:t> </w:t>
      </w:r>
      <w:r>
        <w:rPr/>
        <w:t>and PAPP</w:t>
      </w:r>
      <w:r>
        <w:rPr>
          <w:spacing w:val="-5"/>
        </w:rPr>
        <w:t> </w:t>
      </w:r>
      <w:r>
        <w:rPr/>
        <w:t>pest</w:t>
      </w:r>
      <w:r>
        <w:rPr>
          <w:spacing w:val="-5"/>
        </w:rPr>
        <w:t> </w:t>
      </w:r>
      <w:r>
        <w:rPr/>
        <w:t>animal</w:t>
      </w:r>
      <w:r>
        <w:rPr>
          <w:spacing w:val="-8"/>
        </w:rPr>
        <w:t> </w:t>
      </w:r>
      <w:r>
        <w:rPr/>
        <w:t>bait</w:t>
      </w:r>
      <w:r>
        <w:rPr>
          <w:spacing w:val="-5"/>
        </w:rPr>
        <w:t> </w:t>
      </w:r>
      <w:r>
        <w:rPr/>
        <w:t>products</w:t>
      </w:r>
      <w:r>
        <w:rPr>
          <w:spacing w:val="-6"/>
        </w:rPr>
        <w:t> </w:t>
      </w:r>
      <w:r>
        <w:rPr/>
        <w:t>in</w:t>
      </w:r>
      <w:r>
        <w:rPr>
          <w:spacing w:val="-3"/>
        </w:rPr>
        <w:t> </w:t>
      </w:r>
      <w:r>
        <w:rPr>
          <w:spacing w:val="-2"/>
        </w:rPr>
        <w:t>Victoria.</w:t>
      </w:r>
    </w:p>
    <w:p>
      <w:pPr>
        <w:pStyle w:val="BodyText"/>
        <w:ind w:left="833"/>
        <w:jc w:val="both"/>
      </w:pPr>
      <w:r>
        <w:rPr/>
        <w:t>Victorian</w:t>
      </w:r>
      <w:r>
        <w:rPr>
          <w:spacing w:val="-14"/>
        </w:rPr>
        <w:t> </w:t>
      </w:r>
      <w:r>
        <w:rPr/>
        <w:t>Government,</w:t>
      </w:r>
      <w:r>
        <w:rPr>
          <w:spacing w:val="-11"/>
        </w:rPr>
        <w:t> </w:t>
      </w:r>
      <w:r>
        <w:rPr>
          <w:spacing w:val="-2"/>
        </w:rPr>
        <w:t>Melbourne.</w:t>
      </w:r>
    </w:p>
    <w:p>
      <w:pPr>
        <w:pStyle w:val="BodyText"/>
        <w:spacing w:before="10"/>
      </w:pPr>
    </w:p>
    <w:p>
      <w:pPr>
        <w:pStyle w:val="BodyText"/>
        <w:spacing w:line="229" w:lineRule="exact" w:before="1"/>
        <w:ind w:left="112"/>
        <w:jc w:val="both"/>
      </w:pPr>
      <w:r>
        <w:rPr/>
        <w:t>Allen,</w:t>
      </w:r>
      <w:r>
        <w:rPr>
          <w:spacing w:val="-5"/>
        </w:rPr>
        <w:t> </w:t>
      </w:r>
      <w:r>
        <w:rPr/>
        <w:t>B.L.,</w:t>
      </w:r>
      <w:r>
        <w:rPr>
          <w:spacing w:val="-5"/>
        </w:rPr>
        <w:t> </w:t>
      </w:r>
      <w:r>
        <w:rPr/>
        <w:t>Allen,</w:t>
      </w:r>
      <w:r>
        <w:rPr>
          <w:spacing w:val="-7"/>
        </w:rPr>
        <w:t> </w:t>
      </w:r>
      <w:r>
        <w:rPr/>
        <w:t>L.R.,</w:t>
      </w:r>
      <w:r>
        <w:rPr>
          <w:spacing w:val="-5"/>
        </w:rPr>
        <w:t> </w:t>
      </w:r>
      <w:r>
        <w:rPr/>
        <w:t>Ballard,</w:t>
      </w:r>
      <w:r>
        <w:rPr>
          <w:spacing w:val="-7"/>
        </w:rPr>
        <w:t> </w:t>
      </w:r>
      <w:r>
        <w:rPr/>
        <w:t>G.,</w:t>
      </w:r>
      <w:r>
        <w:rPr>
          <w:spacing w:val="-7"/>
        </w:rPr>
        <w:t> </w:t>
      </w:r>
      <w:r>
        <w:rPr/>
        <w:t>Drouilly,</w:t>
      </w:r>
      <w:r>
        <w:rPr>
          <w:spacing w:val="-5"/>
        </w:rPr>
        <w:t> </w:t>
      </w:r>
      <w:r>
        <w:rPr/>
        <w:t>M.,</w:t>
      </w:r>
      <w:r>
        <w:rPr>
          <w:spacing w:val="-7"/>
        </w:rPr>
        <w:t> </w:t>
      </w:r>
      <w:r>
        <w:rPr/>
        <w:t>Fleming,</w:t>
      </w:r>
      <w:r>
        <w:rPr>
          <w:spacing w:val="-6"/>
        </w:rPr>
        <w:t> </w:t>
      </w:r>
      <w:r>
        <w:rPr/>
        <w:t>P.J.S.,</w:t>
      </w:r>
      <w:r>
        <w:rPr>
          <w:spacing w:val="-7"/>
        </w:rPr>
        <w:t> </w:t>
      </w:r>
      <w:r>
        <w:rPr/>
        <w:t>Hampton,</w:t>
      </w:r>
      <w:r>
        <w:rPr>
          <w:spacing w:val="-7"/>
        </w:rPr>
        <w:t> </w:t>
      </w:r>
      <w:r>
        <w:rPr/>
        <w:t>J.O.,</w:t>
      </w:r>
      <w:r>
        <w:rPr>
          <w:spacing w:val="-7"/>
        </w:rPr>
        <w:t> </w:t>
      </w:r>
      <w:r>
        <w:rPr/>
        <w:t>Hayward,</w:t>
      </w:r>
      <w:r>
        <w:rPr>
          <w:spacing w:val="-7"/>
        </w:rPr>
        <w:t> </w:t>
      </w:r>
      <w:r>
        <w:rPr/>
        <w:t>M.W.,</w:t>
      </w:r>
      <w:r>
        <w:rPr>
          <w:spacing w:val="-6"/>
        </w:rPr>
        <w:t> </w:t>
      </w:r>
      <w:r>
        <w:rPr>
          <w:spacing w:val="-2"/>
        </w:rPr>
        <w:t>Kerley,</w:t>
      </w:r>
    </w:p>
    <w:p>
      <w:pPr>
        <w:pStyle w:val="BodyText"/>
        <w:ind w:left="833" w:right="652"/>
        <w:jc w:val="both"/>
      </w:pPr>
      <w:r>
        <w:rPr/>
        <w:t>G.I.H.,</w:t>
      </w:r>
      <w:r>
        <w:rPr>
          <w:spacing w:val="-1"/>
        </w:rPr>
        <w:t> </w:t>
      </w:r>
      <w:r>
        <w:rPr/>
        <w:t>Meek, P.D., Minnie, L.,</w:t>
      </w:r>
      <w:r>
        <w:rPr>
          <w:spacing w:val="-1"/>
        </w:rPr>
        <w:t> </w:t>
      </w:r>
      <w:r>
        <w:rPr/>
        <w:t>O’Riain, M.</w:t>
      </w:r>
      <w:r>
        <w:rPr>
          <w:spacing w:val="-1"/>
        </w:rPr>
        <w:t> </w:t>
      </w:r>
      <w:r>
        <w:rPr/>
        <w:t>Justin, P.,</w:t>
      </w:r>
      <w:r>
        <w:rPr>
          <w:spacing w:val="-1"/>
        </w:rPr>
        <w:t> </w:t>
      </w:r>
      <w:r>
        <w:rPr/>
        <w:t>Daniel M.,</w:t>
      </w:r>
      <w:r>
        <w:rPr>
          <w:spacing w:val="-1"/>
        </w:rPr>
        <w:t> </w:t>
      </w:r>
      <w:r>
        <w:rPr/>
        <w:t>and Somers,</w:t>
      </w:r>
      <w:r>
        <w:rPr>
          <w:spacing w:val="-1"/>
        </w:rPr>
        <w:t> </w:t>
      </w:r>
      <w:r>
        <w:rPr/>
        <w:t>M.J. (2019). Animal welfare</w:t>
      </w:r>
      <w:r>
        <w:rPr>
          <w:spacing w:val="-5"/>
        </w:rPr>
        <w:t> </w:t>
      </w:r>
      <w:r>
        <w:rPr/>
        <w:t>considerations</w:t>
      </w:r>
      <w:r>
        <w:rPr>
          <w:spacing w:val="-4"/>
        </w:rPr>
        <w:t> </w:t>
      </w:r>
      <w:r>
        <w:rPr/>
        <w:t>for</w:t>
      </w:r>
      <w:r>
        <w:rPr>
          <w:spacing w:val="-4"/>
        </w:rPr>
        <w:t> </w:t>
      </w:r>
      <w:r>
        <w:rPr/>
        <w:t>using</w:t>
      </w:r>
      <w:r>
        <w:rPr>
          <w:spacing w:val="-4"/>
        </w:rPr>
        <w:t> </w:t>
      </w:r>
      <w:r>
        <w:rPr/>
        <w:t>large</w:t>
      </w:r>
      <w:r>
        <w:rPr>
          <w:spacing w:val="-3"/>
        </w:rPr>
        <w:t> </w:t>
      </w:r>
      <w:r>
        <w:rPr/>
        <w:t>carnivores</w:t>
      </w:r>
      <w:r>
        <w:rPr>
          <w:spacing w:val="-3"/>
        </w:rPr>
        <w:t> </w:t>
      </w:r>
      <w:r>
        <w:rPr/>
        <w:t>and</w:t>
      </w:r>
      <w:r>
        <w:rPr>
          <w:spacing w:val="-4"/>
        </w:rPr>
        <w:t> </w:t>
      </w:r>
      <w:r>
        <w:rPr/>
        <w:t>guardian</w:t>
      </w:r>
      <w:r>
        <w:rPr>
          <w:spacing w:val="-4"/>
        </w:rPr>
        <w:t> </w:t>
      </w:r>
      <w:r>
        <w:rPr/>
        <w:t>dogs</w:t>
      </w:r>
      <w:r>
        <w:rPr>
          <w:spacing w:val="-4"/>
        </w:rPr>
        <w:t> </w:t>
      </w:r>
      <w:r>
        <w:rPr/>
        <w:t>as</w:t>
      </w:r>
      <w:r>
        <w:rPr>
          <w:spacing w:val="-4"/>
        </w:rPr>
        <w:t> </w:t>
      </w:r>
      <w:r>
        <w:rPr/>
        <w:t>vertebrate</w:t>
      </w:r>
      <w:r>
        <w:rPr>
          <w:spacing w:val="-2"/>
        </w:rPr>
        <w:t> </w:t>
      </w:r>
      <w:r>
        <w:rPr/>
        <w:t>biocontrol</w:t>
      </w:r>
      <w:r>
        <w:rPr>
          <w:spacing w:val="-4"/>
        </w:rPr>
        <w:t> </w:t>
      </w:r>
      <w:r>
        <w:rPr/>
        <w:t>tools against other animals. </w:t>
      </w:r>
      <w:r>
        <w:rPr>
          <w:i/>
        </w:rPr>
        <w:t>Biological Conservation </w:t>
      </w:r>
      <w:r>
        <w:rPr>
          <w:b/>
        </w:rPr>
        <w:t>232</w:t>
      </w:r>
      <w:r>
        <w:rPr/>
        <w:t>:258–70. doi: 10.1016/j.biocon.2019.02.019.</w:t>
      </w:r>
    </w:p>
    <w:p>
      <w:pPr>
        <w:pStyle w:val="BodyText"/>
        <w:spacing w:before="10"/>
      </w:pPr>
    </w:p>
    <w:p>
      <w:pPr>
        <w:pStyle w:val="BodyText"/>
        <w:ind w:left="833" w:right="163" w:hanging="721"/>
      </w:pPr>
      <w:r>
        <w:rPr/>
        <w:t>Allen,</w:t>
      </w:r>
      <w:r>
        <w:rPr>
          <w:spacing w:val="-2"/>
        </w:rPr>
        <w:t> </w:t>
      </w:r>
      <w:r>
        <w:rPr/>
        <w:t>B.L.,</w:t>
      </w:r>
      <w:r>
        <w:rPr>
          <w:spacing w:val="-2"/>
        </w:rPr>
        <w:t> </w:t>
      </w:r>
      <w:r>
        <w:rPr/>
        <w:t>Allen,</w:t>
      </w:r>
      <w:r>
        <w:rPr>
          <w:spacing w:val="-4"/>
        </w:rPr>
        <w:t> </w:t>
      </w:r>
      <w:r>
        <w:rPr/>
        <w:t>L.R.,</w:t>
      </w:r>
      <w:r>
        <w:rPr>
          <w:spacing w:val="-2"/>
        </w:rPr>
        <w:t> </w:t>
      </w:r>
      <w:r>
        <w:rPr/>
        <w:t>Engeman,</w:t>
      </w:r>
      <w:r>
        <w:rPr>
          <w:spacing w:val="-4"/>
        </w:rPr>
        <w:t> </w:t>
      </w:r>
      <w:r>
        <w:rPr/>
        <w:t>R.M.,</w:t>
      </w:r>
      <w:r>
        <w:rPr>
          <w:spacing w:val="-4"/>
        </w:rPr>
        <w:t> </w:t>
      </w:r>
      <w:r>
        <w:rPr/>
        <w:t>and</w:t>
      </w:r>
      <w:r>
        <w:rPr>
          <w:spacing w:val="-3"/>
        </w:rPr>
        <w:t> </w:t>
      </w:r>
      <w:r>
        <w:rPr/>
        <w:t>Leung,</w:t>
      </w:r>
      <w:r>
        <w:rPr>
          <w:spacing w:val="-2"/>
        </w:rPr>
        <w:t> </w:t>
      </w:r>
      <w:r>
        <w:rPr/>
        <w:t>L.K-P.</w:t>
      </w:r>
      <w:r>
        <w:rPr>
          <w:spacing w:val="-4"/>
        </w:rPr>
        <w:t> </w:t>
      </w:r>
      <w:r>
        <w:rPr/>
        <w:t>(2014).</w:t>
      </w:r>
      <w:r>
        <w:rPr>
          <w:spacing w:val="-1"/>
        </w:rPr>
        <w:t> </w:t>
      </w:r>
      <w:r>
        <w:rPr/>
        <w:t>Sympatric</w:t>
      </w:r>
      <w:r>
        <w:rPr>
          <w:spacing w:val="-3"/>
        </w:rPr>
        <w:t> </w:t>
      </w:r>
      <w:r>
        <w:rPr/>
        <w:t>prey</w:t>
      </w:r>
      <w:r>
        <w:rPr>
          <w:spacing w:val="-3"/>
        </w:rPr>
        <w:t> </w:t>
      </w:r>
      <w:r>
        <w:rPr/>
        <w:t>responses</w:t>
      </w:r>
      <w:r>
        <w:rPr>
          <w:spacing w:val="-3"/>
        </w:rPr>
        <w:t> </w:t>
      </w:r>
      <w:r>
        <w:rPr/>
        <w:t>to</w:t>
      </w:r>
      <w:r>
        <w:rPr>
          <w:spacing w:val="-3"/>
        </w:rPr>
        <w:t> </w:t>
      </w:r>
      <w:r>
        <w:rPr/>
        <w:t>lethal</w:t>
      </w:r>
      <w:r>
        <w:rPr>
          <w:spacing w:val="-3"/>
        </w:rPr>
        <w:t> </w:t>
      </w:r>
      <w:r>
        <w:rPr/>
        <w:t>top- predator control: predator manipulation experiments. </w:t>
      </w:r>
      <w:r>
        <w:rPr>
          <w:i/>
        </w:rPr>
        <w:t>Frontiers in Zoology </w:t>
      </w:r>
      <w:r>
        <w:rPr>
          <w:b/>
        </w:rPr>
        <w:t>11</w:t>
      </w:r>
      <w:r>
        <w:rPr/>
        <w:t>, 1–30.</w:t>
      </w:r>
    </w:p>
    <w:p>
      <w:pPr>
        <w:pStyle w:val="BodyText"/>
        <w:spacing w:before="11"/>
      </w:pPr>
    </w:p>
    <w:p>
      <w:pPr>
        <w:spacing w:before="0"/>
        <w:ind w:left="833" w:right="544" w:hanging="721"/>
        <w:jc w:val="left"/>
        <w:rPr>
          <w:sz w:val="20"/>
        </w:rPr>
      </w:pPr>
      <w:r>
        <w:rPr>
          <w:sz w:val="20"/>
        </w:rPr>
        <w:t>Allen,</w:t>
      </w:r>
      <w:r>
        <w:rPr>
          <w:spacing w:val="-2"/>
          <w:sz w:val="20"/>
        </w:rPr>
        <w:t> </w:t>
      </w:r>
      <w:r>
        <w:rPr>
          <w:sz w:val="20"/>
        </w:rPr>
        <w:t>B.L.</w:t>
      </w:r>
      <w:r>
        <w:rPr>
          <w:spacing w:val="-4"/>
          <w:sz w:val="20"/>
        </w:rPr>
        <w:t> </w:t>
      </w:r>
      <w:r>
        <w:rPr>
          <w:sz w:val="20"/>
        </w:rPr>
        <w:t>(2019).</w:t>
      </w:r>
      <w:r>
        <w:rPr>
          <w:spacing w:val="-2"/>
          <w:sz w:val="20"/>
        </w:rPr>
        <w:t> </w:t>
      </w:r>
      <w:r>
        <w:rPr>
          <w:sz w:val="20"/>
        </w:rPr>
        <w:t>Efficacy</w:t>
      </w:r>
      <w:r>
        <w:rPr>
          <w:spacing w:val="-3"/>
          <w:sz w:val="20"/>
        </w:rPr>
        <w:t> </w:t>
      </w:r>
      <w:r>
        <w:rPr>
          <w:sz w:val="20"/>
        </w:rPr>
        <w:t>and</w:t>
      </w:r>
      <w:r>
        <w:rPr>
          <w:spacing w:val="-4"/>
          <w:sz w:val="20"/>
        </w:rPr>
        <w:t> </w:t>
      </w:r>
      <w:r>
        <w:rPr>
          <w:sz w:val="20"/>
        </w:rPr>
        <w:t>strategic</w:t>
      </w:r>
      <w:r>
        <w:rPr>
          <w:spacing w:val="-1"/>
          <w:sz w:val="20"/>
        </w:rPr>
        <w:t> </w:t>
      </w:r>
      <w:r>
        <w:rPr>
          <w:sz w:val="20"/>
        </w:rPr>
        <w:t>use</w:t>
      </w:r>
      <w:r>
        <w:rPr>
          <w:spacing w:val="-4"/>
          <w:sz w:val="20"/>
        </w:rPr>
        <w:t> </w:t>
      </w:r>
      <w:r>
        <w:rPr>
          <w:sz w:val="20"/>
        </w:rPr>
        <w:t>of PAPP-based</w:t>
      </w:r>
      <w:r>
        <w:rPr>
          <w:spacing w:val="-3"/>
          <w:sz w:val="20"/>
        </w:rPr>
        <w:t> </w:t>
      </w:r>
      <w:r>
        <w:rPr>
          <w:sz w:val="20"/>
        </w:rPr>
        <w:t>ejectors</w:t>
      </w:r>
      <w:r>
        <w:rPr>
          <w:spacing w:val="-2"/>
          <w:sz w:val="20"/>
        </w:rPr>
        <w:t> </w:t>
      </w:r>
      <w:r>
        <w:rPr>
          <w:sz w:val="20"/>
        </w:rPr>
        <w:t>for</w:t>
      </w:r>
      <w:r>
        <w:rPr>
          <w:spacing w:val="-3"/>
          <w:sz w:val="20"/>
        </w:rPr>
        <w:t> </w:t>
      </w:r>
      <w:r>
        <w:rPr>
          <w:sz w:val="20"/>
        </w:rPr>
        <w:t>the</w:t>
      </w:r>
      <w:r>
        <w:rPr>
          <w:spacing w:val="-2"/>
          <w:sz w:val="20"/>
        </w:rPr>
        <w:t> </w:t>
      </w:r>
      <w:r>
        <w:rPr>
          <w:sz w:val="20"/>
        </w:rPr>
        <w:t>control</w:t>
      </w:r>
      <w:r>
        <w:rPr>
          <w:spacing w:val="-5"/>
          <w:sz w:val="20"/>
        </w:rPr>
        <w:t> </w:t>
      </w:r>
      <w:r>
        <w:rPr>
          <w:sz w:val="20"/>
        </w:rPr>
        <w:t>of</w:t>
      </w:r>
      <w:r>
        <w:rPr>
          <w:spacing w:val="-4"/>
          <w:sz w:val="20"/>
        </w:rPr>
        <w:t> </w:t>
      </w:r>
      <w:r>
        <w:rPr>
          <w:sz w:val="20"/>
        </w:rPr>
        <w:t>dingoes</w:t>
      </w:r>
      <w:r>
        <w:rPr>
          <w:spacing w:val="-3"/>
          <w:sz w:val="20"/>
        </w:rPr>
        <w:t> </w:t>
      </w:r>
      <w:r>
        <w:rPr>
          <w:sz w:val="20"/>
        </w:rPr>
        <w:t>and</w:t>
      </w:r>
      <w:r>
        <w:rPr>
          <w:spacing w:val="-4"/>
          <w:sz w:val="20"/>
        </w:rPr>
        <w:t> </w:t>
      </w:r>
      <w:r>
        <w:rPr>
          <w:sz w:val="20"/>
        </w:rPr>
        <w:t>foxes. Pp. 97–99 in </w:t>
      </w:r>
      <w:r>
        <w:rPr>
          <w:i/>
          <w:sz w:val="20"/>
        </w:rPr>
        <w:t>Proceedings of the 1st Queensland Pest Animal and Weed Symposium. Brisbane,</w:t>
      </w:r>
      <w:r>
        <w:rPr>
          <w:i/>
          <w:sz w:val="20"/>
        </w:rPr>
        <w:t> Weed Society of Queensland Pty Ltd</w:t>
      </w:r>
      <w:r>
        <w:rPr>
          <w:sz w:val="20"/>
        </w:rPr>
        <w:t>.</w:t>
      </w:r>
    </w:p>
    <w:p>
      <w:pPr>
        <w:pStyle w:val="BodyText"/>
        <w:spacing w:before="9"/>
      </w:pPr>
    </w:p>
    <w:p>
      <w:pPr>
        <w:spacing w:before="0"/>
        <w:ind w:left="833" w:right="364" w:hanging="721"/>
        <w:jc w:val="left"/>
        <w:rPr>
          <w:sz w:val="20"/>
        </w:rPr>
      </w:pPr>
      <w:r>
        <w:rPr>
          <w:sz w:val="20"/>
        </w:rPr>
        <w:t>Allen, B.L., Ballard, G., Fleming, P.J.S., Meek, P.D., and Smith, D. (2022). Improving animal welfare outcomes</w:t>
      </w:r>
      <w:r>
        <w:rPr>
          <w:spacing w:val="-4"/>
          <w:sz w:val="20"/>
        </w:rPr>
        <w:t> </w:t>
      </w:r>
      <w:r>
        <w:rPr>
          <w:sz w:val="20"/>
        </w:rPr>
        <w:t>for</w:t>
      </w:r>
      <w:r>
        <w:rPr>
          <w:spacing w:val="-4"/>
          <w:sz w:val="20"/>
        </w:rPr>
        <w:t> </w:t>
      </w:r>
      <w:r>
        <w:rPr>
          <w:sz w:val="20"/>
        </w:rPr>
        <w:t>live-trapped</w:t>
      </w:r>
      <w:r>
        <w:rPr>
          <w:spacing w:val="-3"/>
          <w:sz w:val="20"/>
        </w:rPr>
        <w:t> </w:t>
      </w:r>
      <w:r>
        <w:rPr>
          <w:sz w:val="20"/>
        </w:rPr>
        <w:t>terrestrial</w:t>
      </w:r>
      <w:r>
        <w:rPr>
          <w:spacing w:val="-4"/>
          <w:sz w:val="20"/>
        </w:rPr>
        <w:t> </w:t>
      </w:r>
      <w:r>
        <w:rPr>
          <w:sz w:val="20"/>
        </w:rPr>
        <w:t>mammals</w:t>
      </w:r>
      <w:r>
        <w:rPr>
          <w:spacing w:val="-4"/>
          <w:sz w:val="20"/>
        </w:rPr>
        <w:t> </w:t>
      </w:r>
      <w:r>
        <w:rPr>
          <w:sz w:val="20"/>
        </w:rPr>
        <w:t>in Australia.</w:t>
      </w:r>
      <w:r>
        <w:rPr>
          <w:spacing w:val="-3"/>
          <w:sz w:val="20"/>
        </w:rPr>
        <w:t> </w:t>
      </w:r>
      <w:r>
        <w:rPr>
          <w:sz w:val="20"/>
        </w:rPr>
        <w:t>Pp.</w:t>
      </w:r>
      <w:r>
        <w:rPr>
          <w:spacing w:val="-3"/>
          <w:sz w:val="20"/>
        </w:rPr>
        <w:t> </w:t>
      </w:r>
      <w:r>
        <w:rPr>
          <w:sz w:val="20"/>
        </w:rPr>
        <w:t>97–119</w:t>
      </w:r>
      <w:r>
        <w:rPr>
          <w:spacing w:val="-3"/>
          <w:sz w:val="20"/>
        </w:rPr>
        <w:t> </w:t>
      </w:r>
      <w:r>
        <w:rPr>
          <w:sz w:val="20"/>
        </w:rPr>
        <w:t>in</w:t>
      </w:r>
      <w:r>
        <w:rPr>
          <w:spacing w:val="-3"/>
          <w:sz w:val="20"/>
        </w:rPr>
        <w:t> </w:t>
      </w:r>
      <w:r>
        <w:rPr>
          <w:i/>
          <w:sz w:val="20"/>
        </w:rPr>
        <w:t>Mammal</w:t>
      </w:r>
      <w:r>
        <w:rPr>
          <w:i/>
          <w:spacing w:val="-6"/>
          <w:sz w:val="20"/>
        </w:rPr>
        <w:t> </w:t>
      </w:r>
      <w:r>
        <w:rPr>
          <w:i/>
          <w:sz w:val="20"/>
        </w:rPr>
        <w:t>Trapping</w:t>
      </w:r>
      <w:r>
        <w:rPr>
          <w:i/>
          <w:spacing w:val="-3"/>
          <w:sz w:val="20"/>
        </w:rPr>
        <w:t> </w:t>
      </w:r>
      <w:r>
        <w:rPr>
          <w:i/>
          <w:sz w:val="20"/>
        </w:rPr>
        <w:t>̶</w:t>
      </w:r>
      <w:r>
        <w:rPr>
          <w:i/>
          <w:spacing w:val="-2"/>
          <w:sz w:val="20"/>
        </w:rPr>
        <w:t> </w:t>
      </w:r>
      <w:r>
        <w:rPr>
          <w:i/>
          <w:sz w:val="20"/>
        </w:rPr>
        <w:t>Wildlife</w:t>
      </w:r>
      <w:r>
        <w:rPr>
          <w:i/>
          <w:sz w:val="20"/>
        </w:rPr>
        <w:t> Management, Animal Welfare &amp; International Standards</w:t>
      </w:r>
      <w:r>
        <w:rPr>
          <w:sz w:val="20"/>
        </w:rPr>
        <w:t>. Canada: Alpha Wildlife Publications.</w:t>
      </w:r>
    </w:p>
    <w:p>
      <w:pPr>
        <w:pStyle w:val="BodyText"/>
        <w:spacing w:before="9"/>
      </w:pPr>
    </w:p>
    <w:p>
      <w:pPr>
        <w:pStyle w:val="BodyText"/>
        <w:ind w:left="833" w:right="163" w:hanging="721"/>
      </w:pPr>
      <w:r>
        <w:rPr/>
        <w:t>Allen,</w:t>
      </w:r>
      <w:r>
        <w:rPr>
          <w:spacing w:val="-2"/>
        </w:rPr>
        <w:t> </w:t>
      </w:r>
      <w:r>
        <w:rPr/>
        <w:t>L.R.,</w:t>
      </w:r>
      <w:r>
        <w:rPr>
          <w:spacing w:val="-4"/>
        </w:rPr>
        <w:t> </w:t>
      </w:r>
      <w:r>
        <w:rPr/>
        <w:t>Stewart-Moore,</w:t>
      </w:r>
      <w:r>
        <w:rPr>
          <w:spacing w:val="-2"/>
        </w:rPr>
        <w:t> </w:t>
      </w:r>
      <w:r>
        <w:rPr/>
        <w:t>N.,</w:t>
      </w:r>
      <w:r>
        <w:rPr>
          <w:spacing w:val="-4"/>
        </w:rPr>
        <w:t> </w:t>
      </w:r>
      <w:r>
        <w:rPr/>
        <w:t>Byrne,</w:t>
      </w:r>
      <w:r>
        <w:rPr>
          <w:spacing w:val="-4"/>
        </w:rPr>
        <w:t> </w:t>
      </w:r>
      <w:r>
        <w:rPr/>
        <w:t>D.,</w:t>
      </w:r>
      <w:r>
        <w:rPr>
          <w:spacing w:val="-2"/>
        </w:rPr>
        <w:t> </w:t>
      </w:r>
      <w:r>
        <w:rPr/>
        <w:t>and</w:t>
      </w:r>
      <w:r>
        <w:rPr>
          <w:spacing w:val="-4"/>
        </w:rPr>
        <w:t> </w:t>
      </w:r>
      <w:r>
        <w:rPr/>
        <w:t>Allen,</w:t>
      </w:r>
      <w:r>
        <w:rPr>
          <w:spacing w:val="-2"/>
        </w:rPr>
        <w:t> </w:t>
      </w:r>
      <w:r>
        <w:rPr/>
        <w:t>B.L.</w:t>
      </w:r>
      <w:r>
        <w:rPr>
          <w:spacing w:val="-4"/>
        </w:rPr>
        <w:t> </w:t>
      </w:r>
      <w:r>
        <w:rPr/>
        <w:t>(2016).</w:t>
      </w:r>
      <w:r>
        <w:rPr>
          <w:spacing w:val="-4"/>
        </w:rPr>
        <w:t> </w:t>
      </w:r>
      <w:r>
        <w:rPr/>
        <w:t>Guardian</w:t>
      </w:r>
      <w:r>
        <w:rPr>
          <w:spacing w:val="-4"/>
        </w:rPr>
        <w:t> </w:t>
      </w:r>
      <w:r>
        <w:rPr/>
        <w:t>dogs</w:t>
      </w:r>
      <w:r>
        <w:rPr>
          <w:spacing w:val="-3"/>
        </w:rPr>
        <w:t> </w:t>
      </w:r>
      <w:r>
        <w:rPr/>
        <w:t>protect</w:t>
      </w:r>
      <w:r>
        <w:rPr>
          <w:spacing w:val="-4"/>
        </w:rPr>
        <w:t> </w:t>
      </w:r>
      <w:r>
        <w:rPr/>
        <w:t>sheep</w:t>
      </w:r>
      <w:r>
        <w:rPr>
          <w:spacing w:val="-4"/>
        </w:rPr>
        <w:t> </w:t>
      </w:r>
      <w:r>
        <w:rPr/>
        <w:t>by</w:t>
      </w:r>
      <w:r>
        <w:rPr>
          <w:spacing w:val="-3"/>
        </w:rPr>
        <w:t> </w:t>
      </w:r>
      <w:r>
        <w:rPr/>
        <w:t>guarding sheep, not by establishing territories and excluding predators. </w:t>
      </w:r>
      <w:r>
        <w:rPr>
          <w:i/>
        </w:rPr>
        <w:t>Animal Production Science</w:t>
      </w:r>
      <w:r>
        <w:rPr>
          <w:i/>
        </w:rPr>
        <w:t> </w:t>
      </w:r>
      <w:r>
        <w:rPr>
          <w:b/>
          <w:spacing w:val="-2"/>
        </w:rPr>
        <w:t>57</w:t>
      </w:r>
      <w:r>
        <w:rPr>
          <w:spacing w:val="-2"/>
        </w:rPr>
        <w:t>(6):1118–27.</w:t>
      </w:r>
    </w:p>
    <w:p>
      <w:pPr>
        <w:pStyle w:val="BodyText"/>
        <w:spacing w:before="11"/>
      </w:pPr>
    </w:p>
    <w:p>
      <w:pPr>
        <w:pStyle w:val="BodyText"/>
        <w:ind w:left="833" w:right="364" w:hanging="721"/>
      </w:pPr>
      <w:r>
        <w:rPr/>
        <w:t>Allen, L.R., Fleming, P.J.S., Thompson, J.A., and Strong, K. (1989). Effect of presentation on the attractiveness</w:t>
      </w:r>
      <w:r>
        <w:rPr>
          <w:spacing w:val="-3"/>
        </w:rPr>
        <w:t> </w:t>
      </w:r>
      <w:r>
        <w:rPr/>
        <w:t>and</w:t>
      </w:r>
      <w:r>
        <w:rPr>
          <w:spacing w:val="-2"/>
        </w:rPr>
        <w:t> </w:t>
      </w:r>
      <w:r>
        <w:rPr/>
        <w:t>palatability</w:t>
      </w:r>
      <w:r>
        <w:rPr>
          <w:spacing w:val="-3"/>
        </w:rPr>
        <w:t> </w:t>
      </w:r>
      <w:r>
        <w:rPr/>
        <w:t>to</w:t>
      </w:r>
      <w:r>
        <w:rPr>
          <w:spacing w:val="-5"/>
        </w:rPr>
        <w:t> </w:t>
      </w:r>
      <w:r>
        <w:rPr/>
        <w:t>wild</w:t>
      </w:r>
      <w:r>
        <w:rPr>
          <w:spacing w:val="-4"/>
        </w:rPr>
        <w:t> </w:t>
      </w:r>
      <w:r>
        <w:rPr/>
        <w:t>dogs</w:t>
      </w:r>
      <w:r>
        <w:rPr>
          <w:spacing w:val="-3"/>
        </w:rPr>
        <w:t> </w:t>
      </w:r>
      <w:r>
        <w:rPr/>
        <w:t>and</w:t>
      </w:r>
      <w:r>
        <w:rPr>
          <w:spacing w:val="-4"/>
        </w:rPr>
        <w:t> </w:t>
      </w:r>
      <w:r>
        <w:rPr/>
        <w:t>other</w:t>
      </w:r>
      <w:r>
        <w:rPr>
          <w:spacing w:val="-3"/>
        </w:rPr>
        <w:t> </w:t>
      </w:r>
      <w:r>
        <w:rPr/>
        <w:t>wildlife</w:t>
      </w:r>
      <w:r>
        <w:rPr>
          <w:spacing w:val="-5"/>
        </w:rPr>
        <w:t> </w:t>
      </w:r>
      <w:r>
        <w:rPr/>
        <w:t>of</w:t>
      </w:r>
      <w:r>
        <w:rPr>
          <w:spacing w:val="-4"/>
        </w:rPr>
        <w:t> </w:t>
      </w:r>
      <w:r>
        <w:rPr/>
        <w:t>two</w:t>
      </w:r>
      <w:r>
        <w:rPr>
          <w:spacing w:val="-2"/>
        </w:rPr>
        <w:t> </w:t>
      </w:r>
      <w:r>
        <w:rPr/>
        <w:t>unpoisoned</w:t>
      </w:r>
      <w:r>
        <w:rPr>
          <w:spacing w:val="-4"/>
        </w:rPr>
        <w:t> </w:t>
      </w:r>
      <w:r>
        <w:rPr/>
        <w:t>wild-dog</w:t>
      </w:r>
      <w:r>
        <w:rPr>
          <w:spacing w:val="-2"/>
        </w:rPr>
        <w:t> </w:t>
      </w:r>
      <w:r>
        <w:rPr/>
        <w:t>bait</w:t>
      </w:r>
      <w:r>
        <w:rPr>
          <w:spacing w:val="-4"/>
        </w:rPr>
        <w:t> </w:t>
      </w:r>
      <w:r>
        <w:rPr/>
        <w:t>types. </w:t>
      </w:r>
      <w:r>
        <w:rPr>
          <w:i/>
        </w:rPr>
        <w:t>Australian Wildlife Research </w:t>
      </w:r>
      <w:r>
        <w:rPr>
          <w:b/>
        </w:rPr>
        <w:t>16</w:t>
      </w:r>
      <w:r>
        <w:rPr/>
        <w:t>:593–98.</w:t>
      </w:r>
    </w:p>
    <w:p>
      <w:pPr>
        <w:pStyle w:val="BodyText"/>
        <w:spacing w:before="9"/>
      </w:pPr>
    </w:p>
    <w:p>
      <w:pPr>
        <w:pStyle w:val="BodyText"/>
        <w:ind w:left="833" w:right="1494" w:hanging="721"/>
      </w:pPr>
      <w:r>
        <w:rPr/>
        <w:t>AMTC (2024). The AMTC Australian Mammal Species List. Version 4.2 https://australianmammals.org.au/publications/amtc-species-list.</w:t>
      </w:r>
      <w:r>
        <w:rPr>
          <w:spacing w:val="-14"/>
        </w:rPr>
        <w:t> </w:t>
      </w:r>
      <w:r>
        <w:rPr/>
        <w:t>(Accessed</w:t>
      </w:r>
      <w:r>
        <w:rPr>
          <w:spacing w:val="-14"/>
        </w:rPr>
        <w:t> </w:t>
      </w:r>
      <w:r>
        <w:rPr/>
        <w:t>22/04/2025)</w:t>
      </w:r>
    </w:p>
    <w:p>
      <w:pPr>
        <w:pStyle w:val="BodyText"/>
        <w:spacing w:before="11"/>
      </w:pPr>
    </w:p>
    <w:p>
      <w:pPr>
        <w:pStyle w:val="BodyText"/>
        <w:ind w:left="833" w:right="458" w:hanging="721"/>
        <w:jc w:val="both"/>
      </w:pPr>
      <w:r>
        <w:rPr/>
        <w:t>Andrewartha,</w:t>
      </w:r>
      <w:r>
        <w:rPr>
          <w:spacing w:val="-1"/>
        </w:rPr>
        <w:t> </w:t>
      </w:r>
      <w:r>
        <w:rPr/>
        <w:t>T., Evans, M.,</w:t>
      </w:r>
      <w:r>
        <w:rPr>
          <w:spacing w:val="-1"/>
        </w:rPr>
        <w:t> </w:t>
      </w:r>
      <w:r>
        <w:rPr/>
        <w:t>Blencowe, A., Brewer, K., Gordon,</w:t>
      </w:r>
      <w:r>
        <w:rPr>
          <w:spacing w:val="-1"/>
        </w:rPr>
        <w:t> </w:t>
      </w:r>
      <w:r>
        <w:rPr/>
        <w:t>I.J.,</w:t>
      </w:r>
      <w:r>
        <w:rPr>
          <w:spacing w:val="-1"/>
        </w:rPr>
        <w:t> </w:t>
      </w:r>
      <w:r>
        <w:rPr/>
        <w:t>and</w:t>
      </w:r>
      <w:r>
        <w:rPr>
          <w:spacing w:val="-1"/>
        </w:rPr>
        <w:t> </w:t>
      </w:r>
      <w:r>
        <w:rPr/>
        <w:t>Manning, A.D.</w:t>
      </w:r>
      <w:r>
        <w:rPr>
          <w:spacing w:val="-1"/>
        </w:rPr>
        <w:t> </w:t>
      </w:r>
      <w:r>
        <w:rPr/>
        <w:t>(2023). Landscapes of</w:t>
      </w:r>
      <w:r>
        <w:rPr>
          <w:spacing w:val="-5"/>
        </w:rPr>
        <w:t> </w:t>
      </w:r>
      <w:r>
        <w:rPr/>
        <w:t>nausea:</w:t>
      </w:r>
      <w:r>
        <w:rPr>
          <w:spacing w:val="-3"/>
        </w:rPr>
        <w:t> </w:t>
      </w:r>
      <w:r>
        <w:rPr/>
        <w:t>Successful</w:t>
      </w:r>
      <w:r>
        <w:rPr>
          <w:spacing w:val="-4"/>
        </w:rPr>
        <w:t> </w:t>
      </w:r>
      <w:r>
        <w:rPr/>
        <w:t>conditioned</w:t>
      </w:r>
      <w:r>
        <w:rPr>
          <w:spacing w:val="-5"/>
        </w:rPr>
        <w:t> </w:t>
      </w:r>
      <w:r>
        <w:rPr/>
        <w:t>taste</w:t>
      </w:r>
      <w:r>
        <w:rPr>
          <w:spacing w:val="-3"/>
        </w:rPr>
        <w:t> </w:t>
      </w:r>
      <w:r>
        <w:rPr/>
        <w:t>aversion</w:t>
      </w:r>
      <w:r>
        <w:rPr>
          <w:spacing w:val="-5"/>
        </w:rPr>
        <w:t> </w:t>
      </w:r>
      <w:r>
        <w:rPr/>
        <w:t>in</w:t>
      </w:r>
      <w:r>
        <w:rPr>
          <w:spacing w:val="-5"/>
        </w:rPr>
        <w:t> </w:t>
      </w:r>
      <w:r>
        <w:rPr/>
        <w:t>a</w:t>
      </w:r>
      <w:r>
        <w:rPr>
          <w:spacing w:val="-4"/>
        </w:rPr>
        <w:t> </w:t>
      </w:r>
      <w:r>
        <w:rPr/>
        <w:t>wild</w:t>
      </w:r>
      <w:r>
        <w:rPr>
          <w:spacing w:val="-5"/>
        </w:rPr>
        <w:t> </w:t>
      </w:r>
      <w:r>
        <w:rPr/>
        <w:t>red</w:t>
      </w:r>
      <w:r>
        <w:rPr>
          <w:spacing w:val="-5"/>
        </w:rPr>
        <w:t> </w:t>
      </w:r>
      <w:r>
        <w:rPr/>
        <w:t>fox</w:t>
      </w:r>
      <w:r>
        <w:rPr>
          <w:spacing w:val="-4"/>
        </w:rPr>
        <w:t> </w:t>
      </w:r>
      <w:r>
        <w:rPr/>
        <w:t>population. </w:t>
      </w:r>
      <w:r>
        <w:rPr>
          <w:i/>
        </w:rPr>
        <w:t>Conservation</w:t>
      </w:r>
      <w:r>
        <w:rPr>
          <w:i/>
          <w:spacing w:val="-5"/>
        </w:rPr>
        <w:t> </w:t>
      </w:r>
      <w:r>
        <w:rPr>
          <w:i/>
        </w:rPr>
        <w:t>Science</w:t>
      </w:r>
      <w:r>
        <w:rPr>
          <w:i/>
        </w:rPr>
        <w:t> and Practice </w:t>
      </w:r>
      <w:r>
        <w:rPr>
          <w:b/>
        </w:rPr>
        <w:t>5(8), e12984</w:t>
      </w:r>
      <w:r>
        <w:rPr/>
        <w:t>. doi:</w:t>
      </w:r>
      <w:r>
        <w:rPr>
          <w:color w:val="0000FF"/>
          <w:u w:val="single" w:color="0000FF"/>
        </w:rPr>
        <w:t>DOI: 10.1111/csp2.12984</w:t>
      </w:r>
      <w:r>
        <w:rPr>
          <w:u w:val="none"/>
        </w:rPr>
        <w:t>.</w:t>
      </w:r>
    </w:p>
    <w:p>
      <w:pPr>
        <w:pStyle w:val="BodyText"/>
        <w:spacing w:before="12"/>
      </w:pPr>
    </w:p>
    <w:p>
      <w:pPr>
        <w:pStyle w:val="BodyText"/>
        <w:ind w:left="833" w:right="163" w:hanging="721"/>
      </w:pPr>
      <w:r>
        <w:rPr/>
        <w:t>Appleby,</w:t>
      </w:r>
      <w:r>
        <w:rPr>
          <w:spacing w:val="-5"/>
        </w:rPr>
        <w:t> </w:t>
      </w:r>
      <w:r>
        <w:rPr/>
        <w:t>R,</w:t>
      </w:r>
      <w:r>
        <w:rPr>
          <w:spacing w:val="-3"/>
        </w:rPr>
        <w:t> </w:t>
      </w:r>
      <w:r>
        <w:rPr/>
        <w:t>Smith,</w:t>
      </w:r>
      <w:r>
        <w:rPr>
          <w:spacing w:val="-3"/>
        </w:rPr>
        <w:t> </w:t>
      </w:r>
      <w:r>
        <w:rPr/>
        <w:t>B.,</w:t>
      </w:r>
      <w:r>
        <w:rPr>
          <w:spacing w:val="-3"/>
        </w:rPr>
        <w:t> </w:t>
      </w:r>
      <w:r>
        <w:rPr/>
        <w:t>Mackie,</w:t>
      </w:r>
      <w:r>
        <w:rPr>
          <w:spacing w:val="-5"/>
        </w:rPr>
        <w:t> </w:t>
      </w:r>
      <w:r>
        <w:rPr/>
        <w:t>J.,</w:t>
      </w:r>
      <w:r>
        <w:rPr>
          <w:spacing w:val="-3"/>
        </w:rPr>
        <w:t> </w:t>
      </w:r>
      <w:r>
        <w:rPr/>
        <w:t>Bernede,</w:t>
      </w:r>
      <w:r>
        <w:rPr>
          <w:spacing w:val="-3"/>
        </w:rPr>
        <w:t> </w:t>
      </w:r>
      <w:r>
        <w:rPr/>
        <w:t>L.,</w:t>
      </w:r>
      <w:r>
        <w:rPr>
          <w:spacing w:val="-3"/>
        </w:rPr>
        <w:t> </w:t>
      </w:r>
      <w:r>
        <w:rPr/>
        <w:t>and</w:t>
      </w:r>
      <w:r>
        <w:rPr>
          <w:spacing w:val="-5"/>
        </w:rPr>
        <w:t> </w:t>
      </w:r>
      <w:r>
        <w:rPr/>
        <w:t>Jones,</w:t>
      </w:r>
      <w:r>
        <w:rPr>
          <w:spacing w:val="-5"/>
        </w:rPr>
        <w:t> </w:t>
      </w:r>
      <w:r>
        <w:rPr/>
        <w:t>D.</w:t>
      </w:r>
      <w:r>
        <w:rPr>
          <w:spacing w:val="-5"/>
        </w:rPr>
        <w:t> </w:t>
      </w:r>
      <w:r>
        <w:rPr/>
        <w:t>(2017).</w:t>
      </w:r>
      <w:r>
        <w:rPr>
          <w:spacing w:val="-2"/>
        </w:rPr>
        <w:t> </w:t>
      </w:r>
      <w:r>
        <w:rPr/>
        <w:t>Preliminary</w:t>
      </w:r>
      <w:r>
        <w:rPr>
          <w:spacing w:val="-3"/>
        </w:rPr>
        <w:t> </w:t>
      </w:r>
      <w:r>
        <w:rPr/>
        <w:t>observations</w:t>
      </w:r>
      <w:r>
        <w:rPr>
          <w:spacing w:val="-4"/>
        </w:rPr>
        <w:t> </w:t>
      </w:r>
      <w:r>
        <w:rPr/>
        <w:t>of</w:t>
      </w:r>
      <w:r>
        <w:rPr>
          <w:spacing w:val="-3"/>
        </w:rPr>
        <w:t> </w:t>
      </w:r>
      <w:r>
        <w:rPr/>
        <w:t>dingo responses to assumed aversive stimuli. </w:t>
      </w:r>
      <w:r>
        <w:rPr>
          <w:i/>
        </w:rPr>
        <w:t>Pacific Conservation Biology </w:t>
      </w:r>
      <w:r>
        <w:rPr>
          <w:b/>
        </w:rPr>
        <w:t>23</w:t>
      </w:r>
      <w:r>
        <w:rPr/>
        <w:t>:295–301.</w:t>
      </w:r>
    </w:p>
    <w:p>
      <w:pPr>
        <w:pStyle w:val="BodyText"/>
        <w:spacing w:before="8"/>
      </w:pPr>
    </w:p>
    <w:p>
      <w:pPr>
        <w:pStyle w:val="BodyText"/>
        <w:spacing w:before="1"/>
        <w:ind w:left="833" w:right="544" w:hanging="721"/>
      </w:pPr>
      <w:r>
        <w:rPr/>
        <w:t>Appleby, R., Smith, B., Bernede, L., and Jones, D. (2017). Utilising aversive conditioning to manage the behaviour</w:t>
      </w:r>
      <w:r>
        <w:rPr>
          <w:spacing w:val="-2"/>
        </w:rPr>
        <w:t> </w:t>
      </w:r>
      <w:r>
        <w:rPr/>
        <w:t>of</w:t>
      </w:r>
      <w:r>
        <w:rPr>
          <w:spacing w:val="-5"/>
        </w:rPr>
        <w:t> </w:t>
      </w:r>
      <w:r>
        <w:rPr/>
        <w:t>k’gari</w:t>
      </w:r>
      <w:r>
        <w:rPr>
          <w:spacing w:val="-5"/>
        </w:rPr>
        <w:t> </w:t>
      </w:r>
      <w:r>
        <w:rPr/>
        <w:t>(Fraser</w:t>
      </w:r>
      <w:r>
        <w:rPr>
          <w:spacing w:val="-3"/>
        </w:rPr>
        <w:t> </w:t>
      </w:r>
      <w:r>
        <w:rPr/>
        <w:t>Island)</w:t>
      </w:r>
      <w:r>
        <w:rPr>
          <w:spacing w:val="-5"/>
        </w:rPr>
        <w:t> </w:t>
      </w:r>
      <w:r>
        <w:rPr/>
        <w:t>dingoes</w:t>
      </w:r>
      <w:r>
        <w:rPr>
          <w:spacing w:val="-4"/>
        </w:rPr>
        <w:t> </w:t>
      </w:r>
      <w:r>
        <w:rPr/>
        <w:t>(</w:t>
      </w:r>
      <w:r>
        <w:rPr>
          <w:i/>
        </w:rPr>
        <w:t>Canis</w:t>
      </w:r>
      <w:r>
        <w:rPr>
          <w:i/>
          <w:spacing w:val="-2"/>
        </w:rPr>
        <w:t> </w:t>
      </w:r>
      <w:r>
        <w:rPr>
          <w:i/>
        </w:rPr>
        <w:t>dingo</w:t>
      </w:r>
      <w:r>
        <w:rPr/>
        <w:t>).</w:t>
      </w:r>
      <w:r>
        <w:rPr>
          <w:spacing w:val="-5"/>
        </w:rPr>
        <w:t> </w:t>
      </w:r>
      <w:r>
        <w:rPr>
          <w:i/>
        </w:rPr>
        <w:t>Pacific</w:t>
      </w:r>
      <w:r>
        <w:rPr>
          <w:i/>
          <w:spacing w:val="-4"/>
        </w:rPr>
        <w:t> </w:t>
      </w:r>
      <w:r>
        <w:rPr>
          <w:i/>
        </w:rPr>
        <w:t>Conservation</w:t>
      </w:r>
      <w:r>
        <w:rPr>
          <w:i/>
          <w:spacing w:val="-4"/>
        </w:rPr>
        <w:t> </w:t>
      </w:r>
      <w:r>
        <w:rPr>
          <w:i/>
        </w:rPr>
        <w:t>Biology</w:t>
      </w:r>
      <w:r>
        <w:rPr>
          <w:i/>
          <w:spacing w:val="-1"/>
        </w:rPr>
        <w:t> </w:t>
      </w:r>
      <w:r>
        <w:rPr>
          <w:b/>
        </w:rPr>
        <w:t>23</w:t>
      </w:r>
      <w:r>
        <w:rPr/>
        <w:t>(4):335. doi: 10.1071/PC17017.</w:t>
      </w:r>
    </w:p>
    <w:p>
      <w:pPr>
        <w:pStyle w:val="BodyText"/>
        <w:spacing w:before="11"/>
      </w:pPr>
    </w:p>
    <w:p>
      <w:pPr>
        <w:spacing w:before="0"/>
        <w:ind w:left="833" w:right="472" w:hanging="721"/>
        <w:jc w:val="both"/>
        <w:rPr>
          <w:sz w:val="20"/>
        </w:rPr>
      </w:pPr>
      <w:r>
        <w:rPr>
          <w:sz w:val="20"/>
        </w:rPr>
        <w:t>APVMA</w:t>
      </w:r>
      <w:r>
        <w:rPr>
          <w:spacing w:val="-5"/>
          <w:sz w:val="20"/>
        </w:rPr>
        <w:t> </w:t>
      </w:r>
      <w:r>
        <w:rPr>
          <w:sz w:val="20"/>
        </w:rPr>
        <w:t>(2005).</w:t>
      </w:r>
      <w:r>
        <w:rPr>
          <w:spacing w:val="-3"/>
          <w:sz w:val="20"/>
        </w:rPr>
        <w:t> </w:t>
      </w:r>
      <w:r>
        <w:rPr>
          <w:i/>
          <w:sz w:val="20"/>
        </w:rPr>
        <w:t>The</w:t>
      </w:r>
      <w:r>
        <w:rPr>
          <w:i/>
          <w:spacing w:val="-5"/>
          <w:sz w:val="20"/>
        </w:rPr>
        <w:t> </w:t>
      </w:r>
      <w:r>
        <w:rPr>
          <w:i/>
          <w:sz w:val="20"/>
        </w:rPr>
        <w:t>reconsideration</w:t>
      </w:r>
      <w:r>
        <w:rPr>
          <w:i/>
          <w:spacing w:val="-5"/>
          <w:sz w:val="20"/>
        </w:rPr>
        <w:t> </w:t>
      </w:r>
      <w:r>
        <w:rPr>
          <w:i/>
          <w:sz w:val="20"/>
        </w:rPr>
        <w:t>of</w:t>
      </w:r>
      <w:r>
        <w:rPr>
          <w:i/>
          <w:spacing w:val="-5"/>
          <w:sz w:val="20"/>
        </w:rPr>
        <w:t> </w:t>
      </w:r>
      <w:r>
        <w:rPr>
          <w:i/>
          <w:sz w:val="20"/>
        </w:rPr>
        <w:t>registrations</w:t>
      </w:r>
      <w:r>
        <w:rPr>
          <w:i/>
          <w:spacing w:val="-4"/>
          <w:sz w:val="20"/>
        </w:rPr>
        <w:t> </w:t>
      </w:r>
      <w:r>
        <w:rPr>
          <w:i/>
          <w:sz w:val="20"/>
        </w:rPr>
        <w:t>of</w:t>
      </w:r>
      <w:r>
        <w:rPr>
          <w:i/>
          <w:spacing w:val="-3"/>
          <w:sz w:val="20"/>
        </w:rPr>
        <w:t> </w:t>
      </w:r>
      <w:r>
        <w:rPr>
          <w:i/>
          <w:sz w:val="20"/>
        </w:rPr>
        <w:t>products</w:t>
      </w:r>
      <w:r>
        <w:rPr>
          <w:i/>
          <w:spacing w:val="-4"/>
          <w:sz w:val="20"/>
        </w:rPr>
        <w:t> </w:t>
      </w:r>
      <w:r>
        <w:rPr>
          <w:i/>
          <w:sz w:val="20"/>
        </w:rPr>
        <w:t>containing</w:t>
      </w:r>
      <w:r>
        <w:rPr>
          <w:i/>
          <w:spacing w:val="-5"/>
          <w:sz w:val="20"/>
        </w:rPr>
        <w:t> </w:t>
      </w:r>
      <w:r>
        <w:rPr>
          <w:i/>
          <w:sz w:val="20"/>
        </w:rPr>
        <w:t>sodium</w:t>
      </w:r>
      <w:r>
        <w:rPr>
          <w:i/>
          <w:spacing w:val="-3"/>
          <w:sz w:val="20"/>
        </w:rPr>
        <w:t> </w:t>
      </w:r>
      <w:r>
        <w:rPr>
          <w:i/>
          <w:sz w:val="20"/>
        </w:rPr>
        <w:t>fluoroacetate</w:t>
      </w:r>
      <w:r>
        <w:rPr>
          <w:i/>
          <w:spacing w:val="-6"/>
          <w:sz w:val="20"/>
        </w:rPr>
        <w:t> </w:t>
      </w:r>
      <w:r>
        <w:rPr>
          <w:i/>
          <w:sz w:val="20"/>
        </w:rPr>
        <w:t>(1080)</w:t>
      </w:r>
      <w:r>
        <w:rPr>
          <w:i/>
          <w:spacing w:val="-2"/>
          <w:sz w:val="20"/>
        </w:rPr>
        <w:t> </w:t>
      </w:r>
      <w:r>
        <w:rPr>
          <w:i/>
          <w:sz w:val="20"/>
        </w:rPr>
        <w:t>and</w:t>
      </w:r>
      <w:r>
        <w:rPr>
          <w:i/>
          <w:sz w:val="20"/>
        </w:rPr>
        <w:t> their</w:t>
      </w:r>
      <w:r>
        <w:rPr>
          <w:i/>
          <w:spacing w:val="-2"/>
          <w:sz w:val="20"/>
        </w:rPr>
        <w:t> </w:t>
      </w:r>
      <w:r>
        <w:rPr>
          <w:i/>
          <w:sz w:val="20"/>
        </w:rPr>
        <w:t>associated</w:t>
      </w:r>
      <w:r>
        <w:rPr>
          <w:i/>
          <w:spacing w:val="-5"/>
          <w:sz w:val="20"/>
        </w:rPr>
        <w:t> </w:t>
      </w:r>
      <w:r>
        <w:rPr>
          <w:i/>
          <w:sz w:val="20"/>
        </w:rPr>
        <w:t>labels.</w:t>
      </w:r>
      <w:r>
        <w:rPr>
          <w:i/>
          <w:spacing w:val="-3"/>
          <w:sz w:val="20"/>
        </w:rPr>
        <w:t> </w:t>
      </w:r>
      <w:r>
        <w:rPr>
          <w:i/>
          <w:sz w:val="20"/>
        </w:rPr>
        <w:t>Environmental</w:t>
      </w:r>
      <w:r>
        <w:rPr>
          <w:i/>
          <w:spacing w:val="-4"/>
          <w:sz w:val="20"/>
        </w:rPr>
        <w:t> </w:t>
      </w:r>
      <w:r>
        <w:rPr>
          <w:i/>
          <w:sz w:val="20"/>
        </w:rPr>
        <w:t>Assessment</w:t>
      </w:r>
      <w:r>
        <w:rPr>
          <w:sz w:val="20"/>
        </w:rPr>
        <w:t>.</w:t>
      </w:r>
      <w:r>
        <w:rPr>
          <w:spacing w:val="-3"/>
          <w:sz w:val="20"/>
        </w:rPr>
        <w:t> </w:t>
      </w:r>
      <w:r>
        <w:rPr>
          <w:sz w:val="20"/>
        </w:rPr>
        <w:t>Australian</w:t>
      </w:r>
      <w:r>
        <w:rPr>
          <w:spacing w:val="-5"/>
          <w:sz w:val="20"/>
        </w:rPr>
        <w:t> </w:t>
      </w:r>
      <w:r>
        <w:rPr>
          <w:sz w:val="20"/>
        </w:rPr>
        <w:t>Pesticides</w:t>
      </w:r>
      <w:r>
        <w:rPr>
          <w:spacing w:val="-4"/>
          <w:sz w:val="20"/>
        </w:rPr>
        <w:t> </w:t>
      </w:r>
      <w:r>
        <w:rPr>
          <w:sz w:val="20"/>
        </w:rPr>
        <w:t>and</w:t>
      </w:r>
      <w:r>
        <w:rPr>
          <w:spacing w:val="-3"/>
          <w:sz w:val="20"/>
        </w:rPr>
        <w:t> </w:t>
      </w:r>
      <w:r>
        <w:rPr>
          <w:sz w:val="20"/>
        </w:rPr>
        <w:t>Veterinary</w:t>
      </w:r>
      <w:r>
        <w:rPr>
          <w:spacing w:val="-3"/>
          <w:sz w:val="20"/>
        </w:rPr>
        <w:t> </w:t>
      </w:r>
      <w:r>
        <w:rPr>
          <w:sz w:val="20"/>
        </w:rPr>
        <w:t>Medicines Authority, Kingston, ACT.</w:t>
      </w:r>
    </w:p>
    <w:p>
      <w:pPr>
        <w:pStyle w:val="BodyText"/>
        <w:spacing w:before="8"/>
      </w:pPr>
    </w:p>
    <w:p>
      <w:pPr>
        <w:spacing w:before="1"/>
        <w:ind w:left="833" w:right="364" w:hanging="721"/>
        <w:jc w:val="left"/>
        <w:rPr>
          <w:sz w:val="20"/>
        </w:rPr>
      </w:pPr>
      <w:r>
        <w:rPr>
          <w:sz w:val="20"/>
        </w:rPr>
        <w:t>APVMA.</w:t>
      </w:r>
      <w:r>
        <w:rPr>
          <w:spacing w:val="-4"/>
          <w:sz w:val="20"/>
        </w:rPr>
        <w:t> </w:t>
      </w:r>
      <w:r>
        <w:rPr>
          <w:sz w:val="20"/>
        </w:rPr>
        <w:t>(2015).</w:t>
      </w:r>
      <w:r>
        <w:rPr>
          <w:spacing w:val="-1"/>
          <w:sz w:val="20"/>
        </w:rPr>
        <w:t> </w:t>
      </w:r>
      <w:r>
        <w:rPr>
          <w:i/>
          <w:sz w:val="20"/>
        </w:rPr>
        <w:t>Public</w:t>
      </w:r>
      <w:r>
        <w:rPr>
          <w:i/>
          <w:spacing w:val="-3"/>
          <w:sz w:val="20"/>
        </w:rPr>
        <w:t> </w:t>
      </w:r>
      <w:r>
        <w:rPr>
          <w:i/>
          <w:sz w:val="20"/>
        </w:rPr>
        <w:t>release</w:t>
      </w:r>
      <w:r>
        <w:rPr>
          <w:i/>
          <w:spacing w:val="-4"/>
          <w:sz w:val="20"/>
        </w:rPr>
        <w:t> </w:t>
      </w:r>
      <w:r>
        <w:rPr>
          <w:i/>
          <w:sz w:val="20"/>
        </w:rPr>
        <w:t>summary</w:t>
      </w:r>
      <w:r>
        <w:rPr>
          <w:i/>
          <w:spacing w:val="-3"/>
          <w:sz w:val="20"/>
        </w:rPr>
        <w:t> </w:t>
      </w:r>
      <w:r>
        <w:rPr>
          <w:i/>
          <w:sz w:val="20"/>
        </w:rPr>
        <w:t>on</w:t>
      </w:r>
      <w:r>
        <w:rPr>
          <w:i/>
          <w:spacing w:val="-5"/>
          <w:sz w:val="20"/>
        </w:rPr>
        <w:t> </w:t>
      </w:r>
      <w:r>
        <w:rPr>
          <w:i/>
          <w:sz w:val="20"/>
        </w:rPr>
        <w:t>the</w:t>
      </w:r>
      <w:r>
        <w:rPr>
          <w:i/>
          <w:spacing w:val="-3"/>
          <w:sz w:val="20"/>
        </w:rPr>
        <w:t> </w:t>
      </w:r>
      <w:r>
        <w:rPr>
          <w:i/>
          <w:sz w:val="20"/>
        </w:rPr>
        <w:t>evaluation</w:t>
      </w:r>
      <w:r>
        <w:rPr>
          <w:i/>
          <w:spacing w:val="-4"/>
          <w:sz w:val="20"/>
        </w:rPr>
        <w:t> </w:t>
      </w:r>
      <w:r>
        <w:rPr>
          <w:i/>
          <w:sz w:val="20"/>
        </w:rPr>
        <w:t>of</w:t>
      </w:r>
      <w:r>
        <w:rPr>
          <w:i/>
          <w:spacing w:val="-3"/>
          <w:sz w:val="20"/>
        </w:rPr>
        <w:t> </w:t>
      </w:r>
      <w:r>
        <w:rPr>
          <w:i/>
          <w:sz w:val="20"/>
        </w:rPr>
        <w:t>the</w:t>
      </w:r>
      <w:r>
        <w:rPr>
          <w:i/>
          <w:spacing w:val="-3"/>
          <w:sz w:val="20"/>
        </w:rPr>
        <w:t> </w:t>
      </w:r>
      <w:r>
        <w:rPr>
          <w:i/>
          <w:sz w:val="20"/>
        </w:rPr>
        <w:t>new</w:t>
      </w:r>
      <w:r>
        <w:rPr>
          <w:i/>
          <w:spacing w:val="-2"/>
          <w:sz w:val="20"/>
        </w:rPr>
        <w:t> </w:t>
      </w:r>
      <w:r>
        <w:rPr>
          <w:i/>
          <w:sz w:val="20"/>
        </w:rPr>
        <w:t>active</w:t>
      </w:r>
      <w:r>
        <w:rPr>
          <w:i/>
          <w:spacing w:val="-3"/>
          <w:sz w:val="20"/>
        </w:rPr>
        <w:t> </w:t>
      </w:r>
      <w:r>
        <w:rPr>
          <w:i/>
          <w:sz w:val="20"/>
        </w:rPr>
        <w:t>4-aminopropiophenone</w:t>
      </w:r>
      <w:r>
        <w:rPr>
          <w:i/>
          <w:spacing w:val="-4"/>
          <w:sz w:val="20"/>
        </w:rPr>
        <w:t> </w:t>
      </w:r>
      <w:r>
        <w:rPr>
          <w:i/>
          <w:sz w:val="20"/>
        </w:rPr>
        <w:t>(also</w:t>
      </w:r>
      <w:r>
        <w:rPr>
          <w:i/>
          <w:sz w:val="20"/>
        </w:rPr>
        <w:t> known as para-aminopropiophenone (PAPP)) in the products FoxeCute fox bait &amp; PAPP wild dog bait: APVMA product numbers 65095 and 65094</w:t>
      </w:r>
      <w:r>
        <w:rPr>
          <w:sz w:val="20"/>
        </w:rPr>
        <w:t>. Australian Pesticides and Veterinary Medicines Authority, Kingston, ACT.</w:t>
      </w:r>
    </w:p>
    <w:p>
      <w:pPr>
        <w:spacing w:after="0"/>
        <w:jc w:val="left"/>
        <w:rPr>
          <w:sz w:val="20"/>
        </w:rPr>
        <w:sectPr>
          <w:pgSz w:w="11910" w:h="16850"/>
          <w:pgMar w:header="0" w:footer="688" w:top="1160" w:bottom="880" w:left="1020" w:right="780"/>
        </w:sectPr>
      </w:pPr>
    </w:p>
    <w:p>
      <w:pPr>
        <w:spacing w:before="71"/>
        <w:ind w:left="833" w:right="232" w:hanging="721"/>
        <w:jc w:val="left"/>
        <w:rPr>
          <w:sz w:val="20"/>
        </w:rPr>
      </w:pPr>
      <w:r>
        <w:rPr>
          <w:sz w:val="20"/>
        </w:rPr>
        <w:t>Atzert, S.P. (1971). </w:t>
      </w:r>
      <w:r>
        <w:rPr>
          <w:i/>
          <w:sz w:val="20"/>
        </w:rPr>
        <w:t>A review of sodium monofluoroacetate (Compound 1080), its properties, toxicology and</w:t>
      </w:r>
      <w:r>
        <w:rPr>
          <w:i/>
          <w:sz w:val="20"/>
        </w:rPr>
        <w:t> use</w:t>
      </w:r>
      <w:r>
        <w:rPr>
          <w:i/>
          <w:spacing w:val="-4"/>
          <w:sz w:val="20"/>
        </w:rPr>
        <w:t> </w:t>
      </w:r>
      <w:r>
        <w:rPr>
          <w:i/>
          <w:sz w:val="20"/>
        </w:rPr>
        <w:t>in</w:t>
      </w:r>
      <w:r>
        <w:rPr>
          <w:i/>
          <w:spacing w:val="-2"/>
          <w:sz w:val="20"/>
        </w:rPr>
        <w:t> </w:t>
      </w:r>
      <w:r>
        <w:rPr>
          <w:i/>
          <w:sz w:val="20"/>
        </w:rPr>
        <w:t>predator</w:t>
      </w:r>
      <w:r>
        <w:rPr>
          <w:i/>
          <w:spacing w:val="-3"/>
          <w:sz w:val="20"/>
        </w:rPr>
        <w:t> </w:t>
      </w:r>
      <w:r>
        <w:rPr>
          <w:i/>
          <w:sz w:val="20"/>
        </w:rPr>
        <w:t>and</w:t>
      </w:r>
      <w:r>
        <w:rPr>
          <w:i/>
          <w:spacing w:val="-5"/>
          <w:sz w:val="20"/>
        </w:rPr>
        <w:t> </w:t>
      </w:r>
      <w:r>
        <w:rPr>
          <w:i/>
          <w:sz w:val="20"/>
        </w:rPr>
        <w:t>rodent</w:t>
      </w:r>
      <w:r>
        <w:rPr>
          <w:i/>
          <w:spacing w:val="-2"/>
          <w:sz w:val="20"/>
        </w:rPr>
        <w:t> </w:t>
      </w:r>
      <w:r>
        <w:rPr>
          <w:i/>
          <w:sz w:val="20"/>
        </w:rPr>
        <w:t>control.</w:t>
      </w:r>
      <w:r>
        <w:rPr>
          <w:i/>
          <w:spacing w:val="-2"/>
          <w:sz w:val="20"/>
        </w:rPr>
        <w:t> </w:t>
      </w:r>
      <w:r>
        <w:rPr>
          <w:i/>
          <w:sz w:val="20"/>
        </w:rPr>
        <w:t>Special</w:t>
      </w:r>
      <w:r>
        <w:rPr>
          <w:i/>
          <w:spacing w:val="-3"/>
          <w:sz w:val="20"/>
        </w:rPr>
        <w:t> </w:t>
      </w:r>
      <w:r>
        <w:rPr>
          <w:i/>
          <w:sz w:val="20"/>
        </w:rPr>
        <w:t>Scientific</w:t>
      </w:r>
      <w:r>
        <w:rPr>
          <w:i/>
          <w:spacing w:val="-3"/>
          <w:sz w:val="20"/>
        </w:rPr>
        <w:t> </w:t>
      </w:r>
      <w:r>
        <w:rPr>
          <w:i/>
          <w:sz w:val="20"/>
        </w:rPr>
        <w:t>Report -</w:t>
      </w:r>
      <w:r>
        <w:rPr>
          <w:i/>
          <w:spacing w:val="-1"/>
          <w:sz w:val="20"/>
        </w:rPr>
        <w:t> </w:t>
      </w:r>
      <w:r>
        <w:rPr>
          <w:i/>
          <w:sz w:val="20"/>
        </w:rPr>
        <w:t>Wildlife</w:t>
      </w:r>
      <w:r>
        <w:rPr>
          <w:i/>
          <w:spacing w:val="-4"/>
          <w:sz w:val="20"/>
        </w:rPr>
        <w:t> </w:t>
      </w:r>
      <w:r>
        <w:rPr>
          <w:i/>
          <w:sz w:val="20"/>
        </w:rPr>
        <w:t>No.</w:t>
      </w:r>
      <w:r>
        <w:rPr>
          <w:i/>
          <w:spacing w:val="-2"/>
          <w:sz w:val="20"/>
        </w:rPr>
        <w:t> </w:t>
      </w:r>
      <w:r>
        <w:rPr>
          <w:i/>
          <w:sz w:val="20"/>
        </w:rPr>
        <w:t>146</w:t>
      </w:r>
      <w:r>
        <w:rPr>
          <w:sz w:val="20"/>
        </w:rPr>
        <w:t>.</w:t>
      </w:r>
      <w:r>
        <w:rPr>
          <w:spacing w:val="-4"/>
          <w:sz w:val="20"/>
        </w:rPr>
        <w:t> </w:t>
      </w:r>
      <w:r>
        <w:rPr>
          <w:sz w:val="20"/>
        </w:rPr>
        <w:t>U.S.</w:t>
      </w:r>
      <w:r>
        <w:rPr>
          <w:spacing w:val="-4"/>
          <w:sz w:val="20"/>
        </w:rPr>
        <w:t> </w:t>
      </w:r>
      <w:r>
        <w:rPr>
          <w:sz w:val="20"/>
        </w:rPr>
        <w:t>Fish</w:t>
      </w:r>
      <w:r>
        <w:rPr>
          <w:spacing w:val="-2"/>
          <w:sz w:val="20"/>
        </w:rPr>
        <w:t> </w:t>
      </w:r>
      <w:r>
        <w:rPr>
          <w:sz w:val="20"/>
        </w:rPr>
        <w:t>and</w:t>
      </w:r>
      <w:r>
        <w:rPr>
          <w:spacing w:val="-4"/>
          <w:sz w:val="20"/>
        </w:rPr>
        <w:t> </w:t>
      </w:r>
      <w:r>
        <w:rPr>
          <w:sz w:val="20"/>
        </w:rPr>
        <w:t>Wildlife </w:t>
      </w:r>
      <w:r>
        <w:rPr>
          <w:spacing w:val="-2"/>
          <w:sz w:val="20"/>
        </w:rPr>
        <w:t>Service.</w:t>
      </w:r>
    </w:p>
    <w:p>
      <w:pPr>
        <w:pStyle w:val="BodyText"/>
        <w:spacing w:before="12"/>
      </w:pPr>
    </w:p>
    <w:p>
      <w:pPr>
        <w:pStyle w:val="BodyText"/>
        <w:ind w:left="833" w:right="163" w:hanging="721"/>
      </w:pPr>
      <w:r>
        <w:rPr/>
        <w:t>Ausband,</w:t>
      </w:r>
      <w:r>
        <w:rPr>
          <w:spacing w:val="-4"/>
        </w:rPr>
        <w:t> </w:t>
      </w:r>
      <w:r>
        <w:rPr/>
        <w:t>D.E.,</w:t>
      </w:r>
      <w:r>
        <w:rPr>
          <w:spacing w:val="-4"/>
        </w:rPr>
        <w:t> </w:t>
      </w:r>
      <w:r>
        <w:rPr/>
        <w:t>Mitchell,</w:t>
      </w:r>
      <w:r>
        <w:rPr>
          <w:spacing w:val="-2"/>
        </w:rPr>
        <w:t> </w:t>
      </w:r>
      <w:r>
        <w:rPr/>
        <w:t>M.S.,</w:t>
      </w:r>
      <w:r>
        <w:rPr>
          <w:spacing w:val="-2"/>
        </w:rPr>
        <w:t> </w:t>
      </w:r>
      <w:r>
        <w:rPr/>
        <w:t>Bassing,</w:t>
      </w:r>
      <w:r>
        <w:rPr>
          <w:spacing w:val="-4"/>
        </w:rPr>
        <w:t> </w:t>
      </w:r>
      <w:r>
        <w:rPr/>
        <w:t>S.B.,</w:t>
      </w:r>
      <w:r>
        <w:rPr>
          <w:spacing w:val="-2"/>
        </w:rPr>
        <w:t> </w:t>
      </w:r>
      <w:r>
        <w:rPr/>
        <w:t>and</w:t>
      </w:r>
      <w:r>
        <w:rPr>
          <w:spacing w:val="-2"/>
        </w:rPr>
        <w:t> </w:t>
      </w:r>
      <w:r>
        <w:rPr/>
        <w:t>White,</w:t>
      </w:r>
      <w:r>
        <w:rPr>
          <w:spacing w:val="-4"/>
        </w:rPr>
        <w:t> </w:t>
      </w:r>
      <w:r>
        <w:rPr/>
        <w:t>C.</w:t>
      </w:r>
      <w:r>
        <w:rPr>
          <w:spacing w:val="-4"/>
        </w:rPr>
        <w:t> </w:t>
      </w:r>
      <w:r>
        <w:rPr/>
        <w:t>(2013).</w:t>
      </w:r>
      <w:r>
        <w:rPr>
          <w:spacing w:val="-1"/>
        </w:rPr>
        <w:t> </w:t>
      </w:r>
      <w:r>
        <w:rPr/>
        <w:t>No</w:t>
      </w:r>
      <w:r>
        <w:rPr>
          <w:spacing w:val="-4"/>
        </w:rPr>
        <w:t> </w:t>
      </w:r>
      <w:r>
        <w:rPr/>
        <w:t>trespassing:</w:t>
      </w:r>
      <w:r>
        <w:rPr>
          <w:spacing w:val="-4"/>
        </w:rPr>
        <w:t> </w:t>
      </w:r>
      <w:r>
        <w:rPr/>
        <w:t>using</w:t>
      </w:r>
      <w:r>
        <w:rPr>
          <w:spacing w:val="-5"/>
        </w:rPr>
        <w:t> </w:t>
      </w:r>
      <w:r>
        <w:rPr/>
        <w:t>a</w:t>
      </w:r>
      <w:r>
        <w:rPr>
          <w:spacing w:val="-2"/>
        </w:rPr>
        <w:t> </w:t>
      </w:r>
      <w:r>
        <w:rPr/>
        <w:t>biofence</w:t>
      </w:r>
      <w:r>
        <w:rPr>
          <w:spacing w:val="-4"/>
        </w:rPr>
        <w:t> </w:t>
      </w:r>
      <w:r>
        <w:rPr/>
        <w:t>to manipulate wolf movements. </w:t>
      </w:r>
      <w:r>
        <w:rPr>
          <w:i/>
        </w:rPr>
        <w:t>Wildlife Research </w:t>
      </w:r>
      <w:r>
        <w:rPr>
          <w:b/>
        </w:rPr>
        <w:t>40</w:t>
      </w:r>
      <w:r>
        <w:rPr/>
        <w:t>(3):207. doi: 10.1071/WR12176.</w:t>
      </w:r>
    </w:p>
    <w:p>
      <w:pPr>
        <w:pStyle w:val="BodyText"/>
        <w:spacing w:before="8"/>
      </w:pPr>
    </w:p>
    <w:p>
      <w:pPr>
        <w:pStyle w:val="BodyText"/>
        <w:ind w:left="833" w:right="163" w:hanging="721"/>
      </w:pPr>
      <w:r>
        <w:rPr/>
        <w:t>Ballard,</w:t>
      </w:r>
      <w:r>
        <w:rPr>
          <w:spacing w:val="-3"/>
        </w:rPr>
        <w:t> </w:t>
      </w:r>
      <w:r>
        <w:rPr/>
        <w:t>G.,</w:t>
      </w:r>
      <w:r>
        <w:rPr>
          <w:spacing w:val="-3"/>
        </w:rPr>
        <w:t> </w:t>
      </w:r>
      <w:r>
        <w:rPr/>
        <w:t>Fleming,</w:t>
      </w:r>
      <w:r>
        <w:rPr>
          <w:spacing w:val="-3"/>
        </w:rPr>
        <w:t> </w:t>
      </w:r>
      <w:r>
        <w:rPr/>
        <w:t>P.J.S.,</w:t>
      </w:r>
      <w:r>
        <w:rPr>
          <w:spacing w:val="-3"/>
        </w:rPr>
        <w:t> </w:t>
      </w:r>
      <w:r>
        <w:rPr/>
        <w:t>Meek,</w:t>
      </w:r>
      <w:r>
        <w:rPr>
          <w:spacing w:val="-1"/>
        </w:rPr>
        <w:t> </w:t>
      </w:r>
      <w:r>
        <w:rPr/>
        <w:t>P.D.,</w:t>
      </w:r>
      <w:r>
        <w:rPr>
          <w:spacing w:val="-3"/>
        </w:rPr>
        <w:t> </w:t>
      </w:r>
      <w:r>
        <w:rPr/>
        <w:t>and</w:t>
      </w:r>
      <w:r>
        <w:rPr>
          <w:spacing w:val="-3"/>
        </w:rPr>
        <w:t> </w:t>
      </w:r>
      <w:r>
        <w:rPr/>
        <w:t>Doak,</w:t>
      </w:r>
      <w:r>
        <w:rPr>
          <w:spacing w:val="-3"/>
        </w:rPr>
        <w:t> </w:t>
      </w:r>
      <w:r>
        <w:rPr/>
        <w:t>S.</w:t>
      </w:r>
      <w:r>
        <w:rPr>
          <w:spacing w:val="-1"/>
        </w:rPr>
        <w:t> </w:t>
      </w:r>
      <w:r>
        <w:rPr/>
        <w:t>(2020).</w:t>
      </w:r>
      <w:r>
        <w:rPr>
          <w:spacing w:val="-1"/>
        </w:rPr>
        <w:t> </w:t>
      </w:r>
      <w:r>
        <w:rPr/>
        <w:t>Aerial</w:t>
      </w:r>
      <w:r>
        <w:rPr>
          <w:spacing w:val="-2"/>
        </w:rPr>
        <w:t> </w:t>
      </w:r>
      <w:r>
        <w:rPr/>
        <w:t>baiting</w:t>
      </w:r>
      <w:r>
        <w:rPr>
          <w:spacing w:val="-2"/>
        </w:rPr>
        <w:t> </w:t>
      </w:r>
      <w:r>
        <w:rPr/>
        <w:t>and</w:t>
      </w:r>
      <w:r>
        <w:rPr>
          <w:spacing w:val="-1"/>
        </w:rPr>
        <w:t> </w:t>
      </w:r>
      <w:r>
        <w:rPr/>
        <w:t>wild</w:t>
      </w:r>
      <w:r>
        <w:rPr>
          <w:spacing w:val="-1"/>
        </w:rPr>
        <w:t> </w:t>
      </w:r>
      <w:r>
        <w:rPr/>
        <w:t>dog</w:t>
      </w:r>
      <w:r>
        <w:rPr>
          <w:spacing w:val="-3"/>
        </w:rPr>
        <w:t> </w:t>
      </w:r>
      <w:r>
        <w:rPr/>
        <w:t>mortality</w:t>
      </w:r>
      <w:r>
        <w:rPr>
          <w:spacing w:val="-2"/>
        </w:rPr>
        <w:t> </w:t>
      </w:r>
      <w:r>
        <w:rPr/>
        <w:t>in</w:t>
      </w:r>
      <w:r>
        <w:rPr>
          <w:spacing w:val="-3"/>
        </w:rPr>
        <w:t> </w:t>
      </w:r>
      <w:r>
        <w:rPr/>
        <w:t>south- eastern Australia. </w:t>
      </w:r>
      <w:r>
        <w:rPr>
          <w:i/>
        </w:rPr>
        <w:t>Wildlife Research </w:t>
      </w:r>
      <w:r>
        <w:rPr>
          <w:b/>
        </w:rPr>
        <w:t>47</w:t>
      </w:r>
      <w:r>
        <w:rPr/>
        <w:t>(2):99–105. doi: 10.1071/WR18188.</w:t>
      </w:r>
    </w:p>
    <w:p>
      <w:pPr>
        <w:pStyle w:val="BodyText"/>
        <w:spacing w:before="11"/>
      </w:pPr>
    </w:p>
    <w:p>
      <w:pPr>
        <w:pStyle w:val="BodyText"/>
        <w:ind w:left="833" w:right="416" w:hanging="721"/>
      </w:pPr>
      <w:r>
        <w:rPr/>
        <w:t>Bangs, E, Jimenez, M., Niemeyer, C., Fontaine, J., Collinge, M., Krsichke, R., Handegard, L., Shivik, J., Sime,</w:t>
      </w:r>
      <w:r>
        <w:rPr>
          <w:spacing w:val="-2"/>
        </w:rPr>
        <w:t> </w:t>
      </w:r>
      <w:r>
        <w:rPr/>
        <w:t>A.,</w:t>
      </w:r>
      <w:r>
        <w:rPr>
          <w:spacing w:val="-4"/>
        </w:rPr>
        <w:t> </w:t>
      </w:r>
      <w:r>
        <w:rPr/>
        <w:t>Nadeau,</w:t>
      </w:r>
      <w:r>
        <w:rPr>
          <w:spacing w:val="-1"/>
        </w:rPr>
        <w:t> </w:t>
      </w:r>
      <w:r>
        <w:rPr/>
        <w:t>C.,</w:t>
      </w:r>
      <w:r>
        <w:rPr>
          <w:spacing w:val="-2"/>
        </w:rPr>
        <w:t> </w:t>
      </w:r>
      <w:r>
        <w:rPr/>
        <w:t>Mack,</w:t>
      </w:r>
      <w:r>
        <w:rPr>
          <w:spacing w:val="-3"/>
        </w:rPr>
        <w:t> </w:t>
      </w:r>
      <w:r>
        <w:rPr/>
        <w:t>S.,</w:t>
      </w:r>
      <w:r>
        <w:rPr>
          <w:spacing w:val="-2"/>
        </w:rPr>
        <w:t> </w:t>
      </w:r>
      <w:r>
        <w:rPr/>
        <w:t>Smith,</w:t>
      </w:r>
      <w:r>
        <w:rPr>
          <w:spacing w:val="-2"/>
        </w:rPr>
        <w:t> </w:t>
      </w:r>
      <w:r>
        <w:rPr/>
        <w:t>C.,</w:t>
      </w:r>
      <w:r>
        <w:rPr>
          <w:spacing w:val="-4"/>
        </w:rPr>
        <w:t> </w:t>
      </w:r>
      <w:r>
        <w:rPr/>
        <w:t>Douglas,</w:t>
      </w:r>
      <w:r>
        <w:rPr>
          <w:spacing w:val="-2"/>
        </w:rPr>
        <w:t> </w:t>
      </w:r>
      <w:r>
        <w:rPr/>
        <w:t>W.,</w:t>
      </w:r>
      <w:r>
        <w:rPr>
          <w:spacing w:val="-2"/>
        </w:rPr>
        <w:t> </w:t>
      </w:r>
      <w:r>
        <w:rPr/>
        <w:t>Asher,</w:t>
      </w:r>
      <w:r>
        <w:rPr>
          <w:spacing w:val="-2"/>
        </w:rPr>
        <w:t> </w:t>
      </w:r>
      <w:r>
        <w:rPr/>
        <w:t>V.,</w:t>
      </w:r>
      <w:r>
        <w:rPr>
          <w:spacing w:val="-2"/>
        </w:rPr>
        <w:t> </w:t>
      </w:r>
      <w:r>
        <w:rPr/>
        <w:t>and</w:t>
      </w:r>
      <w:r>
        <w:rPr>
          <w:spacing w:val="-2"/>
        </w:rPr>
        <w:t> </w:t>
      </w:r>
      <w:r>
        <w:rPr/>
        <w:t>Stone,</w:t>
      </w:r>
      <w:r>
        <w:rPr>
          <w:spacing w:val="-1"/>
        </w:rPr>
        <w:t> </w:t>
      </w:r>
      <w:r>
        <w:rPr/>
        <w:t>S.</w:t>
      </w:r>
      <w:r>
        <w:rPr>
          <w:spacing w:val="-4"/>
        </w:rPr>
        <w:t> </w:t>
      </w:r>
      <w:r>
        <w:rPr/>
        <w:t>(2006).</w:t>
      </w:r>
      <w:r>
        <w:rPr>
          <w:spacing w:val="-2"/>
        </w:rPr>
        <w:t> </w:t>
      </w:r>
      <w:r>
        <w:rPr/>
        <w:t>Non-lethal and lethal tools to manage wolf-livestock conflict in the northwestern united states. </w:t>
      </w:r>
      <w:r>
        <w:rPr>
          <w:i/>
        </w:rPr>
        <w:t>Proceedings of</w:t>
      </w:r>
      <w:r>
        <w:rPr>
          <w:i/>
        </w:rPr>
        <w:t> the Vertebrate Pest Conference </w:t>
      </w:r>
      <w:r>
        <w:rPr/>
        <w:t>22. doi: 10.5070/V422110170.</w:t>
      </w:r>
    </w:p>
    <w:p>
      <w:pPr>
        <w:pStyle w:val="BodyText"/>
        <w:spacing w:before="9"/>
      </w:pPr>
    </w:p>
    <w:p>
      <w:pPr>
        <w:pStyle w:val="BodyText"/>
        <w:spacing w:before="1"/>
        <w:ind w:left="833" w:right="163" w:hanging="721"/>
      </w:pPr>
      <w:r>
        <w:rPr/>
        <w:t>Barlow,</w:t>
      </w:r>
      <w:r>
        <w:rPr>
          <w:spacing w:val="-1"/>
        </w:rPr>
        <w:t> </w:t>
      </w:r>
      <w:r>
        <w:rPr/>
        <w:t>N.D.,</w:t>
      </w:r>
      <w:r>
        <w:rPr>
          <w:spacing w:val="-1"/>
        </w:rPr>
        <w:t> </w:t>
      </w:r>
      <w:r>
        <w:rPr/>
        <w:t>and Kean,</w:t>
      </w:r>
      <w:r>
        <w:rPr>
          <w:spacing w:val="-1"/>
        </w:rPr>
        <w:t> </w:t>
      </w:r>
      <w:r>
        <w:rPr/>
        <w:t>J.M.</w:t>
      </w:r>
      <w:r>
        <w:rPr>
          <w:spacing w:val="-1"/>
        </w:rPr>
        <w:t> </w:t>
      </w:r>
      <w:r>
        <w:rPr/>
        <w:t>(1998). Simple</w:t>
      </w:r>
      <w:r>
        <w:rPr>
          <w:spacing w:val="-1"/>
        </w:rPr>
        <w:t> </w:t>
      </w:r>
      <w:r>
        <w:rPr/>
        <w:t>models for</w:t>
      </w:r>
      <w:r>
        <w:rPr>
          <w:spacing w:val="-1"/>
        </w:rPr>
        <w:t> </w:t>
      </w:r>
      <w:r>
        <w:rPr/>
        <w:t>the impact</w:t>
      </w:r>
      <w:r>
        <w:rPr>
          <w:spacing w:val="-1"/>
        </w:rPr>
        <w:t> </w:t>
      </w:r>
      <w:r>
        <w:rPr/>
        <w:t>of rabbit</w:t>
      </w:r>
      <w:r>
        <w:rPr>
          <w:spacing w:val="-1"/>
        </w:rPr>
        <w:t> </w:t>
      </w:r>
      <w:r>
        <w:rPr/>
        <w:t>calicivirus disease (RCD) on Australasian</w:t>
      </w:r>
      <w:r>
        <w:rPr>
          <w:spacing w:val="-8"/>
        </w:rPr>
        <w:t> </w:t>
      </w:r>
      <w:r>
        <w:rPr/>
        <w:t>rabbits.</w:t>
      </w:r>
      <w:r>
        <w:rPr>
          <w:spacing w:val="-4"/>
        </w:rPr>
        <w:t> </w:t>
      </w:r>
      <w:r>
        <w:rPr>
          <w:i/>
        </w:rPr>
        <w:t>Ecological</w:t>
      </w:r>
      <w:r>
        <w:rPr>
          <w:i/>
          <w:spacing w:val="-7"/>
        </w:rPr>
        <w:t> </w:t>
      </w:r>
      <w:r>
        <w:rPr>
          <w:i/>
        </w:rPr>
        <w:t>Modelling</w:t>
      </w:r>
      <w:r>
        <w:rPr>
          <w:i/>
          <w:spacing w:val="-4"/>
        </w:rPr>
        <w:t> </w:t>
      </w:r>
      <w:r>
        <w:rPr>
          <w:b/>
        </w:rPr>
        <w:t>109</w:t>
      </w:r>
      <w:r>
        <w:rPr/>
        <w:t>(3):225–41.</w:t>
      </w:r>
      <w:r>
        <w:rPr>
          <w:spacing w:val="-6"/>
        </w:rPr>
        <w:t> </w:t>
      </w:r>
      <w:r>
        <w:rPr/>
        <w:t>doi:</w:t>
      </w:r>
      <w:r>
        <w:rPr>
          <w:spacing w:val="-8"/>
        </w:rPr>
        <w:t> </w:t>
      </w:r>
      <w:r>
        <w:rPr/>
        <w:t>10.1016/S0304-3800(98)00009-X.</w:t>
      </w:r>
    </w:p>
    <w:p>
      <w:pPr>
        <w:pStyle w:val="BodyText"/>
        <w:spacing w:before="11"/>
      </w:pPr>
    </w:p>
    <w:p>
      <w:pPr>
        <w:spacing w:before="0"/>
        <w:ind w:left="833" w:right="544" w:hanging="721"/>
        <w:jc w:val="left"/>
        <w:rPr>
          <w:sz w:val="20"/>
        </w:rPr>
      </w:pPr>
      <w:r>
        <w:rPr>
          <w:sz w:val="20"/>
        </w:rPr>
        <w:t>Baur,</w:t>
      </w:r>
      <w:r>
        <w:rPr>
          <w:spacing w:val="-5"/>
          <w:sz w:val="20"/>
        </w:rPr>
        <w:t> </w:t>
      </w:r>
      <w:r>
        <w:rPr>
          <w:sz w:val="20"/>
        </w:rPr>
        <w:t>J.,</w:t>
      </w:r>
      <w:r>
        <w:rPr>
          <w:spacing w:val="-3"/>
          <w:sz w:val="20"/>
        </w:rPr>
        <w:t> </w:t>
      </w:r>
      <w:r>
        <w:rPr>
          <w:sz w:val="20"/>
        </w:rPr>
        <w:t>and</w:t>
      </w:r>
      <w:r>
        <w:rPr>
          <w:spacing w:val="-5"/>
          <w:sz w:val="20"/>
        </w:rPr>
        <w:t> </w:t>
      </w:r>
      <w:r>
        <w:rPr>
          <w:sz w:val="20"/>
        </w:rPr>
        <w:t>English,</w:t>
      </w:r>
      <w:r>
        <w:rPr>
          <w:spacing w:val="-3"/>
          <w:sz w:val="20"/>
        </w:rPr>
        <w:t> </w:t>
      </w:r>
      <w:r>
        <w:rPr>
          <w:sz w:val="20"/>
        </w:rPr>
        <w:t>A.</w:t>
      </w:r>
      <w:r>
        <w:rPr>
          <w:spacing w:val="-5"/>
          <w:sz w:val="20"/>
        </w:rPr>
        <w:t> </w:t>
      </w:r>
      <w:r>
        <w:rPr>
          <w:sz w:val="20"/>
        </w:rPr>
        <w:t>(2011).</w:t>
      </w:r>
      <w:r>
        <w:rPr>
          <w:spacing w:val="-1"/>
          <w:sz w:val="20"/>
        </w:rPr>
        <w:t> </w:t>
      </w:r>
      <w:r>
        <w:rPr>
          <w:i/>
          <w:sz w:val="20"/>
        </w:rPr>
        <w:t>Conservation</w:t>
      </w:r>
      <w:r>
        <w:rPr>
          <w:i/>
          <w:spacing w:val="-5"/>
          <w:sz w:val="20"/>
        </w:rPr>
        <w:t> </w:t>
      </w:r>
      <w:r>
        <w:rPr>
          <w:i/>
          <w:sz w:val="20"/>
        </w:rPr>
        <w:t>through</w:t>
      </w:r>
      <w:r>
        <w:rPr>
          <w:i/>
          <w:spacing w:val="-3"/>
          <w:sz w:val="20"/>
        </w:rPr>
        <w:t> </w:t>
      </w:r>
      <w:r>
        <w:rPr>
          <w:i/>
          <w:sz w:val="20"/>
        </w:rPr>
        <w:t>hunting:</w:t>
      </w:r>
      <w:r>
        <w:rPr>
          <w:i/>
          <w:spacing w:val="-5"/>
          <w:sz w:val="20"/>
        </w:rPr>
        <w:t> </w:t>
      </w:r>
      <w:r>
        <w:rPr>
          <w:i/>
          <w:sz w:val="20"/>
        </w:rPr>
        <w:t>an</w:t>
      </w:r>
      <w:r>
        <w:rPr>
          <w:i/>
          <w:spacing w:val="-5"/>
          <w:sz w:val="20"/>
        </w:rPr>
        <w:t> </w:t>
      </w:r>
      <w:r>
        <w:rPr>
          <w:i/>
          <w:sz w:val="20"/>
        </w:rPr>
        <w:t>environmental</w:t>
      </w:r>
      <w:r>
        <w:rPr>
          <w:i/>
          <w:spacing w:val="-4"/>
          <w:sz w:val="20"/>
        </w:rPr>
        <w:t> </w:t>
      </w:r>
      <w:r>
        <w:rPr>
          <w:i/>
          <w:sz w:val="20"/>
        </w:rPr>
        <w:t>paradigm changes</w:t>
      </w:r>
      <w:r>
        <w:rPr>
          <w:i/>
          <w:spacing w:val="-2"/>
          <w:sz w:val="20"/>
        </w:rPr>
        <w:t> </w:t>
      </w:r>
      <w:r>
        <w:rPr>
          <w:i/>
          <w:sz w:val="20"/>
        </w:rPr>
        <w:t>in</w:t>
      </w:r>
      <w:r>
        <w:rPr>
          <w:i/>
          <w:sz w:val="20"/>
        </w:rPr>
        <w:t> NSW</w:t>
      </w:r>
      <w:r>
        <w:rPr>
          <w:sz w:val="20"/>
        </w:rPr>
        <w:t>. Game Council NSW.</w:t>
      </w:r>
    </w:p>
    <w:p>
      <w:pPr>
        <w:pStyle w:val="BodyText"/>
        <w:spacing w:before="11"/>
      </w:pPr>
    </w:p>
    <w:p>
      <w:pPr>
        <w:spacing w:before="0"/>
        <w:ind w:left="833" w:right="364" w:hanging="721"/>
        <w:jc w:val="left"/>
        <w:rPr>
          <w:sz w:val="20"/>
        </w:rPr>
      </w:pPr>
      <w:r>
        <w:rPr>
          <w:sz w:val="20"/>
        </w:rPr>
        <w:t>Belcher, C.A. (1998). Susceptibility of the tiger quoll, </w:t>
      </w:r>
      <w:r>
        <w:rPr>
          <w:i/>
          <w:sz w:val="20"/>
        </w:rPr>
        <w:t>Dasyurus maculatus</w:t>
      </w:r>
      <w:r>
        <w:rPr>
          <w:sz w:val="20"/>
        </w:rPr>
        <w:t>, and the eastern quoll, </w:t>
      </w:r>
      <w:r>
        <w:rPr>
          <w:i/>
          <w:sz w:val="20"/>
        </w:rPr>
        <w:t>D.</w:t>
      </w:r>
      <w:r>
        <w:rPr>
          <w:i/>
          <w:sz w:val="20"/>
        </w:rPr>
        <w:t> viverrinus</w:t>
      </w:r>
      <w:r>
        <w:rPr>
          <w:sz w:val="20"/>
        </w:rPr>
        <w:t>,</w:t>
      </w:r>
      <w:r>
        <w:rPr>
          <w:spacing w:val="-4"/>
          <w:sz w:val="20"/>
        </w:rPr>
        <w:t> </w:t>
      </w:r>
      <w:r>
        <w:rPr>
          <w:sz w:val="20"/>
        </w:rPr>
        <w:t>to</w:t>
      </w:r>
      <w:r>
        <w:rPr>
          <w:spacing w:val="-2"/>
          <w:sz w:val="20"/>
        </w:rPr>
        <w:t> </w:t>
      </w:r>
      <w:r>
        <w:rPr>
          <w:sz w:val="20"/>
        </w:rPr>
        <w:t>1080-poisoned</w:t>
      </w:r>
      <w:r>
        <w:rPr>
          <w:spacing w:val="-4"/>
          <w:sz w:val="20"/>
        </w:rPr>
        <w:t> </w:t>
      </w:r>
      <w:r>
        <w:rPr>
          <w:sz w:val="20"/>
        </w:rPr>
        <w:t>baits</w:t>
      </w:r>
      <w:r>
        <w:rPr>
          <w:spacing w:val="-3"/>
          <w:sz w:val="20"/>
        </w:rPr>
        <w:t> </w:t>
      </w:r>
      <w:r>
        <w:rPr>
          <w:sz w:val="20"/>
        </w:rPr>
        <w:t>in</w:t>
      </w:r>
      <w:r>
        <w:rPr>
          <w:spacing w:val="-4"/>
          <w:sz w:val="20"/>
        </w:rPr>
        <w:t> </w:t>
      </w:r>
      <w:r>
        <w:rPr>
          <w:sz w:val="20"/>
        </w:rPr>
        <w:t>control</w:t>
      </w:r>
      <w:r>
        <w:rPr>
          <w:spacing w:val="-5"/>
          <w:sz w:val="20"/>
        </w:rPr>
        <w:t> </w:t>
      </w:r>
      <w:r>
        <w:rPr>
          <w:sz w:val="20"/>
        </w:rPr>
        <w:t>programmes</w:t>
      </w:r>
      <w:r>
        <w:rPr>
          <w:spacing w:val="-3"/>
          <w:sz w:val="20"/>
        </w:rPr>
        <w:t> </w:t>
      </w:r>
      <w:r>
        <w:rPr>
          <w:sz w:val="20"/>
        </w:rPr>
        <w:t>for</w:t>
      </w:r>
      <w:r>
        <w:rPr>
          <w:spacing w:val="-3"/>
          <w:sz w:val="20"/>
        </w:rPr>
        <w:t> </w:t>
      </w:r>
      <w:r>
        <w:rPr>
          <w:sz w:val="20"/>
        </w:rPr>
        <w:t>vertebrate</w:t>
      </w:r>
      <w:r>
        <w:rPr>
          <w:spacing w:val="-4"/>
          <w:sz w:val="20"/>
        </w:rPr>
        <w:t> </w:t>
      </w:r>
      <w:r>
        <w:rPr>
          <w:sz w:val="20"/>
        </w:rPr>
        <w:t>pests</w:t>
      </w:r>
      <w:r>
        <w:rPr>
          <w:spacing w:val="-3"/>
          <w:sz w:val="20"/>
        </w:rPr>
        <w:t> </w:t>
      </w:r>
      <w:r>
        <w:rPr>
          <w:sz w:val="20"/>
        </w:rPr>
        <w:t>in</w:t>
      </w:r>
      <w:r>
        <w:rPr>
          <w:spacing w:val="-2"/>
          <w:sz w:val="20"/>
        </w:rPr>
        <w:t> </w:t>
      </w:r>
      <w:r>
        <w:rPr>
          <w:sz w:val="20"/>
        </w:rPr>
        <w:t>eastern Australia. </w:t>
      </w:r>
      <w:r>
        <w:rPr>
          <w:i/>
          <w:sz w:val="20"/>
        </w:rPr>
        <w:t>Wildlife Research </w:t>
      </w:r>
      <w:r>
        <w:rPr>
          <w:b/>
          <w:sz w:val="20"/>
        </w:rPr>
        <w:t>25</w:t>
      </w:r>
      <w:r>
        <w:rPr>
          <w:sz w:val="20"/>
        </w:rPr>
        <w:t>:33–40.</w:t>
      </w:r>
    </w:p>
    <w:p>
      <w:pPr>
        <w:pStyle w:val="BodyText"/>
        <w:spacing w:before="9"/>
      </w:pPr>
    </w:p>
    <w:p>
      <w:pPr>
        <w:pStyle w:val="BodyText"/>
        <w:ind w:left="833" w:right="364" w:hanging="721"/>
      </w:pPr>
      <w:r>
        <w:rPr/>
        <w:t>Bengsen,</w:t>
      </w:r>
      <w:r>
        <w:rPr>
          <w:spacing w:val="-2"/>
        </w:rPr>
        <w:t> </w:t>
      </w:r>
      <w:r>
        <w:rPr/>
        <w:t>A.J.</w:t>
      </w:r>
      <w:r>
        <w:rPr>
          <w:spacing w:val="-4"/>
        </w:rPr>
        <w:t> </w:t>
      </w:r>
      <w:r>
        <w:rPr/>
        <w:t>(2014).</w:t>
      </w:r>
      <w:r>
        <w:rPr>
          <w:spacing w:val="-2"/>
        </w:rPr>
        <w:t> </w:t>
      </w:r>
      <w:r>
        <w:rPr/>
        <w:t>Effects</w:t>
      </w:r>
      <w:r>
        <w:rPr>
          <w:spacing w:val="-3"/>
        </w:rPr>
        <w:t> </w:t>
      </w:r>
      <w:r>
        <w:rPr/>
        <w:t>of</w:t>
      </w:r>
      <w:r>
        <w:rPr>
          <w:spacing w:val="-4"/>
        </w:rPr>
        <w:t> </w:t>
      </w:r>
      <w:r>
        <w:rPr/>
        <w:t>coordinated</w:t>
      </w:r>
      <w:r>
        <w:rPr>
          <w:spacing w:val="-3"/>
        </w:rPr>
        <w:t> </w:t>
      </w:r>
      <w:r>
        <w:rPr/>
        <w:t>poison-baiting</w:t>
      </w:r>
      <w:r>
        <w:rPr>
          <w:spacing w:val="-5"/>
        </w:rPr>
        <w:t> </w:t>
      </w:r>
      <w:r>
        <w:rPr/>
        <w:t>programs</w:t>
      </w:r>
      <w:r>
        <w:rPr>
          <w:spacing w:val="-1"/>
        </w:rPr>
        <w:t> </w:t>
      </w:r>
      <w:r>
        <w:rPr/>
        <w:t>on</w:t>
      </w:r>
      <w:r>
        <w:rPr>
          <w:spacing w:val="-5"/>
        </w:rPr>
        <w:t> </w:t>
      </w:r>
      <w:r>
        <w:rPr/>
        <w:t>survival</w:t>
      </w:r>
      <w:r>
        <w:rPr>
          <w:spacing w:val="-5"/>
        </w:rPr>
        <w:t> </w:t>
      </w:r>
      <w:r>
        <w:rPr/>
        <w:t>and</w:t>
      </w:r>
      <w:r>
        <w:rPr>
          <w:spacing w:val="-5"/>
        </w:rPr>
        <w:t> </w:t>
      </w:r>
      <w:r>
        <w:rPr/>
        <w:t>abundance</w:t>
      </w:r>
      <w:r>
        <w:rPr>
          <w:spacing w:val="-2"/>
        </w:rPr>
        <w:t> </w:t>
      </w:r>
      <w:r>
        <w:rPr/>
        <w:t>in</w:t>
      </w:r>
      <w:r>
        <w:rPr>
          <w:spacing w:val="-2"/>
        </w:rPr>
        <w:t> </w:t>
      </w:r>
      <w:r>
        <w:rPr/>
        <w:t>two</w:t>
      </w:r>
      <w:r>
        <w:rPr>
          <w:spacing w:val="-4"/>
        </w:rPr>
        <w:t> </w:t>
      </w:r>
      <w:r>
        <w:rPr/>
        <w:t>red fox populations. </w:t>
      </w:r>
      <w:r>
        <w:rPr>
          <w:i/>
        </w:rPr>
        <w:t>Wildlife Research </w:t>
      </w:r>
      <w:r>
        <w:rPr>
          <w:b/>
        </w:rPr>
        <w:t>41</w:t>
      </w:r>
      <w:r>
        <w:rPr/>
        <w:t>(3):194–202. doi: 10.1071/WR13202.</w:t>
      </w:r>
    </w:p>
    <w:p>
      <w:pPr>
        <w:pStyle w:val="BodyText"/>
        <w:spacing w:before="10"/>
      </w:pPr>
    </w:p>
    <w:p>
      <w:pPr>
        <w:pStyle w:val="BodyText"/>
        <w:spacing w:before="1"/>
        <w:ind w:left="833" w:right="645" w:hanging="721"/>
        <w:jc w:val="both"/>
      </w:pPr>
      <w:r>
        <w:rPr/>
        <w:t>Bengsen,</w:t>
      </w:r>
      <w:r>
        <w:rPr>
          <w:spacing w:val="-1"/>
        </w:rPr>
        <w:t> </w:t>
      </w:r>
      <w:r>
        <w:rPr/>
        <w:t>A.J.,</w:t>
      </w:r>
      <w:r>
        <w:rPr>
          <w:spacing w:val="-3"/>
        </w:rPr>
        <w:t> </w:t>
      </w:r>
      <w:r>
        <w:rPr/>
        <w:t>Forsyth,</w:t>
      </w:r>
      <w:r>
        <w:rPr>
          <w:spacing w:val="-1"/>
        </w:rPr>
        <w:t> </w:t>
      </w:r>
      <w:r>
        <w:rPr/>
        <w:t>D.M.,</w:t>
      </w:r>
      <w:r>
        <w:rPr>
          <w:spacing w:val="-3"/>
        </w:rPr>
        <w:t> </w:t>
      </w:r>
      <w:r>
        <w:rPr/>
        <w:t>Harris, S.,</w:t>
      </w:r>
      <w:r>
        <w:rPr>
          <w:spacing w:val="-1"/>
        </w:rPr>
        <w:t> </w:t>
      </w:r>
      <w:r>
        <w:rPr/>
        <w:t>Latham,</w:t>
      </w:r>
      <w:r>
        <w:rPr>
          <w:spacing w:val="-3"/>
        </w:rPr>
        <w:t> </w:t>
      </w:r>
      <w:r>
        <w:rPr/>
        <w:t>D.M.,</w:t>
      </w:r>
      <w:r>
        <w:rPr>
          <w:spacing w:val="-3"/>
        </w:rPr>
        <w:t> </w:t>
      </w:r>
      <w:r>
        <w:rPr/>
        <w:t>McLeod,</w:t>
      </w:r>
      <w:r>
        <w:rPr>
          <w:spacing w:val="-1"/>
        </w:rPr>
        <w:t> </w:t>
      </w:r>
      <w:r>
        <w:rPr/>
        <w:t>S.R.,</w:t>
      </w:r>
      <w:r>
        <w:rPr>
          <w:spacing w:val="-1"/>
        </w:rPr>
        <w:t> </w:t>
      </w:r>
      <w:r>
        <w:rPr/>
        <w:t>and</w:t>
      </w:r>
      <w:r>
        <w:rPr>
          <w:spacing w:val="-3"/>
        </w:rPr>
        <w:t> </w:t>
      </w:r>
      <w:r>
        <w:rPr/>
        <w:t>Pople,</w:t>
      </w:r>
      <w:r>
        <w:rPr>
          <w:spacing w:val="-1"/>
        </w:rPr>
        <w:t> </w:t>
      </w:r>
      <w:r>
        <w:rPr/>
        <w:t>A.</w:t>
      </w:r>
      <w:r>
        <w:rPr>
          <w:spacing w:val="-3"/>
        </w:rPr>
        <w:t> </w:t>
      </w:r>
      <w:r>
        <w:rPr/>
        <w:t>(2020). A</w:t>
      </w:r>
      <w:r>
        <w:rPr>
          <w:spacing w:val="-3"/>
        </w:rPr>
        <w:t> </w:t>
      </w:r>
      <w:r>
        <w:rPr/>
        <w:t>systematic review</w:t>
      </w:r>
      <w:r>
        <w:rPr>
          <w:spacing w:val="-5"/>
        </w:rPr>
        <w:t> </w:t>
      </w:r>
      <w:r>
        <w:rPr/>
        <w:t>of</w:t>
      </w:r>
      <w:r>
        <w:rPr>
          <w:spacing w:val="-3"/>
        </w:rPr>
        <w:t> </w:t>
      </w:r>
      <w:r>
        <w:rPr/>
        <w:t>ground-based</w:t>
      </w:r>
      <w:r>
        <w:rPr>
          <w:spacing w:val="-6"/>
        </w:rPr>
        <w:t> </w:t>
      </w:r>
      <w:r>
        <w:rPr/>
        <w:t>shooting</w:t>
      </w:r>
      <w:r>
        <w:rPr>
          <w:spacing w:val="-6"/>
        </w:rPr>
        <w:t> </w:t>
      </w:r>
      <w:r>
        <w:rPr/>
        <w:t>to</w:t>
      </w:r>
      <w:r>
        <w:rPr>
          <w:spacing w:val="-5"/>
        </w:rPr>
        <w:t> </w:t>
      </w:r>
      <w:r>
        <w:rPr/>
        <w:t>control</w:t>
      </w:r>
      <w:r>
        <w:rPr>
          <w:spacing w:val="-4"/>
        </w:rPr>
        <w:t> </w:t>
      </w:r>
      <w:r>
        <w:rPr/>
        <w:t>overabundant</w:t>
      </w:r>
      <w:r>
        <w:rPr>
          <w:spacing w:val="-5"/>
        </w:rPr>
        <w:t> </w:t>
      </w:r>
      <w:r>
        <w:rPr/>
        <w:t>mammal</w:t>
      </w:r>
      <w:r>
        <w:rPr>
          <w:spacing w:val="-4"/>
        </w:rPr>
        <w:t> </w:t>
      </w:r>
      <w:r>
        <w:rPr/>
        <w:t>populations. </w:t>
      </w:r>
      <w:r>
        <w:rPr>
          <w:i/>
        </w:rPr>
        <w:t>Wildlife</w:t>
      </w:r>
      <w:r>
        <w:rPr>
          <w:i/>
          <w:spacing w:val="-5"/>
        </w:rPr>
        <w:t> </w:t>
      </w:r>
      <w:r>
        <w:rPr>
          <w:i/>
        </w:rPr>
        <w:t>Research</w:t>
      </w:r>
      <w:r>
        <w:rPr>
          <w:i/>
        </w:rPr>
        <w:t> </w:t>
      </w:r>
      <w:r>
        <w:rPr>
          <w:b/>
        </w:rPr>
        <w:t>47</w:t>
      </w:r>
      <w:r>
        <w:rPr/>
        <w:t>(3):197–207. doi: 10.1071/WR19129.</w:t>
      </w:r>
    </w:p>
    <w:p>
      <w:pPr>
        <w:pStyle w:val="BodyText"/>
        <w:spacing w:before="8"/>
      </w:pPr>
    </w:p>
    <w:p>
      <w:pPr>
        <w:spacing w:before="1"/>
        <w:ind w:left="833" w:right="364" w:hanging="721"/>
        <w:jc w:val="left"/>
        <w:rPr>
          <w:sz w:val="20"/>
        </w:rPr>
      </w:pPr>
      <w:r>
        <w:rPr>
          <w:sz w:val="20"/>
        </w:rPr>
        <w:t>Bengsen,</w:t>
      </w:r>
      <w:r>
        <w:rPr>
          <w:spacing w:val="-3"/>
          <w:sz w:val="20"/>
        </w:rPr>
        <w:t> </w:t>
      </w:r>
      <w:r>
        <w:rPr>
          <w:sz w:val="20"/>
        </w:rPr>
        <w:t>A.J.,</w:t>
      </w:r>
      <w:r>
        <w:rPr>
          <w:spacing w:val="-3"/>
          <w:sz w:val="20"/>
        </w:rPr>
        <w:t> </w:t>
      </w:r>
      <w:r>
        <w:rPr>
          <w:sz w:val="20"/>
        </w:rPr>
        <w:t>Leung,</w:t>
      </w:r>
      <w:r>
        <w:rPr>
          <w:spacing w:val="-3"/>
          <w:sz w:val="20"/>
        </w:rPr>
        <w:t> </w:t>
      </w:r>
      <w:r>
        <w:rPr>
          <w:sz w:val="20"/>
        </w:rPr>
        <w:t>L.K.P.,</w:t>
      </w:r>
      <w:r>
        <w:rPr>
          <w:spacing w:val="-5"/>
          <w:sz w:val="20"/>
        </w:rPr>
        <w:t> </w:t>
      </w:r>
      <w:r>
        <w:rPr>
          <w:sz w:val="20"/>
        </w:rPr>
        <w:t>Lapidge,</w:t>
      </w:r>
      <w:r>
        <w:rPr>
          <w:spacing w:val="-3"/>
          <w:sz w:val="20"/>
        </w:rPr>
        <w:t> </w:t>
      </w:r>
      <w:r>
        <w:rPr>
          <w:sz w:val="20"/>
        </w:rPr>
        <w:t>S.J.,</w:t>
      </w:r>
      <w:r>
        <w:rPr>
          <w:spacing w:val="-5"/>
          <w:sz w:val="20"/>
        </w:rPr>
        <w:t> </w:t>
      </w:r>
      <w:r>
        <w:rPr>
          <w:sz w:val="20"/>
        </w:rPr>
        <w:t>and</w:t>
      </w:r>
      <w:r>
        <w:rPr>
          <w:spacing w:val="-6"/>
          <w:sz w:val="20"/>
        </w:rPr>
        <w:t> </w:t>
      </w:r>
      <w:r>
        <w:rPr>
          <w:sz w:val="20"/>
        </w:rPr>
        <w:t>Gordon,</w:t>
      </w:r>
      <w:r>
        <w:rPr>
          <w:spacing w:val="-5"/>
          <w:sz w:val="20"/>
        </w:rPr>
        <w:t> </w:t>
      </w:r>
      <w:r>
        <w:rPr>
          <w:sz w:val="20"/>
        </w:rPr>
        <w:t>I.J.</w:t>
      </w:r>
      <w:r>
        <w:rPr>
          <w:spacing w:val="-5"/>
          <w:sz w:val="20"/>
        </w:rPr>
        <w:t> </w:t>
      </w:r>
      <w:r>
        <w:rPr>
          <w:sz w:val="20"/>
        </w:rPr>
        <w:t>(2010).</w:t>
      </w:r>
      <w:r>
        <w:rPr>
          <w:spacing w:val="-2"/>
          <w:sz w:val="20"/>
        </w:rPr>
        <w:t> </w:t>
      </w:r>
      <w:r>
        <w:rPr>
          <w:sz w:val="20"/>
        </w:rPr>
        <w:t>Developing</w:t>
      </w:r>
      <w:r>
        <w:rPr>
          <w:spacing w:val="-1"/>
          <w:sz w:val="20"/>
        </w:rPr>
        <w:t> </w:t>
      </w:r>
      <w:r>
        <w:rPr>
          <w:sz w:val="20"/>
        </w:rPr>
        <w:t>target-specific</w:t>
      </w:r>
      <w:r>
        <w:rPr>
          <w:spacing w:val="-4"/>
          <w:sz w:val="20"/>
        </w:rPr>
        <w:t> </w:t>
      </w:r>
      <w:r>
        <w:rPr>
          <w:sz w:val="20"/>
        </w:rPr>
        <w:t>baiting methods for feral pigs in an omnivore-rich community. </w:t>
      </w:r>
      <w:r>
        <w:rPr>
          <w:i/>
          <w:sz w:val="20"/>
        </w:rPr>
        <w:t>Proceedings of the Vertebrate Pest</w:t>
      </w:r>
      <w:r>
        <w:rPr>
          <w:i/>
          <w:sz w:val="20"/>
        </w:rPr>
        <w:t> Conference </w:t>
      </w:r>
      <w:r>
        <w:rPr>
          <w:b/>
          <w:sz w:val="20"/>
        </w:rPr>
        <w:t>24</w:t>
      </w:r>
      <w:r>
        <w:rPr>
          <w:sz w:val="20"/>
        </w:rPr>
        <w:t>. doi: 10.5070/V424110703.</w:t>
      </w:r>
    </w:p>
    <w:p>
      <w:pPr>
        <w:pStyle w:val="BodyText"/>
        <w:spacing w:before="11"/>
      </w:pPr>
    </w:p>
    <w:p>
      <w:pPr>
        <w:pStyle w:val="BodyText"/>
        <w:ind w:left="833" w:right="364" w:hanging="721"/>
      </w:pPr>
      <w:r>
        <w:rPr/>
        <w:t>Bengsen,</w:t>
      </w:r>
      <w:r>
        <w:rPr>
          <w:spacing w:val="-1"/>
        </w:rPr>
        <w:t> </w:t>
      </w:r>
      <w:r>
        <w:rPr/>
        <w:t>A.J.,</w:t>
      </w:r>
      <w:r>
        <w:rPr>
          <w:spacing w:val="-2"/>
        </w:rPr>
        <w:t> </w:t>
      </w:r>
      <w:r>
        <w:rPr/>
        <w:t>Leung,</w:t>
      </w:r>
      <w:r>
        <w:rPr>
          <w:spacing w:val="-2"/>
        </w:rPr>
        <w:t> </w:t>
      </w:r>
      <w:r>
        <w:rPr/>
        <w:t>L.K-P.,</w:t>
      </w:r>
      <w:r>
        <w:rPr>
          <w:spacing w:val="-4"/>
        </w:rPr>
        <w:t> </w:t>
      </w:r>
      <w:r>
        <w:rPr/>
        <w:t>Lapidge,</w:t>
      </w:r>
      <w:r>
        <w:rPr>
          <w:spacing w:val="-2"/>
        </w:rPr>
        <w:t> </w:t>
      </w:r>
      <w:r>
        <w:rPr/>
        <w:t>S.J.,</w:t>
      </w:r>
      <w:r>
        <w:rPr>
          <w:spacing w:val="-4"/>
        </w:rPr>
        <w:t> </w:t>
      </w:r>
      <w:r>
        <w:rPr/>
        <w:t>and</w:t>
      </w:r>
      <w:r>
        <w:rPr>
          <w:spacing w:val="-5"/>
        </w:rPr>
        <w:t> </w:t>
      </w:r>
      <w:r>
        <w:rPr/>
        <w:t>Gordon,</w:t>
      </w:r>
      <w:r>
        <w:rPr>
          <w:spacing w:val="-4"/>
        </w:rPr>
        <w:t> </w:t>
      </w:r>
      <w:r>
        <w:rPr/>
        <w:t>I.J.</w:t>
      </w:r>
      <w:r>
        <w:rPr>
          <w:spacing w:val="-4"/>
        </w:rPr>
        <w:t> </w:t>
      </w:r>
      <w:r>
        <w:rPr/>
        <w:t>(2011a).</w:t>
      </w:r>
      <w:r>
        <w:rPr>
          <w:spacing w:val="-4"/>
        </w:rPr>
        <w:t> </w:t>
      </w:r>
      <w:r>
        <w:rPr/>
        <w:t>Target-specificity</w:t>
      </w:r>
      <w:r>
        <w:rPr>
          <w:spacing w:val="-3"/>
        </w:rPr>
        <w:t> </w:t>
      </w:r>
      <w:r>
        <w:rPr/>
        <w:t>of</w:t>
      </w:r>
      <w:r>
        <w:rPr>
          <w:spacing w:val="-4"/>
        </w:rPr>
        <w:t> </w:t>
      </w:r>
      <w:r>
        <w:rPr/>
        <w:t>feral</w:t>
      </w:r>
      <w:r>
        <w:rPr>
          <w:spacing w:val="-5"/>
        </w:rPr>
        <w:t> </w:t>
      </w:r>
      <w:r>
        <w:rPr/>
        <w:t>pig</w:t>
      </w:r>
      <w:r>
        <w:rPr>
          <w:spacing w:val="-2"/>
        </w:rPr>
        <w:t> </w:t>
      </w:r>
      <w:r>
        <w:rPr/>
        <w:t>baits under different conditions in a tropical rainforest. </w:t>
      </w:r>
      <w:r>
        <w:rPr>
          <w:i/>
        </w:rPr>
        <w:t>Wildlife Research </w:t>
      </w:r>
      <w:r>
        <w:rPr>
          <w:b/>
        </w:rPr>
        <w:t>38</w:t>
      </w:r>
      <w:r>
        <w:rPr/>
        <w:t>(5):370–79. doi: </w:t>
      </w:r>
      <w:r>
        <w:rPr>
          <w:spacing w:val="-2"/>
        </w:rPr>
        <w:t>10.1071/WR11023.</w:t>
      </w:r>
    </w:p>
    <w:p>
      <w:pPr>
        <w:pStyle w:val="BodyText"/>
        <w:spacing w:before="9"/>
      </w:pPr>
    </w:p>
    <w:p>
      <w:pPr>
        <w:pStyle w:val="BodyText"/>
        <w:ind w:left="833" w:right="163" w:hanging="721"/>
      </w:pPr>
      <w:r>
        <w:rPr/>
        <w:t>Bengsen, A.J., Leung, L.K-P., Lapidge, S.J., and Gordon, I.J. (2011b). Using a general index approach to analyse</w:t>
      </w:r>
      <w:r>
        <w:rPr>
          <w:spacing w:val="-4"/>
        </w:rPr>
        <w:t> </w:t>
      </w:r>
      <w:r>
        <w:rPr/>
        <w:t>camera-trap</w:t>
      </w:r>
      <w:r>
        <w:rPr>
          <w:spacing w:val="-4"/>
        </w:rPr>
        <w:t> </w:t>
      </w:r>
      <w:r>
        <w:rPr/>
        <w:t>abundance</w:t>
      </w:r>
      <w:r>
        <w:rPr>
          <w:spacing w:val="-4"/>
        </w:rPr>
        <w:t> </w:t>
      </w:r>
      <w:r>
        <w:rPr/>
        <w:t>indices.</w:t>
      </w:r>
      <w:r>
        <w:rPr>
          <w:spacing w:val="-2"/>
        </w:rPr>
        <w:t> </w:t>
      </w:r>
      <w:r>
        <w:rPr>
          <w:i/>
        </w:rPr>
        <w:t>The</w:t>
      </w:r>
      <w:r>
        <w:rPr>
          <w:i/>
          <w:spacing w:val="-5"/>
        </w:rPr>
        <w:t> </w:t>
      </w:r>
      <w:r>
        <w:rPr>
          <w:i/>
        </w:rPr>
        <w:t>Journal</w:t>
      </w:r>
      <w:r>
        <w:rPr>
          <w:i/>
          <w:spacing w:val="-5"/>
        </w:rPr>
        <w:t> </w:t>
      </w:r>
      <w:r>
        <w:rPr>
          <w:i/>
        </w:rPr>
        <w:t>of</w:t>
      </w:r>
      <w:r>
        <w:rPr>
          <w:i/>
          <w:spacing w:val="-4"/>
        </w:rPr>
        <w:t> </w:t>
      </w:r>
      <w:r>
        <w:rPr>
          <w:i/>
        </w:rPr>
        <w:t>Wildlife</w:t>
      </w:r>
      <w:r>
        <w:rPr>
          <w:i/>
          <w:spacing w:val="-5"/>
        </w:rPr>
        <w:t> </w:t>
      </w:r>
      <w:r>
        <w:rPr>
          <w:i/>
        </w:rPr>
        <w:t>Management </w:t>
      </w:r>
      <w:r>
        <w:rPr>
          <w:b/>
        </w:rPr>
        <w:t>75</w:t>
      </w:r>
      <w:r>
        <w:rPr/>
        <w:t>(5):1222–27.</w:t>
      </w:r>
      <w:r>
        <w:rPr>
          <w:spacing w:val="-4"/>
        </w:rPr>
        <w:t> </w:t>
      </w:r>
      <w:r>
        <w:rPr/>
        <w:t>doi: </w:t>
      </w:r>
      <w:r>
        <w:rPr>
          <w:spacing w:val="-2"/>
        </w:rPr>
        <w:t>10.1002/jwmg.132.</w:t>
      </w:r>
    </w:p>
    <w:p>
      <w:pPr>
        <w:pStyle w:val="BodyText"/>
        <w:spacing w:before="11"/>
      </w:pPr>
    </w:p>
    <w:p>
      <w:pPr>
        <w:pStyle w:val="BodyText"/>
        <w:ind w:left="833" w:right="163" w:hanging="721"/>
      </w:pPr>
      <w:r>
        <w:rPr/>
        <w:t>Bengsen,</w:t>
      </w:r>
      <w:r>
        <w:rPr>
          <w:spacing w:val="-2"/>
        </w:rPr>
        <w:t> </w:t>
      </w:r>
      <w:r>
        <w:rPr/>
        <w:t>A.J.,</w:t>
      </w:r>
      <w:r>
        <w:rPr>
          <w:spacing w:val="-2"/>
        </w:rPr>
        <w:t> </w:t>
      </w:r>
      <w:r>
        <w:rPr/>
        <w:t>and</w:t>
      </w:r>
      <w:r>
        <w:rPr>
          <w:spacing w:val="-2"/>
        </w:rPr>
        <w:t> </w:t>
      </w:r>
      <w:r>
        <w:rPr/>
        <w:t>Sparkes,</w:t>
      </w:r>
      <w:r>
        <w:rPr>
          <w:spacing w:val="-4"/>
        </w:rPr>
        <w:t> </w:t>
      </w:r>
      <w:r>
        <w:rPr/>
        <w:t>J.</w:t>
      </w:r>
      <w:r>
        <w:rPr>
          <w:spacing w:val="-4"/>
        </w:rPr>
        <w:t> </w:t>
      </w:r>
      <w:r>
        <w:rPr/>
        <w:t>(2016).</w:t>
      </w:r>
      <w:r>
        <w:rPr>
          <w:spacing w:val="-4"/>
        </w:rPr>
        <w:t> </w:t>
      </w:r>
      <w:r>
        <w:rPr/>
        <w:t>Can</w:t>
      </w:r>
      <w:r>
        <w:rPr>
          <w:spacing w:val="-5"/>
        </w:rPr>
        <w:t> </w:t>
      </w:r>
      <w:r>
        <w:rPr/>
        <w:t>recreational</w:t>
      </w:r>
      <w:r>
        <w:rPr>
          <w:spacing w:val="-5"/>
        </w:rPr>
        <w:t> </w:t>
      </w:r>
      <w:r>
        <w:rPr/>
        <w:t>hunting</w:t>
      </w:r>
      <w:r>
        <w:rPr>
          <w:spacing w:val="-2"/>
        </w:rPr>
        <w:t> </w:t>
      </w:r>
      <w:r>
        <w:rPr/>
        <w:t>contribute</w:t>
      </w:r>
      <w:r>
        <w:rPr>
          <w:spacing w:val="-4"/>
        </w:rPr>
        <w:t> </w:t>
      </w:r>
      <w:r>
        <w:rPr/>
        <w:t>to</w:t>
      </w:r>
      <w:r>
        <w:rPr>
          <w:spacing w:val="-2"/>
        </w:rPr>
        <w:t> </w:t>
      </w:r>
      <w:r>
        <w:rPr/>
        <w:t>pest</w:t>
      </w:r>
      <w:r>
        <w:rPr>
          <w:spacing w:val="-4"/>
        </w:rPr>
        <w:t> </w:t>
      </w:r>
      <w:r>
        <w:rPr/>
        <w:t>mammal</w:t>
      </w:r>
      <w:r>
        <w:rPr>
          <w:spacing w:val="-5"/>
        </w:rPr>
        <w:t> </w:t>
      </w:r>
      <w:r>
        <w:rPr/>
        <w:t>control</w:t>
      </w:r>
      <w:r>
        <w:rPr>
          <w:spacing w:val="-3"/>
        </w:rPr>
        <w:t> </w:t>
      </w:r>
      <w:r>
        <w:rPr/>
        <w:t>on</w:t>
      </w:r>
      <w:r>
        <w:rPr>
          <w:spacing w:val="-5"/>
        </w:rPr>
        <w:t> </w:t>
      </w:r>
      <w:r>
        <w:rPr/>
        <w:t>public land in Australia? </w:t>
      </w:r>
      <w:r>
        <w:rPr>
          <w:i/>
        </w:rPr>
        <w:t>Mammal Review </w:t>
      </w:r>
      <w:r>
        <w:rPr>
          <w:b/>
        </w:rPr>
        <w:t>46</w:t>
      </w:r>
      <w:r>
        <w:rPr/>
        <w:t>(4):297–310. doi: 10.1111/mam.12070.</w:t>
      </w:r>
    </w:p>
    <w:p>
      <w:pPr>
        <w:pStyle w:val="BodyText"/>
        <w:spacing w:before="9"/>
      </w:pPr>
    </w:p>
    <w:p>
      <w:pPr>
        <w:spacing w:before="0"/>
        <w:ind w:left="833" w:right="163" w:hanging="721"/>
        <w:jc w:val="left"/>
        <w:rPr>
          <w:sz w:val="20"/>
        </w:rPr>
      </w:pPr>
      <w:r>
        <w:rPr>
          <w:sz w:val="20"/>
        </w:rPr>
        <w:t>Bengsen,</w:t>
      </w:r>
      <w:r>
        <w:rPr>
          <w:spacing w:val="-2"/>
          <w:sz w:val="20"/>
        </w:rPr>
        <w:t> </w:t>
      </w:r>
      <w:r>
        <w:rPr>
          <w:sz w:val="20"/>
        </w:rPr>
        <w:t>A.J.,</w:t>
      </w:r>
      <w:r>
        <w:rPr>
          <w:spacing w:val="-2"/>
          <w:sz w:val="20"/>
        </w:rPr>
        <w:t> </w:t>
      </w:r>
      <w:r>
        <w:rPr>
          <w:sz w:val="20"/>
        </w:rPr>
        <w:t>West,</w:t>
      </w:r>
      <w:r>
        <w:rPr>
          <w:spacing w:val="-2"/>
          <w:sz w:val="20"/>
        </w:rPr>
        <w:t> </w:t>
      </w:r>
      <w:r>
        <w:rPr>
          <w:sz w:val="20"/>
        </w:rPr>
        <w:t>P.,</w:t>
      </w:r>
      <w:r>
        <w:rPr>
          <w:spacing w:val="-2"/>
          <w:sz w:val="20"/>
        </w:rPr>
        <w:t> </w:t>
      </w:r>
      <w:r>
        <w:rPr>
          <w:sz w:val="20"/>
        </w:rPr>
        <w:t>and</w:t>
      </w:r>
      <w:r>
        <w:rPr>
          <w:spacing w:val="-4"/>
          <w:sz w:val="20"/>
        </w:rPr>
        <w:t> </w:t>
      </w:r>
      <w:r>
        <w:rPr>
          <w:sz w:val="20"/>
        </w:rPr>
        <w:t>Krull,</w:t>
      </w:r>
      <w:r>
        <w:rPr>
          <w:spacing w:val="-2"/>
          <w:sz w:val="20"/>
        </w:rPr>
        <w:t> </w:t>
      </w:r>
      <w:r>
        <w:rPr>
          <w:sz w:val="20"/>
        </w:rPr>
        <w:t>C.R.</w:t>
      </w:r>
      <w:r>
        <w:rPr>
          <w:spacing w:val="-4"/>
          <w:sz w:val="20"/>
        </w:rPr>
        <w:t> </w:t>
      </w:r>
      <w:r>
        <w:rPr>
          <w:sz w:val="20"/>
        </w:rPr>
        <w:t>(2017).</w:t>
      </w:r>
      <w:r>
        <w:rPr>
          <w:spacing w:val="-4"/>
          <w:sz w:val="20"/>
        </w:rPr>
        <w:t> </w:t>
      </w:r>
      <w:r>
        <w:rPr>
          <w:sz w:val="20"/>
        </w:rPr>
        <w:t>Feral</w:t>
      </w:r>
      <w:r>
        <w:rPr>
          <w:spacing w:val="-2"/>
          <w:sz w:val="20"/>
        </w:rPr>
        <w:t> </w:t>
      </w:r>
      <w:r>
        <w:rPr>
          <w:sz w:val="20"/>
        </w:rPr>
        <w:t>pigs</w:t>
      </w:r>
      <w:r>
        <w:rPr>
          <w:spacing w:val="-3"/>
          <w:sz w:val="20"/>
        </w:rPr>
        <w:t> </w:t>
      </w:r>
      <w:r>
        <w:rPr>
          <w:sz w:val="20"/>
        </w:rPr>
        <w:t>in</w:t>
      </w:r>
      <w:r>
        <w:rPr>
          <w:spacing w:val="-2"/>
          <w:sz w:val="20"/>
        </w:rPr>
        <w:t> </w:t>
      </w:r>
      <w:r>
        <w:rPr>
          <w:sz w:val="20"/>
        </w:rPr>
        <w:t>Australia</w:t>
      </w:r>
      <w:r>
        <w:rPr>
          <w:spacing w:val="-4"/>
          <w:sz w:val="20"/>
        </w:rPr>
        <w:t> </w:t>
      </w:r>
      <w:r>
        <w:rPr>
          <w:sz w:val="20"/>
        </w:rPr>
        <w:t>and</w:t>
      </w:r>
      <w:r>
        <w:rPr>
          <w:spacing w:val="-4"/>
          <w:sz w:val="20"/>
        </w:rPr>
        <w:t> </w:t>
      </w:r>
      <w:r>
        <w:rPr>
          <w:sz w:val="20"/>
        </w:rPr>
        <w:t>New</w:t>
      </w:r>
      <w:r>
        <w:rPr>
          <w:spacing w:val="-4"/>
          <w:sz w:val="20"/>
        </w:rPr>
        <w:t> </w:t>
      </w:r>
      <w:r>
        <w:rPr>
          <w:sz w:val="20"/>
        </w:rPr>
        <w:t>Zealand:</w:t>
      </w:r>
      <w:r>
        <w:rPr>
          <w:spacing w:val="-4"/>
          <w:sz w:val="20"/>
        </w:rPr>
        <w:t> </w:t>
      </w:r>
      <w:r>
        <w:rPr>
          <w:sz w:val="20"/>
        </w:rPr>
        <w:t>range,</w:t>
      </w:r>
      <w:r>
        <w:rPr>
          <w:spacing w:val="-4"/>
          <w:sz w:val="20"/>
        </w:rPr>
        <w:t> </w:t>
      </w:r>
      <w:r>
        <w:rPr>
          <w:sz w:val="20"/>
        </w:rPr>
        <w:t>trend, management, and impacts of an invasive species. Pp. 325–38 in </w:t>
      </w:r>
      <w:r>
        <w:rPr>
          <w:i/>
          <w:sz w:val="20"/>
        </w:rPr>
        <w:t>Ecology, Conservation and</w:t>
      </w:r>
      <w:r>
        <w:rPr>
          <w:i/>
          <w:sz w:val="20"/>
        </w:rPr>
        <w:t> Management of Wild Pigs and Peccaries</w:t>
      </w:r>
      <w:r>
        <w:rPr>
          <w:sz w:val="20"/>
        </w:rPr>
        <w:t>. Cambridge University Press.</w:t>
      </w:r>
    </w:p>
    <w:p>
      <w:pPr>
        <w:pStyle w:val="BodyText"/>
        <w:spacing w:before="12"/>
      </w:pPr>
    </w:p>
    <w:p>
      <w:pPr>
        <w:pStyle w:val="BodyText"/>
        <w:ind w:left="833" w:right="416" w:hanging="721"/>
      </w:pPr>
      <w:r>
        <w:rPr/>
        <w:t>Berman,</w:t>
      </w:r>
      <w:r>
        <w:rPr>
          <w:spacing w:val="-4"/>
        </w:rPr>
        <w:t> </w:t>
      </w:r>
      <w:r>
        <w:rPr/>
        <w:t>D.,</w:t>
      </w:r>
      <w:r>
        <w:rPr>
          <w:spacing w:val="-4"/>
        </w:rPr>
        <w:t> </w:t>
      </w:r>
      <w:r>
        <w:rPr/>
        <w:t>Brennan,</w:t>
      </w:r>
      <w:r>
        <w:rPr>
          <w:spacing w:val="-2"/>
        </w:rPr>
        <w:t> </w:t>
      </w:r>
      <w:r>
        <w:rPr/>
        <w:t>M.,</w:t>
      </w:r>
      <w:r>
        <w:rPr>
          <w:spacing w:val="-4"/>
        </w:rPr>
        <w:t> </w:t>
      </w:r>
      <w:r>
        <w:rPr/>
        <w:t>and</w:t>
      </w:r>
      <w:r>
        <w:rPr>
          <w:spacing w:val="-5"/>
        </w:rPr>
        <w:t> </w:t>
      </w:r>
      <w:r>
        <w:rPr/>
        <w:t>Elsworth,</w:t>
      </w:r>
      <w:r>
        <w:rPr>
          <w:spacing w:val="-4"/>
        </w:rPr>
        <w:t> </w:t>
      </w:r>
      <w:r>
        <w:rPr/>
        <w:t>P.</w:t>
      </w:r>
      <w:r>
        <w:rPr>
          <w:spacing w:val="-2"/>
        </w:rPr>
        <w:t> </w:t>
      </w:r>
      <w:r>
        <w:rPr/>
        <w:t>(2011).</w:t>
      </w:r>
      <w:r>
        <w:rPr>
          <w:spacing w:val="-4"/>
        </w:rPr>
        <w:t> </w:t>
      </w:r>
      <w:r>
        <w:rPr/>
        <w:t>How</w:t>
      </w:r>
      <w:r>
        <w:rPr>
          <w:spacing w:val="-4"/>
        </w:rPr>
        <w:t> </w:t>
      </w:r>
      <w:r>
        <w:rPr/>
        <w:t>can</w:t>
      </w:r>
      <w:r>
        <w:rPr>
          <w:spacing w:val="-5"/>
        </w:rPr>
        <w:t> </w:t>
      </w:r>
      <w:r>
        <w:rPr/>
        <w:t>warren</w:t>
      </w:r>
      <w:r>
        <w:rPr>
          <w:spacing w:val="-4"/>
        </w:rPr>
        <w:t> </w:t>
      </w:r>
      <w:r>
        <w:rPr/>
        <w:t>destruction</w:t>
      </w:r>
      <w:r>
        <w:rPr>
          <w:spacing w:val="-2"/>
        </w:rPr>
        <w:t> </w:t>
      </w:r>
      <w:r>
        <w:rPr/>
        <w:t>by</w:t>
      </w:r>
      <w:r>
        <w:rPr>
          <w:spacing w:val="-3"/>
        </w:rPr>
        <w:t> </w:t>
      </w:r>
      <w:r>
        <w:rPr/>
        <w:t>ripping</w:t>
      </w:r>
      <w:r>
        <w:rPr>
          <w:spacing w:val="-5"/>
        </w:rPr>
        <w:t> </w:t>
      </w:r>
      <w:r>
        <w:rPr/>
        <w:t>control European wild rabbits (</w:t>
      </w:r>
      <w:r>
        <w:rPr>
          <w:i/>
        </w:rPr>
        <w:t>Oryctolagus cuniculus</w:t>
      </w:r>
      <w:r>
        <w:rPr/>
        <w:t>) on large properties in the Australian arid zone? </w:t>
      </w:r>
      <w:r>
        <w:rPr>
          <w:i/>
        </w:rPr>
        <w:t>Wildlife</w:t>
      </w:r>
      <w:r>
        <w:rPr>
          <w:i/>
        </w:rPr>
        <w:t> Research </w:t>
      </w:r>
      <w:r>
        <w:rPr>
          <w:b/>
        </w:rPr>
        <w:t>38</w:t>
      </w:r>
      <w:r>
        <w:rPr/>
        <w:t>(1):77. doi: 10.1071/WR09178.</w:t>
      </w:r>
    </w:p>
    <w:p>
      <w:pPr>
        <w:pStyle w:val="BodyText"/>
        <w:spacing w:before="8"/>
      </w:pPr>
    </w:p>
    <w:p>
      <w:pPr>
        <w:pStyle w:val="BodyText"/>
        <w:spacing w:before="1"/>
        <w:ind w:left="833" w:right="163" w:hanging="721"/>
      </w:pPr>
      <w:r>
        <w:rPr/>
        <w:t>Berry,</w:t>
      </w:r>
      <w:r>
        <w:rPr>
          <w:spacing w:val="-3"/>
        </w:rPr>
        <w:t> </w:t>
      </w:r>
      <w:r>
        <w:rPr/>
        <w:t>O.,</w:t>
      </w:r>
      <w:r>
        <w:rPr>
          <w:spacing w:val="-3"/>
        </w:rPr>
        <w:t> </w:t>
      </w:r>
      <w:r>
        <w:rPr/>
        <w:t>Algar,</w:t>
      </w:r>
      <w:r>
        <w:rPr>
          <w:spacing w:val="-3"/>
        </w:rPr>
        <w:t> </w:t>
      </w:r>
      <w:r>
        <w:rPr/>
        <w:t>D.,</w:t>
      </w:r>
      <w:r>
        <w:rPr>
          <w:spacing w:val="-2"/>
        </w:rPr>
        <w:t> </w:t>
      </w:r>
      <w:r>
        <w:rPr/>
        <w:t>Angus,</w:t>
      </w:r>
      <w:r>
        <w:rPr>
          <w:spacing w:val="-2"/>
        </w:rPr>
        <w:t> </w:t>
      </w:r>
      <w:r>
        <w:rPr/>
        <w:t>J.,</w:t>
      </w:r>
      <w:r>
        <w:rPr>
          <w:spacing w:val="-3"/>
        </w:rPr>
        <w:t> </w:t>
      </w:r>
      <w:r>
        <w:rPr/>
        <w:t>Hamilton,</w:t>
      </w:r>
      <w:r>
        <w:rPr>
          <w:spacing w:val="-2"/>
        </w:rPr>
        <w:t> </w:t>
      </w:r>
      <w:r>
        <w:rPr/>
        <w:t>N.,</w:t>
      </w:r>
      <w:r>
        <w:rPr>
          <w:spacing w:val="-3"/>
        </w:rPr>
        <w:t> </w:t>
      </w:r>
      <w:r>
        <w:rPr/>
        <w:t>Hilmer,</w:t>
      </w:r>
      <w:r>
        <w:rPr>
          <w:spacing w:val="-2"/>
        </w:rPr>
        <w:t> </w:t>
      </w:r>
      <w:r>
        <w:rPr/>
        <w:t>S.,</w:t>
      </w:r>
      <w:r>
        <w:rPr>
          <w:spacing w:val="-3"/>
        </w:rPr>
        <w:t> </w:t>
      </w:r>
      <w:r>
        <w:rPr/>
        <w:t>and</w:t>
      </w:r>
      <w:r>
        <w:rPr>
          <w:spacing w:val="-2"/>
        </w:rPr>
        <w:t> </w:t>
      </w:r>
      <w:r>
        <w:rPr/>
        <w:t>Sutherland,</w:t>
      </w:r>
      <w:r>
        <w:rPr>
          <w:spacing w:val="-3"/>
        </w:rPr>
        <w:t> </w:t>
      </w:r>
      <w:r>
        <w:rPr/>
        <w:t>D.</w:t>
      </w:r>
      <w:r>
        <w:rPr>
          <w:spacing w:val="-3"/>
        </w:rPr>
        <w:t> </w:t>
      </w:r>
      <w:r>
        <w:rPr/>
        <w:t>(2012).</w:t>
      </w:r>
      <w:r>
        <w:rPr>
          <w:spacing w:val="-3"/>
        </w:rPr>
        <w:t> </w:t>
      </w:r>
      <w:r>
        <w:rPr/>
        <w:t>Genetic</w:t>
      </w:r>
      <w:r>
        <w:rPr>
          <w:spacing w:val="-2"/>
        </w:rPr>
        <w:t> </w:t>
      </w:r>
      <w:r>
        <w:rPr/>
        <w:t>tagging</w:t>
      </w:r>
      <w:r>
        <w:rPr>
          <w:spacing w:val="-4"/>
        </w:rPr>
        <w:t> </w:t>
      </w:r>
      <w:r>
        <w:rPr/>
        <w:t>reveals</w:t>
      </w:r>
      <w:r>
        <w:rPr>
          <w:spacing w:val="-2"/>
        </w:rPr>
        <w:t> </w:t>
      </w:r>
      <w:r>
        <w:rPr/>
        <w:t>a significant impact of poison baiting on an invasive species. </w:t>
      </w:r>
      <w:r>
        <w:rPr>
          <w:i/>
        </w:rPr>
        <w:t>The Journal of Wildlife Management</w:t>
      </w:r>
      <w:r>
        <w:rPr>
          <w:i/>
        </w:rPr>
        <w:t> </w:t>
      </w:r>
      <w:r>
        <w:rPr>
          <w:b/>
        </w:rPr>
        <w:t>76</w:t>
      </w:r>
      <w:r>
        <w:rPr/>
        <w:t>(4):729–39. doi: 10.1002/jwmg.295.</w:t>
      </w:r>
    </w:p>
    <w:p>
      <w:pPr>
        <w:pStyle w:val="BodyText"/>
        <w:spacing w:before="11"/>
      </w:pPr>
    </w:p>
    <w:p>
      <w:pPr>
        <w:pStyle w:val="BodyText"/>
        <w:ind w:left="833" w:right="364" w:hanging="721"/>
      </w:pPr>
      <w:r>
        <w:rPr/>
        <w:t>Bicknell,</w:t>
      </w:r>
      <w:r>
        <w:rPr>
          <w:spacing w:val="-2"/>
        </w:rPr>
        <w:t> </w:t>
      </w:r>
      <w:r>
        <w:rPr/>
        <w:t>K.</w:t>
      </w:r>
      <w:r>
        <w:rPr>
          <w:spacing w:val="-4"/>
        </w:rPr>
        <w:t> </w:t>
      </w:r>
      <w:r>
        <w:rPr/>
        <w:t>(1993).</w:t>
      </w:r>
      <w:r>
        <w:rPr>
          <w:spacing w:val="-4"/>
        </w:rPr>
        <w:t> </w:t>
      </w:r>
      <w:r>
        <w:rPr/>
        <w:t>Cost-benefit</w:t>
      </w:r>
      <w:r>
        <w:rPr>
          <w:spacing w:val="-4"/>
        </w:rPr>
        <w:t> </w:t>
      </w:r>
      <w:r>
        <w:rPr/>
        <w:t>and</w:t>
      </w:r>
      <w:r>
        <w:rPr>
          <w:spacing w:val="-4"/>
        </w:rPr>
        <w:t> </w:t>
      </w:r>
      <w:r>
        <w:rPr/>
        <w:t>cost-effectiveness</w:t>
      </w:r>
      <w:r>
        <w:rPr>
          <w:spacing w:val="-3"/>
        </w:rPr>
        <w:t> </w:t>
      </w:r>
      <w:r>
        <w:rPr/>
        <w:t>analyses</w:t>
      </w:r>
      <w:r>
        <w:rPr>
          <w:spacing w:val="-3"/>
        </w:rPr>
        <w:t> </w:t>
      </w:r>
      <w:r>
        <w:rPr/>
        <w:t>in</w:t>
      </w:r>
      <w:r>
        <w:rPr>
          <w:spacing w:val="-2"/>
        </w:rPr>
        <w:t> </w:t>
      </w:r>
      <w:r>
        <w:rPr/>
        <w:t>pest</w:t>
      </w:r>
      <w:r>
        <w:rPr>
          <w:spacing w:val="-4"/>
        </w:rPr>
        <w:t> </w:t>
      </w:r>
      <w:r>
        <w:rPr/>
        <w:t>management. </w:t>
      </w:r>
      <w:r>
        <w:rPr>
          <w:i/>
        </w:rPr>
        <w:t>New</w:t>
      </w:r>
      <w:r>
        <w:rPr>
          <w:i/>
          <w:spacing w:val="-4"/>
        </w:rPr>
        <w:t> </w:t>
      </w:r>
      <w:r>
        <w:rPr>
          <w:i/>
        </w:rPr>
        <w:t>Zealand</w:t>
      </w:r>
      <w:r>
        <w:rPr>
          <w:i/>
          <w:spacing w:val="-4"/>
        </w:rPr>
        <w:t> </w:t>
      </w:r>
      <w:r>
        <w:rPr>
          <w:i/>
        </w:rPr>
        <w:t>Journal</w:t>
      </w:r>
      <w:r>
        <w:rPr>
          <w:i/>
        </w:rPr>
        <w:t> of Zoology </w:t>
      </w:r>
      <w:r>
        <w:rPr>
          <w:b/>
        </w:rPr>
        <w:t>20</w:t>
      </w:r>
      <w:r>
        <w:rPr/>
        <w:t>(4):307–12. doi: 10.1080/03014223.1993.10420349.</w:t>
      </w:r>
    </w:p>
    <w:p>
      <w:pPr>
        <w:spacing w:after="0"/>
        <w:sectPr>
          <w:pgSz w:w="11910" w:h="16850"/>
          <w:pgMar w:header="0" w:footer="688" w:top="1060" w:bottom="880" w:left="1020" w:right="780"/>
        </w:sectPr>
      </w:pPr>
    </w:p>
    <w:p>
      <w:pPr>
        <w:pStyle w:val="BodyText"/>
        <w:spacing w:before="71"/>
        <w:ind w:left="833" w:right="364" w:hanging="721"/>
      </w:pPr>
      <w:r>
        <w:rPr/>
        <w:t>Bird, P, Mutze,</w:t>
      </w:r>
      <w:r>
        <w:rPr>
          <w:spacing w:val="-1"/>
        </w:rPr>
        <w:t> </w:t>
      </w:r>
      <w:r>
        <w:rPr/>
        <w:t>G., Peacock,</w:t>
      </w:r>
      <w:r>
        <w:rPr>
          <w:spacing w:val="-1"/>
        </w:rPr>
        <w:t> </w:t>
      </w:r>
      <w:r>
        <w:rPr/>
        <w:t>D.,</w:t>
      </w:r>
      <w:r>
        <w:rPr>
          <w:spacing w:val="-1"/>
        </w:rPr>
        <w:t> </w:t>
      </w:r>
      <w:r>
        <w:rPr/>
        <w:t>and</w:t>
      </w:r>
      <w:r>
        <w:rPr>
          <w:spacing w:val="-1"/>
        </w:rPr>
        <w:t> </w:t>
      </w:r>
      <w:r>
        <w:rPr/>
        <w:t>Jennings,</w:t>
      </w:r>
      <w:r>
        <w:rPr>
          <w:spacing w:val="-1"/>
        </w:rPr>
        <w:t> </w:t>
      </w:r>
      <w:r>
        <w:rPr/>
        <w:t>S. (2012).</w:t>
      </w:r>
      <w:r>
        <w:rPr>
          <w:spacing w:val="-1"/>
        </w:rPr>
        <w:t> </w:t>
      </w:r>
      <w:r>
        <w:rPr/>
        <w:t>Damage</w:t>
      </w:r>
      <w:r>
        <w:rPr>
          <w:spacing w:val="-1"/>
        </w:rPr>
        <w:t> </w:t>
      </w:r>
      <w:r>
        <w:rPr/>
        <w:t>caused</w:t>
      </w:r>
      <w:r>
        <w:rPr>
          <w:spacing w:val="-1"/>
        </w:rPr>
        <w:t> </w:t>
      </w:r>
      <w:r>
        <w:rPr/>
        <w:t>by low-density exotic herbivore populations:</w:t>
      </w:r>
      <w:r>
        <w:rPr>
          <w:spacing w:val="-5"/>
        </w:rPr>
        <w:t> </w:t>
      </w:r>
      <w:r>
        <w:rPr/>
        <w:t>the</w:t>
      </w:r>
      <w:r>
        <w:rPr>
          <w:spacing w:val="-3"/>
        </w:rPr>
        <w:t> </w:t>
      </w:r>
      <w:r>
        <w:rPr/>
        <w:t>impact</w:t>
      </w:r>
      <w:r>
        <w:rPr>
          <w:spacing w:val="-3"/>
        </w:rPr>
        <w:t> </w:t>
      </w:r>
      <w:r>
        <w:rPr/>
        <w:t>of</w:t>
      </w:r>
      <w:r>
        <w:rPr>
          <w:spacing w:val="-5"/>
        </w:rPr>
        <w:t> </w:t>
      </w:r>
      <w:r>
        <w:rPr/>
        <w:t>introduced</w:t>
      </w:r>
      <w:r>
        <w:rPr>
          <w:spacing w:val="-2"/>
        </w:rPr>
        <w:t> </w:t>
      </w:r>
      <w:r>
        <w:rPr/>
        <w:t>European</w:t>
      </w:r>
      <w:r>
        <w:rPr>
          <w:spacing w:val="-5"/>
        </w:rPr>
        <w:t> </w:t>
      </w:r>
      <w:r>
        <w:rPr/>
        <w:t>rabbits</w:t>
      </w:r>
      <w:r>
        <w:rPr>
          <w:spacing w:val="-4"/>
        </w:rPr>
        <w:t> </w:t>
      </w:r>
      <w:r>
        <w:rPr/>
        <w:t>on</w:t>
      </w:r>
      <w:r>
        <w:rPr>
          <w:spacing w:val="-6"/>
        </w:rPr>
        <w:t> </w:t>
      </w:r>
      <w:r>
        <w:rPr/>
        <w:t>marsupial</w:t>
      </w:r>
      <w:r>
        <w:rPr>
          <w:spacing w:val="-6"/>
        </w:rPr>
        <w:t> </w:t>
      </w:r>
      <w:r>
        <w:rPr/>
        <w:t>herbivores</w:t>
      </w:r>
      <w:r>
        <w:rPr>
          <w:spacing w:val="-4"/>
        </w:rPr>
        <w:t> </w:t>
      </w:r>
      <w:r>
        <w:rPr/>
        <w:t>and </w:t>
      </w:r>
      <w:r>
        <w:rPr>
          <w:i/>
        </w:rPr>
        <w:t>Allocasuarina</w:t>
      </w:r>
      <w:r>
        <w:rPr>
          <w:i/>
        </w:rPr>
        <w:t> </w:t>
      </w:r>
      <w:r>
        <w:rPr/>
        <w:t>and </w:t>
      </w:r>
      <w:r>
        <w:rPr>
          <w:i/>
        </w:rPr>
        <w:t>Bursaria </w:t>
      </w:r>
      <w:r>
        <w:rPr/>
        <w:t>seedling survival in Australian coastal shrubland. </w:t>
      </w:r>
      <w:r>
        <w:rPr>
          <w:i/>
        </w:rPr>
        <w:t>Biological Invasions </w:t>
      </w:r>
      <w:r>
        <w:rPr>
          <w:b/>
        </w:rPr>
        <w:t>14</w:t>
      </w:r>
      <w:r>
        <w:rPr/>
        <w:t>(3):743–55. doi: 10.1007/s10530-011-0114-8.</w:t>
      </w:r>
    </w:p>
    <w:p>
      <w:pPr>
        <w:pStyle w:val="BodyText"/>
        <w:spacing w:before="12"/>
      </w:pPr>
    </w:p>
    <w:p>
      <w:pPr>
        <w:pStyle w:val="BodyText"/>
        <w:ind w:left="833" w:right="416" w:hanging="721"/>
      </w:pPr>
      <w:r>
        <w:rPr/>
        <w:t>Black,</w:t>
      </w:r>
      <w:r>
        <w:rPr>
          <w:spacing w:val="-3"/>
        </w:rPr>
        <w:t> </w:t>
      </w:r>
      <w:r>
        <w:rPr/>
        <w:t>H.L.,</w:t>
      </w:r>
      <w:r>
        <w:rPr>
          <w:spacing w:val="-2"/>
        </w:rPr>
        <w:t> </w:t>
      </w:r>
      <w:r>
        <w:rPr/>
        <w:t>and</w:t>
      </w:r>
      <w:r>
        <w:rPr>
          <w:spacing w:val="-4"/>
        </w:rPr>
        <w:t> </w:t>
      </w:r>
      <w:r>
        <w:rPr/>
        <w:t>Green,</w:t>
      </w:r>
      <w:r>
        <w:rPr>
          <w:spacing w:val="-4"/>
        </w:rPr>
        <w:t> </w:t>
      </w:r>
      <w:r>
        <w:rPr/>
        <w:t>J.S.</w:t>
      </w:r>
      <w:r>
        <w:rPr>
          <w:spacing w:val="-4"/>
        </w:rPr>
        <w:t> </w:t>
      </w:r>
      <w:r>
        <w:rPr/>
        <w:t>(1985).</w:t>
      </w:r>
      <w:r>
        <w:rPr>
          <w:spacing w:val="-2"/>
        </w:rPr>
        <w:t> </w:t>
      </w:r>
      <w:r>
        <w:rPr/>
        <w:t>Navajo</w:t>
      </w:r>
      <w:r>
        <w:rPr>
          <w:spacing w:val="-4"/>
        </w:rPr>
        <w:t> </w:t>
      </w:r>
      <w:r>
        <w:rPr/>
        <w:t>use</w:t>
      </w:r>
      <w:r>
        <w:rPr>
          <w:spacing w:val="-2"/>
        </w:rPr>
        <w:t> </w:t>
      </w:r>
      <w:r>
        <w:rPr/>
        <w:t>of</w:t>
      </w:r>
      <w:r>
        <w:rPr>
          <w:spacing w:val="-2"/>
        </w:rPr>
        <w:t> </w:t>
      </w:r>
      <w:r>
        <w:rPr/>
        <w:t>mixed-breed</w:t>
      </w:r>
      <w:r>
        <w:rPr>
          <w:spacing w:val="-4"/>
        </w:rPr>
        <w:t> </w:t>
      </w:r>
      <w:r>
        <w:rPr/>
        <w:t>dogs</w:t>
      </w:r>
      <w:r>
        <w:rPr>
          <w:spacing w:val="-3"/>
        </w:rPr>
        <w:t> </w:t>
      </w:r>
      <w:r>
        <w:rPr/>
        <w:t>for</w:t>
      </w:r>
      <w:r>
        <w:rPr>
          <w:spacing w:val="-3"/>
        </w:rPr>
        <w:t> </w:t>
      </w:r>
      <w:r>
        <w:rPr/>
        <w:t>management</w:t>
      </w:r>
      <w:r>
        <w:rPr>
          <w:spacing w:val="-2"/>
        </w:rPr>
        <w:t> </w:t>
      </w:r>
      <w:r>
        <w:rPr/>
        <w:t>of</w:t>
      </w:r>
      <w:r>
        <w:rPr>
          <w:spacing w:val="-4"/>
        </w:rPr>
        <w:t> </w:t>
      </w:r>
      <w:r>
        <w:rPr/>
        <w:t>predators. </w:t>
      </w:r>
      <w:r>
        <w:rPr>
          <w:i/>
        </w:rPr>
        <w:t>Journal</w:t>
      </w:r>
      <w:r>
        <w:rPr>
          <w:i/>
        </w:rPr>
        <w:t> of Range Management </w:t>
      </w:r>
      <w:r>
        <w:rPr>
          <w:b/>
        </w:rPr>
        <w:t>38</w:t>
      </w:r>
      <w:r>
        <w:rPr/>
        <w:t>(1):11. doi: 10.2307/3899323.</w:t>
      </w:r>
    </w:p>
    <w:p>
      <w:pPr>
        <w:pStyle w:val="BodyText"/>
        <w:spacing w:before="9"/>
      </w:pPr>
    </w:p>
    <w:p>
      <w:pPr>
        <w:spacing w:before="0"/>
        <w:ind w:left="833" w:right="364" w:hanging="721"/>
        <w:jc w:val="left"/>
        <w:rPr>
          <w:sz w:val="20"/>
        </w:rPr>
      </w:pPr>
      <w:r>
        <w:rPr>
          <w:sz w:val="20"/>
        </w:rPr>
        <w:t>Blinksell,</w:t>
      </w:r>
      <w:r>
        <w:rPr>
          <w:spacing w:val="-4"/>
          <w:sz w:val="20"/>
        </w:rPr>
        <w:t> </w:t>
      </w:r>
      <w:r>
        <w:rPr>
          <w:sz w:val="20"/>
        </w:rPr>
        <w:t>G.</w:t>
      </w:r>
      <w:r>
        <w:rPr>
          <w:spacing w:val="-4"/>
          <w:sz w:val="20"/>
        </w:rPr>
        <w:t> </w:t>
      </w:r>
      <w:r>
        <w:rPr>
          <w:sz w:val="20"/>
        </w:rPr>
        <w:t>(1985).</w:t>
      </w:r>
      <w:r>
        <w:rPr>
          <w:spacing w:val="-1"/>
          <w:sz w:val="20"/>
        </w:rPr>
        <w:t> </w:t>
      </w:r>
      <w:r>
        <w:rPr>
          <w:sz w:val="20"/>
        </w:rPr>
        <w:t>Electric</w:t>
      </w:r>
      <w:r>
        <w:rPr>
          <w:spacing w:val="-3"/>
          <w:sz w:val="20"/>
        </w:rPr>
        <w:t> </w:t>
      </w:r>
      <w:r>
        <w:rPr>
          <w:sz w:val="20"/>
        </w:rPr>
        <w:t>fencing</w:t>
      </w:r>
      <w:r>
        <w:rPr>
          <w:spacing w:val="-4"/>
          <w:sz w:val="20"/>
        </w:rPr>
        <w:t> </w:t>
      </w:r>
      <w:r>
        <w:rPr>
          <w:sz w:val="20"/>
        </w:rPr>
        <w:t>to</w:t>
      </w:r>
      <w:r>
        <w:rPr>
          <w:spacing w:val="-4"/>
          <w:sz w:val="20"/>
        </w:rPr>
        <w:t> </w:t>
      </w:r>
      <w:r>
        <w:rPr>
          <w:sz w:val="20"/>
        </w:rPr>
        <w:t>control</w:t>
      </w:r>
      <w:r>
        <w:rPr>
          <w:spacing w:val="-5"/>
          <w:sz w:val="20"/>
        </w:rPr>
        <w:t> </w:t>
      </w:r>
      <w:r>
        <w:rPr>
          <w:sz w:val="20"/>
        </w:rPr>
        <w:t>wild</w:t>
      </w:r>
      <w:r>
        <w:rPr>
          <w:spacing w:val="-2"/>
          <w:sz w:val="20"/>
        </w:rPr>
        <w:t> </w:t>
      </w:r>
      <w:r>
        <w:rPr>
          <w:sz w:val="20"/>
        </w:rPr>
        <w:t>dogs</w:t>
      </w:r>
      <w:r>
        <w:rPr>
          <w:spacing w:val="-3"/>
          <w:sz w:val="20"/>
        </w:rPr>
        <w:t> </w:t>
      </w:r>
      <w:r>
        <w:rPr>
          <w:sz w:val="20"/>
        </w:rPr>
        <w:t>in New</w:t>
      </w:r>
      <w:r>
        <w:rPr>
          <w:spacing w:val="-1"/>
          <w:sz w:val="20"/>
        </w:rPr>
        <w:t> </w:t>
      </w:r>
      <w:r>
        <w:rPr>
          <w:sz w:val="20"/>
        </w:rPr>
        <w:t>South</w:t>
      </w:r>
      <w:r>
        <w:rPr>
          <w:spacing w:val="-2"/>
          <w:sz w:val="20"/>
        </w:rPr>
        <w:t> </w:t>
      </w:r>
      <w:r>
        <w:rPr>
          <w:sz w:val="20"/>
        </w:rPr>
        <w:t>Wales,</w:t>
      </w:r>
      <w:r>
        <w:rPr>
          <w:spacing w:val="-4"/>
          <w:sz w:val="20"/>
        </w:rPr>
        <w:t> </w:t>
      </w:r>
      <w:r>
        <w:rPr>
          <w:sz w:val="20"/>
        </w:rPr>
        <w:t>Australia.</w:t>
      </w:r>
      <w:r>
        <w:rPr>
          <w:spacing w:val="-2"/>
          <w:sz w:val="20"/>
        </w:rPr>
        <w:t> </w:t>
      </w:r>
      <w:r>
        <w:rPr>
          <w:sz w:val="20"/>
        </w:rPr>
        <w:t>in</w:t>
      </w:r>
      <w:r>
        <w:rPr>
          <w:spacing w:val="-1"/>
          <w:sz w:val="20"/>
        </w:rPr>
        <w:t> </w:t>
      </w:r>
      <w:r>
        <w:rPr>
          <w:i/>
          <w:sz w:val="20"/>
        </w:rPr>
        <w:t>Gallagher</w:t>
      </w:r>
      <w:r>
        <w:rPr>
          <w:i/>
          <w:spacing w:val="-4"/>
          <w:sz w:val="20"/>
        </w:rPr>
        <w:t> </w:t>
      </w:r>
      <w:r>
        <w:rPr>
          <w:i/>
          <w:sz w:val="20"/>
        </w:rPr>
        <w:t>2nd</w:t>
      </w:r>
      <w:r>
        <w:rPr>
          <w:i/>
          <w:sz w:val="20"/>
        </w:rPr>
        <w:t> World Wildlife Power Fencing Seminar Proceedings</w:t>
      </w:r>
      <w:r>
        <w:rPr>
          <w:sz w:val="20"/>
        </w:rPr>
        <w:t>. Dubbo, N.S.W.</w:t>
      </w:r>
    </w:p>
    <w:p>
      <w:pPr>
        <w:pStyle w:val="BodyText"/>
        <w:spacing w:before="11"/>
      </w:pPr>
    </w:p>
    <w:p>
      <w:pPr>
        <w:pStyle w:val="BodyText"/>
        <w:ind w:left="833" w:right="163" w:hanging="721"/>
      </w:pPr>
      <w:r>
        <w:rPr/>
        <w:t>Bloomfield,</w:t>
      </w:r>
      <w:r>
        <w:rPr>
          <w:spacing w:val="-4"/>
        </w:rPr>
        <w:t> </w:t>
      </w:r>
      <w:r>
        <w:rPr/>
        <w:t>T.E.</w:t>
      </w:r>
      <w:r>
        <w:rPr>
          <w:spacing w:val="-4"/>
        </w:rPr>
        <w:t> </w:t>
      </w:r>
      <w:r>
        <w:rPr/>
        <w:t>(1999).</w:t>
      </w:r>
      <w:r>
        <w:rPr>
          <w:spacing w:val="-3"/>
        </w:rPr>
        <w:t> </w:t>
      </w:r>
      <w:r>
        <w:rPr>
          <w:i/>
        </w:rPr>
        <w:t>Foxes:</w:t>
      </w:r>
      <w:r>
        <w:rPr>
          <w:i/>
          <w:spacing w:val="-4"/>
        </w:rPr>
        <w:t> </w:t>
      </w:r>
      <w:r>
        <w:rPr>
          <w:i/>
        </w:rPr>
        <w:t>integrated</w:t>
      </w:r>
      <w:r>
        <w:rPr>
          <w:i/>
          <w:spacing w:val="-4"/>
        </w:rPr>
        <w:t> </w:t>
      </w:r>
      <w:r>
        <w:rPr>
          <w:i/>
        </w:rPr>
        <w:t>fox</w:t>
      </w:r>
      <w:r>
        <w:rPr>
          <w:i/>
          <w:spacing w:val="-4"/>
        </w:rPr>
        <w:t> </w:t>
      </w:r>
      <w:r>
        <w:rPr>
          <w:i/>
        </w:rPr>
        <w:t>control. </w:t>
      </w:r>
      <w:r>
        <w:rPr/>
        <w:t>Landcare</w:t>
      </w:r>
      <w:r>
        <w:rPr>
          <w:spacing w:val="-4"/>
        </w:rPr>
        <w:t> </w:t>
      </w:r>
      <w:r>
        <w:rPr/>
        <w:t>Notes</w:t>
      </w:r>
      <w:r>
        <w:rPr>
          <w:spacing w:val="-4"/>
        </w:rPr>
        <w:t> </w:t>
      </w:r>
      <w:r>
        <w:rPr/>
        <w:t>Series</w:t>
      </w:r>
      <w:r>
        <w:rPr>
          <w:spacing w:val="-4"/>
        </w:rPr>
        <w:t> </w:t>
      </w:r>
      <w:r>
        <w:rPr/>
        <w:t>No</w:t>
      </w:r>
      <w:r>
        <w:rPr>
          <w:spacing w:val="-1"/>
        </w:rPr>
        <w:t> </w:t>
      </w:r>
      <w:r>
        <w:rPr/>
        <w:t>PA0012.</w:t>
      </w:r>
      <w:r>
        <w:rPr>
          <w:spacing w:val="-4"/>
        </w:rPr>
        <w:t> </w:t>
      </w:r>
      <w:r>
        <w:rPr/>
        <w:t>State</w:t>
      </w:r>
      <w:r>
        <w:rPr>
          <w:spacing w:val="-3"/>
        </w:rPr>
        <w:t> </w:t>
      </w:r>
      <w:r>
        <w:rPr/>
        <w:t>of</w:t>
      </w:r>
      <w:r>
        <w:rPr>
          <w:spacing w:val="-3"/>
        </w:rPr>
        <w:t> </w:t>
      </w:r>
      <w:r>
        <w:rPr/>
        <w:t>Victoria, Department of Natural Resources and Environment.</w:t>
      </w:r>
    </w:p>
    <w:p>
      <w:pPr>
        <w:pStyle w:val="BodyText"/>
        <w:spacing w:before="10"/>
      </w:pPr>
    </w:p>
    <w:p>
      <w:pPr>
        <w:pStyle w:val="BodyText"/>
        <w:spacing w:before="1"/>
        <w:ind w:left="833" w:right="364" w:hanging="721"/>
      </w:pPr>
      <w:r>
        <w:rPr/>
        <w:t>Boertje, R.D., Kelleyhouse, D.G., and Hayes, R.D. (1995). Methods of reducing natural predation on moose in Alaska and Yukon: an evaluation. Pp. 505–13 in </w:t>
      </w:r>
      <w:r>
        <w:rPr>
          <w:i/>
        </w:rPr>
        <w:t>Ecology and Conservation of Wolves in a</w:t>
      </w:r>
      <w:r>
        <w:rPr>
          <w:i/>
        </w:rPr>
        <w:t> Changing</w:t>
      </w:r>
      <w:r>
        <w:rPr>
          <w:i/>
          <w:spacing w:val="-2"/>
        </w:rPr>
        <w:t> </w:t>
      </w:r>
      <w:r>
        <w:rPr>
          <w:i/>
        </w:rPr>
        <w:t>World</w:t>
      </w:r>
      <w:r>
        <w:rPr/>
        <w:t>,</w:t>
      </w:r>
      <w:r>
        <w:rPr>
          <w:spacing w:val="-4"/>
        </w:rPr>
        <w:t> </w:t>
      </w:r>
      <w:r>
        <w:rPr/>
        <w:t>edited</w:t>
      </w:r>
      <w:r>
        <w:rPr>
          <w:spacing w:val="-5"/>
        </w:rPr>
        <w:t> </w:t>
      </w:r>
      <w:r>
        <w:rPr/>
        <w:t>by</w:t>
      </w:r>
      <w:r>
        <w:rPr>
          <w:spacing w:val="-1"/>
        </w:rPr>
        <w:t> </w:t>
      </w:r>
      <w:r>
        <w:rPr/>
        <w:t>L.</w:t>
      </w:r>
      <w:r>
        <w:rPr>
          <w:spacing w:val="-4"/>
        </w:rPr>
        <w:t> </w:t>
      </w:r>
      <w:r>
        <w:rPr/>
        <w:t>N.</w:t>
      </w:r>
      <w:r>
        <w:rPr>
          <w:spacing w:val="-4"/>
        </w:rPr>
        <w:t> </w:t>
      </w:r>
      <w:r>
        <w:rPr/>
        <w:t>Carbyn,</w:t>
      </w:r>
      <w:r>
        <w:rPr>
          <w:spacing w:val="-2"/>
        </w:rPr>
        <w:t> </w:t>
      </w:r>
      <w:r>
        <w:rPr/>
        <w:t>S.</w:t>
      </w:r>
      <w:r>
        <w:rPr>
          <w:spacing w:val="-4"/>
        </w:rPr>
        <w:t> </w:t>
      </w:r>
      <w:r>
        <w:rPr/>
        <w:t>H.</w:t>
      </w:r>
      <w:r>
        <w:rPr>
          <w:spacing w:val="-2"/>
        </w:rPr>
        <w:t> </w:t>
      </w:r>
      <w:r>
        <w:rPr/>
        <w:t>Fritts,</w:t>
      </w:r>
      <w:r>
        <w:rPr>
          <w:spacing w:val="-4"/>
        </w:rPr>
        <w:t> </w:t>
      </w:r>
      <w:r>
        <w:rPr/>
        <w:t>and</w:t>
      </w:r>
      <w:r>
        <w:rPr>
          <w:spacing w:val="-5"/>
        </w:rPr>
        <w:t> </w:t>
      </w:r>
      <w:r>
        <w:rPr/>
        <w:t>D.</w:t>
      </w:r>
      <w:r>
        <w:rPr>
          <w:spacing w:val="-2"/>
        </w:rPr>
        <w:t> </w:t>
      </w:r>
      <w:r>
        <w:rPr/>
        <w:t>R.</w:t>
      </w:r>
      <w:r>
        <w:rPr>
          <w:spacing w:val="-4"/>
        </w:rPr>
        <w:t> </w:t>
      </w:r>
      <w:r>
        <w:rPr/>
        <w:t>Seip.</w:t>
      </w:r>
      <w:r>
        <w:rPr>
          <w:spacing w:val="-4"/>
        </w:rPr>
        <w:t> </w:t>
      </w:r>
      <w:r>
        <w:rPr/>
        <w:t>Canadian</w:t>
      </w:r>
      <w:r>
        <w:rPr>
          <w:spacing w:val="-4"/>
        </w:rPr>
        <w:t> </w:t>
      </w:r>
      <w:r>
        <w:rPr/>
        <w:t>Circumpolar</w:t>
      </w:r>
      <w:r>
        <w:rPr>
          <w:spacing w:val="-4"/>
        </w:rPr>
        <w:t> </w:t>
      </w:r>
      <w:r>
        <w:rPr/>
        <w:t>Institute, University of Alberta, Canada.</w:t>
      </w:r>
    </w:p>
    <w:p>
      <w:pPr>
        <w:pStyle w:val="BodyText"/>
        <w:spacing w:before="9"/>
      </w:pPr>
    </w:p>
    <w:p>
      <w:pPr>
        <w:spacing w:before="0"/>
        <w:ind w:left="833" w:right="364" w:hanging="721"/>
        <w:jc w:val="left"/>
        <w:rPr>
          <w:sz w:val="20"/>
        </w:rPr>
      </w:pPr>
      <w:r>
        <w:rPr>
          <w:sz w:val="20"/>
        </w:rPr>
        <w:t>Bomford, M., and Quentin, H. (2002). Non-indigenous vertebrates in Australia. Pp. 25–44 in </w:t>
      </w:r>
      <w:r>
        <w:rPr>
          <w:i/>
          <w:sz w:val="20"/>
        </w:rPr>
        <w:t>Biological</w:t>
      </w:r>
      <w:r>
        <w:rPr>
          <w:i/>
          <w:sz w:val="20"/>
        </w:rPr>
        <w:t> Invasions:</w:t>
      </w:r>
      <w:r>
        <w:rPr>
          <w:i/>
          <w:spacing w:val="-2"/>
          <w:sz w:val="20"/>
        </w:rPr>
        <w:t> </w:t>
      </w:r>
      <w:r>
        <w:rPr>
          <w:i/>
          <w:sz w:val="20"/>
        </w:rPr>
        <w:t>economic</w:t>
      </w:r>
      <w:r>
        <w:rPr>
          <w:i/>
          <w:spacing w:val="-1"/>
          <w:sz w:val="20"/>
        </w:rPr>
        <w:t> </w:t>
      </w:r>
      <w:r>
        <w:rPr>
          <w:i/>
          <w:sz w:val="20"/>
        </w:rPr>
        <w:t>and</w:t>
      </w:r>
      <w:r>
        <w:rPr>
          <w:i/>
          <w:spacing w:val="-2"/>
          <w:sz w:val="20"/>
        </w:rPr>
        <w:t> </w:t>
      </w:r>
      <w:r>
        <w:rPr>
          <w:i/>
          <w:sz w:val="20"/>
        </w:rPr>
        <w:t>environmental</w:t>
      </w:r>
      <w:r>
        <w:rPr>
          <w:i/>
          <w:spacing w:val="-5"/>
          <w:sz w:val="20"/>
        </w:rPr>
        <w:t> </w:t>
      </w:r>
      <w:r>
        <w:rPr>
          <w:i/>
          <w:sz w:val="20"/>
        </w:rPr>
        <w:t>costs</w:t>
      </w:r>
      <w:r>
        <w:rPr>
          <w:i/>
          <w:spacing w:val="-3"/>
          <w:sz w:val="20"/>
        </w:rPr>
        <w:t> </w:t>
      </w:r>
      <w:r>
        <w:rPr>
          <w:i/>
          <w:sz w:val="20"/>
        </w:rPr>
        <w:t>of</w:t>
      </w:r>
      <w:r>
        <w:rPr>
          <w:i/>
          <w:spacing w:val="-2"/>
          <w:sz w:val="20"/>
        </w:rPr>
        <w:t> </w:t>
      </w:r>
      <w:r>
        <w:rPr>
          <w:i/>
          <w:sz w:val="20"/>
        </w:rPr>
        <w:t>alien</w:t>
      </w:r>
      <w:r>
        <w:rPr>
          <w:i/>
          <w:spacing w:val="-2"/>
          <w:sz w:val="20"/>
        </w:rPr>
        <w:t> </w:t>
      </w:r>
      <w:r>
        <w:rPr>
          <w:i/>
          <w:sz w:val="20"/>
        </w:rPr>
        <w:t>plant,</w:t>
      </w:r>
      <w:r>
        <w:rPr>
          <w:i/>
          <w:spacing w:val="-4"/>
          <w:sz w:val="20"/>
        </w:rPr>
        <w:t> </w:t>
      </w:r>
      <w:r>
        <w:rPr>
          <w:i/>
          <w:sz w:val="20"/>
        </w:rPr>
        <w:t>animal,</w:t>
      </w:r>
      <w:r>
        <w:rPr>
          <w:i/>
          <w:spacing w:val="-4"/>
          <w:sz w:val="20"/>
        </w:rPr>
        <w:t> </w:t>
      </w:r>
      <w:r>
        <w:rPr>
          <w:i/>
          <w:sz w:val="20"/>
        </w:rPr>
        <w:t>and</w:t>
      </w:r>
      <w:r>
        <w:rPr>
          <w:i/>
          <w:spacing w:val="-5"/>
          <w:sz w:val="20"/>
        </w:rPr>
        <w:t> </w:t>
      </w:r>
      <w:r>
        <w:rPr>
          <w:i/>
          <w:sz w:val="20"/>
        </w:rPr>
        <w:t>microbe species</w:t>
      </w:r>
      <w:r>
        <w:rPr>
          <w:sz w:val="20"/>
        </w:rPr>
        <w:t>.</w:t>
      </w:r>
      <w:r>
        <w:rPr>
          <w:spacing w:val="-4"/>
          <w:sz w:val="20"/>
        </w:rPr>
        <w:t> </w:t>
      </w:r>
      <w:r>
        <w:rPr>
          <w:sz w:val="20"/>
        </w:rPr>
        <w:t>Boca Raton: CRC Press.</w:t>
      </w:r>
    </w:p>
    <w:p>
      <w:pPr>
        <w:pStyle w:val="BodyText"/>
        <w:spacing w:before="9"/>
      </w:pPr>
    </w:p>
    <w:p>
      <w:pPr>
        <w:spacing w:before="0"/>
        <w:ind w:left="112" w:right="0" w:firstLine="0"/>
        <w:jc w:val="left"/>
        <w:rPr>
          <w:sz w:val="20"/>
        </w:rPr>
      </w:pPr>
      <w:r>
        <w:rPr>
          <w:sz w:val="20"/>
        </w:rPr>
        <w:t>van</w:t>
      </w:r>
      <w:r>
        <w:rPr>
          <w:spacing w:val="-8"/>
          <w:sz w:val="20"/>
        </w:rPr>
        <w:t> </w:t>
      </w:r>
      <w:r>
        <w:rPr>
          <w:sz w:val="20"/>
        </w:rPr>
        <w:t>Bommel,</w:t>
      </w:r>
      <w:r>
        <w:rPr>
          <w:spacing w:val="-5"/>
          <w:sz w:val="20"/>
        </w:rPr>
        <w:t> </w:t>
      </w:r>
      <w:r>
        <w:rPr>
          <w:sz w:val="20"/>
        </w:rPr>
        <w:t>L.</w:t>
      </w:r>
      <w:r>
        <w:rPr>
          <w:spacing w:val="-7"/>
          <w:sz w:val="20"/>
        </w:rPr>
        <w:t> </w:t>
      </w:r>
      <w:r>
        <w:rPr>
          <w:sz w:val="20"/>
        </w:rPr>
        <w:t>(2010).</w:t>
      </w:r>
      <w:r>
        <w:rPr>
          <w:spacing w:val="-6"/>
          <w:sz w:val="20"/>
        </w:rPr>
        <w:t> </w:t>
      </w:r>
      <w:r>
        <w:rPr>
          <w:i/>
          <w:sz w:val="20"/>
        </w:rPr>
        <w:t>Guardian</w:t>
      </w:r>
      <w:r>
        <w:rPr>
          <w:i/>
          <w:spacing w:val="-6"/>
          <w:sz w:val="20"/>
        </w:rPr>
        <w:t> </w:t>
      </w:r>
      <w:r>
        <w:rPr>
          <w:i/>
          <w:sz w:val="20"/>
        </w:rPr>
        <w:t>Dogs:</w:t>
      </w:r>
      <w:r>
        <w:rPr>
          <w:i/>
          <w:spacing w:val="-7"/>
          <w:sz w:val="20"/>
        </w:rPr>
        <w:t> </w:t>
      </w:r>
      <w:r>
        <w:rPr>
          <w:i/>
          <w:sz w:val="20"/>
        </w:rPr>
        <w:t>Best</w:t>
      </w:r>
      <w:r>
        <w:rPr>
          <w:i/>
          <w:spacing w:val="-7"/>
          <w:sz w:val="20"/>
        </w:rPr>
        <w:t> </w:t>
      </w:r>
      <w:r>
        <w:rPr>
          <w:i/>
          <w:sz w:val="20"/>
        </w:rPr>
        <w:t>practice</w:t>
      </w:r>
      <w:r>
        <w:rPr>
          <w:i/>
          <w:spacing w:val="-3"/>
          <w:sz w:val="20"/>
        </w:rPr>
        <w:t> </w:t>
      </w:r>
      <w:r>
        <w:rPr>
          <w:i/>
          <w:sz w:val="20"/>
        </w:rPr>
        <w:t>manual</w:t>
      </w:r>
      <w:r>
        <w:rPr>
          <w:i/>
          <w:spacing w:val="-6"/>
          <w:sz w:val="20"/>
        </w:rPr>
        <w:t> </w:t>
      </w:r>
      <w:r>
        <w:rPr>
          <w:i/>
          <w:sz w:val="20"/>
        </w:rPr>
        <w:t>for</w:t>
      </w:r>
      <w:r>
        <w:rPr>
          <w:i/>
          <w:spacing w:val="-7"/>
          <w:sz w:val="20"/>
        </w:rPr>
        <w:t> </w:t>
      </w:r>
      <w:r>
        <w:rPr>
          <w:i/>
          <w:sz w:val="20"/>
        </w:rPr>
        <w:t>the</w:t>
      </w:r>
      <w:r>
        <w:rPr>
          <w:i/>
          <w:spacing w:val="-6"/>
          <w:sz w:val="20"/>
        </w:rPr>
        <w:t> </w:t>
      </w:r>
      <w:r>
        <w:rPr>
          <w:i/>
          <w:sz w:val="20"/>
        </w:rPr>
        <w:t>use</w:t>
      </w:r>
      <w:r>
        <w:rPr>
          <w:i/>
          <w:spacing w:val="-5"/>
          <w:sz w:val="20"/>
        </w:rPr>
        <w:t> </w:t>
      </w:r>
      <w:r>
        <w:rPr>
          <w:i/>
          <w:sz w:val="20"/>
        </w:rPr>
        <w:t>of</w:t>
      </w:r>
      <w:r>
        <w:rPr>
          <w:i/>
          <w:spacing w:val="-5"/>
          <w:sz w:val="20"/>
        </w:rPr>
        <w:t> </w:t>
      </w:r>
      <w:r>
        <w:rPr>
          <w:i/>
          <w:sz w:val="20"/>
        </w:rPr>
        <w:t>livestock</w:t>
      </w:r>
      <w:r>
        <w:rPr>
          <w:i/>
          <w:spacing w:val="-6"/>
          <w:sz w:val="20"/>
        </w:rPr>
        <w:t> </w:t>
      </w:r>
      <w:r>
        <w:rPr>
          <w:i/>
          <w:sz w:val="20"/>
        </w:rPr>
        <w:t>guardian</w:t>
      </w:r>
      <w:r>
        <w:rPr>
          <w:i/>
          <w:spacing w:val="-6"/>
          <w:sz w:val="20"/>
        </w:rPr>
        <w:t> </w:t>
      </w:r>
      <w:r>
        <w:rPr>
          <w:i/>
          <w:spacing w:val="-2"/>
          <w:sz w:val="20"/>
        </w:rPr>
        <w:t>dogs</w:t>
      </w:r>
      <w:r>
        <w:rPr>
          <w:spacing w:val="-2"/>
          <w:sz w:val="20"/>
        </w:rPr>
        <w:t>.</w:t>
      </w:r>
    </w:p>
    <w:p>
      <w:pPr>
        <w:pStyle w:val="BodyText"/>
        <w:spacing w:before="1"/>
        <w:ind w:left="833"/>
      </w:pPr>
      <w:r>
        <w:rPr/>
        <w:t>Invasive</w:t>
      </w:r>
      <w:r>
        <w:rPr>
          <w:spacing w:val="-11"/>
        </w:rPr>
        <w:t> </w:t>
      </w:r>
      <w:r>
        <w:rPr/>
        <w:t>Animals</w:t>
      </w:r>
      <w:r>
        <w:rPr>
          <w:spacing w:val="-9"/>
        </w:rPr>
        <w:t> </w:t>
      </w:r>
      <w:r>
        <w:rPr/>
        <w:t>Cooperative</w:t>
      </w:r>
      <w:r>
        <w:rPr>
          <w:spacing w:val="-10"/>
        </w:rPr>
        <w:t> </w:t>
      </w:r>
      <w:r>
        <w:rPr/>
        <w:t>Research</w:t>
      </w:r>
      <w:r>
        <w:rPr>
          <w:spacing w:val="-10"/>
        </w:rPr>
        <w:t> </w:t>
      </w:r>
      <w:r>
        <w:rPr/>
        <w:t>Centre,</w:t>
      </w:r>
      <w:r>
        <w:rPr>
          <w:spacing w:val="-9"/>
        </w:rPr>
        <w:t> </w:t>
      </w:r>
      <w:r>
        <w:rPr/>
        <w:t>Canberra,</w:t>
      </w:r>
      <w:r>
        <w:rPr>
          <w:spacing w:val="-10"/>
        </w:rPr>
        <w:t> </w:t>
      </w:r>
      <w:r>
        <w:rPr>
          <w:spacing w:val="-4"/>
        </w:rPr>
        <w:t>ACT.</w:t>
      </w:r>
    </w:p>
    <w:p>
      <w:pPr>
        <w:pStyle w:val="BodyText"/>
        <w:spacing w:before="10"/>
      </w:pPr>
    </w:p>
    <w:p>
      <w:pPr>
        <w:pStyle w:val="BodyText"/>
        <w:ind w:left="833" w:right="544" w:hanging="721"/>
      </w:pPr>
      <w:r>
        <w:rPr/>
        <w:t>van</w:t>
      </w:r>
      <w:r>
        <w:rPr>
          <w:spacing w:val="-5"/>
        </w:rPr>
        <w:t> </w:t>
      </w:r>
      <w:r>
        <w:rPr/>
        <w:t>Bommel,</w:t>
      </w:r>
      <w:r>
        <w:rPr>
          <w:spacing w:val="-2"/>
        </w:rPr>
        <w:t> </w:t>
      </w:r>
      <w:r>
        <w:rPr/>
        <w:t>L.,</w:t>
      </w:r>
      <w:r>
        <w:rPr>
          <w:spacing w:val="-2"/>
        </w:rPr>
        <w:t> </w:t>
      </w:r>
      <w:r>
        <w:rPr/>
        <w:t>and</w:t>
      </w:r>
      <w:r>
        <w:rPr>
          <w:spacing w:val="-4"/>
        </w:rPr>
        <w:t> </w:t>
      </w:r>
      <w:r>
        <w:rPr/>
        <w:t>Johnson,</w:t>
      </w:r>
      <w:r>
        <w:rPr>
          <w:spacing w:val="-4"/>
        </w:rPr>
        <w:t> </w:t>
      </w:r>
      <w:r>
        <w:rPr/>
        <w:t>C.N.</w:t>
      </w:r>
      <w:r>
        <w:rPr>
          <w:spacing w:val="-4"/>
        </w:rPr>
        <w:t> </w:t>
      </w:r>
      <w:r>
        <w:rPr/>
        <w:t>(2012).</w:t>
      </w:r>
      <w:r>
        <w:rPr>
          <w:spacing w:val="-4"/>
        </w:rPr>
        <w:t> </w:t>
      </w:r>
      <w:r>
        <w:rPr/>
        <w:t>Good</w:t>
      </w:r>
      <w:r>
        <w:rPr>
          <w:spacing w:val="-5"/>
        </w:rPr>
        <w:t> </w:t>
      </w:r>
      <w:r>
        <w:rPr/>
        <w:t>dog!</w:t>
      </w:r>
      <w:r>
        <w:rPr>
          <w:spacing w:val="-2"/>
        </w:rPr>
        <w:t> </w:t>
      </w:r>
      <w:r>
        <w:rPr/>
        <w:t>using</w:t>
      </w:r>
      <w:r>
        <w:rPr>
          <w:spacing w:val="-2"/>
        </w:rPr>
        <w:t> </w:t>
      </w:r>
      <w:r>
        <w:rPr/>
        <w:t>livestock</w:t>
      </w:r>
      <w:r>
        <w:rPr>
          <w:spacing w:val="-3"/>
        </w:rPr>
        <w:t> </w:t>
      </w:r>
      <w:r>
        <w:rPr/>
        <w:t>guardian</w:t>
      </w:r>
      <w:r>
        <w:rPr>
          <w:spacing w:val="-4"/>
        </w:rPr>
        <w:t> </w:t>
      </w:r>
      <w:r>
        <w:rPr/>
        <w:t>dogs</w:t>
      </w:r>
      <w:r>
        <w:rPr>
          <w:spacing w:val="-3"/>
        </w:rPr>
        <w:t> </w:t>
      </w:r>
      <w:r>
        <w:rPr/>
        <w:t>to</w:t>
      </w:r>
      <w:r>
        <w:rPr>
          <w:spacing w:val="-3"/>
        </w:rPr>
        <w:t> </w:t>
      </w:r>
      <w:r>
        <w:rPr/>
        <w:t>protect</w:t>
      </w:r>
      <w:r>
        <w:rPr>
          <w:spacing w:val="-2"/>
        </w:rPr>
        <w:t> </w:t>
      </w:r>
      <w:r>
        <w:rPr/>
        <w:t>livestock from predators in Australia’s extensive grazing systems. </w:t>
      </w:r>
      <w:r>
        <w:rPr>
          <w:i/>
        </w:rPr>
        <w:t>Wildlife Research </w:t>
      </w:r>
      <w:r>
        <w:rPr>
          <w:b/>
        </w:rPr>
        <w:t>39</w:t>
      </w:r>
      <w:r>
        <w:rPr/>
        <w:t>(3):220–29. doi: </w:t>
      </w:r>
      <w:hyperlink r:id="rId91">
        <w:r>
          <w:rPr>
            <w:spacing w:val="-2"/>
          </w:rPr>
          <w:t>http://dx.doi.org/10.1071/WR11135.</w:t>
        </w:r>
      </w:hyperlink>
    </w:p>
    <w:p>
      <w:pPr>
        <w:pStyle w:val="BodyText"/>
        <w:spacing w:before="9"/>
      </w:pPr>
    </w:p>
    <w:p>
      <w:pPr>
        <w:pStyle w:val="BodyText"/>
        <w:ind w:left="833" w:right="1055" w:hanging="721"/>
        <w:jc w:val="both"/>
      </w:pPr>
      <w:r>
        <w:rPr/>
        <w:t>van</w:t>
      </w:r>
      <w:r>
        <w:rPr>
          <w:spacing w:val="-5"/>
        </w:rPr>
        <w:t> </w:t>
      </w:r>
      <w:r>
        <w:rPr/>
        <w:t>Bommel,</w:t>
      </w:r>
      <w:r>
        <w:rPr>
          <w:spacing w:val="-2"/>
        </w:rPr>
        <w:t> </w:t>
      </w:r>
      <w:r>
        <w:rPr/>
        <w:t>L,</w:t>
      </w:r>
      <w:r>
        <w:rPr>
          <w:spacing w:val="-4"/>
        </w:rPr>
        <w:t> </w:t>
      </w:r>
      <w:r>
        <w:rPr/>
        <w:t>and</w:t>
      </w:r>
      <w:r>
        <w:rPr>
          <w:spacing w:val="-5"/>
        </w:rPr>
        <w:t> </w:t>
      </w:r>
      <w:r>
        <w:rPr/>
        <w:t>Johnson,</w:t>
      </w:r>
      <w:r>
        <w:rPr>
          <w:spacing w:val="-4"/>
        </w:rPr>
        <w:t> </w:t>
      </w:r>
      <w:r>
        <w:rPr/>
        <w:t>C.N.</w:t>
      </w:r>
      <w:r>
        <w:rPr>
          <w:spacing w:val="-4"/>
        </w:rPr>
        <w:t> </w:t>
      </w:r>
      <w:r>
        <w:rPr/>
        <w:t>(2016).</w:t>
      </w:r>
      <w:r>
        <w:rPr>
          <w:spacing w:val="-4"/>
        </w:rPr>
        <w:t> </w:t>
      </w:r>
      <w:r>
        <w:rPr/>
        <w:t>Livestock</w:t>
      </w:r>
      <w:r>
        <w:rPr>
          <w:spacing w:val="-1"/>
        </w:rPr>
        <w:t> </w:t>
      </w:r>
      <w:r>
        <w:rPr/>
        <w:t>guardian</w:t>
      </w:r>
      <w:r>
        <w:rPr>
          <w:spacing w:val="-2"/>
        </w:rPr>
        <w:t> </w:t>
      </w:r>
      <w:r>
        <w:rPr/>
        <w:t>dogs</w:t>
      </w:r>
      <w:r>
        <w:rPr>
          <w:spacing w:val="-3"/>
        </w:rPr>
        <w:t> </w:t>
      </w:r>
      <w:r>
        <w:rPr/>
        <w:t>as</w:t>
      </w:r>
      <w:r>
        <w:rPr>
          <w:spacing w:val="-3"/>
        </w:rPr>
        <w:t> </w:t>
      </w:r>
      <w:r>
        <w:rPr/>
        <w:t>surrogate</w:t>
      </w:r>
      <w:r>
        <w:rPr>
          <w:spacing w:val="-2"/>
        </w:rPr>
        <w:t> </w:t>
      </w:r>
      <w:r>
        <w:rPr/>
        <w:t>top</w:t>
      </w:r>
      <w:r>
        <w:rPr>
          <w:spacing w:val="-2"/>
        </w:rPr>
        <w:t> </w:t>
      </w:r>
      <w:r>
        <w:rPr/>
        <w:t>predators?</w:t>
      </w:r>
      <w:r>
        <w:rPr>
          <w:spacing w:val="-4"/>
        </w:rPr>
        <w:t> </w:t>
      </w:r>
      <w:r>
        <w:rPr/>
        <w:t>how Maremma</w:t>
      </w:r>
      <w:r>
        <w:rPr>
          <w:spacing w:val="-4"/>
        </w:rPr>
        <w:t> </w:t>
      </w:r>
      <w:r>
        <w:rPr/>
        <w:t>sheepdogs</w:t>
      </w:r>
      <w:r>
        <w:rPr>
          <w:spacing w:val="-1"/>
        </w:rPr>
        <w:t> </w:t>
      </w:r>
      <w:r>
        <w:rPr/>
        <w:t>affect</w:t>
      </w:r>
      <w:r>
        <w:rPr>
          <w:spacing w:val="-4"/>
        </w:rPr>
        <w:t> </w:t>
      </w:r>
      <w:r>
        <w:rPr/>
        <w:t>a</w:t>
      </w:r>
      <w:r>
        <w:rPr>
          <w:spacing w:val="-5"/>
        </w:rPr>
        <w:t> </w:t>
      </w:r>
      <w:r>
        <w:rPr/>
        <w:t>wildlife</w:t>
      </w:r>
      <w:r>
        <w:rPr>
          <w:spacing w:val="-5"/>
        </w:rPr>
        <w:t> </w:t>
      </w:r>
      <w:r>
        <w:rPr/>
        <w:t>community. </w:t>
      </w:r>
      <w:r>
        <w:rPr>
          <w:i/>
        </w:rPr>
        <w:t>Ecology</w:t>
      </w:r>
      <w:r>
        <w:rPr>
          <w:i/>
          <w:spacing w:val="-3"/>
        </w:rPr>
        <w:t> </w:t>
      </w:r>
      <w:r>
        <w:rPr>
          <w:i/>
        </w:rPr>
        <w:t>and</w:t>
      </w:r>
      <w:r>
        <w:rPr>
          <w:i/>
          <w:spacing w:val="-4"/>
        </w:rPr>
        <w:t> </w:t>
      </w:r>
      <w:r>
        <w:rPr>
          <w:i/>
        </w:rPr>
        <w:t>Evolution</w:t>
      </w:r>
      <w:r>
        <w:rPr>
          <w:i/>
          <w:spacing w:val="-2"/>
        </w:rPr>
        <w:t> </w:t>
      </w:r>
      <w:r>
        <w:rPr>
          <w:b/>
        </w:rPr>
        <w:t>6</w:t>
      </w:r>
      <w:r>
        <w:rPr/>
        <w:t>(18):6702–11.</w:t>
      </w:r>
      <w:r>
        <w:rPr>
          <w:spacing w:val="-4"/>
        </w:rPr>
        <w:t> </w:t>
      </w:r>
      <w:r>
        <w:rPr/>
        <w:t>doi: </w:t>
      </w:r>
      <w:r>
        <w:rPr>
          <w:spacing w:val="-2"/>
        </w:rPr>
        <w:t>10.1002/ece3.2412.</w:t>
      </w:r>
    </w:p>
    <w:p>
      <w:pPr>
        <w:pStyle w:val="BodyText"/>
        <w:spacing w:before="12"/>
      </w:pPr>
    </w:p>
    <w:p>
      <w:pPr>
        <w:pStyle w:val="BodyText"/>
        <w:ind w:left="833" w:right="163" w:hanging="721"/>
      </w:pPr>
      <w:r>
        <w:rPr/>
        <w:t>van Bommel, L., and Johnson, C.N. (2023). Still a good dog! long-term use and effectiveness of livestock guardian</w:t>
      </w:r>
      <w:r>
        <w:rPr>
          <w:spacing w:val="-2"/>
        </w:rPr>
        <w:t> </w:t>
      </w:r>
      <w:r>
        <w:rPr/>
        <w:t>dogs</w:t>
      </w:r>
      <w:r>
        <w:rPr>
          <w:spacing w:val="-3"/>
        </w:rPr>
        <w:t> </w:t>
      </w:r>
      <w:r>
        <w:rPr/>
        <w:t>to</w:t>
      </w:r>
      <w:r>
        <w:rPr>
          <w:spacing w:val="-5"/>
        </w:rPr>
        <w:t> </w:t>
      </w:r>
      <w:r>
        <w:rPr/>
        <w:t>protect</w:t>
      </w:r>
      <w:r>
        <w:rPr>
          <w:spacing w:val="-2"/>
        </w:rPr>
        <w:t> </w:t>
      </w:r>
      <w:r>
        <w:rPr/>
        <w:t>livestock</w:t>
      </w:r>
      <w:r>
        <w:rPr>
          <w:spacing w:val="-3"/>
        </w:rPr>
        <w:t> </w:t>
      </w:r>
      <w:r>
        <w:rPr/>
        <w:t>from</w:t>
      </w:r>
      <w:r>
        <w:rPr>
          <w:spacing w:val="-4"/>
        </w:rPr>
        <w:t> </w:t>
      </w:r>
      <w:r>
        <w:rPr/>
        <w:t>predators</w:t>
      </w:r>
      <w:r>
        <w:rPr>
          <w:spacing w:val="-2"/>
        </w:rPr>
        <w:t> </w:t>
      </w:r>
      <w:r>
        <w:rPr/>
        <w:t>in Australia’s</w:t>
      </w:r>
      <w:r>
        <w:rPr>
          <w:spacing w:val="-3"/>
        </w:rPr>
        <w:t> </w:t>
      </w:r>
      <w:r>
        <w:rPr/>
        <w:t>extensive</w:t>
      </w:r>
      <w:r>
        <w:rPr>
          <w:spacing w:val="-4"/>
        </w:rPr>
        <w:t> </w:t>
      </w:r>
      <w:r>
        <w:rPr/>
        <w:t>grazing</w:t>
      </w:r>
      <w:r>
        <w:rPr>
          <w:spacing w:val="-5"/>
        </w:rPr>
        <w:t> </w:t>
      </w:r>
      <w:r>
        <w:rPr/>
        <w:t>systems.</w:t>
      </w:r>
      <w:r>
        <w:rPr>
          <w:spacing w:val="-4"/>
        </w:rPr>
        <w:t> </w:t>
      </w:r>
      <w:r>
        <w:rPr>
          <w:i/>
        </w:rPr>
        <w:t>Wildlife</w:t>
      </w:r>
      <w:r>
        <w:rPr>
          <w:i/>
        </w:rPr>
        <w:t> Research </w:t>
      </w:r>
      <w:r>
        <w:rPr>
          <w:b/>
        </w:rPr>
        <w:t>51</w:t>
      </w:r>
      <w:r>
        <w:rPr/>
        <w:t>(1). doi: 10.1071/WR23008.</w:t>
      </w:r>
    </w:p>
    <w:p>
      <w:pPr>
        <w:pStyle w:val="BodyText"/>
        <w:spacing w:before="8"/>
      </w:pPr>
    </w:p>
    <w:p>
      <w:pPr>
        <w:spacing w:before="1"/>
        <w:ind w:left="833" w:right="232" w:hanging="721"/>
        <w:jc w:val="left"/>
        <w:rPr>
          <w:sz w:val="20"/>
        </w:rPr>
      </w:pPr>
      <w:r>
        <w:rPr>
          <w:sz w:val="20"/>
        </w:rPr>
        <w:t>Boronyak</w:t>
      </w:r>
      <w:r>
        <w:rPr>
          <w:spacing w:val="-2"/>
          <w:sz w:val="20"/>
        </w:rPr>
        <w:t> </w:t>
      </w:r>
      <w:r>
        <w:rPr>
          <w:sz w:val="20"/>
        </w:rPr>
        <w:t>L,</w:t>
      </w:r>
      <w:r>
        <w:rPr>
          <w:spacing w:val="-5"/>
          <w:sz w:val="20"/>
        </w:rPr>
        <w:t> </w:t>
      </w:r>
      <w:r>
        <w:rPr>
          <w:sz w:val="20"/>
        </w:rPr>
        <w:t>and</w:t>
      </w:r>
      <w:r>
        <w:rPr>
          <w:spacing w:val="-5"/>
          <w:sz w:val="20"/>
        </w:rPr>
        <w:t> </w:t>
      </w:r>
      <w:r>
        <w:rPr>
          <w:sz w:val="20"/>
        </w:rPr>
        <w:t>Quartermain,</w:t>
      </w:r>
      <w:r>
        <w:rPr>
          <w:spacing w:val="-3"/>
          <w:sz w:val="20"/>
        </w:rPr>
        <w:t> </w:t>
      </w:r>
      <w:r>
        <w:rPr>
          <w:sz w:val="20"/>
        </w:rPr>
        <w:t>E.</w:t>
      </w:r>
      <w:r>
        <w:rPr>
          <w:spacing w:val="-5"/>
          <w:sz w:val="20"/>
        </w:rPr>
        <w:t> </w:t>
      </w:r>
      <w:r>
        <w:rPr>
          <w:sz w:val="20"/>
        </w:rPr>
        <w:t>(2022).</w:t>
      </w:r>
      <w:r>
        <w:rPr>
          <w:spacing w:val="-4"/>
          <w:sz w:val="20"/>
        </w:rPr>
        <w:t> </w:t>
      </w:r>
      <w:r>
        <w:rPr>
          <w:i/>
          <w:sz w:val="20"/>
        </w:rPr>
        <w:t>Predator</w:t>
      </w:r>
      <w:r>
        <w:rPr>
          <w:i/>
          <w:spacing w:val="-5"/>
          <w:sz w:val="20"/>
        </w:rPr>
        <w:t> </w:t>
      </w:r>
      <w:r>
        <w:rPr>
          <w:i/>
          <w:sz w:val="20"/>
        </w:rPr>
        <w:t>Smart</w:t>
      </w:r>
      <w:r>
        <w:rPr>
          <w:i/>
          <w:spacing w:val="-5"/>
          <w:sz w:val="20"/>
        </w:rPr>
        <w:t> </w:t>
      </w:r>
      <w:r>
        <w:rPr>
          <w:i/>
          <w:sz w:val="20"/>
        </w:rPr>
        <w:t>Farming:</w:t>
      </w:r>
      <w:r>
        <w:rPr>
          <w:i/>
          <w:spacing w:val="-3"/>
          <w:sz w:val="20"/>
        </w:rPr>
        <w:t> </w:t>
      </w:r>
      <w:r>
        <w:rPr>
          <w:i/>
          <w:sz w:val="20"/>
        </w:rPr>
        <w:t>Modernising</w:t>
      </w:r>
      <w:r>
        <w:rPr>
          <w:i/>
          <w:spacing w:val="-4"/>
          <w:sz w:val="20"/>
        </w:rPr>
        <w:t> </w:t>
      </w:r>
      <w:r>
        <w:rPr>
          <w:i/>
          <w:sz w:val="20"/>
        </w:rPr>
        <w:t>Australia’s</w:t>
      </w:r>
      <w:r>
        <w:rPr>
          <w:i/>
          <w:spacing w:val="-4"/>
          <w:sz w:val="20"/>
        </w:rPr>
        <w:t> </w:t>
      </w:r>
      <w:r>
        <w:rPr>
          <w:i/>
          <w:sz w:val="20"/>
        </w:rPr>
        <w:t>approach</w:t>
      </w:r>
      <w:r>
        <w:rPr>
          <w:i/>
          <w:spacing w:val="-5"/>
          <w:sz w:val="20"/>
        </w:rPr>
        <w:t> </w:t>
      </w:r>
      <w:r>
        <w:rPr>
          <w:i/>
          <w:sz w:val="20"/>
        </w:rPr>
        <w:t>to</w:t>
      </w:r>
      <w:r>
        <w:rPr>
          <w:i/>
          <w:sz w:val="20"/>
        </w:rPr>
        <w:t> livestock protection</w:t>
      </w:r>
      <w:r>
        <w:rPr>
          <w:sz w:val="20"/>
        </w:rPr>
        <w:t>. Humane Society International Australia.</w:t>
      </w:r>
    </w:p>
    <w:p>
      <w:pPr>
        <w:pStyle w:val="BodyText"/>
        <w:spacing w:before="10"/>
      </w:pPr>
    </w:p>
    <w:p>
      <w:pPr>
        <w:pStyle w:val="BodyText"/>
        <w:spacing w:before="1"/>
        <w:ind w:left="833" w:right="1010" w:hanging="721"/>
        <w:jc w:val="both"/>
      </w:pPr>
      <w:r>
        <w:rPr/>
        <w:t>Boronyak,</w:t>
      </w:r>
      <w:r>
        <w:rPr>
          <w:spacing w:val="-3"/>
        </w:rPr>
        <w:t> </w:t>
      </w:r>
      <w:r>
        <w:rPr/>
        <w:t>L.,</w:t>
      </w:r>
      <w:r>
        <w:rPr>
          <w:spacing w:val="-3"/>
        </w:rPr>
        <w:t> </w:t>
      </w:r>
      <w:r>
        <w:rPr/>
        <w:t>and</w:t>
      </w:r>
      <w:r>
        <w:rPr>
          <w:spacing w:val="-5"/>
        </w:rPr>
        <w:t> </w:t>
      </w:r>
      <w:r>
        <w:rPr/>
        <w:t>Jacobs,</w:t>
      </w:r>
      <w:r>
        <w:rPr>
          <w:spacing w:val="-3"/>
        </w:rPr>
        <w:t> </w:t>
      </w:r>
      <w:r>
        <w:rPr/>
        <w:t>B.</w:t>
      </w:r>
      <w:r>
        <w:rPr>
          <w:spacing w:val="-5"/>
        </w:rPr>
        <w:t> </w:t>
      </w:r>
      <w:r>
        <w:rPr/>
        <w:t>(2023).</w:t>
      </w:r>
      <w:r>
        <w:rPr>
          <w:spacing w:val="-3"/>
        </w:rPr>
        <w:t> </w:t>
      </w:r>
      <w:r>
        <w:rPr/>
        <w:t>Pathways</w:t>
      </w:r>
      <w:r>
        <w:rPr>
          <w:spacing w:val="-4"/>
        </w:rPr>
        <w:t> </w:t>
      </w:r>
      <w:r>
        <w:rPr/>
        <w:t>to</w:t>
      </w:r>
      <w:r>
        <w:rPr>
          <w:spacing w:val="-6"/>
        </w:rPr>
        <w:t> </w:t>
      </w:r>
      <w:r>
        <w:rPr/>
        <w:t>coexistence</w:t>
      </w:r>
      <w:r>
        <w:rPr>
          <w:spacing w:val="-5"/>
        </w:rPr>
        <w:t> </w:t>
      </w:r>
      <w:r>
        <w:rPr/>
        <w:t>with</w:t>
      </w:r>
      <w:r>
        <w:rPr>
          <w:spacing w:val="-3"/>
        </w:rPr>
        <w:t> </w:t>
      </w:r>
      <w:r>
        <w:rPr/>
        <w:t>dingoes</w:t>
      </w:r>
      <w:r>
        <w:rPr>
          <w:spacing w:val="-4"/>
        </w:rPr>
        <w:t> </w:t>
      </w:r>
      <w:r>
        <w:rPr/>
        <w:t>across Australian</w:t>
      </w:r>
      <w:r>
        <w:rPr>
          <w:spacing w:val="-3"/>
        </w:rPr>
        <w:t> </w:t>
      </w:r>
      <w:r>
        <w:rPr/>
        <w:t>farming landscapes.</w:t>
      </w:r>
      <w:r>
        <w:rPr>
          <w:spacing w:val="-4"/>
        </w:rPr>
        <w:t> </w:t>
      </w:r>
      <w:r>
        <w:rPr>
          <w:i/>
        </w:rPr>
        <w:t>Frontiers</w:t>
      </w:r>
      <w:r>
        <w:rPr>
          <w:i/>
          <w:spacing w:val="-3"/>
        </w:rPr>
        <w:t> </w:t>
      </w:r>
      <w:r>
        <w:rPr>
          <w:i/>
        </w:rPr>
        <w:t>in</w:t>
      </w:r>
      <w:r>
        <w:rPr>
          <w:i/>
          <w:spacing w:val="-5"/>
        </w:rPr>
        <w:t> </w:t>
      </w:r>
      <w:r>
        <w:rPr>
          <w:i/>
        </w:rPr>
        <w:t>Conservation</w:t>
      </w:r>
      <w:r>
        <w:rPr>
          <w:i/>
          <w:spacing w:val="-5"/>
        </w:rPr>
        <w:t> </w:t>
      </w:r>
      <w:r>
        <w:rPr>
          <w:i/>
        </w:rPr>
        <w:t>Science </w:t>
      </w:r>
      <w:r>
        <w:rPr>
          <w:b/>
        </w:rPr>
        <w:t>4</w:t>
      </w:r>
      <w:r>
        <w:rPr/>
        <w:t>:1126140.</w:t>
      </w:r>
      <w:r>
        <w:rPr>
          <w:spacing w:val="-3"/>
        </w:rPr>
        <w:t> </w:t>
      </w:r>
      <w:r>
        <w:rPr/>
        <w:t>doi:</w:t>
      </w:r>
      <w:r>
        <w:rPr>
          <w:spacing w:val="-5"/>
        </w:rPr>
        <w:t> </w:t>
      </w:r>
      <w:r>
        <w:rPr/>
        <w:t>10.3389/fcosc.2023.1126140.</w:t>
      </w:r>
    </w:p>
    <w:p>
      <w:pPr>
        <w:pStyle w:val="BodyText"/>
        <w:spacing w:before="10"/>
      </w:pPr>
    </w:p>
    <w:p>
      <w:pPr>
        <w:pStyle w:val="BodyText"/>
        <w:ind w:left="833" w:right="544" w:hanging="721"/>
      </w:pPr>
      <w:r>
        <w:rPr/>
        <w:t>Bough,</w:t>
      </w:r>
      <w:r>
        <w:rPr>
          <w:spacing w:val="-4"/>
        </w:rPr>
        <w:t> </w:t>
      </w:r>
      <w:r>
        <w:rPr/>
        <w:t>J.</w:t>
      </w:r>
      <w:r>
        <w:rPr>
          <w:spacing w:val="-4"/>
        </w:rPr>
        <w:t> </w:t>
      </w:r>
      <w:r>
        <w:rPr/>
        <w:t>(2016).</w:t>
      </w:r>
      <w:r>
        <w:rPr>
          <w:spacing w:val="-4"/>
        </w:rPr>
        <w:t> </w:t>
      </w:r>
      <w:r>
        <w:rPr/>
        <w:t>Our</w:t>
      </w:r>
      <w:r>
        <w:rPr>
          <w:spacing w:val="-4"/>
        </w:rPr>
        <w:t> </w:t>
      </w:r>
      <w:r>
        <w:rPr/>
        <w:t>stubborn</w:t>
      </w:r>
      <w:r>
        <w:rPr>
          <w:spacing w:val="-4"/>
        </w:rPr>
        <w:t> </w:t>
      </w:r>
      <w:r>
        <w:rPr/>
        <w:t>prejudice</w:t>
      </w:r>
      <w:r>
        <w:rPr>
          <w:spacing w:val="-2"/>
        </w:rPr>
        <w:t> </w:t>
      </w:r>
      <w:r>
        <w:rPr/>
        <w:t>about</w:t>
      </w:r>
      <w:r>
        <w:rPr>
          <w:spacing w:val="-4"/>
        </w:rPr>
        <w:t> </w:t>
      </w:r>
      <w:r>
        <w:rPr/>
        <w:t>donkeys</w:t>
      </w:r>
      <w:r>
        <w:rPr>
          <w:spacing w:val="-3"/>
        </w:rPr>
        <w:t> </w:t>
      </w:r>
      <w:r>
        <w:rPr/>
        <w:t>is</w:t>
      </w:r>
      <w:r>
        <w:rPr>
          <w:spacing w:val="-3"/>
        </w:rPr>
        <w:t> </w:t>
      </w:r>
      <w:r>
        <w:rPr/>
        <w:t>shifting</w:t>
      </w:r>
      <w:r>
        <w:rPr>
          <w:spacing w:val="-5"/>
        </w:rPr>
        <w:t> </w:t>
      </w:r>
      <w:r>
        <w:rPr/>
        <w:t>as</w:t>
      </w:r>
      <w:r>
        <w:rPr>
          <w:spacing w:val="-3"/>
        </w:rPr>
        <w:t> </w:t>
      </w:r>
      <w:r>
        <w:rPr/>
        <w:t>they</w:t>
      </w:r>
      <w:r>
        <w:rPr>
          <w:spacing w:val="-3"/>
        </w:rPr>
        <w:t> </w:t>
      </w:r>
      <w:r>
        <w:rPr/>
        <w:t>protect Australia’s</w:t>
      </w:r>
      <w:r>
        <w:rPr>
          <w:spacing w:val="-3"/>
        </w:rPr>
        <w:t> </w:t>
      </w:r>
      <w:r>
        <w:rPr/>
        <w:t>sheep</w:t>
      </w:r>
      <w:r>
        <w:rPr>
          <w:spacing w:val="-5"/>
        </w:rPr>
        <w:t> </w:t>
      </w:r>
      <w:r>
        <w:rPr/>
        <w:t>from wild dogs. </w:t>
      </w:r>
      <w:r>
        <w:rPr>
          <w:i/>
        </w:rPr>
        <w:t>Australian Zoologist </w:t>
      </w:r>
      <w:r>
        <w:rPr>
          <w:b/>
        </w:rPr>
        <w:t>38</w:t>
      </w:r>
      <w:r>
        <w:rPr/>
        <w:t>:17–25.</w:t>
      </w:r>
    </w:p>
    <w:p>
      <w:pPr>
        <w:pStyle w:val="BodyText"/>
        <w:spacing w:before="9"/>
      </w:pPr>
    </w:p>
    <w:p>
      <w:pPr>
        <w:spacing w:before="0"/>
        <w:ind w:left="833" w:right="364" w:hanging="721"/>
        <w:jc w:val="left"/>
        <w:rPr>
          <w:sz w:val="20"/>
        </w:rPr>
      </w:pPr>
      <w:r>
        <w:rPr>
          <w:sz w:val="20"/>
        </w:rPr>
        <w:t>Breck, S.W., Williamson, R., Niemyer, C., and Shivik, J.A. (2002). </w:t>
      </w:r>
      <w:r>
        <w:rPr>
          <w:i/>
          <w:sz w:val="20"/>
        </w:rPr>
        <w:t>Non-lethal radio activated guard for</w:t>
      </w:r>
      <w:r>
        <w:rPr>
          <w:i/>
          <w:sz w:val="20"/>
        </w:rPr>
        <w:t> deterring</w:t>
      </w:r>
      <w:r>
        <w:rPr>
          <w:i/>
          <w:spacing w:val="-5"/>
          <w:sz w:val="20"/>
        </w:rPr>
        <w:t> </w:t>
      </w:r>
      <w:r>
        <w:rPr>
          <w:i/>
          <w:sz w:val="20"/>
        </w:rPr>
        <w:t>wolf</w:t>
      </w:r>
      <w:r>
        <w:rPr>
          <w:i/>
          <w:spacing w:val="-2"/>
          <w:sz w:val="20"/>
        </w:rPr>
        <w:t> </w:t>
      </w:r>
      <w:r>
        <w:rPr>
          <w:i/>
          <w:sz w:val="20"/>
        </w:rPr>
        <w:t>depredation</w:t>
      </w:r>
      <w:r>
        <w:rPr>
          <w:i/>
          <w:spacing w:val="-4"/>
          <w:sz w:val="20"/>
        </w:rPr>
        <w:t> </w:t>
      </w:r>
      <w:r>
        <w:rPr>
          <w:i/>
          <w:sz w:val="20"/>
        </w:rPr>
        <w:t>in</w:t>
      </w:r>
      <w:r>
        <w:rPr>
          <w:i/>
          <w:spacing w:val="-4"/>
          <w:sz w:val="20"/>
        </w:rPr>
        <w:t> </w:t>
      </w:r>
      <w:r>
        <w:rPr>
          <w:i/>
          <w:sz w:val="20"/>
        </w:rPr>
        <w:t>Idaho:</w:t>
      </w:r>
      <w:r>
        <w:rPr>
          <w:i/>
          <w:spacing w:val="-2"/>
          <w:sz w:val="20"/>
        </w:rPr>
        <w:t> </w:t>
      </w:r>
      <w:r>
        <w:rPr>
          <w:i/>
          <w:sz w:val="20"/>
        </w:rPr>
        <w:t>Summary</w:t>
      </w:r>
      <w:r>
        <w:rPr>
          <w:i/>
          <w:spacing w:val="-2"/>
          <w:sz w:val="20"/>
        </w:rPr>
        <w:t> </w:t>
      </w:r>
      <w:r>
        <w:rPr>
          <w:i/>
          <w:sz w:val="20"/>
        </w:rPr>
        <w:t>and</w:t>
      </w:r>
      <w:r>
        <w:rPr>
          <w:i/>
          <w:spacing w:val="-5"/>
          <w:sz w:val="20"/>
        </w:rPr>
        <w:t> </w:t>
      </w:r>
      <w:r>
        <w:rPr>
          <w:i/>
          <w:sz w:val="20"/>
        </w:rPr>
        <w:t>call</w:t>
      </w:r>
      <w:r>
        <w:rPr>
          <w:i/>
          <w:spacing w:val="-3"/>
          <w:sz w:val="20"/>
        </w:rPr>
        <w:t> </w:t>
      </w:r>
      <w:r>
        <w:rPr>
          <w:i/>
          <w:sz w:val="20"/>
        </w:rPr>
        <w:t>for</w:t>
      </w:r>
      <w:r>
        <w:rPr>
          <w:i/>
          <w:spacing w:val="-4"/>
          <w:sz w:val="20"/>
        </w:rPr>
        <w:t> </w:t>
      </w:r>
      <w:r>
        <w:rPr>
          <w:i/>
          <w:sz w:val="20"/>
        </w:rPr>
        <w:t>research</w:t>
      </w:r>
      <w:r>
        <w:rPr>
          <w:sz w:val="20"/>
        </w:rPr>
        <w:t>.</w:t>
      </w:r>
      <w:r>
        <w:rPr>
          <w:spacing w:val="-2"/>
          <w:sz w:val="20"/>
        </w:rPr>
        <w:t> </w:t>
      </w:r>
      <w:r>
        <w:rPr>
          <w:sz w:val="20"/>
        </w:rPr>
        <w:t>Staff</w:t>
      </w:r>
      <w:r>
        <w:rPr>
          <w:spacing w:val="-2"/>
          <w:sz w:val="20"/>
        </w:rPr>
        <w:t> </w:t>
      </w:r>
      <w:r>
        <w:rPr>
          <w:sz w:val="20"/>
        </w:rPr>
        <w:t>Publications.</w:t>
      </w:r>
      <w:r>
        <w:rPr>
          <w:spacing w:val="-4"/>
          <w:sz w:val="20"/>
        </w:rPr>
        <w:t> </w:t>
      </w:r>
      <w:r>
        <w:rPr>
          <w:sz w:val="20"/>
        </w:rPr>
        <w:t>Paper</w:t>
      </w:r>
      <w:r>
        <w:rPr>
          <w:spacing w:val="-1"/>
          <w:sz w:val="20"/>
        </w:rPr>
        <w:t> </w:t>
      </w:r>
      <w:r>
        <w:rPr>
          <w:sz w:val="20"/>
        </w:rPr>
        <w:t>467. USDA National Wildlife Research Centre.</w:t>
      </w:r>
    </w:p>
    <w:p>
      <w:pPr>
        <w:pStyle w:val="BodyText"/>
        <w:spacing w:before="12"/>
      </w:pPr>
    </w:p>
    <w:p>
      <w:pPr>
        <w:spacing w:before="0"/>
        <w:ind w:left="833" w:right="364" w:hanging="721"/>
        <w:jc w:val="left"/>
        <w:rPr>
          <w:sz w:val="20"/>
        </w:rPr>
      </w:pPr>
      <w:r>
        <w:rPr>
          <w:sz w:val="20"/>
        </w:rPr>
        <w:t>Breitenmoser, U., Angst, C., Landry, J-M., Breitenmoser-Würsten, C., Linnell, J.D.C., and Weber, J-M. (2005).</w:t>
      </w:r>
      <w:r>
        <w:rPr>
          <w:spacing w:val="-3"/>
          <w:sz w:val="20"/>
        </w:rPr>
        <w:t> </w:t>
      </w:r>
      <w:r>
        <w:rPr>
          <w:i/>
          <w:sz w:val="20"/>
        </w:rPr>
        <w:t>Non-lethal</w:t>
      </w:r>
      <w:r>
        <w:rPr>
          <w:i/>
          <w:spacing w:val="-5"/>
          <w:sz w:val="20"/>
        </w:rPr>
        <w:t> </w:t>
      </w:r>
      <w:r>
        <w:rPr>
          <w:i/>
          <w:sz w:val="20"/>
        </w:rPr>
        <w:t>techniques</w:t>
      </w:r>
      <w:r>
        <w:rPr>
          <w:i/>
          <w:spacing w:val="-3"/>
          <w:sz w:val="20"/>
        </w:rPr>
        <w:t> </w:t>
      </w:r>
      <w:r>
        <w:rPr>
          <w:i/>
          <w:sz w:val="20"/>
        </w:rPr>
        <w:t>for</w:t>
      </w:r>
      <w:r>
        <w:rPr>
          <w:i/>
          <w:spacing w:val="-3"/>
          <w:sz w:val="20"/>
        </w:rPr>
        <w:t> </w:t>
      </w:r>
      <w:r>
        <w:rPr>
          <w:i/>
          <w:sz w:val="20"/>
        </w:rPr>
        <w:t>reducing</w:t>
      </w:r>
      <w:r>
        <w:rPr>
          <w:i/>
          <w:spacing w:val="-3"/>
          <w:sz w:val="20"/>
        </w:rPr>
        <w:t> </w:t>
      </w:r>
      <w:r>
        <w:rPr>
          <w:i/>
          <w:sz w:val="20"/>
        </w:rPr>
        <w:t>depredation</w:t>
      </w:r>
      <w:r>
        <w:rPr>
          <w:sz w:val="20"/>
        </w:rPr>
        <w:t>.</w:t>
      </w:r>
      <w:r>
        <w:rPr>
          <w:spacing w:val="-4"/>
          <w:sz w:val="20"/>
        </w:rPr>
        <w:t> </w:t>
      </w:r>
      <w:r>
        <w:rPr>
          <w:sz w:val="20"/>
        </w:rPr>
        <w:t>Pp.</w:t>
      </w:r>
      <w:r>
        <w:rPr>
          <w:spacing w:val="-2"/>
          <w:sz w:val="20"/>
        </w:rPr>
        <w:t> </w:t>
      </w:r>
      <w:r>
        <w:rPr>
          <w:sz w:val="20"/>
        </w:rPr>
        <w:t>49–71</w:t>
      </w:r>
      <w:r>
        <w:rPr>
          <w:spacing w:val="-2"/>
          <w:sz w:val="20"/>
        </w:rPr>
        <w:t> </w:t>
      </w:r>
      <w:r>
        <w:rPr>
          <w:sz w:val="20"/>
        </w:rPr>
        <w:t>in</w:t>
      </w:r>
      <w:r>
        <w:rPr>
          <w:spacing w:val="-2"/>
          <w:sz w:val="20"/>
        </w:rPr>
        <w:t> </w:t>
      </w:r>
      <w:r>
        <w:rPr>
          <w:i/>
          <w:sz w:val="20"/>
        </w:rPr>
        <w:t>People</w:t>
      </w:r>
      <w:r>
        <w:rPr>
          <w:i/>
          <w:spacing w:val="-4"/>
          <w:sz w:val="20"/>
        </w:rPr>
        <w:t> </w:t>
      </w:r>
      <w:r>
        <w:rPr>
          <w:i/>
          <w:sz w:val="20"/>
        </w:rPr>
        <w:t>and</w:t>
      </w:r>
      <w:r>
        <w:rPr>
          <w:i/>
          <w:spacing w:val="-3"/>
          <w:sz w:val="20"/>
        </w:rPr>
        <w:t> </w:t>
      </w:r>
      <w:r>
        <w:rPr>
          <w:i/>
          <w:sz w:val="20"/>
        </w:rPr>
        <w:t>Wildlife</w:t>
      </w:r>
      <w:r>
        <w:rPr>
          <w:sz w:val="20"/>
        </w:rPr>
        <w:t>,</w:t>
      </w:r>
      <w:r>
        <w:rPr>
          <w:spacing w:val="-4"/>
          <w:sz w:val="20"/>
        </w:rPr>
        <w:t> </w:t>
      </w:r>
      <w:r>
        <w:rPr>
          <w:sz w:val="20"/>
        </w:rPr>
        <w:t>edited</w:t>
      </w:r>
      <w:r>
        <w:rPr>
          <w:spacing w:val="-5"/>
          <w:sz w:val="20"/>
        </w:rPr>
        <w:t> </w:t>
      </w:r>
      <w:r>
        <w:rPr>
          <w:sz w:val="20"/>
        </w:rPr>
        <w:t>by</w:t>
      </w:r>
    </w:p>
    <w:p>
      <w:pPr>
        <w:pStyle w:val="BodyText"/>
        <w:spacing w:before="1"/>
        <w:ind w:left="833"/>
      </w:pPr>
      <w:r>
        <w:rPr/>
        <w:t>R.</w:t>
      </w:r>
      <w:r>
        <w:rPr>
          <w:spacing w:val="-9"/>
        </w:rPr>
        <w:t> </w:t>
      </w:r>
      <w:r>
        <w:rPr/>
        <w:t>Woodroffe,</w:t>
      </w:r>
      <w:r>
        <w:rPr>
          <w:spacing w:val="-6"/>
        </w:rPr>
        <w:t> </w:t>
      </w:r>
      <w:r>
        <w:rPr/>
        <w:t>S.</w:t>
      </w:r>
      <w:r>
        <w:rPr>
          <w:spacing w:val="-9"/>
        </w:rPr>
        <w:t> </w:t>
      </w:r>
      <w:r>
        <w:rPr/>
        <w:t>Thirgood,</w:t>
      </w:r>
      <w:r>
        <w:rPr>
          <w:spacing w:val="-6"/>
        </w:rPr>
        <w:t> </w:t>
      </w:r>
      <w:r>
        <w:rPr/>
        <w:t>and</w:t>
      </w:r>
      <w:r>
        <w:rPr>
          <w:spacing w:val="-7"/>
        </w:rPr>
        <w:t> </w:t>
      </w:r>
      <w:r>
        <w:rPr/>
        <w:t>A.</w:t>
      </w:r>
      <w:r>
        <w:rPr>
          <w:spacing w:val="-8"/>
        </w:rPr>
        <w:t> </w:t>
      </w:r>
      <w:r>
        <w:rPr/>
        <w:t>Rabinowitz.</w:t>
      </w:r>
      <w:r>
        <w:rPr>
          <w:spacing w:val="-9"/>
        </w:rPr>
        <w:t> </w:t>
      </w:r>
      <w:r>
        <w:rPr/>
        <w:t>Cambridge:</w:t>
      </w:r>
      <w:r>
        <w:rPr>
          <w:spacing w:val="-6"/>
        </w:rPr>
        <w:t> </w:t>
      </w:r>
      <w:r>
        <w:rPr/>
        <w:t>Cambridge</w:t>
      </w:r>
      <w:r>
        <w:rPr>
          <w:spacing w:val="-9"/>
        </w:rPr>
        <w:t> </w:t>
      </w:r>
      <w:r>
        <w:rPr/>
        <w:t>University</w:t>
      </w:r>
      <w:r>
        <w:rPr>
          <w:spacing w:val="-6"/>
        </w:rPr>
        <w:t> </w:t>
      </w:r>
      <w:r>
        <w:rPr>
          <w:spacing w:val="-2"/>
        </w:rPr>
        <w:t>Press.</w:t>
      </w:r>
    </w:p>
    <w:p>
      <w:pPr>
        <w:pStyle w:val="BodyText"/>
        <w:spacing w:before="7"/>
      </w:pPr>
    </w:p>
    <w:p>
      <w:pPr>
        <w:pStyle w:val="BodyText"/>
        <w:spacing w:before="1"/>
        <w:ind w:left="112"/>
      </w:pPr>
      <w:r>
        <w:rPr/>
        <w:t>Brunner,</w:t>
      </w:r>
      <w:r>
        <w:rPr>
          <w:spacing w:val="-9"/>
        </w:rPr>
        <w:t> </w:t>
      </w:r>
      <w:r>
        <w:rPr/>
        <w:t>H.</w:t>
      </w:r>
      <w:r>
        <w:rPr>
          <w:spacing w:val="-8"/>
        </w:rPr>
        <w:t> </w:t>
      </w:r>
      <w:r>
        <w:rPr/>
        <w:t>(1983).</w:t>
      </w:r>
      <w:r>
        <w:rPr>
          <w:spacing w:val="-6"/>
        </w:rPr>
        <w:t> </w:t>
      </w:r>
      <w:r>
        <w:rPr/>
        <w:t>Bait</w:t>
      </w:r>
      <w:r>
        <w:rPr>
          <w:spacing w:val="-7"/>
        </w:rPr>
        <w:t> </w:t>
      </w:r>
      <w:r>
        <w:rPr/>
        <w:t>acceptance</w:t>
      </w:r>
      <w:r>
        <w:rPr>
          <w:spacing w:val="-7"/>
        </w:rPr>
        <w:t> </w:t>
      </w:r>
      <w:r>
        <w:rPr/>
        <w:t>by</w:t>
      </w:r>
      <w:r>
        <w:rPr>
          <w:spacing w:val="-7"/>
        </w:rPr>
        <w:t> </w:t>
      </w:r>
      <w:r>
        <w:rPr/>
        <w:t>non-target</w:t>
      </w:r>
      <w:r>
        <w:rPr>
          <w:spacing w:val="-7"/>
        </w:rPr>
        <w:t> </w:t>
      </w:r>
      <w:r>
        <w:rPr/>
        <w:t>mammal</w:t>
      </w:r>
      <w:r>
        <w:rPr>
          <w:spacing w:val="-9"/>
        </w:rPr>
        <w:t> </w:t>
      </w:r>
      <w:r>
        <w:rPr/>
        <w:t>species</w:t>
      </w:r>
      <w:r>
        <w:rPr>
          <w:spacing w:val="-8"/>
        </w:rPr>
        <w:t> </w:t>
      </w:r>
      <w:r>
        <w:rPr/>
        <w:t>in</w:t>
      </w:r>
      <w:r>
        <w:rPr>
          <w:spacing w:val="-7"/>
        </w:rPr>
        <w:t> </w:t>
      </w:r>
      <w:r>
        <w:rPr/>
        <w:t>simulated</w:t>
      </w:r>
      <w:r>
        <w:rPr>
          <w:spacing w:val="-7"/>
        </w:rPr>
        <w:t> </w:t>
      </w:r>
      <w:r>
        <w:rPr/>
        <w:t>rabbit</w:t>
      </w:r>
      <w:r>
        <w:rPr>
          <w:spacing w:val="-7"/>
        </w:rPr>
        <w:t> </w:t>
      </w:r>
      <w:r>
        <w:rPr/>
        <w:t>poisoning</w:t>
      </w:r>
      <w:r>
        <w:rPr>
          <w:spacing w:val="-7"/>
        </w:rPr>
        <w:t> </w:t>
      </w:r>
      <w:r>
        <w:rPr>
          <w:spacing w:val="-2"/>
        </w:rPr>
        <w:t>trials.</w:t>
      </w:r>
    </w:p>
    <w:p>
      <w:pPr>
        <w:spacing w:before="0"/>
        <w:ind w:left="833" w:right="0" w:firstLine="0"/>
        <w:jc w:val="left"/>
        <w:rPr>
          <w:sz w:val="20"/>
        </w:rPr>
      </w:pPr>
      <w:r>
        <w:rPr>
          <w:i/>
          <w:sz w:val="20"/>
        </w:rPr>
        <w:t>Australian</w:t>
      </w:r>
      <w:r>
        <w:rPr>
          <w:i/>
          <w:spacing w:val="-11"/>
          <w:sz w:val="20"/>
        </w:rPr>
        <w:t> </w:t>
      </w:r>
      <w:r>
        <w:rPr>
          <w:i/>
          <w:sz w:val="20"/>
        </w:rPr>
        <w:t>Wildlife</w:t>
      </w:r>
      <w:r>
        <w:rPr>
          <w:i/>
          <w:spacing w:val="-10"/>
          <w:sz w:val="20"/>
        </w:rPr>
        <w:t> </w:t>
      </w:r>
      <w:r>
        <w:rPr>
          <w:i/>
          <w:sz w:val="20"/>
        </w:rPr>
        <w:t>Research</w:t>
      </w:r>
      <w:r>
        <w:rPr>
          <w:i/>
          <w:spacing w:val="-8"/>
          <w:sz w:val="20"/>
        </w:rPr>
        <w:t> </w:t>
      </w:r>
      <w:r>
        <w:rPr>
          <w:b/>
          <w:spacing w:val="-2"/>
          <w:sz w:val="20"/>
        </w:rPr>
        <w:t>10</w:t>
      </w:r>
      <w:r>
        <w:rPr>
          <w:spacing w:val="-2"/>
          <w:sz w:val="20"/>
        </w:rPr>
        <w:t>:129–38.</w:t>
      </w:r>
    </w:p>
    <w:p>
      <w:pPr>
        <w:pStyle w:val="BodyText"/>
        <w:spacing w:before="10"/>
      </w:pPr>
    </w:p>
    <w:p>
      <w:pPr>
        <w:pStyle w:val="BodyText"/>
        <w:ind w:left="112"/>
      </w:pPr>
      <w:r>
        <w:rPr/>
        <w:t>Bryant,</w:t>
      </w:r>
      <w:r>
        <w:rPr>
          <w:spacing w:val="-6"/>
        </w:rPr>
        <w:t> </w:t>
      </w:r>
      <w:r>
        <w:rPr/>
        <w:t>H.,</w:t>
      </w:r>
      <w:r>
        <w:rPr>
          <w:spacing w:val="-6"/>
        </w:rPr>
        <w:t> </w:t>
      </w:r>
      <w:r>
        <w:rPr/>
        <w:t>Hone,</w:t>
      </w:r>
      <w:r>
        <w:rPr>
          <w:spacing w:val="-6"/>
        </w:rPr>
        <w:t> </w:t>
      </w:r>
      <w:r>
        <w:rPr/>
        <w:t>J.,</w:t>
      </w:r>
      <w:r>
        <w:rPr>
          <w:spacing w:val="-5"/>
        </w:rPr>
        <w:t> </w:t>
      </w:r>
      <w:r>
        <w:rPr/>
        <w:t>and</w:t>
      </w:r>
      <w:r>
        <w:rPr>
          <w:spacing w:val="-6"/>
        </w:rPr>
        <w:t> </w:t>
      </w:r>
      <w:r>
        <w:rPr/>
        <w:t>Nicholls,</w:t>
      </w:r>
      <w:r>
        <w:rPr>
          <w:spacing w:val="-4"/>
        </w:rPr>
        <w:t> </w:t>
      </w:r>
      <w:r>
        <w:rPr/>
        <w:t>P.</w:t>
      </w:r>
      <w:r>
        <w:rPr>
          <w:spacing w:val="-6"/>
        </w:rPr>
        <w:t> </w:t>
      </w:r>
      <w:r>
        <w:rPr/>
        <w:t>(1984).</w:t>
      </w:r>
      <w:r>
        <w:rPr>
          <w:spacing w:val="-6"/>
        </w:rPr>
        <w:t> </w:t>
      </w:r>
      <w:r>
        <w:rPr/>
        <w:t>The</w:t>
      </w:r>
      <w:r>
        <w:rPr>
          <w:spacing w:val="-5"/>
        </w:rPr>
        <w:t> </w:t>
      </w:r>
      <w:r>
        <w:rPr/>
        <w:t>acceptance</w:t>
      </w:r>
      <w:r>
        <w:rPr>
          <w:spacing w:val="-4"/>
        </w:rPr>
        <w:t> </w:t>
      </w:r>
      <w:r>
        <w:rPr/>
        <w:t>of</w:t>
      </w:r>
      <w:r>
        <w:rPr>
          <w:spacing w:val="-6"/>
        </w:rPr>
        <w:t> </w:t>
      </w:r>
      <w:r>
        <w:rPr/>
        <w:t>dyed</w:t>
      </w:r>
      <w:r>
        <w:rPr>
          <w:spacing w:val="-6"/>
        </w:rPr>
        <w:t> </w:t>
      </w:r>
      <w:r>
        <w:rPr/>
        <w:t>grain</w:t>
      </w:r>
      <w:r>
        <w:rPr>
          <w:spacing w:val="-4"/>
        </w:rPr>
        <w:t> </w:t>
      </w:r>
      <w:r>
        <w:rPr/>
        <w:t>by</w:t>
      </w:r>
      <w:r>
        <w:rPr>
          <w:spacing w:val="-5"/>
        </w:rPr>
        <w:t> </w:t>
      </w:r>
      <w:r>
        <w:rPr/>
        <w:t>feral</w:t>
      </w:r>
      <w:r>
        <w:rPr>
          <w:spacing w:val="-7"/>
        </w:rPr>
        <w:t> </w:t>
      </w:r>
      <w:r>
        <w:rPr/>
        <w:t>pigs</w:t>
      </w:r>
      <w:r>
        <w:rPr>
          <w:spacing w:val="-5"/>
        </w:rPr>
        <w:t> </w:t>
      </w:r>
      <w:r>
        <w:rPr/>
        <w:t>and</w:t>
      </w:r>
      <w:r>
        <w:rPr>
          <w:spacing w:val="-5"/>
        </w:rPr>
        <w:t> </w:t>
      </w:r>
      <w:r>
        <w:rPr/>
        <w:t>birds</w:t>
      </w:r>
      <w:r>
        <w:rPr>
          <w:spacing w:val="-3"/>
        </w:rPr>
        <w:t> </w:t>
      </w:r>
      <w:r>
        <w:rPr/>
        <w:t>i.</w:t>
      </w:r>
      <w:r>
        <w:rPr>
          <w:spacing w:val="-6"/>
        </w:rPr>
        <w:t> </w:t>
      </w:r>
      <w:r>
        <w:rPr>
          <w:spacing w:val="-2"/>
        </w:rPr>
        <w:t>birds.</w:t>
      </w:r>
    </w:p>
    <w:p>
      <w:pPr>
        <w:spacing w:before="1"/>
        <w:ind w:left="833" w:right="0" w:firstLine="0"/>
        <w:jc w:val="left"/>
        <w:rPr>
          <w:sz w:val="20"/>
        </w:rPr>
      </w:pPr>
      <w:r>
        <w:rPr>
          <w:i/>
          <w:sz w:val="20"/>
        </w:rPr>
        <w:t>Wildlife</w:t>
      </w:r>
      <w:r>
        <w:rPr>
          <w:i/>
          <w:spacing w:val="-9"/>
          <w:sz w:val="20"/>
        </w:rPr>
        <w:t> </w:t>
      </w:r>
      <w:r>
        <w:rPr>
          <w:i/>
          <w:sz w:val="20"/>
        </w:rPr>
        <w:t>Research</w:t>
      </w:r>
      <w:r>
        <w:rPr>
          <w:i/>
          <w:spacing w:val="-8"/>
          <w:sz w:val="20"/>
        </w:rPr>
        <w:t> </w:t>
      </w:r>
      <w:r>
        <w:rPr>
          <w:b/>
          <w:sz w:val="20"/>
        </w:rPr>
        <w:t>11</w:t>
      </w:r>
      <w:r>
        <w:rPr>
          <w:sz w:val="20"/>
        </w:rPr>
        <w:t>(3):509.</w:t>
      </w:r>
      <w:r>
        <w:rPr>
          <w:spacing w:val="-8"/>
          <w:sz w:val="20"/>
        </w:rPr>
        <w:t> </w:t>
      </w:r>
      <w:r>
        <w:rPr>
          <w:sz w:val="20"/>
        </w:rPr>
        <w:t>doi:</w:t>
      </w:r>
      <w:r>
        <w:rPr>
          <w:spacing w:val="-7"/>
          <w:sz w:val="20"/>
        </w:rPr>
        <w:t> </w:t>
      </w:r>
      <w:r>
        <w:rPr>
          <w:spacing w:val="-2"/>
          <w:sz w:val="20"/>
        </w:rPr>
        <w:t>10.1071/WR9840509.</w:t>
      </w:r>
    </w:p>
    <w:p>
      <w:pPr>
        <w:spacing w:after="0"/>
        <w:jc w:val="left"/>
        <w:rPr>
          <w:sz w:val="20"/>
        </w:rPr>
        <w:sectPr>
          <w:pgSz w:w="11910" w:h="16850"/>
          <w:pgMar w:header="0" w:footer="688" w:top="1060" w:bottom="880" w:left="1020" w:right="780"/>
        </w:sectPr>
      </w:pPr>
    </w:p>
    <w:p>
      <w:pPr>
        <w:pStyle w:val="BodyText"/>
        <w:spacing w:before="71"/>
        <w:ind w:left="833" w:right="163" w:hanging="721"/>
      </w:pPr>
      <w:r>
        <w:rPr/>
        <w:t>Bubela,</w:t>
      </w:r>
      <w:r>
        <w:rPr>
          <w:spacing w:val="-4"/>
        </w:rPr>
        <w:t> </w:t>
      </w:r>
      <w:r>
        <w:rPr/>
        <w:t>T.,</w:t>
      </w:r>
      <w:r>
        <w:rPr>
          <w:spacing w:val="-2"/>
        </w:rPr>
        <w:t> </w:t>
      </w:r>
      <w:r>
        <w:rPr/>
        <w:t>Bartell,</w:t>
      </w:r>
      <w:r>
        <w:rPr>
          <w:spacing w:val="-4"/>
        </w:rPr>
        <w:t> </w:t>
      </w:r>
      <w:r>
        <w:rPr/>
        <w:t>R.,</w:t>
      </w:r>
      <w:r>
        <w:rPr>
          <w:spacing w:val="-2"/>
        </w:rPr>
        <w:t> </w:t>
      </w:r>
      <w:r>
        <w:rPr/>
        <w:t>and Müller,</w:t>
      </w:r>
      <w:r>
        <w:rPr>
          <w:spacing w:val="-1"/>
        </w:rPr>
        <w:t> </w:t>
      </w:r>
      <w:r>
        <w:rPr/>
        <w:t>W.</w:t>
      </w:r>
      <w:r>
        <w:rPr>
          <w:spacing w:val="-4"/>
        </w:rPr>
        <w:t> </w:t>
      </w:r>
      <w:r>
        <w:rPr/>
        <w:t>(1998).</w:t>
      </w:r>
      <w:r>
        <w:rPr>
          <w:spacing w:val="-4"/>
        </w:rPr>
        <w:t> </w:t>
      </w:r>
      <w:r>
        <w:rPr/>
        <w:t>Factors</w:t>
      </w:r>
      <w:r>
        <w:rPr>
          <w:spacing w:val="-2"/>
        </w:rPr>
        <w:t> </w:t>
      </w:r>
      <w:r>
        <w:rPr/>
        <w:t>affecting</w:t>
      </w:r>
      <w:r>
        <w:rPr>
          <w:spacing w:val="-5"/>
        </w:rPr>
        <w:t> </w:t>
      </w:r>
      <w:r>
        <w:rPr/>
        <w:t>the</w:t>
      </w:r>
      <w:r>
        <w:rPr>
          <w:spacing w:val="-5"/>
        </w:rPr>
        <w:t> </w:t>
      </w:r>
      <w:r>
        <w:rPr/>
        <w:t>trappability</w:t>
      </w:r>
      <w:r>
        <w:rPr>
          <w:spacing w:val="-3"/>
        </w:rPr>
        <w:t> </w:t>
      </w:r>
      <w:r>
        <w:rPr/>
        <w:t>of Red</w:t>
      </w:r>
      <w:r>
        <w:rPr>
          <w:spacing w:val="-4"/>
        </w:rPr>
        <w:t> </w:t>
      </w:r>
      <w:r>
        <w:rPr/>
        <w:t>Foxes</w:t>
      </w:r>
      <w:r>
        <w:rPr>
          <w:spacing w:val="-1"/>
        </w:rPr>
        <w:t> </w:t>
      </w:r>
      <w:r>
        <w:rPr/>
        <w:t>in</w:t>
      </w:r>
      <w:r>
        <w:rPr>
          <w:spacing w:val="-1"/>
        </w:rPr>
        <w:t> </w:t>
      </w:r>
      <w:r>
        <w:rPr/>
        <w:t>Kosciusko National Park. </w:t>
      </w:r>
      <w:r>
        <w:rPr>
          <w:i/>
        </w:rPr>
        <w:t>Wildlife Research </w:t>
      </w:r>
      <w:r>
        <w:rPr>
          <w:b/>
        </w:rPr>
        <w:t>25</w:t>
      </w:r>
      <w:r>
        <w:rPr/>
        <w:t>(2):199–208.</w:t>
      </w:r>
    </w:p>
    <w:p>
      <w:pPr>
        <w:pStyle w:val="BodyText"/>
        <w:spacing w:before="11"/>
      </w:pPr>
    </w:p>
    <w:p>
      <w:pPr>
        <w:pStyle w:val="BodyText"/>
        <w:spacing w:before="1"/>
        <w:ind w:left="833" w:right="163" w:hanging="721"/>
      </w:pPr>
      <w:r>
        <w:rPr/>
        <w:t>Burbidge, Andrew A., and McKenzie, N.L. (1989). Patterns in the modern decline of Western Australia’s vertebrate</w:t>
      </w:r>
      <w:r>
        <w:rPr>
          <w:spacing w:val="-4"/>
        </w:rPr>
        <w:t> </w:t>
      </w:r>
      <w:r>
        <w:rPr/>
        <w:t>fauna:</w:t>
      </w:r>
      <w:r>
        <w:rPr>
          <w:spacing w:val="-6"/>
        </w:rPr>
        <w:t> </w:t>
      </w:r>
      <w:r>
        <w:rPr/>
        <w:t>causes</w:t>
      </w:r>
      <w:r>
        <w:rPr>
          <w:spacing w:val="-5"/>
        </w:rPr>
        <w:t> </w:t>
      </w:r>
      <w:r>
        <w:rPr/>
        <w:t>and</w:t>
      </w:r>
      <w:r>
        <w:rPr>
          <w:spacing w:val="-7"/>
        </w:rPr>
        <w:t> </w:t>
      </w:r>
      <w:r>
        <w:rPr/>
        <w:t>conservation</w:t>
      </w:r>
      <w:r>
        <w:rPr>
          <w:spacing w:val="-4"/>
        </w:rPr>
        <w:t> </w:t>
      </w:r>
      <w:r>
        <w:rPr/>
        <w:t>implications.</w:t>
      </w:r>
      <w:r>
        <w:rPr>
          <w:spacing w:val="-1"/>
        </w:rPr>
        <w:t> </w:t>
      </w:r>
      <w:r>
        <w:rPr>
          <w:i/>
        </w:rPr>
        <w:t>Biological</w:t>
      </w:r>
      <w:r>
        <w:rPr>
          <w:i/>
          <w:spacing w:val="-7"/>
        </w:rPr>
        <w:t> </w:t>
      </w:r>
      <w:r>
        <w:rPr>
          <w:i/>
        </w:rPr>
        <w:t>Conservation</w:t>
      </w:r>
      <w:r>
        <w:rPr>
          <w:i/>
          <w:spacing w:val="-2"/>
        </w:rPr>
        <w:t> </w:t>
      </w:r>
      <w:r>
        <w:rPr>
          <w:b/>
        </w:rPr>
        <w:t>50</w:t>
      </w:r>
      <w:r>
        <w:rPr/>
        <w:t>(1–4):143–98.</w:t>
      </w:r>
    </w:p>
    <w:p>
      <w:pPr>
        <w:pStyle w:val="BodyText"/>
        <w:spacing w:before="10"/>
      </w:pPr>
    </w:p>
    <w:p>
      <w:pPr>
        <w:pStyle w:val="BodyText"/>
        <w:ind w:left="833" w:right="163" w:hanging="721"/>
      </w:pPr>
      <w:r>
        <w:rPr/>
        <w:t>Burley,</w:t>
      </w:r>
      <w:r>
        <w:rPr>
          <w:spacing w:val="-4"/>
        </w:rPr>
        <w:t> </w:t>
      </w:r>
      <w:r>
        <w:rPr/>
        <w:t>J.R.W.</w:t>
      </w:r>
      <w:r>
        <w:rPr>
          <w:spacing w:val="-4"/>
        </w:rPr>
        <w:t> </w:t>
      </w:r>
      <w:r>
        <w:rPr/>
        <w:t>(1986).</w:t>
      </w:r>
      <w:r>
        <w:rPr>
          <w:spacing w:val="-4"/>
        </w:rPr>
        <w:t> </w:t>
      </w:r>
      <w:r>
        <w:rPr/>
        <w:t>Advances</w:t>
      </w:r>
      <w:r>
        <w:rPr>
          <w:spacing w:val="-3"/>
        </w:rPr>
        <w:t> </w:t>
      </w:r>
      <w:r>
        <w:rPr/>
        <w:t>in</w:t>
      </w:r>
      <w:r>
        <w:rPr>
          <w:spacing w:val="-2"/>
        </w:rPr>
        <w:t> </w:t>
      </w:r>
      <w:r>
        <w:rPr/>
        <w:t>the</w:t>
      </w:r>
      <w:r>
        <w:rPr>
          <w:spacing w:val="-2"/>
        </w:rPr>
        <w:t> </w:t>
      </w:r>
      <w:r>
        <w:rPr/>
        <w:t>integrated</w:t>
      </w:r>
      <w:r>
        <w:rPr>
          <w:spacing w:val="-5"/>
        </w:rPr>
        <w:t> </w:t>
      </w:r>
      <w:r>
        <w:rPr/>
        <w:t>control</w:t>
      </w:r>
      <w:r>
        <w:rPr>
          <w:spacing w:val="-5"/>
        </w:rPr>
        <w:t> </w:t>
      </w:r>
      <w:r>
        <w:rPr/>
        <w:t>of</w:t>
      </w:r>
      <w:r>
        <w:rPr>
          <w:spacing w:val="-2"/>
        </w:rPr>
        <w:t> </w:t>
      </w:r>
      <w:r>
        <w:rPr/>
        <w:t>the European</w:t>
      </w:r>
      <w:r>
        <w:rPr>
          <w:spacing w:val="-4"/>
        </w:rPr>
        <w:t> </w:t>
      </w:r>
      <w:r>
        <w:rPr/>
        <w:t>Rabbit</w:t>
      </w:r>
      <w:r>
        <w:rPr>
          <w:spacing w:val="-2"/>
        </w:rPr>
        <w:t> </w:t>
      </w:r>
      <w:r>
        <w:rPr/>
        <w:t>in</w:t>
      </w:r>
      <w:r>
        <w:rPr>
          <w:spacing w:val="-1"/>
        </w:rPr>
        <w:t> </w:t>
      </w:r>
      <w:r>
        <w:rPr/>
        <w:t>South</w:t>
      </w:r>
      <w:r>
        <w:rPr>
          <w:spacing w:val="-2"/>
        </w:rPr>
        <w:t> </w:t>
      </w:r>
      <w:r>
        <w:rPr/>
        <w:t>Australia.</w:t>
      </w:r>
      <w:r>
        <w:rPr>
          <w:spacing w:val="-2"/>
        </w:rPr>
        <w:t> </w:t>
      </w:r>
      <w:r>
        <w:rPr/>
        <w:t>in </w:t>
      </w:r>
      <w:r>
        <w:rPr>
          <w:i/>
        </w:rPr>
        <w:t>12th</w:t>
      </w:r>
      <w:r>
        <w:rPr>
          <w:i/>
        </w:rPr>
        <w:t> Vertebrate Pest Conference</w:t>
      </w:r>
      <w:r>
        <w:rPr/>
        <w:t>. Davis, California: University of California Press.</w:t>
      </w:r>
    </w:p>
    <w:p>
      <w:pPr>
        <w:pStyle w:val="BodyText"/>
        <w:spacing w:before="9"/>
      </w:pPr>
    </w:p>
    <w:p>
      <w:pPr>
        <w:pStyle w:val="BodyText"/>
        <w:ind w:left="833" w:right="364" w:hanging="721"/>
      </w:pPr>
      <w:r>
        <w:rPr/>
        <w:t>Burns,</w:t>
      </w:r>
      <w:r>
        <w:rPr>
          <w:spacing w:val="-5"/>
        </w:rPr>
        <w:t> </w:t>
      </w:r>
      <w:r>
        <w:rPr/>
        <w:t>R.J.,</w:t>
      </w:r>
      <w:r>
        <w:rPr>
          <w:spacing w:val="-5"/>
        </w:rPr>
        <w:t> </w:t>
      </w:r>
      <w:r>
        <w:rPr/>
        <w:t>Zemlicka,</w:t>
      </w:r>
      <w:r>
        <w:rPr>
          <w:spacing w:val="-5"/>
        </w:rPr>
        <w:t> </w:t>
      </w:r>
      <w:r>
        <w:rPr/>
        <w:t>D.E.,</w:t>
      </w:r>
      <w:r>
        <w:rPr>
          <w:spacing w:val="-3"/>
        </w:rPr>
        <w:t> </w:t>
      </w:r>
      <w:r>
        <w:rPr/>
        <w:t>and</w:t>
      </w:r>
      <w:r>
        <w:rPr>
          <w:spacing w:val="-3"/>
        </w:rPr>
        <w:t> </w:t>
      </w:r>
      <w:r>
        <w:rPr/>
        <w:t>Savarie,</w:t>
      </w:r>
      <w:r>
        <w:rPr>
          <w:spacing w:val="-3"/>
        </w:rPr>
        <w:t> </w:t>
      </w:r>
      <w:r>
        <w:rPr/>
        <w:t>P.J.</w:t>
      </w:r>
      <w:r>
        <w:rPr>
          <w:spacing w:val="-5"/>
        </w:rPr>
        <w:t> </w:t>
      </w:r>
      <w:r>
        <w:rPr/>
        <w:t>(1996).</w:t>
      </w:r>
      <w:r>
        <w:rPr>
          <w:spacing w:val="-3"/>
        </w:rPr>
        <w:t> </w:t>
      </w:r>
      <w:r>
        <w:rPr/>
        <w:t>Effectiveness</w:t>
      </w:r>
      <w:r>
        <w:rPr>
          <w:spacing w:val="-4"/>
        </w:rPr>
        <w:t> </w:t>
      </w:r>
      <w:r>
        <w:rPr/>
        <w:t>of</w:t>
      </w:r>
      <w:r>
        <w:rPr>
          <w:spacing w:val="-3"/>
        </w:rPr>
        <w:t> </w:t>
      </w:r>
      <w:r>
        <w:rPr/>
        <w:t>large</w:t>
      </w:r>
      <w:r>
        <w:rPr>
          <w:spacing w:val="-5"/>
        </w:rPr>
        <w:t> </w:t>
      </w:r>
      <w:r>
        <w:rPr/>
        <w:t>livestock</w:t>
      </w:r>
      <w:r>
        <w:rPr>
          <w:spacing w:val="-4"/>
        </w:rPr>
        <w:t> </w:t>
      </w:r>
      <w:r>
        <w:rPr/>
        <w:t>protection</w:t>
      </w:r>
      <w:r>
        <w:rPr>
          <w:spacing w:val="-5"/>
        </w:rPr>
        <w:t> </w:t>
      </w:r>
      <w:r>
        <w:rPr/>
        <w:t>collars against depredating coyotes. </w:t>
      </w:r>
      <w:r>
        <w:rPr>
          <w:i/>
        </w:rPr>
        <w:t>Wildlife Society Bulletin </w:t>
      </w:r>
      <w:r>
        <w:rPr>
          <w:b/>
        </w:rPr>
        <w:t>24</w:t>
      </w:r>
      <w:r>
        <w:rPr/>
        <w:t>(1):123–27.</w:t>
      </w:r>
    </w:p>
    <w:p>
      <w:pPr>
        <w:pStyle w:val="BodyText"/>
        <w:spacing w:before="11"/>
      </w:pPr>
    </w:p>
    <w:p>
      <w:pPr>
        <w:pStyle w:val="BodyText"/>
        <w:ind w:left="833" w:right="232" w:hanging="721"/>
      </w:pPr>
      <w:r>
        <w:rPr/>
        <w:t>Burrows, N.D., Algar, D., Robinson, A.D., Sinagra, J., Ward, B., and Liddelow, G. (2003). Controlling introduced</w:t>
      </w:r>
      <w:r>
        <w:rPr>
          <w:spacing w:val="-4"/>
        </w:rPr>
        <w:t> </w:t>
      </w:r>
      <w:r>
        <w:rPr/>
        <w:t>predators</w:t>
      </w:r>
      <w:r>
        <w:rPr>
          <w:spacing w:val="-3"/>
        </w:rPr>
        <w:t> </w:t>
      </w:r>
      <w:r>
        <w:rPr/>
        <w:t>in</w:t>
      </w:r>
      <w:r>
        <w:rPr>
          <w:spacing w:val="-3"/>
        </w:rPr>
        <w:t> </w:t>
      </w:r>
      <w:r>
        <w:rPr/>
        <w:t>the Gibson</w:t>
      </w:r>
      <w:r>
        <w:rPr>
          <w:spacing w:val="-4"/>
        </w:rPr>
        <w:t> </w:t>
      </w:r>
      <w:r>
        <w:rPr/>
        <w:t>desert</w:t>
      </w:r>
      <w:r>
        <w:rPr>
          <w:spacing w:val="-5"/>
        </w:rPr>
        <w:t> </w:t>
      </w:r>
      <w:r>
        <w:rPr/>
        <w:t>of</w:t>
      </w:r>
      <w:r>
        <w:rPr>
          <w:spacing w:val="-2"/>
        </w:rPr>
        <w:t> </w:t>
      </w:r>
      <w:r>
        <w:rPr/>
        <w:t>Western</w:t>
      </w:r>
      <w:r>
        <w:rPr>
          <w:spacing w:val="-2"/>
        </w:rPr>
        <w:t> </w:t>
      </w:r>
      <w:r>
        <w:rPr/>
        <w:t>Australia.</w:t>
      </w:r>
      <w:r>
        <w:rPr>
          <w:spacing w:val="-2"/>
        </w:rPr>
        <w:t> </w:t>
      </w:r>
      <w:r>
        <w:rPr>
          <w:i/>
        </w:rPr>
        <w:t>Journal</w:t>
      </w:r>
      <w:r>
        <w:rPr>
          <w:i/>
          <w:spacing w:val="-6"/>
        </w:rPr>
        <w:t> </w:t>
      </w:r>
      <w:r>
        <w:rPr>
          <w:i/>
        </w:rPr>
        <w:t>of</w:t>
      </w:r>
      <w:r>
        <w:rPr>
          <w:i/>
          <w:spacing w:val="-5"/>
        </w:rPr>
        <w:t> </w:t>
      </w:r>
      <w:r>
        <w:rPr>
          <w:i/>
        </w:rPr>
        <w:t>Arid</w:t>
      </w:r>
      <w:r>
        <w:rPr>
          <w:i/>
          <w:spacing w:val="-3"/>
        </w:rPr>
        <w:t> </w:t>
      </w:r>
      <w:r>
        <w:rPr>
          <w:i/>
        </w:rPr>
        <w:t>Environments</w:t>
      </w:r>
      <w:r>
        <w:rPr/>
        <w:t>.</w:t>
      </w:r>
    </w:p>
    <w:p>
      <w:pPr>
        <w:pStyle w:val="BodyText"/>
        <w:spacing w:before="10"/>
      </w:pPr>
    </w:p>
    <w:p>
      <w:pPr>
        <w:spacing w:before="1"/>
        <w:ind w:left="833" w:right="163" w:hanging="721"/>
        <w:jc w:val="left"/>
        <w:rPr>
          <w:sz w:val="20"/>
        </w:rPr>
      </w:pPr>
      <w:r>
        <w:rPr>
          <w:sz w:val="20"/>
        </w:rPr>
        <w:t>Busana,</w:t>
      </w:r>
      <w:r>
        <w:rPr>
          <w:spacing w:val="-3"/>
          <w:sz w:val="20"/>
        </w:rPr>
        <w:t> </w:t>
      </w:r>
      <w:r>
        <w:rPr>
          <w:sz w:val="20"/>
        </w:rPr>
        <w:t>F.,</w:t>
      </w:r>
      <w:r>
        <w:rPr>
          <w:spacing w:val="-3"/>
          <w:sz w:val="20"/>
        </w:rPr>
        <w:t> </w:t>
      </w:r>
      <w:r>
        <w:rPr>
          <w:sz w:val="20"/>
        </w:rPr>
        <w:t>Gigliotti,</w:t>
      </w:r>
      <w:r>
        <w:rPr>
          <w:spacing w:val="-1"/>
          <w:sz w:val="20"/>
        </w:rPr>
        <w:t> </w:t>
      </w:r>
      <w:r>
        <w:rPr>
          <w:sz w:val="20"/>
        </w:rPr>
        <w:t>F.,</w:t>
      </w:r>
      <w:r>
        <w:rPr>
          <w:spacing w:val="-3"/>
          <w:sz w:val="20"/>
        </w:rPr>
        <w:t> </w:t>
      </w:r>
      <w:r>
        <w:rPr>
          <w:sz w:val="20"/>
        </w:rPr>
        <w:t>and</w:t>
      </w:r>
      <w:r>
        <w:rPr>
          <w:spacing w:val="-3"/>
          <w:sz w:val="20"/>
        </w:rPr>
        <w:t> </w:t>
      </w:r>
      <w:r>
        <w:rPr>
          <w:sz w:val="20"/>
        </w:rPr>
        <w:t>Marks,</w:t>
      </w:r>
      <w:r>
        <w:rPr>
          <w:spacing w:val="-3"/>
          <w:sz w:val="20"/>
        </w:rPr>
        <w:t> </w:t>
      </w:r>
      <w:r>
        <w:rPr>
          <w:sz w:val="20"/>
        </w:rPr>
        <w:t>C.A.</w:t>
      </w:r>
      <w:r>
        <w:rPr>
          <w:spacing w:val="-3"/>
          <w:sz w:val="20"/>
        </w:rPr>
        <w:t> </w:t>
      </w:r>
      <w:r>
        <w:rPr>
          <w:sz w:val="20"/>
        </w:rPr>
        <w:t>(1998).</w:t>
      </w:r>
      <w:r>
        <w:rPr>
          <w:spacing w:val="-1"/>
          <w:sz w:val="20"/>
        </w:rPr>
        <w:t> </w:t>
      </w:r>
      <w:r>
        <w:rPr>
          <w:sz w:val="20"/>
        </w:rPr>
        <w:t>Modified</w:t>
      </w:r>
      <w:r>
        <w:rPr>
          <w:spacing w:val="-2"/>
          <w:sz w:val="20"/>
        </w:rPr>
        <w:t> </w:t>
      </w:r>
      <w:r>
        <w:rPr>
          <w:sz w:val="20"/>
        </w:rPr>
        <w:t>m-44</w:t>
      </w:r>
      <w:r>
        <w:rPr>
          <w:spacing w:val="-3"/>
          <w:sz w:val="20"/>
        </w:rPr>
        <w:t> </w:t>
      </w:r>
      <w:r>
        <w:rPr>
          <w:sz w:val="20"/>
        </w:rPr>
        <w:t>cyanide</w:t>
      </w:r>
      <w:r>
        <w:rPr>
          <w:spacing w:val="-3"/>
          <w:sz w:val="20"/>
        </w:rPr>
        <w:t> </w:t>
      </w:r>
      <w:r>
        <w:rPr>
          <w:sz w:val="20"/>
        </w:rPr>
        <w:t>ejector</w:t>
      </w:r>
      <w:r>
        <w:rPr>
          <w:spacing w:val="-3"/>
          <w:sz w:val="20"/>
        </w:rPr>
        <w:t> </w:t>
      </w:r>
      <w:r>
        <w:rPr>
          <w:sz w:val="20"/>
        </w:rPr>
        <w:t>for</w:t>
      </w:r>
      <w:r>
        <w:rPr>
          <w:spacing w:val="-2"/>
          <w:sz w:val="20"/>
        </w:rPr>
        <w:t> </w:t>
      </w:r>
      <w:r>
        <w:rPr>
          <w:sz w:val="20"/>
        </w:rPr>
        <w:t>the</w:t>
      </w:r>
      <w:r>
        <w:rPr>
          <w:spacing w:val="-3"/>
          <w:sz w:val="20"/>
        </w:rPr>
        <w:t> </w:t>
      </w:r>
      <w:r>
        <w:rPr>
          <w:sz w:val="20"/>
        </w:rPr>
        <w:t>baiting</w:t>
      </w:r>
      <w:r>
        <w:rPr>
          <w:spacing w:val="-1"/>
          <w:sz w:val="20"/>
        </w:rPr>
        <w:t> </w:t>
      </w:r>
      <w:r>
        <w:rPr>
          <w:sz w:val="20"/>
        </w:rPr>
        <w:t>of Red</w:t>
      </w:r>
      <w:r>
        <w:rPr>
          <w:spacing w:val="-3"/>
          <w:sz w:val="20"/>
        </w:rPr>
        <w:t> </w:t>
      </w:r>
      <w:r>
        <w:rPr>
          <w:sz w:val="20"/>
        </w:rPr>
        <w:t>Foxes (</w:t>
      </w:r>
      <w:r>
        <w:rPr>
          <w:i/>
          <w:sz w:val="20"/>
        </w:rPr>
        <w:t>vulpes vulpes</w:t>
      </w:r>
      <w:r>
        <w:rPr>
          <w:sz w:val="20"/>
        </w:rPr>
        <w:t>). </w:t>
      </w:r>
      <w:r>
        <w:rPr>
          <w:i/>
          <w:sz w:val="20"/>
        </w:rPr>
        <w:t>Wildlife Research </w:t>
      </w:r>
      <w:r>
        <w:rPr>
          <w:b/>
          <w:sz w:val="20"/>
        </w:rPr>
        <w:t>25</w:t>
      </w:r>
      <w:r>
        <w:rPr>
          <w:sz w:val="20"/>
        </w:rPr>
        <w:t>(2):209–15.</w:t>
      </w:r>
    </w:p>
    <w:p>
      <w:pPr>
        <w:pStyle w:val="BodyText"/>
        <w:spacing w:before="8"/>
      </w:pPr>
    </w:p>
    <w:p>
      <w:pPr>
        <w:pStyle w:val="BodyText"/>
        <w:spacing w:before="1"/>
        <w:ind w:left="833" w:right="364" w:hanging="721"/>
      </w:pPr>
      <w:r>
        <w:rPr/>
        <w:t>Calenge,</w:t>
      </w:r>
      <w:r>
        <w:rPr>
          <w:spacing w:val="-4"/>
        </w:rPr>
        <w:t> </w:t>
      </w:r>
      <w:r>
        <w:rPr/>
        <w:t>C.,</w:t>
      </w:r>
      <w:r>
        <w:rPr>
          <w:spacing w:val="-2"/>
        </w:rPr>
        <w:t> </w:t>
      </w:r>
      <w:r>
        <w:rPr/>
        <w:t>Mailard,</w:t>
      </w:r>
      <w:r>
        <w:rPr>
          <w:spacing w:val="-4"/>
        </w:rPr>
        <w:t> </w:t>
      </w:r>
      <w:r>
        <w:rPr/>
        <w:t>D.,</w:t>
      </w:r>
      <w:r>
        <w:rPr>
          <w:spacing w:val="-2"/>
        </w:rPr>
        <w:t> </w:t>
      </w:r>
      <w:r>
        <w:rPr/>
        <w:t>Vassant,</w:t>
      </w:r>
      <w:r>
        <w:rPr>
          <w:spacing w:val="-4"/>
        </w:rPr>
        <w:t> </w:t>
      </w:r>
      <w:r>
        <w:rPr/>
        <w:t>J.,</w:t>
      </w:r>
      <w:r>
        <w:rPr>
          <w:spacing w:val="-4"/>
        </w:rPr>
        <w:t> </w:t>
      </w:r>
      <w:r>
        <w:rPr/>
        <w:t>and</w:t>
      </w:r>
      <w:r>
        <w:rPr>
          <w:spacing w:val="-3"/>
        </w:rPr>
        <w:t> </w:t>
      </w:r>
      <w:r>
        <w:rPr/>
        <w:t>Brandt,</w:t>
      </w:r>
      <w:r>
        <w:rPr>
          <w:spacing w:val="-2"/>
        </w:rPr>
        <w:t> </w:t>
      </w:r>
      <w:r>
        <w:rPr/>
        <w:t>S.</w:t>
      </w:r>
      <w:r>
        <w:rPr>
          <w:spacing w:val="-4"/>
        </w:rPr>
        <w:t> </w:t>
      </w:r>
      <w:r>
        <w:rPr/>
        <w:t>(2002).</w:t>
      </w:r>
      <w:r>
        <w:rPr>
          <w:spacing w:val="-2"/>
        </w:rPr>
        <w:t> </w:t>
      </w:r>
      <w:r>
        <w:rPr/>
        <w:t>Summer</w:t>
      </w:r>
      <w:r>
        <w:rPr>
          <w:spacing w:val="-4"/>
        </w:rPr>
        <w:t> </w:t>
      </w:r>
      <w:r>
        <w:rPr/>
        <w:t>and</w:t>
      </w:r>
      <w:r>
        <w:rPr>
          <w:spacing w:val="-4"/>
        </w:rPr>
        <w:t> </w:t>
      </w:r>
      <w:r>
        <w:rPr/>
        <w:t>hunting</w:t>
      </w:r>
      <w:r>
        <w:rPr>
          <w:spacing w:val="-4"/>
        </w:rPr>
        <w:t> </w:t>
      </w:r>
      <w:r>
        <w:rPr/>
        <w:t>season</w:t>
      </w:r>
      <w:r>
        <w:rPr>
          <w:spacing w:val="-3"/>
        </w:rPr>
        <w:t> </w:t>
      </w:r>
      <w:r>
        <w:rPr/>
        <w:t>home</w:t>
      </w:r>
      <w:r>
        <w:rPr>
          <w:spacing w:val="-4"/>
        </w:rPr>
        <w:t> </w:t>
      </w:r>
      <w:r>
        <w:rPr/>
        <w:t>ranges</w:t>
      </w:r>
      <w:r>
        <w:rPr>
          <w:spacing w:val="-3"/>
        </w:rPr>
        <w:t> </w:t>
      </w:r>
      <w:r>
        <w:rPr/>
        <w:t>of wild boar (</w:t>
      </w:r>
      <w:r>
        <w:rPr>
          <w:i/>
        </w:rPr>
        <w:t>Sus scrofa</w:t>
      </w:r>
      <w:r>
        <w:rPr/>
        <w:t>) in two habitats in France. </w:t>
      </w:r>
      <w:r>
        <w:rPr>
          <w:i/>
        </w:rPr>
        <w:t>Game &amp; Wildlife Science </w:t>
      </w:r>
      <w:r>
        <w:rPr>
          <w:b/>
        </w:rPr>
        <w:t>19</w:t>
      </w:r>
      <w:r>
        <w:rPr/>
        <w:t>(4):281–301.</w:t>
      </w:r>
    </w:p>
    <w:p>
      <w:pPr>
        <w:pStyle w:val="BodyText"/>
        <w:spacing w:before="10"/>
      </w:pPr>
    </w:p>
    <w:p>
      <w:pPr>
        <w:pStyle w:val="BodyText"/>
        <w:spacing w:before="1"/>
        <w:ind w:left="833" w:right="364" w:hanging="721"/>
      </w:pPr>
      <w:r>
        <w:rPr/>
        <w:t>Calenge,</w:t>
      </w:r>
      <w:r>
        <w:rPr>
          <w:spacing w:val="-4"/>
        </w:rPr>
        <w:t> </w:t>
      </w:r>
      <w:r>
        <w:rPr/>
        <w:t>C.,</w:t>
      </w:r>
      <w:r>
        <w:rPr>
          <w:spacing w:val="-2"/>
        </w:rPr>
        <w:t> </w:t>
      </w:r>
      <w:r>
        <w:rPr/>
        <w:t>Maillard,</w:t>
      </w:r>
      <w:r>
        <w:rPr>
          <w:spacing w:val="-2"/>
        </w:rPr>
        <w:t> </w:t>
      </w:r>
      <w:r>
        <w:rPr/>
        <w:t>D.,</w:t>
      </w:r>
      <w:r>
        <w:rPr>
          <w:spacing w:val="-4"/>
        </w:rPr>
        <w:t> </w:t>
      </w:r>
      <w:r>
        <w:rPr/>
        <w:t>Fournier,</w:t>
      </w:r>
      <w:r>
        <w:rPr>
          <w:spacing w:val="-4"/>
        </w:rPr>
        <w:t> </w:t>
      </w:r>
      <w:r>
        <w:rPr/>
        <w:t>P.,</w:t>
      </w:r>
      <w:r>
        <w:rPr>
          <w:spacing w:val="-4"/>
        </w:rPr>
        <w:t> </w:t>
      </w:r>
      <w:r>
        <w:rPr/>
        <w:t>and</w:t>
      </w:r>
      <w:r>
        <w:rPr>
          <w:spacing w:val="-4"/>
        </w:rPr>
        <w:t> </w:t>
      </w:r>
      <w:r>
        <w:rPr/>
        <w:t>Fouque,</w:t>
      </w:r>
      <w:r>
        <w:rPr>
          <w:spacing w:val="-4"/>
        </w:rPr>
        <w:t> </w:t>
      </w:r>
      <w:r>
        <w:rPr/>
        <w:t>C.</w:t>
      </w:r>
      <w:r>
        <w:rPr>
          <w:spacing w:val="-1"/>
        </w:rPr>
        <w:t> </w:t>
      </w:r>
      <w:r>
        <w:rPr/>
        <w:t>(2004).</w:t>
      </w:r>
      <w:r>
        <w:rPr>
          <w:spacing w:val="-2"/>
        </w:rPr>
        <w:t> </w:t>
      </w:r>
      <w:r>
        <w:rPr/>
        <w:t>Efficiency</w:t>
      </w:r>
      <w:r>
        <w:rPr>
          <w:spacing w:val="-3"/>
        </w:rPr>
        <w:t> </w:t>
      </w:r>
      <w:r>
        <w:rPr/>
        <w:t>of</w:t>
      </w:r>
      <w:r>
        <w:rPr>
          <w:spacing w:val="-4"/>
        </w:rPr>
        <w:t> </w:t>
      </w:r>
      <w:r>
        <w:rPr/>
        <w:t>spreading</w:t>
      </w:r>
      <w:r>
        <w:rPr>
          <w:spacing w:val="-4"/>
        </w:rPr>
        <w:t> </w:t>
      </w:r>
      <w:r>
        <w:rPr/>
        <w:t>maize</w:t>
      </w:r>
      <w:r>
        <w:rPr>
          <w:spacing w:val="-2"/>
        </w:rPr>
        <w:t> </w:t>
      </w:r>
      <w:r>
        <w:rPr/>
        <w:t>in</w:t>
      </w:r>
      <w:r>
        <w:rPr>
          <w:spacing w:val="-4"/>
        </w:rPr>
        <w:t> </w:t>
      </w:r>
      <w:r>
        <w:rPr/>
        <w:t>the</w:t>
      </w:r>
      <w:r>
        <w:rPr>
          <w:spacing w:val="-3"/>
        </w:rPr>
        <w:t> </w:t>
      </w:r>
      <w:r>
        <w:rPr/>
        <w:t>garrigues to reduce wild boar (</w:t>
      </w:r>
      <w:r>
        <w:rPr>
          <w:i/>
        </w:rPr>
        <w:t>Sus scrofa</w:t>
      </w:r>
      <w:r>
        <w:rPr/>
        <w:t>) damage to mediterranean vineyards. </w:t>
      </w:r>
      <w:r>
        <w:rPr>
          <w:i/>
        </w:rPr>
        <w:t>European Journal of Wildlife</w:t>
      </w:r>
      <w:r>
        <w:rPr>
          <w:i/>
        </w:rPr>
        <w:t> Research </w:t>
      </w:r>
      <w:r>
        <w:rPr>
          <w:b/>
        </w:rPr>
        <w:t>50</w:t>
      </w:r>
      <w:r>
        <w:rPr/>
        <w:t>(3):112–20. doi: 10.1007/s10344-004-0047-y.</w:t>
      </w:r>
    </w:p>
    <w:p>
      <w:pPr>
        <w:pStyle w:val="BodyText"/>
        <w:spacing w:before="8"/>
      </w:pPr>
    </w:p>
    <w:p>
      <w:pPr>
        <w:pStyle w:val="BodyText"/>
        <w:ind w:left="112"/>
      </w:pPr>
      <w:r>
        <w:rPr/>
        <w:t>Caley,</w:t>
      </w:r>
      <w:r>
        <w:rPr>
          <w:spacing w:val="-5"/>
        </w:rPr>
        <w:t> </w:t>
      </w:r>
      <w:r>
        <w:rPr/>
        <w:t>P.</w:t>
      </w:r>
      <w:r>
        <w:rPr>
          <w:spacing w:val="-6"/>
        </w:rPr>
        <w:t> </w:t>
      </w:r>
      <w:r>
        <w:rPr/>
        <w:t>(1994).</w:t>
      </w:r>
      <w:r>
        <w:rPr>
          <w:spacing w:val="-6"/>
        </w:rPr>
        <w:t> </w:t>
      </w:r>
      <w:r>
        <w:rPr/>
        <w:t>Factors</w:t>
      </w:r>
      <w:r>
        <w:rPr>
          <w:spacing w:val="-4"/>
        </w:rPr>
        <w:t> </w:t>
      </w:r>
      <w:r>
        <w:rPr/>
        <w:t>affecting</w:t>
      </w:r>
      <w:r>
        <w:rPr>
          <w:spacing w:val="-6"/>
        </w:rPr>
        <w:t> </w:t>
      </w:r>
      <w:r>
        <w:rPr/>
        <w:t>the</w:t>
      </w:r>
      <w:r>
        <w:rPr>
          <w:spacing w:val="-6"/>
        </w:rPr>
        <w:t> </w:t>
      </w:r>
      <w:r>
        <w:rPr/>
        <w:t>success</w:t>
      </w:r>
      <w:r>
        <w:rPr>
          <w:spacing w:val="-6"/>
        </w:rPr>
        <w:t> </w:t>
      </w:r>
      <w:r>
        <w:rPr/>
        <w:t>rate</w:t>
      </w:r>
      <w:r>
        <w:rPr>
          <w:spacing w:val="-7"/>
        </w:rPr>
        <w:t> </w:t>
      </w:r>
      <w:r>
        <w:rPr/>
        <w:t>of</w:t>
      </w:r>
      <w:r>
        <w:rPr>
          <w:spacing w:val="-6"/>
        </w:rPr>
        <w:t> </w:t>
      </w:r>
      <w:r>
        <w:rPr/>
        <w:t>traps</w:t>
      </w:r>
      <w:r>
        <w:rPr>
          <w:spacing w:val="-5"/>
        </w:rPr>
        <w:t> </w:t>
      </w:r>
      <w:r>
        <w:rPr/>
        <w:t>for</w:t>
      </w:r>
      <w:r>
        <w:rPr>
          <w:spacing w:val="-5"/>
        </w:rPr>
        <w:t> </w:t>
      </w:r>
      <w:r>
        <w:rPr/>
        <w:t>catching</w:t>
      </w:r>
      <w:r>
        <w:rPr>
          <w:spacing w:val="-7"/>
        </w:rPr>
        <w:t> </w:t>
      </w:r>
      <w:r>
        <w:rPr/>
        <w:t>feral</w:t>
      </w:r>
      <w:r>
        <w:rPr>
          <w:spacing w:val="-4"/>
        </w:rPr>
        <w:t> </w:t>
      </w:r>
      <w:r>
        <w:rPr/>
        <w:t>pigs</w:t>
      </w:r>
      <w:r>
        <w:rPr>
          <w:spacing w:val="-6"/>
        </w:rPr>
        <w:t> </w:t>
      </w:r>
      <w:r>
        <w:rPr/>
        <w:t>in</w:t>
      </w:r>
      <w:r>
        <w:rPr>
          <w:spacing w:val="-6"/>
        </w:rPr>
        <w:t> </w:t>
      </w:r>
      <w:r>
        <w:rPr/>
        <w:t>a</w:t>
      </w:r>
      <w:r>
        <w:rPr>
          <w:spacing w:val="-7"/>
        </w:rPr>
        <w:t> </w:t>
      </w:r>
      <w:r>
        <w:rPr/>
        <w:t>tropical</w:t>
      </w:r>
      <w:r>
        <w:rPr>
          <w:spacing w:val="-7"/>
        </w:rPr>
        <w:t> </w:t>
      </w:r>
      <w:r>
        <w:rPr>
          <w:spacing w:val="-2"/>
        </w:rPr>
        <w:t>habitat.</w:t>
      </w:r>
    </w:p>
    <w:p>
      <w:pPr>
        <w:spacing w:before="1"/>
        <w:ind w:left="833" w:right="0" w:firstLine="0"/>
        <w:jc w:val="left"/>
        <w:rPr>
          <w:sz w:val="20"/>
        </w:rPr>
      </w:pPr>
      <w:r>
        <w:rPr>
          <w:i/>
          <w:sz w:val="20"/>
        </w:rPr>
        <w:t>Wildlife</w:t>
      </w:r>
      <w:r>
        <w:rPr>
          <w:i/>
          <w:spacing w:val="-9"/>
          <w:sz w:val="20"/>
        </w:rPr>
        <w:t> </w:t>
      </w:r>
      <w:r>
        <w:rPr>
          <w:i/>
          <w:sz w:val="20"/>
        </w:rPr>
        <w:t>Research</w:t>
      </w:r>
      <w:r>
        <w:rPr>
          <w:i/>
          <w:spacing w:val="-8"/>
          <w:sz w:val="20"/>
        </w:rPr>
        <w:t> </w:t>
      </w:r>
      <w:r>
        <w:rPr>
          <w:b/>
          <w:sz w:val="20"/>
        </w:rPr>
        <w:t>21</w:t>
      </w:r>
      <w:r>
        <w:rPr>
          <w:sz w:val="20"/>
        </w:rPr>
        <w:t>(3):287.</w:t>
      </w:r>
      <w:r>
        <w:rPr>
          <w:spacing w:val="-8"/>
          <w:sz w:val="20"/>
        </w:rPr>
        <w:t> </w:t>
      </w:r>
      <w:r>
        <w:rPr>
          <w:sz w:val="20"/>
        </w:rPr>
        <w:t>doi:</w:t>
      </w:r>
      <w:r>
        <w:rPr>
          <w:spacing w:val="-7"/>
          <w:sz w:val="20"/>
        </w:rPr>
        <w:t> </w:t>
      </w:r>
      <w:r>
        <w:rPr>
          <w:spacing w:val="-2"/>
          <w:sz w:val="20"/>
        </w:rPr>
        <w:t>10.1071/WR9940287.</w:t>
      </w:r>
    </w:p>
    <w:p>
      <w:pPr>
        <w:pStyle w:val="BodyText"/>
        <w:spacing w:before="10"/>
      </w:pPr>
    </w:p>
    <w:p>
      <w:pPr>
        <w:pStyle w:val="BodyText"/>
        <w:ind w:left="112"/>
      </w:pPr>
      <w:r>
        <w:rPr/>
        <w:t>Caley,</w:t>
      </w:r>
      <w:r>
        <w:rPr>
          <w:spacing w:val="-5"/>
        </w:rPr>
        <w:t> </w:t>
      </w:r>
      <w:r>
        <w:rPr/>
        <w:t>P.,</w:t>
      </w:r>
      <w:r>
        <w:rPr>
          <w:spacing w:val="-5"/>
        </w:rPr>
        <w:t> </w:t>
      </w:r>
      <w:r>
        <w:rPr/>
        <w:t>and</w:t>
      </w:r>
      <w:r>
        <w:rPr>
          <w:spacing w:val="-5"/>
        </w:rPr>
        <w:t> </w:t>
      </w:r>
      <w:r>
        <w:rPr/>
        <w:t>Ottley,</w:t>
      </w:r>
      <w:r>
        <w:rPr>
          <w:spacing w:val="-5"/>
        </w:rPr>
        <w:t> </w:t>
      </w:r>
      <w:r>
        <w:rPr/>
        <w:t>B.</w:t>
      </w:r>
      <w:r>
        <w:rPr>
          <w:spacing w:val="-5"/>
        </w:rPr>
        <w:t> </w:t>
      </w:r>
      <w:r>
        <w:rPr/>
        <w:t>(1995).</w:t>
      </w:r>
      <w:r>
        <w:rPr>
          <w:spacing w:val="-7"/>
        </w:rPr>
        <w:t> </w:t>
      </w:r>
      <w:r>
        <w:rPr/>
        <w:t>The</w:t>
      </w:r>
      <w:r>
        <w:rPr>
          <w:spacing w:val="-7"/>
        </w:rPr>
        <w:t> </w:t>
      </w:r>
      <w:r>
        <w:rPr/>
        <w:t>effectiveness</w:t>
      </w:r>
      <w:r>
        <w:rPr>
          <w:spacing w:val="-6"/>
        </w:rPr>
        <w:t> </w:t>
      </w:r>
      <w:r>
        <w:rPr/>
        <w:t>of</w:t>
      </w:r>
      <w:r>
        <w:rPr>
          <w:spacing w:val="-5"/>
        </w:rPr>
        <w:t> </w:t>
      </w:r>
      <w:r>
        <w:rPr/>
        <w:t>hunting</w:t>
      </w:r>
      <w:r>
        <w:rPr>
          <w:spacing w:val="-5"/>
        </w:rPr>
        <w:t> </w:t>
      </w:r>
      <w:r>
        <w:rPr/>
        <w:t>dogs</w:t>
      </w:r>
      <w:r>
        <w:rPr>
          <w:spacing w:val="-6"/>
        </w:rPr>
        <w:t> </w:t>
      </w:r>
      <w:r>
        <w:rPr/>
        <w:t>for</w:t>
      </w:r>
      <w:r>
        <w:rPr>
          <w:spacing w:val="-5"/>
        </w:rPr>
        <w:t> </w:t>
      </w:r>
      <w:r>
        <w:rPr/>
        <w:t>removing</w:t>
      </w:r>
      <w:r>
        <w:rPr>
          <w:spacing w:val="-7"/>
        </w:rPr>
        <w:t> </w:t>
      </w:r>
      <w:r>
        <w:rPr/>
        <w:t>feral</w:t>
      </w:r>
      <w:r>
        <w:rPr>
          <w:spacing w:val="-8"/>
        </w:rPr>
        <w:t> </w:t>
      </w:r>
      <w:r>
        <w:rPr/>
        <w:t>pigs</w:t>
      </w:r>
      <w:r>
        <w:rPr>
          <w:spacing w:val="-6"/>
        </w:rPr>
        <w:t> </w:t>
      </w:r>
      <w:r>
        <w:rPr/>
        <w:t>(sus</w:t>
      </w:r>
      <w:r>
        <w:rPr>
          <w:spacing w:val="-6"/>
        </w:rPr>
        <w:t> </w:t>
      </w:r>
      <w:r>
        <w:rPr>
          <w:spacing w:val="-2"/>
        </w:rPr>
        <w:t>scrofa).</w:t>
      </w:r>
    </w:p>
    <w:p>
      <w:pPr>
        <w:spacing w:before="1"/>
        <w:ind w:left="833" w:right="0" w:firstLine="0"/>
        <w:jc w:val="left"/>
        <w:rPr>
          <w:sz w:val="20"/>
        </w:rPr>
      </w:pPr>
      <w:r>
        <w:rPr>
          <w:i/>
          <w:sz w:val="20"/>
        </w:rPr>
        <w:t>Wildlife</w:t>
      </w:r>
      <w:r>
        <w:rPr>
          <w:i/>
          <w:spacing w:val="-11"/>
          <w:sz w:val="20"/>
        </w:rPr>
        <w:t> </w:t>
      </w:r>
      <w:r>
        <w:rPr>
          <w:i/>
          <w:sz w:val="20"/>
        </w:rPr>
        <w:t>Research</w:t>
      </w:r>
      <w:r>
        <w:rPr>
          <w:i/>
          <w:spacing w:val="-9"/>
          <w:sz w:val="20"/>
        </w:rPr>
        <w:t> </w:t>
      </w:r>
      <w:r>
        <w:rPr>
          <w:b/>
          <w:spacing w:val="-2"/>
          <w:sz w:val="20"/>
        </w:rPr>
        <w:t>22</w:t>
      </w:r>
      <w:r>
        <w:rPr>
          <w:spacing w:val="-2"/>
          <w:sz w:val="20"/>
        </w:rPr>
        <w:t>:147–54.</w:t>
      </w:r>
    </w:p>
    <w:p>
      <w:pPr>
        <w:pStyle w:val="BodyText"/>
        <w:spacing w:before="10"/>
      </w:pPr>
    </w:p>
    <w:p>
      <w:pPr>
        <w:pStyle w:val="BodyText"/>
        <w:ind w:left="833" w:right="365" w:hanging="721"/>
      </w:pPr>
      <w:r>
        <w:rPr/>
        <w:t>Campbell, T., Foster, J., Bodenchuk, M., Eisemann, J., Staples, L., and Lapidge, S. (2013). Effectiveness</w:t>
      </w:r>
      <w:r>
        <w:rPr>
          <w:spacing w:val="40"/>
        </w:rPr>
        <w:t> </w:t>
      </w:r>
      <w:r>
        <w:rPr/>
        <w:t>and</w:t>
      </w:r>
      <w:r>
        <w:rPr>
          <w:spacing w:val="-3"/>
        </w:rPr>
        <w:t> </w:t>
      </w:r>
      <w:r>
        <w:rPr/>
        <w:t>target-specificity</w:t>
      </w:r>
      <w:r>
        <w:rPr>
          <w:spacing w:val="-2"/>
        </w:rPr>
        <w:t> </w:t>
      </w:r>
      <w:r>
        <w:rPr/>
        <w:t>of</w:t>
      </w:r>
      <w:r>
        <w:rPr>
          <w:spacing w:val="-3"/>
        </w:rPr>
        <w:t> </w:t>
      </w:r>
      <w:r>
        <w:rPr/>
        <w:t>a</w:t>
      </w:r>
      <w:r>
        <w:rPr>
          <w:spacing w:val="-1"/>
        </w:rPr>
        <w:t> </w:t>
      </w:r>
      <w:r>
        <w:rPr/>
        <w:t>novel</w:t>
      </w:r>
      <w:r>
        <w:rPr>
          <w:spacing w:val="-4"/>
        </w:rPr>
        <w:t> </w:t>
      </w:r>
      <w:r>
        <w:rPr/>
        <w:t>design</w:t>
      </w:r>
      <w:r>
        <w:rPr>
          <w:spacing w:val="-3"/>
        </w:rPr>
        <w:t> </w:t>
      </w:r>
      <w:r>
        <w:rPr/>
        <w:t>of</w:t>
      </w:r>
      <w:r>
        <w:rPr>
          <w:spacing w:val="-1"/>
        </w:rPr>
        <w:t> </w:t>
      </w:r>
      <w:r>
        <w:rPr/>
        <w:t>food</w:t>
      </w:r>
      <w:r>
        <w:rPr>
          <w:spacing w:val="-3"/>
        </w:rPr>
        <w:t> </w:t>
      </w:r>
      <w:r>
        <w:rPr/>
        <w:t>dispenser</w:t>
      </w:r>
      <w:r>
        <w:rPr>
          <w:spacing w:val="-3"/>
        </w:rPr>
        <w:t> </w:t>
      </w:r>
      <w:r>
        <w:rPr/>
        <w:t>to</w:t>
      </w:r>
      <w:r>
        <w:rPr>
          <w:spacing w:val="-3"/>
        </w:rPr>
        <w:t> </w:t>
      </w:r>
      <w:r>
        <w:rPr/>
        <w:t>deliver</w:t>
      </w:r>
      <w:r>
        <w:rPr>
          <w:spacing w:val="-3"/>
        </w:rPr>
        <w:t> </w:t>
      </w:r>
      <w:r>
        <w:rPr/>
        <w:t>a</w:t>
      </w:r>
      <w:r>
        <w:rPr>
          <w:spacing w:val="-3"/>
        </w:rPr>
        <w:t> </w:t>
      </w:r>
      <w:r>
        <w:rPr/>
        <w:t>toxin</w:t>
      </w:r>
      <w:r>
        <w:rPr>
          <w:spacing w:val="-3"/>
        </w:rPr>
        <w:t> </w:t>
      </w:r>
      <w:r>
        <w:rPr/>
        <w:t>to</w:t>
      </w:r>
      <w:r>
        <w:rPr>
          <w:spacing w:val="-3"/>
        </w:rPr>
        <w:t> </w:t>
      </w:r>
      <w:r>
        <w:rPr/>
        <w:t>feral</w:t>
      </w:r>
      <w:r>
        <w:rPr>
          <w:spacing w:val="-2"/>
        </w:rPr>
        <w:t> </w:t>
      </w:r>
      <w:r>
        <w:rPr/>
        <w:t>swine</w:t>
      </w:r>
      <w:r>
        <w:rPr>
          <w:spacing w:val="-2"/>
        </w:rPr>
        <w:t> </w:t>
      </w:r>
      <w:r>
        <w:rPr/>
        <w:t>in</w:t>
      </w:r>
      <w:r>
        <w:rPr>
          <w:spacing w:val="-3"/>
        </w:rPr>
        <w:t> </w:t>
      </w:r>
      <w:r>
        <w:rPr/>
        <w:t>the United States. </w:t>
      </w:r>
      <w:r>
        <w:rPr>
          <w:i/>
        </w:rPr>
        <w:t>International Journal of Pest Management </w:t>
      </w:r>
      <w:r>
        <w:rPr>
          <w:b/>
        </w:rPr>
        <w:t>59</w:t>
      </w:r>
      <w:r>
        <w:rPr/>
        <w:t>(3):197–204. doi: </w:t>
      </w:r>
      <w:r>
        <w:rPr>
          <w:spacing w:val="-2"/>
        </w:rPr>
        <w:t>10.1080/09670874.2013.815830.</w:t>
      </w:r>
    </w:p>
    <w:p>
      <w:pPr>
        <w:pStyle w:val="BodyText"/>
        <w:spacing w:before="10"/>
      </w:pPr>
    </w:p>
    <w:p>
      <w:pPr>
        <w:pStyle w:val="BodyText"/>
        <w:ind w:left="112"/>
      </w:pPr>
      <w:r>
        <w:rPr/>
        <w:t>Campbell,</w:t>
      </w:r>
      <w:r>
        <w:rPr>
          <w:spacing w:val="-9"/>
        </w:rPr>
        <w:t> </w:t>
      </w:r>
      <w:r>
        <w:rPr/>
        <w:t>T.A.,</w:t>
      </w:r>
      <w:r>
        <w:rPr>
          <w:spacing w:val="-6"/>
        </w:rPr>
        <w:t> </w:t>
      </w:r>
      <w:r>
        <w:rPr/>
        <w:t>Bodenchuk,</w:t>
      </w:r>
      <w:r>
        <w:rPr>
          <w:spacing w:val="-8"/>
        </w:rPr>
        <w:t> </w:t>
      </w:r>
      <w:r>
        <w:rPr/>
        <w:t>M.J.,</w:t>
      </w:r>
      <w:r>
        <w:rPr>
          <w:spacing w:val="-6"/>
        </w:rPr>
        <w:t> </w:t>
      </w:r>
      <w:r>
        <w:rPr/>
        <w:t>Eisemann,</w:t>
      </w:r>
      <w:r>
        <w:rPr>
          <w:spacing w:val="-9"/>
        </w:rPr>
        <w:t> </w:t>
      </w:r>
      <w:r>
        <w:rPr/>
        <w:t>J.D.,</w:t>
      </w:r>
      <w:r>
        <w:rPr>
          <w:spacing w:val="-6"/>
        </w:rPr>
        <w:t> </w:t>
      </w:r>
      <w:r>
        <w:rPr/>
        <w:t>Lapidge,</w:t>
      </w:r>
      <w:r>
        <w:rPr>
          <w:spacing w:val="-6"/>
        </w:rPr>
        <w:t> </w:t>
      </w:r>
      <w:r>
        <w:rPr/>
        <w:t>S.J.,</w:t>
      </w:r>
      <w:r>
        <w:rPr>
          <w:spacing w:val="-7"/>
        </w:rPr>
        <w:t> </w:t>
      </w:r>
      <w:r>
        <w:rPr/>
        <w:t>Staples,</w:t>
      </w:r>
      <w:r>
        <w:rPr>
          <w:spacing w:val="-8"/>
        </w:rPr>
        <w:t> </w:t>
      </w:r>
      <w:r>
        <w:rPr/>
        <w:t>L.,</w:t>
      </w:r>
      <w:r>
        <w:rPr>
          <w:spacing w:val="-6"/>
        </w:rPr>
        <w:t> </w:t>
      </w:r>
      <w:r>
        <w:rPr/>
        <w:t>and</w:t>
      </w:r>
      <w:r>
        <w:rPr>
          <w:spacing w:val="-5"/>
        </w:rPr>
        <w:t> </w:t>
      </w:r>
      <w:r>
        <w:rPr/>
        <w:t>Morrow.</w:t>
      </w:r>
      <w:r>
        <w:rPr>
          <w:spacing w:val="-8"/>
        </w:rPr>
        <w:t> </w:t>
      </w:r>
      <w:r>
        <w:rPr>
          <w:spacing w:val="-2"/>
        </w:rPr>
        <w:t>(2012).</w:t>
      </w:r>
    </w:p>
    <w:p>
      <w:pPr>
        <w:spacing w:before="0"/>
        <w:ind w:left="833" w:right="0" w:firstLine="0"/>
        <w:jc w:val="left"/>
        <w:rPr>
          <w:sz w:val="20"/>
        </w:rPr>
      </w:pPr>
      <w:r>
        <w:rPr>
          <w:sz w:val="20"/>
        </w:rPr>
        <w:t>Preliminary</w:t>
      </w:r>
      <w:r>
        <w:rPr>
          <w:spacing w:val="-3"/>
          <w:sz w:val="20"/>
        </w:rPr>
        <w:t> </w:t>
      </w:r>
      <w:r>
        <w:rPr>
          <w:sz w:val="20"/>
        </w:rPr>
        <w:t>assessment</w:t>
      </w:r>
      <w:r>
        <w:rPr>
          <w:spacing w:val="-4"/>
          <w:sz w:val="20"/>
        </w:rPr>
        <w:t> </w:t>
      </w:r>
      <w:r>
        <w:rPr>
          <w:sz w:val="20"/>
        </w:rPr>
        <w:t>of</w:t>
      </w:r>
      <w:r>
        <w:rPr>
          <w:spacing w:val="-3"/>
          <w:sz w:val="20"/>
        </w:rPr>
        <w:t> </w:t>
      </w:r>
      <w:r>
        <w:rPr>
          <w:sz w:val="20"/>
        </w:rPr>
        <w:t>the</w:t>
      </w:r>
      <w:r>
        <w:rPr>
          <w:spacing w:val="-3"/>
          <w:sz w:val="20"/>
        </w:rPr>
        <w:t> </w:t>
      </w:r>
      <w:r>
        <w:rPr>
          <w:sz w:val="20"/>
        </w:rPr>
        <w:t>HogHopper</w:t>
      </w:r>
      <w:r>
        <w:rPr>
          <w:position w:val="6"/>
          <w:sz w:val="13"/>
        </w:rPr>
        <w:t>tm</w:t>
      </w:r>
      <w:r>
        <w:rPr>
          <w:spacing w:val="17"/>
          <w:position w:val="6"/>
          <w:sz w:val="13"/>
        </w:rPr>
        <w:t> </w:t>
      </w:r>
      <w:r>
        <w:rPr>
          <w:sz w:val="20"/>
        </w:rPr>
        <w:t>for</w:t>
      </w:r>
      <w:r>
        <w:rPr>
          <w:spacing w:val="-4"/>
          <w:sz w:val="20"/>
        </w:rPr>
        <w:t> </w:t>
      </w:r>
      <w:r>
        <w:rPr>
          <w:sz w:val="20"/>
        </w:rPr>
        <w:t>excluding</w:t>
      </w:r>
      <w:r>
        <w:rPr>
          <w:spacing w:val="-3"/>
          <w:sz w:val="20"/>
        </w:rPr>
        <w:t> </w:t>
      </w:r>
      <w:r>
        <w:rPr>
          <w:sz w:val="20"/>
        </w:rPr>
        <w:t>non-target</w:t>
      </w:r>
      <w:r>
        <w:rPr>
          <w:spacing w:val="-3"/>
          <w:sz w:val="20"/>
        </w:rPr>
        <w:t> </w:t>
      </w:r>
      <w:r>
        <w:rPr>
          <w:sz w:val="20"/>
        </w:rPr>
        <w:t>wildlife.</w:t>
      </w:r>
      <w:r>
        <w:rPr>
          <w:spacing w:val="-4"/>
          <w:sz w:val="20"/>
        </w:rPr>
        <w:t> </w:t>
      </w:r>
      <w:r>
        <w:rPr>
          <w:sz w:val="20"/>
        </w:rPr>
        <w:t>in</w:t>
      </w:r>
      <w:r>
        <w:rPr>
          <w:spacing w:val="-3"/>
          <w:sz w:val="20"/>
        </w:rPr>
        <w:t> </w:t>
      </w:r>
      <w:r>
        <w:rPr>
          <w:i/>
          <w:sz w:val="20"/>
        </w:rPr>
        <w:t>Proceedings</w:t>
      </w:r>
      <w:r>
        <w:rPr>
          <w:i/>
          <w:spacing w:val="-4"/>
          <w:sz w:val="20"/>
        </w:rPr>
        <w:t> </w:t>
      </w:r>
      <w:r>
        <w:rPr>
          <w:i/>
          <w:sz w:val="20"/>
        </w:rPr>
        <w:t>of</w:t>
      </w:r>
      <w:r>
        <w:rPr>
          <w:i/>
          <w:spacing w:val="-4"/>
          <w:sz w:val="20"/>
        </w:rPr>
        <w:t> </w:t>
      </w:r>
      <w:r>
        <w:rPr>
          <w:i/>
          <w:sz w:val="20"/>
        </w:rPr>
        <w:t>the</w:t>
      </w:r>
      <w:r>
        <w:rPr>
          <w:i/>
          <w:sz w:val="20"/>
        </w:rPr>
        <w:t> Vertebrate Pest Conference</w:t>
      </w:r>
      <w:r>
        <w:rPr>
          <w:sz w:val="20"/>
        </w:rPr>
        <w:t>. Vol. 25.</w:t>
      </w:r>
    </w:p>
    <w:p>
      <w:pPr>
        <w:pStyle w:val="BodyText"/>
        <w:spacing w:before="8"/>
      </w:pPr>
    </w:p>
    <w:p>
      <w:pPr>
        <w:pStyle w:val="BodyText"/>
        <w:spacing w:before="1"/>
        <w:ind w:left="833" w:right="163" w:hanging="721"/>
      </w:pPr>
      <w:r>
        <w:rPr/>
        <w:t>Campbell,</w:t>
      </w:r>
      <w:r>
        <w:rPr>
          <w:spacing w:val="-3"/>
        </w:rPr>
        <w:t> </w:t>
      </w:r>
      <w:r>
        <w:rPr/>
        <w:t>T.A.,</w:t>
      </w:r>
      <w:r>
        <w:rPr>
          <w:spacing w:val="-1"/>
        </w:rPr>
        <w:t> </w:t>
      </w:r>
      <w:r>
        <w:rPr/>
        <w:t>Lapidge,</w:t>
      </w:r>
      <w:r>
        <w:rPr>
          <w:spacing w:val="-1"/>
        </w:rPr>
        <w:t> </w:t>
      </w:r>
      <w:r>
        <w:rPr/>
        <w:t>S.J.,</w:t>
      </w:r>
      <w:r>
        <w:rPr>
          <w:spacing w:val="-3"/>
        </w:rPr>
        <w:t> </w:t>
      </w:r>
      <w:r>
        <w:rPr/>
        <w:t>and</w:t>
      </w:r>
      <w:r>
        <w:rPr>
          <w:spacing w:val="-2"/>
        </w:rPr>
        <w:t> </w:t>
      </w:r>
      <w:r>
        <w:rPr/>
        <w:t>Long,</w:t>
      </w:r>
      <w:r>
        <w:rPr>
          <w:spacing w:val="-3"/>
        </w:rPr>
        <w:t> </w:t>
      </w:r>
      <w:r>
        <w:rPr/>
        <w:t>D.B.</w:t>
      </w:r>
      <w:r>
        <w:rPr>
          <w:spacing w:val="-3"/>
        </w:rPr>
        <w:t> </w:t>
      </w:r>
      <w:r>
        <w:rPr/>
        <w:t>(2006).</w:t>
      </w:r>
      <w:r>
        <w:rPr>
          <w:spacing w:val="-1"/>
        </w:rPr>
        <w:t> </w:t>
      </w:r>
      <w:r>
        <w:rPr/>
        <w:t>Using</w:t>
      </w:r>
      <w:r>
        <w:rPr>
          <w:spacing w:val="-2"/>
        </w:rPr>
        <w:t> </w:t>
      </w:r>
      <w:r>
        <w:rPr/>
        <w:t>baits</w:t>
      </w:r>
      <w:r>
        <w:rPr>
          <w:spacing w:val="-2"/>
        </w:rPr>
        <w:t> </w:t>
      </w:r>
      <w:r>
        <w:rPr/>
        <w:t>to</w:t>
      </w:r>
      <w:r>
        <w:rPr>
          <w:spacing w:val="-4"/>
        </w:rPr>
        <w:t> </w:t>
      </w:r>
      <w:r>
        <w:rPr/>
        <w:t>deliver</w:t>
      </w:r>
      <w:r>
        <w:rPr>
          <w:spacing w:val="-3"/>
        </w:rPr>
        <w:t> </w:t>
      </w:r>
      <w:r>
        <w:rPr/>
        <w:t>pharmaceuticals</w:t>
      </w:r>
      <w:r>
        <w:rPr>
          <w:spacing w:val="-2"/>
        </w:rPr>
        <w:t> </w:t>
      </w:r>
      <w:r>
        <w:rPr/>
        <w:t>to</w:t>
      </w:r>
      <w:r>
        <w:rPr>
          <w:spacing w:val="-3"/>
        </w:rPr>
        <w:t> </w:t>
      </w:r>
      <w:r>
        <w:rPr/>
        <w:t>feral</w:t>
      </w:r>
      <w:r>
        <w:rPr>
          <w:spacing w:val="-4"/>
        </w:rPr>
        <w:t> </w:t>
      </w:r>
      <w:r>
        <w:rPr/>
        <w:t>swine</w:t>
      </w:r>
      <w:r>
        <w:rPr>
          <w:spacing w:val="-2"/>
        </w:rPr>
        <w:t> </w:t>
      </w:r>
      <w:r>
        <w:rPr/>
        <w:t>in southern Texas. </w:t>
      </w:r>
      <w:r>
        <w:rPr>
          <w:i/>
        </w:rPr>
        <w:t>Wildlife Society Bulletin </w:t>
      </w:r>
      <w:r>
        <w:rPr>
          <w:b/>
        </w:rPr>
        <w:t>34</w:t>
      </w:r>
      <w:r>
        <w:rPr/>
        <w:t>(4):1184–89. doi: 10.2193/0091- </w:t>
      </w:r>
      <w:r>
        <w:rPr>
          <w:spacing w:val="-2"/>
        </w:rPr>
        <w:t>7648(2006)34[1184:UBTDPT]2.0.CO;2.</w:t>
      </w:r>
    </w:p>
    <w:p>
      <w:pPr>
        <w:pStyle w:val="BodyText"/>
        <w:spacing w:before="11"/>
      </w:pPr>
    </w:p>
    <w:p>
      <w:pPr>
        <w:pStyle w:val="BodyText"/>
        <w:ind w:left="112"/>
      </w:pPr>
      <w:r>
        <w:rPr/>
        <w:t>Campbell,</w:t>
      </w:r>
      <w:r>
        <w:rPr>
          <w:spacing w:val="-9"/>
        </w:rPr>
        <w:t> </w:t>
      </w:r>
      <w:r>
        <w:rPr/>
        <w:t>T.A.,</w:t>
      </w:r>
      <w:r>
        <w:rPr>
          <w:spacing w:val="-7"/>
        </w:rPr>
        <w:t> </w:t>
      </w:r>
      <w:r>
        <w:rPr/>
        <w:t>and</w:t>
      </w:r>
      <w:r>
        <w:rPr>
          <w:spacing w:val="-9"/>
        </w:rPr>
        <w:t> </w:t>
      </w:r>
      <w:r>
        <w:rPr/>
        <w:t>Long,</w:t>
      </w:r>
      <w:r>
        <w:rPr>
          <w:spacing w:val="-7"/>
        </w:rPr>
        <w:t> </w:t>
      </w:r>
      <w:r>
        <w:rPr/>
        <w:t>D.B.</w:t>
      </w:r>
      <w:r>
        <w:rPr>
          <w:spacing w:val="-8"/>
        </w:rPr>
        <w:t> </w:t>
      </w:r>
      <w:r>
        <w:rPr/>
        <w:t>(2009).</w:t>
      </w:r>
      <w:r>
        <w:rPr>
          <w:spacing w:val="-6"/>
        </w:rPr>
        <w:t> </w:t>
      </w:r>
      <w:r>
        <w:rPr/>
        <w:t>Strawberry-flavoured</w:t>
      </w:r>
      <w:r>
        <w:rPr>
          <w:spacing w:val="-9"/>
        </w:rPr>
        <w:t> </w:t>
      </w:r>
      <w:r>
        <w:rPr/>
        <w:t>baits</w:t>
      </w:r>
      <w:r>
        <w:rPr>
          <w:spacing w:val="-8"/>
        </w:rPr>
        <w:t> </w:t>
      </w:r>
      <w:r>
        <w:rPr/>
        <w:t>for</w:t>
      </w:r>
      <w:r>
        <w:rPr>
          <w:spacing w:val="-8"/>
        </w:rPr>
        <w:t> </w:t>
      </w:r>
      <w:r>
        <w:rPr/>
        <w:t>pharmaceutical</w:t>
      </w:r>
      <w:r>
        <w:rPr>
          <w:spacing w:val="-8"/>
        </w:rPr>
        <w:t> </w:t>
      </w:r>
      <w:r>
        <w:rPr/>
        <w:t>delivery</w:t>
      </w:r>
      <w:r>
        <w:rPr>
          <w:spacing w:val="-7"/>
        </w:rPr>
        <w:t> </w:t>
      </w:r>
      <w:r>
        <w:rPr/>
        <w:t>to</w:t>
      </w:r>
      <w:r>
        <w:rPr>
          <w:spacing w:val="-10"/>
        </w:rPr>
        <w:t> </w:t>
      </w:r>
      <w:r>
        <w:rPr/>
        <w:t>feral</w:t>
      </w:r>
      <w:r>
        <w:rPr>
          <w:spacing w:val="-6"/>
        </w:rPr>
        <w:t> </w:t>
      </w:r>
      <w:r>
        <w:rPr>
          <w:spacing w:val="-2"/>
        </w:rPr>
        <w:t>swine.</w:t>
      </w:r>
    </w:p>
    <w:p>
      <w:pPr>
        <w:spacing w:before="0"/>
        <w:ind w:left="833" w:right="0" w:firstLine="0"/>
        <w:jc w:val="left"/>
        <w:rPr>
          <w:sz w:val="20"/>
        </w:rPr>
      </w:pPr>
      <w:r>
        <w:rPr>
          <w:i/>
          <w:sz w:val="20"/>
        </w:rPr>
        <w:t>The</w:t>
      </w:r>
      <w:r>
        <w:rPr>
          <w:i/>
          <w:spacing w:val="-12"/>
          <w:sz w:val="20"/>
        </w:rPr>
        <w:t> </w:t>
      </w:r>
      <w:r>
        <w:rPr>
          <w:i/>
          <w:sz w:val="20"/>
        </w:rPr>
        <w:t>Journal</w:t>
      </w:r>
      <w:r>
        <w:rPr>
          <w:i/>
          <w:spacing w:val="-9"/>
          <w:sz w:val="20"/>
        </w:rPr>
        <w:t> </w:t>
      </w:r>
      <w:r>
        <w:rPr>
          <w:i/>
          <w:sz w:val="20"/>
        </w:rPr>
        <w:t>of</w:t>
      </w:r>
      <w:r>
        <w:rPr>
          <w:i/>
          <w:spacing w:val="-9"/>
          <w:sz w:val="20"/>
        </w:rPr>
        <w:t> </w:t>
      </w:r>
      <w:r>
        <w:rPr>
          <w:i/>
          <w:sz w:val="20"/>
        </w:rPr>
        <w:t>Wildlife</w:t>
      </w:r>
      <w:r>
        <w:rPr>
          <w:i/>
          <w:spacing w:val="-9"/>
          <w:sz w:val="20"/>
        </w:rPr>
        <w:t> </w:t>
      </w:r>
      <w:r>
        <w:rPr>
          <w:i/>
          <w:sz w:val="20"/>
        </w:rPr>
        <w:t>Management</w:t>
      </w:r>
      <w:r>
        <w:rPr>
          <w:i/>
          <w:spacing w:val="-6"/>
          <w:sz w:val="20"/>
        </w:rPr>
        <w:t> </w:t>
      </w:r>
      <w:r>
        <w:rPr>
          <w:b/>
          <w:sz w:val="20"/>
        </w:rPr>
        <w:t>73</w:t>
      </w:r>
      <w:r>
        <w:rPr>
          <w:sz w:val="20"/>
        </w:rPr>
        <w:t>(4):615–19.</w:t>
      </w:r>
      <w:r>
        <w:rPr>
          <w:spacing w:val="-8"/>
          <w:sz w:val="20"/>
        </w:rPr>
        <w:t> </w:t>
      </w:r>
      <w:r>
        <w:rPr>
          <w:sz w:val="20"/>
        </w:rPr>
        <w:t>doi:</w:t>
      </w:r>
      <w:r>
        <w:rPr>
          <w:spacing w:val="-11"/>
          <w:sz w:val="20"/>
        </w:rPr>
        <w:t> </w:t>
      </w:r>
      <w:r>
        <w:rPr>
          <w:sz w:val="20"/>
        </w:rPr>
        <w:t>10.2193/2008-</w:t>
      </w:r>
      <w:r>
        <w:rPr>
          <w:spacing w:val="-4"/>
          <w:sz w:val="20"/>
        </w:rPr>
        <w:t>326.</w:t>
      </w:r>
    </w:p>
    <w:p>
      <w:pPr>
        <w:pStyle w:val="BodyText"/>
        <w:spacing w:before="11"/>
      </w:pPr>
    </w:p>
    <w:p>
      <w:pPr>
        <w:pStyle w:val="BodyText"/>
        <w:ind w:left="833" w:right="163" w:hanging="721"/>
      </w:pPr>
      <w:r>
        <w:rPr/>
        <w:t>Campbell,</w:t>
      </w:r>
      <w:r>
        <w:rPr>
          <w:spacing w:val="-4"/>
        </w:rPr>
        <w:t> </w:t>
      </w:r>
      <w:r>
        <w:rPr/>
        <w:t>T.A.,</w:t>
      </w:r>
      <w:r>
        <w:rPr>
          <w:spacing w:val="-2"/>
        </w:rPr>
        <w:t> </w:t>
      </w:r>
      <w:r>
        <w:rPr/>
        <w:t>Long,</w:t>
      </w:r>
      <w:r>
        <w:rPr>
          <w:spacing w:val="-4"/>
        </w:rPr>
        <w:t> </w:t>
      </w:r>
      <w:r>
        <w:rPr/>
        <w:t>D.B.,</w:t>
      </w:r>
      <w:r>
        <w:rPr>
          <w:spacing w:val="-2"/>
        </w:rPr>
        <w:t> </w:t>
      </w:r>
      <w:r>
        <w:rPr/>
        <w:t>and</w:t>
      </w:r>
      <w:r>
        <w:rPr>
          <w:spacing w:val="-2"/>
        </w:rPr>
        <w:t> </w:t>
      </w:r>
      <w:r>
        <w:rPr/>
        <w:t>Leland,</w:t>
      </w:r>
      <w:r>
        <w:rPr>
          <w:spacing w:val="-2"/>
        </w:rPr>
        <w:t> </w:t>
      </w:r>
      <w:r>
        <w:rPr/>
        <w:t>B.R.</w:t>
      </w:r>
      <w:r>
        <w:rPr>
          <w:spacing w:val="-4"/>
        </w:rPr>
        <w:t> </w:t>
      </w:r>
      <w:r>
        <w:rPr/>
        <w:t>(2010).</w:t>
      </w:r>
      <w:r>
        <w:rPr>
          <w:spacing w:val="-4"/>
        </w:rPr>
        <w:t> </w:t>
      </w:r>
      <w:r>
        <w:rPr/>
        <w:t>Feral</w:t>
      </w:r>
      <w:r>
        <w:rPr>
          <w:spacing w:val="-5"/>
        </w:rPr>
        <w:t> </w:t>
      </w:r>
      <w:r>
        <w:rPr/>
        <w:t>swine</w:t>
      </w:r>
      <w:r>
        <w:rPr>
          <w:spacing w:val="-1"/>
        </w:rPr>
        <w:t> </w:t>
      </w:r>
      <w:r>
        <w:rPr/>
        <w:t>behaviour</w:t>
      </w:r>
      <w:r>
        <w:rPr>
          <w:spacing w:val="-3"/>
        </w:rPr>
        <w:t> </w:t>
      </w:r>
      <w:r>
        <w:rPr/>
        <w:t>relative</w:t>
      </w:r>
      <w:r>
        <w:rPr>
          <w:spacing w:val="-4"/>
        </w:rPr>
        <w:t> </w:t>
      </w:r>
      <w:r>
        <w:rPr/>
        <w:t>to</w:t>
      </w:r>
      <w:r>
        <w:rPr>
          <w:spacing w:val="-2"/>
        </w:rPr>
        <w:t> </w:t>
      </w:r>
      <w:r>
        <w:rPr/>
        <w:t>aerial</w:t>
      </w:r>
      <w:r>
        <w:rPr>
          <w:spacing w:val="-5"/>
        </w:rPr>
        <w:t> </w:t>
      </w:r>
      <w:r>
        <w:rPr/>
        <w:t>gunning</w:t>
      </w:r>
      <w:r>
        <w:rPr>
          <w:spacing w:val="-4"/>
        </w:rPr>
        <w:t> </w:t>
      </w:r>
      <w:r>
        <w:rPr/>
        <w:t>in southern Texas. </w:t>
      </w:r>
      <w:r>
        <w:rPr>
          <w:i/>
        </w:rPr>
        <w:t>The Journal of Wildlife Management </w:t>
      </w:r>
      <w:r>
        <w:rPr>
          <w:b/>
        </w:rPr>
        <w:t>74</w:t>
      </w:r>
      <w:r>
        <w:rPr/>
        <w:t>(2):337–41. doi: 10.2193/2009-131.</w:t>
      </w:r>
    </w:p>
    <w:p>
      <w:pPr>
        <w:pStyle w:val="BodyText"/>
        <w:spacing w:before="9"/>
      </w:pPr>
    </w:p>
    <w:p>
      <w:pPr>
        <w:pStyle w:val="BodyText"/>
        <w:ind w:left="833" w:right="163" w:hanging="721"/>
      </w:pPr>
      <w:r>
        <w:rPr/>
        <w:t>Carter,</w:t>
      </w:r>
      <w:r>
        <w:rPr>
          <w:spacing w:val="-3"/>
        </w:rPr>
        <w:t> </w:t>
      </w:r>
      <w:r>
        <w:rPr/>
        <w:t>A.,</w:t>
      </w:r>
      <w:r>
        <w:rPr>
          <w:spacing w:val="-3"/>
        </w:rPr>
        <w:t> </w:t>
      </w:r>
      <w:r>
        <w:rPr/>
        <w:t>Luck,</w:t>
      </w:r>
      <w:r>
        <w:rPr>
          <w:spacing w:val="-3"/>
        </w:rPr>
        <w:t> </w:t>
      </w:r>
      <w:r>
        <w:rPr/>
        <w:t>G.W.,</w:t>
      </w:r>
      <w:r>
        <w:rPr>
          <w:spacing w:val="-1"/>
        </w:rPr>
        <w:t> </w:t>
      </w:r>
      <w:r>
        <w:rPr/>
        <w:t>and</w:t>
      </w:r>
      <w:r>
        <w:rPr>
          <w:spacing w:val="-1"/>
        </w:rPr>
        <w:t> </w:t>
      </w:r>
      <w:r>
        <w:rPr/>
        <w:t>McDonald,</w:t>
      </w:r>
      <w:r>
        <w:rPr>
          <w:spacing w:val="-3"/>
        </w:rPr>
        <w:t> </w:t>
      </w:r>
      <w:r>
        <w:rPr/>
        <w:t>S.P.</w:t>
      </w:r>
      <w:r>
        <w:rPr>
          <w:spacing w:val="-3"/>
        </w:rPr>
        <w:t> </w:t>
      </w:r>
      <w:r>
        <w:rPr/>
        <w:t>(2012). Ecology</w:t>
      </w:r>
      <w:r>
        <w:rPr>
          <w:spacing w:val="-2"/>
        </w:rPr>
        <w:t> </w:t>
      </w:r>
      <w:r>
        <w:rPr/>
        <w:t>of</w:t>
      </w:r>
      <w:r>
        <w:rPr>
          <w:spacing w:val="-3"/>
        </w:rPr>
        <w:t> </w:t>
      </w:r>
      <w:r>
        <w:rPr/>
        <w:t>the</w:t>
      </w:r>
      <w:r>
        <w:rPr>
          <w:spacing w:val="-2"/>
        </w:rPr>
        <w:t> </w:t>
      </w:r>
      <w:r>
        <w:rPr/>
        <w:t>Red</w:t>
      </w:r>
      <w:r>
        <w:rPr>
          <w:spacing w:val="-3"/>
        </w:rPr>
        <w:t> </w:t>
      </w:r>
      <w:r>
        <w:rPr/>
        <w:t>Fox</w:t>
      </w:r>
      <w:r>
        <w:rPr>
          <w:spacing w:val="-2"/>
        </w:rPr>
        <w:t> </w:t>
      </w:r>
      <w:r>
        <w:rPr/>
        <w:t>(</w:t>
      </w:r>
      <w:r>
        <w:rPr>
          <w:i/>
        </w:rPr>
        <w:t>vulpes</w:t>
      </w:r>
      <w:r>
        <w:rPr>
          <w:i/>
          <w:spacing w:val="-2"/>
        </w:rPr>
        <w:t> </w:t>
      </w:r>
      <w:r>
        <w:rPr>
          <w:i/>
        </w:rPr>
        <w:t>vulpes</w:t>
      </w:r>
      <w:r>
        <w:rPr/>
        <w:t>)</w:t>
      </w:r>
      <w:r>
        <w:rPr>
          <w:spacing w:val="-2"/>
        </w:rPr>
        <w:t> </w:t>
      </w:r>
      <w:r>
        <w:rPr/>
        <w:t>in</w:t>
      </w:r>
      <w:r>
        <w:rPr>
          <w:spacing w:val="-3"/>
        </w:rPr>
        <w:t> </w:t>
      </w:r>
      <w:r>
        <w:rPr/>
        <w:t>an</w:t>
      </w:r>
      <w:r>
        <w:rPr>
          <w:spacing w:val="-1"/>
        </w:rPr>
        <w:t> </w:t>
      </w:r>
      <w:r>
        <w:rPr/>
        <w:t>agricultural landscape. 2. home range and movements. </w:t>
      </w:r>
      <w:r>
        <w:rPr>
          <w:i/>
        </w:rPr>
        <w:t>Australian Mammalogy </w:t>
      </w:r>
      <w:r>
        <w:rPr>
          <w:b/>
        </w:rPr>
        <w:t>34</w:t>
      </w:r>
      <w:r>
        <w:rPr/>
        <w:t>(2):175–87.</w:t>
      </w:r>
    </w:p>
    <w:p>
      <w:pPr>
        <w:pStyle w:val="BodyText"/>
        <w:spacing w:before="11"/>
      </w:pPr>
    </w:p>
    <w:p>
      <w:pPr>
        <w:pStyle w:val="BodyText"/>
        <w:ind w:left="833" w:right="232" w:hanging="721"/>
      </w:pPr>
      <w:r>
        <w:rPr/>
        <w:t>Castle, G., Kennedy, M.S., and Allen, B.L. (2023). Stuck in the mud: persistent failure of ‘the science’ to provide</w:t>
      </w:r>
      <w:r>
        <w:rPr>
          <w:spacing w:val="-6"/>
        </w:rPr>
        <w:t> </w:t>
      </w:r>
      <w:r>
        <w:rPr/>
        <w:t>reliable</w:t>
      </w:r>
      <w:r>
        <w:rPr>
          <w:spacing w:val="-3"/>
        </w:rPr>
        <w:t> </w:t>
      </w:r>
      <w:r>
        <w:rPr/>
        <w:t>information</w:t>
      </w:r>
      <w:r>
        <w:rPr>
          <w:spacing w:val="-3"/>
        </w:rPr>
        <w:t> </w:t>
      </w:r>
      <w:r>
        <w:rPr/>
        <w:t>on</w:t>
      </w:r>
      <w:r>
        <w:rPr>
          <w:spacing w:val="-6"/>
        </w:rPr>
        <w:t> </w:t>
      </w:r>
      <w:r>
        <w:rPr/>
        <w:t>the</w:t>
      </w:r>
      <w:r>
        <w:rPr>
          <w:spacing w:val="-6"/>
        </w:rPr>
        <w:t> </w:t>
      </w:r>
      <w:r>
        <w:rPr/>
        <w:t>ecological</w:t>
      </w:r>
      <w:r>
        <w:rPr>
          <w:spacing w:val="-6"/>
        </w:rPr>
        <w:t> </w:t>
      </w:r>
      <w:r>
        <w:rPr/>
        <w:t>roles</w:t>
      </w:r>
      <w:r>
        <w:rPr>
          <w:spacing w:val="-4"/>
        </w:rPr>
        <w:t> </w:t>
      </w:r>
      <w:r>
        <w:rPr/>
        <w:t>of Australian</w:t>
      </w:r>
      <w:r>
        <w:rPr>
          <w:spacing w:val="-5"/>
        </w:rPr>
        <w:t> </w:t>
      </w:r>
      <w:r>
        <w:rPr/>
        <w:t>dingoes.</w:t>
      </w:r>
      <w:r>
        <w:rPr>
          <w:spacing w:val="-1"/>
        </w:rPr>
        <w:t> </w:t>
      </w:r>
      <w:r>
        <w:rPr>
          <w:i/>
        </w:rPr>
        <w:t>Biological</w:t>
      </w:r>
      <w:r>
        <w:rPr>
          <w:i/>
          <w:spacing w:val="-6"/>
        </w:rPr>
        <w:t> </w:t>
      </w:r>
      <w:r>
        <w:rPr>
          <w:i/>
        </w:rPr>
        <w:t>Conservation</w:t>
      </w:r>
      <w:r>
        <w:rPr>
          <w:i/>
        </w:rPr>
        <w:t> </w:t>
      </w:r>
      <w:r>
        <w:rPr>
          <w:b/>
        </w:rPr>
        <w:t>285</w:t>
      </w:r>
      <w:r>
        <w:rPr/>
        <w:t>:110234. doi: 10.1016/j.biocon.2023.110234.</w:t>
      </w:r>
    </w:p>
    <w:p>
      <w:pPr>
        <w:pStyle w:val="BodyText"/>
        <w:spacing w:before="11"/>
      </w:pPr>
    </w:p>
    <w:p>
      <w:pPr>
        <w:spacing w:before="0"/>
        <w:ind w:left="112" w:right="0" w:firstLine="0"/>
        <w:jc w:val="left"/>
        <w:rPr>
          <w:sz w:val="20"/>
        </w:rPr>
      </w:pPr>
      <w:r>
        <w:rPr>
          <w:sz w:val="20"/>
        </w:rPr>
        <w:t>Caughley,</w:t>
      </w:r>
      <w:r>
        <w:rPr>
          <w:spacing w:val="-9"/>
          <w:sz w:val="20"/>
        </w:rPr>
        <w:t> </w:t>
      </w:r>
      <w:r>
        <w:rPr>
          <w:sz w:val="20"/>
        </w:rPr>
        <w:t>G.</w:t>
      </w:r>
      <w:r>
        <w:rPr>
          <w:spacing w:val="-6"/>
          <w:sz w:val="20"/>
        </w:rPr>
        <w:t> </w:t>
      </w:r>
      <w:r>
        <w:rPr>
          <w:sz w:val="20"/>
        </w:rPr>
        <w:t>(1980).</w:t>
      </w:r>
      <w:r>
        <w:rPr>
          <w:spacing w:val="-6"/>
          <w:sz w:val="20"/>
        </w:rPr>
        <w:t> </w:t>
      </w:r>
      <w:r>
        <w:rPr>
          <w:i/>
          <w:sz w:val="20"/>
        </w:rPr>
        <w:t>Analysis</w:t>
      </w:r>
      <w:r>
        <w:rPr>
          <w:i/>
          <w:spacing w:val="-8"/>
          <w:sz w:val="20"/>
        </w:rPr>
        <w:t> </w:t>
      </w:r>
      <w:r>
        <w:rPr>
          <w:i/>
          <w:sz w:val="20"/>
        </w:rPr>
        <w:t>of</w:t>
      </w:r>
      <w:r>
        <w:rPr>
          <w:i/>
          <w:spacing w:val="-8"/>
          <w:sz w:val="20"/>
        </w:rPr>
        <w:t> </w:t>
      </w:r>
      <w:r>
        <w:rPr>
          <w:i/>
          <w:sz w:val="20"/>
        </w:rPr>
        <w:t>vertebrate</w:t>
      </w:r>
      <w:r>
        <w:rPr>
          <w:i/>
          <w:spacing w:val="-9"/>
          <w:sz w:val="20"/>
        </w:rPr>
        <w:t> </w:t>
      </w:r>
      <w:r>
        <w:rPr>
          <w:i/>
          <w:sz w:val="20"/>
        </w:rPr>
        <w:t>populations.</w:t>
      </w:r>
      <w:r>
        <w:rPr>
          <w:i/>
          <w:spacing w:val="-4"/>
          <w:sz w:val="20"/>
        </w:rPr>
        <w:t> </w:t>
      </w:r>
      <w:r>
        <w:rPr>
          <w:sz w:val="20"/>
        </w:rPr>
        <w:t>John</w:t>
      </w:r>
      <w:r>
        <w:rPr>
          <w:spacing w:val="-7"/>
          <w:sz w:val="20"/>
        </w:rPr>
        <w:t> </w:t>
      </w:r>
      <w:r>
        <w:rPr>
          <w:sz w:val="20"/>
        </w:rPr>
        <w:t>Wiley</w:t>
      </w:r>
      <w:r>
        <w:rPr>
          <w:spacing w:val="-7"/>
          <w:sz w:val="20"/>
        </w:rPr>
        <w:t> </w:t>
      </w:r>
      <w:r>
        <w:rPr>
          <w:sz w:val="20"/>
        </w:rPr>
        <w:t>and</w:t>
      </w:r>
      <w:r>
        <w:rPr>
          <w:spacing w:val="-6"/>
          <w:sz w:val="20"/>
        </w:rPr>
        <w:t> </w:t>
      </w:r>
      <w:r>
        <w:rPr>
          <w:sz w:val="20"/>
        </w:rPr>
        <w:t>Sons:</w:t>
      </w:r>
      <w:r>
        <w:rPr>
          <w:spacing w:val="-7"/>
          <w:sz w:val="20"/>
        </w:rPr>
        <w:t> </w:t>
      </w:r>
      <w:r>
        <w:rPr>
          <w:spacing w:val="-2"/>
          <w:sz w:val="20"/>
        </w:rPr>
        <w:t>London.</w:t>
      </w:r>
    </w:p>
    <w:p>
      <w:pPr>
        <w:pStyle w:val="BodyText"/>
        <w:spacing w:before="8"/>
      </w:pPr>
    </w:p>
    <w:p>
      <w:pPr>
        <w:pStyle w:val="BodyText"/>
        <w:ind w:left="112"/>
        <w:rPr>
          <w:i/>
        </w:rPr>
      </w:pPr>
      <w:r>
        <w:rPr/>
        <w:t>Choquenot,</w:t>
      </w:r>
      <w:r>
        <w:rPr>
          <w:spacing w:val="-8"/>
        </w:rPr>
        <w:t> </w:t>
      </w:r>
      <w:r>
        <w:rPr/>
        <w:t>D.,</w:t>
      </w:r>
      <w:r>
        <w:rPr>
          <w:spacing w:val="-7"/>
        </w:rPr>
        <w:t> </w:t>
      </w:r>
      <w:r>
        <w:rPr/>
        <w:t>Kilgour,</w:t>
      </w:r>
      <w:r>
        <w:rPr>
          <w:spacing w:val="-5"/>
        </w:rPr>
        <w:t> </w:t>
      </w:r>
      <w:r>
        <w:rPr/>
        <w:t>R.J.,</w:t>
      </w:r>
      <w:r>
        <w:rPr>
          <w:spacing w:val="-7"/>
        </w:rPr>
        <w:t> </w:t>
      </w:r>
      <w:r>
        <w:rPr/>
        <w:t>and</w:t>
      </w:r>
      <w:r>
        <w:rPr>
          <w:spacing w:val="-8"/>
        </w:rPr>
        <w:t> </w:t>
      </w:r>
      <w:r>
        <w:rPr/>
        <w:t>Lukins,</w:t>
      </w:r>
      <w:r>
        <w:rPr>
          <w:spacing w:val="-7"/>
        </w:rPr>
        <w:t> </w:t>
      </w:r>
      <w:r>
        <w:rPr/>
        <w:t>B.S.</w:t>
      </w:r>
      <w:r>
        <w:rPr>
          <w:spacing w:val="-6"/>
        </w:rPr>
        <w:t> </w:t>
      </w:r>
      <w:r>
        <w:rPr/>
        <w:t>(1993).</w:t>
      </w:r>
      <w:r>
        <w:rPr>
          <w:spacing w:val="-5"/>
        </w:rPr>
        <w:t> </w:t>
      </w:r>
      <w:r>
        <w:rPr/>
        <w:t>An</w:t>
      </w:r>
      <w:r>
        <w:rPr>
          <w:spacing w:val="-7"/>
        </w:rPr>
        <w:t> </w:t>
      </w:r>
      <w:r>
        <w:rPr/>
        <w:t>evaluation</w:t>
      </w:r>
      <w:r>
        <w:rPr>
          <w:spacing w:val="-6"/>
        </w:rPr>
        <w:t> </w:t>
      </w:r>
      <w:r>
        <w:rPr/>
        <w:t>of</w:t>
      </w:r>
      <w:r>
        <w:rPr>
          <w:spacing w:val="-8"/>
        </w:rPr>
        <w:t> </w:t>
      </w:r>
      <w:r>
        <w:rPr/>
        <w:t>feral</w:t>
      </w:r>
      <w:r>
        <w:rPr>
          <w:spacing w:val="-8"/>
        </w:rPr>
        <w:t> </w:t>
      </w:r>
      <w:r>
        <w:rPr/>
        <w:t>pig</w:t>
      </w:r>
      <w:r>
        <w:rPr>
          <w:spacing w:val="-6"/>
        </w:rPr>
        <w:t> </w:t>
      </w:r>
      <w:r>
        <w:rPr/>
        <w:t>trapping.</w:t>
      </w:r>
      <w:r>
        <w:rPr>
          <w:spacing w:val="-2"/>
        </w:rPr>
        <w:t> </w:t>
      </w:r>
      <w:r>
        <w:rPr>
          <w:i/>
        </w:rPr>
        <w:t>Wildlife</w:t>
      </w:r>
      <w:r>
        <w:rPr>
          <w:i/>
          <w:spacing w:val="-8"/>
        </w:rPr>
        <w:t> </w:t>
      </w:r>
      <w:r>
        <w:rPr>
          <w:i/>
          <w:spacing w:val="-2"/>
        </w:rPr>
        <w:t>Research</w:t>
      </w:r>
    </w:p>
    <w:p>
      <w:pPr>
        <w:pStyle w:val="BodyText"/>
        <w:ind w:left="833"/>
      </w:pPr>
      <w:r>
        <w:rPr>
          <w:b/>
        </w:rPr>
        <w:t>20</w:t>
      </w:r>
      <w:r>
        <w:rPr/>
        <w:t>(1):15.</w:t>
      </w:r>
      <w:r>
        <w:rPr>
          <w:spacing w:val="-8"/>
        </w:rPr>
        <w:t> </w:t>
      </w:r>
      <w:r>
        <w:rPr/>
        <w:t>doi:</w:t>
      </w:r>
      <w:r>
        <w:rPr>
          <w:spacing w:val="-7"/>
        </w:rPr>
        <w:t> </w:t>
      </w:r>
      <w:r>
        <w:rPr>
          <w:spacing w:val="-2"/>
        </w:rPr>
        <w:t>10.1071/WR9930015.</w:t>
      </w:r>
    </w:p>
    <w:p>
      <w:pPr>
        <w:spacing w:after="0"/>
        <w:sectPr>
          <w:pgSz w:w="11910" w:h="16850"/>
          <w:pgMar w:header="0" w:footer="688" w:top="1060" w:bottom="880" w:left="1020" w:right="780"/>
        </w:sectPr>
      </w:pPr>
    </w:p>
    <w:p>
      <w:pPr>
        <w:pStyle w:val="BodyText"/>
        <w:spacing w:before="71"/>
        <w:ind w:left="833" w:right="509" w:hanging="721"/>
      </w:pPr>
      <w:r>
        <w:rPr/>
        <w:t>Choquenot,</w:t>
      </w:r>
      <w:r>
        <w:rPr>
          <w:spacing w:val="-4"/>
        </w:rPr>
        <w:t> </w:t>
      </w:r>
      <w:r>
        <w:rPr/>
        <w:t>D.,</w:t>
      </w:r>
      <w:r>
        <w:rPr>
          <w:spacing w:val="-4"/>
        </w:rPr>
        <w:t> </w:t>
      </w:r>
      <w:r>
        <w:rPr/>
        <w:t>and</w:t>
      </w:r>
      <w:r>
        <w:rPr>
          <w:spacing w:val="-4"/>
        </w:rPr>
        <w:t> </w:t>
      </w:r>
      <w:r>
        <w:rPr/>
        <w:t>Lukins,</w:t>
      </w:r>
      <w:r>
        <w:rPr>
          <w:spacing w:val="-2"/>
        </w:rPr>
        <w:t> </w:t>
      </w:r>
      <w:r>
        <w:rPr/>
        <w:t>B.</w:t>
      </w:r>
      <w:r>
        <w:rPr>
          <w:spacing w:val="-4"/>
        </w:rPr>
        <w:t> </w:t>
      </w:r>
      <w:r>
        <w:rPr/>
        <w:t>(1996).</w:t>
      </w:r>
      <w:r>
        <w:rPr>
          <w:spacing w:val="-1"/>
        </w:rPr>
        <w:t> </w:t>
      </w:r>
      <w:r>
        <w:rPr/>
        <w:t>Effect</w:t>
      </w:r>
      <w:r>
        <w:rPr>
          <w:spacing w:val="-4"/>
        </w:rPr>
        <w:t> </w:t>
      </w:r>
      <w:r>
        <w:rPr/>
        <w:t>of</w:t>
      </w:r>
      <w:r>
        <w:rPr>
          <w:spacing w:val="-4"/>
        </w:rPr>
        <w:t> </w:t>
      </w:r>
      <w:r>
        <w:rPr/>
        <w:t>pasture</w:t>
      </w:r>
      <w:r>
        <w:rPr>
          <w:spacing w:val="-2"/>
        </w:rPr>
        <w:t> </w:t>
      </w:r>
      <w:r>
        <w:rPr/>
        <w:t>availability</w:t>
      </w:r>
      <w:r>
        <w:rPr>
          <w:spacing w:val="-3"/>
        </w:rPr>
        <w:t> </w:t>
      </w:r>
      <w:r>
        <w:rPr/>
        <w:t>on</w:t>
      </w:r>
      <w:r>
        <w:rPr>
          <w:spacing w:val="-2"/>
        </w:rPr>
        <w:t> </w:t>
      </w:r>
      <w:r>
        <w:rPr/>
        <w:t>bait</w:t>
      </w:r>
      <w:r>
        <w:rPr>
          <w:spacing w:val="-2"/>
        </w:rPr>
        <w:t> </w:t>
      </w:r>
      <w:r>
        <w:rPr/>
        <w:t>uptake by</w:t>
      </w:r>
      <w:r>
        <w:rPr>
          <w:spacing w:val="-3"/>
        </w:rPr>
        <w:t> </w:t>
      </w:r>
      <w:r>
        <w:rPr/>
        <w:t>feral</w:t>
      </w:r>
      <w:r>
        <w:rPr>
          <w:spacing w:val="-3"/>
        </w:rPr>
        <w:t> </w:t>
      </w:r>
      <w:r>
        <w:rPr/>
        <w:t>pigs</w:t>
      </w:r>
      <w:r>
        <w:rPr>
          <w:spacing w:val="-3"/>
        </w:rPr>
        <w:t> </w:t>
      </w:r>
      <w:r>
        <w:rPr/>
        <w:t>in Australia’s semi-arid rangelands. </w:t>
      </w:r>
      <w:r>
        <w:rPr>
          <w:i/>
        </w:rPr>
        <w:t>Wildlife Research </w:t>
      </w:r>
      <w:r>
        <w:rPr>
          <w:b/>
        </w:rPr>
        <w:t>23</w:t>
      </w:r>
      <w:r>
        <w:rPr/>
        <w:t>(4):421–28. doi: 10.1071/wr9960421.</w:t>
      </w:r>
    </w:p>
    <w:p>
      <w:pPr>
        <w:pStyle w:val="BodyText"/>
        <w:spacing w:before="11"/>
      </w:pPr>
    </w:p>
    <w:p>
      <w:pPr>
        <w:spacing w:before="1"/>
        <w:ind w:left="833" w:right="163" w:hanging="721"/>
        <w:jc w:val="left"/>
        <w:rPr>
          <w:sz w:val="20"/>
        </w:rPr>
      </w:pPr>
      <w:r>
        <w:rPr>
          <w:sz w:val="20"/>
        </w:rPr>
        <w:t>Choquenot,</w:t>
      </w:r>
      <w:r>
        <w:rPr>
          <w:spacing w:val="-4"/>
          <w:sz w:val="20"/>
        </w:rPr>
        <w:t> </w:t>
      </w:r>
      <w:r>
        <w:rPr>
          <w:sz w:val="20"/>
        </w:rPr>
        <w:t>D.,</w:t>
      </w:r>
      <w:r>
        <w:rPr>
          <w:spacing w:val="-4"/>
          <w:sz w:val="20"/>
        </w:rPr>
        <w:t> </w:t>
      </w:r>
      <w:r>
        <w:rPr>
          <w:sz w:val="20"/>
        </w:rPr>
        <w:t>McIlroy,</w:t>
      </w:r>
      <w:r>
        <w:rPr>
          <w:spacing w:val="-4"/>
          <w:sz w:val="20"/>
        </w:rPr>
        <w:t> </w:t>
      </w:r>
      <w:r>
        <w:rPr>
          <w:sz w:val="20"/>
        </w:rPr>
        <w:t>J.,</w:t>
      </w:r>
      <w:r>
        <w:rPr>
          <w:spacing w:val="-2"/>
          <w:sz w:val="20"/>
        </w:rPr>
        <w:t> </w:t>
      </w:r>
      <w:r>
        <w:rPr>
          <w:sz w:val="20"/>
        </w:rPr>
        <w:t>and</w:t>
      </w:r>
      <w:r>
        <w:rPr>
          <w:spacing w:val="-2"/>
          <w:sz w:val="20"/>
        </w:rPr>
        <w:t> </w:t>
      </w:r>
      <w:r>
        <w:rPr>
          <w:sz w:val="20"/>
        </w:rPr>
        <w:t>Korn,</w:t>
      </w:r>
      <w:r>
        <w:rPr>
          <w:spacing w:val="-1"/>
          <w:sz w:val="20"/>
        </w:rPr>
        <w:t> </w:t>
      </w:r>
      <w:r>
        <w:rPr>
          <w:sz w:val="20"/>
        </w:rPr>
        <w:t>T.</w:t>
      </w:r>
      <w:r>
        <w:rPr>
          <w:spacing w:val="-4"/>
          <w:sz w:val="20"/>
        </w:rPr>
        <w:t> </w:t>
      </w:r>
      <w:r>
        <w:rPr>
          <w:sz w:val="20"/>
        </w:rPr>
        <w:t>(1996). </w:t>
      </w:r>
      <w:r>
        <w:rPr>
          <w:i/>
          <w:sz w:val="20"/>
        </w:rPr>
        <w:t>Managing</w:t>
      </w:r>
      <w:r>
        <w:rPr>
          <w:i/>
          <w:spacing w:val="-4"/>
          <w:sz w:val="20"/>
        </w:rPr>
        <w:t> </w:t>
      </w:r>
      <w:r>
        <w:rPr>
          <w:i/>
          <w:sz w:val="20"/>
        </w:rPr>
        <w:t>vertebrate</w:t>
      </w:r>
      <w:r>
        <w:rPr>
          <w:i/>
          <w:spacing w:val="-5"/>
          <w:sz w:val="20"/>
        </w:rPr>
        <w:t> </w:t>
      </w:r>
      <w:r>
        <w:rPr>
          <w:i/>
          <w:sz w:val="20"/>
        </w:rPr>
        <w:t>pests:</w:t>
      </w:r>
      <w:r>
        <w:rPr>
          <w:i/>
          <w:spacing w:val="-4"/>
          <w:sz w:val="20"/>
        </w:rPr>
        <w:t> </w:t>
      </w:r>
      <w:r>
        <w:rPr>
          <w:i/>
          <w:sz w:val="20"/>
        </w:rPr>
        <w:t>feral</w:t>
      </w:r>
      <w:r>
        <w:rPr>
          <w:i/>
          <w:spacing w:val="-3"/>
          <w:sz w:val="20"/>
        </w:rPr>
        <w:t> </w:t>
      </w:r>
      <w:r>
        <w:rPr>
          <w:i/>
          <w:sz w:val="20"/>
        </w:rPr>
        <w:t>pigs</w:t>
      </w:r>
      <w:r>
        <w:rPr>
          <w:sz w:val="20"/>
        </w:rPr>
        <w:t>.</w:t>
      </w:r>
      <w:r>
        <w:rPr>
          <w:spacing w:val="-4"/>
          <w:sz w:val="20"/>
        </w:rPr>
        <w:t> </w:t>
      </w:r>
      <w:r>
        <w:rPr>
          <w:sz w:val="20"/>
        </w:rPr>
        <w:t>Canberra,</w:t>
      </w:r>
      <w:r>
        <w:rPr>
          <w:spacing w:val="-2"/>
          <w:sz w:val="20"/>
        </w:rPr>
        <w:t> </w:t>
      </w:r>
      <w:r>
        <w:rPr>
          <w:sz w:val="20"/>
        </w:rPr>
        <w:t>Australia: Bureau of Resource Sciences, Australian Government Publishing Service.</w:t>
      </w:r>
    </w:p>
    <w:p>
      <w:pPr>
        <w:pStyle w:val="BodyText"/>
        <w:spacing w:before="10"/>
      </w:pPr>
    </w:p>
    <w:p>
      <w:pPr>
        <w:pStyle w:val="BodyText"/>
        <w:ind w:left="833" w:right="232" w:hanging="721"/>
      </w:pPr>
      <w:r>
        <w:rPr/>
        <w:t>Choquenot,</w:t>
      </w:r>
      <w:r>
        <w:rPr>
          <w:spacing w:val="-3"/>
        </w:rPr>
        <w:t> </w:t>
      </w:r>
      <w:r>
        <w:rPr/>
        <w:t>D.,</w:t>
      </w:r>
      <w:r>
        <w:rPr>
          <w:spacing w:val="-3"/>
        </w:rPr>
        <w:t> </w:t>
      </w:r>
      <w:r>
        <w:rPr/>
        <w:t>and</w:t>
      </w:r>
      <w:r>
        <w:rPr>
          <w:spacing w:val="-3"/>
        </w:rPr>
        <w:t> </w:t>
      </w:r>
      <w:r>
        <w:rPr/>
        <w:t>Ruscoe,</w:t>
      </w:r>
      <w:r>
        <w:rPr>
          <w:spacing w:val="-3"/>
        </w:rPr>
        <w:t> </w:t>
      </w:r>
      <w:r>
        <w:rPr/>
        <w:t>W.</w:t>
      </w:r>
      <w:r>
        <w:rPr>
          <w:spacing w:val="-1"/>
        </w:rPr>
        <w:t> </w:t>
      </w:r>
      <w:r>
        <w:rPr/>
        <w:t>(1999).</w:t>
      </w:r>
      <w:r>
        <w:rPr>
          <w:spacing w:val="-3"/>
        </w:rPr>
        <w:t> </w:t>
      </w:r>
      <w:r>
        <w:rPr/>
        <w:t>Assessing</w:t>
      </w:r>
      <w:r>
        <w:rPr>
          <w:spacing w:val="-3"/>
        </w:rPr>
        <w:t> </w:t>
      </w:r>
      <w:r>
        <w:rPr/>
        <w:t>the</w:t>
      </w:r>
      <w:r>
        <w:rPr>
          <w:spacing w:val="-3"/>
        </w:rPr>
        <w:t> </w:t>
      </w:r>
      <w:r>
        <w:rPr/>
        <w:t>effect</w:t>
      </w:r>
      <w:r>
        <w:rPr>
          <w:spacing w:val="-3"/>
        </w:rPr>
        <w:t> </w:t>
      </w:r>
      <w:r>
        <w:rPr/>
        <w:t>of</w:t>
      </w:r>
      <w:r>
        <w:rPr>
          <w:spacing w:val="-3"/>
        </w:rPr>
        <w:t> </w:t>
      </w:r>
      <w:r>
        <w:rPr/>
        <w:t>poisoning</w:t>
      </w:r>
      <w:r>
        <w:rPr>
          <w:spacing w:val="-4"/>
        </w:rPr>
        <w:t> </w:t>
      </w:r>
      <w:r>
        <w:rPr/>
        <w:t>programs</w:t>
      </w:r>
      <w:r>
        <w:rPr>
          <w:spacing w:val="-2"/>
        </w:rPr>
        <w:t> </w:t>
      </w:r>
      <w:r>
        <w:rPr/>
        <w:t>on</w:t>
      </w:r>
      <w:r>
        <w:rPr>
          <w:spacing w:val="-4"/>
        </w:rPr>
        <w:t> </w:t>
      </w:r>
      <w:r>
        <w:rPr/>
        <w:t>the</w:t>
      </w:r>
      <w:r>
        <w:rPr>
          <w:spacing w:val="-4"/>
        </w:rPr>
        <w:t> </w:t>
      </w:r>
      <w:r>
        <w:rPr/>
        <w:t>density of</w:t>
      </w:r>
      <w:r>
        <w:rPr>
          <w:spacing w:val="-3"/>
        </w:rPr>
        <w:t> </w:t>
      </w:r>
      <w:r>
        <w:rPr/>
        <w:t>non- target fauna: design and interpretation. </w:t>
      </w:r>
      <w:r>
        <w:rPr>
          <w:i/>
        </w:rPr>
        <w:t>New Zealand Journal of Ecology </w:t>
      </w:r>
      <w:r>
        <w:rPr>
          <w:b/>
        </w:rPr>
        <w:t>23</w:t>
      </w:r>
      <w:r>
        <w:rPr/>
        <w:t>(2): 139-147.</w:t>
      </w:r>
    </w:p>
    <w:p>
      <w:pPr>
        <w:pStyle w:val="BodyText"/>
        <w:spacing w:before="9"/>
      </w:pPr>
    </w:p>
    <w:p>
      <w:pPr>
        <w:pStyle w:val="BodyText"/>
        <w:ind w:left="833" w:right="232" w:hanging="721"/>
      </w:pPr>
      <w:r>
        <w:rPr/>
        <w:t>Choquenot, D., Hone, J., and Saunders, G. (1999). Using aspects of predator-prey theory to evaluate helicopter</w:t>
      </w:r>
      <w:r>
        <w:rPr>
          <w:spacing w:val="-6"/>
        </w:rPr>
        <w:t> </w:t>
      </w:r>
      <w:r>
        <w:rPr/>
        <w:t>shooting</w:t>
      </w:r>
      <w:r>
        <w:rPr>
          <w:spacing w:val="-6"/>
        </w:rPr>
        <w:t> </w:t>
      </w:r>
      <w:r>
        <w:rPr/>
        <w:t>for</w:t>
      </w:r>
      <w:r>
        <w:rPr>
          <w:spacing w:val="-6"/>
        </w:rPr>
        <w:t> </w:t>
      </w:r>
      <w:r>
        <w:rPr/>
        <w:t>feral</w:t>
      </w:r>
      <w:r>
        <w:rPr>
          <w:spacing w:val="-4"/>
        </w:rPr>
        <w:t> </w:t>
      </w:r>
      <w:r>
        <w:rPr/>
        <w:t>pig</w:t>
      </w:r>
      <w:r>
        <w:rPr>
          <w:spacing w:val="-4"/>
        </w:rPr>
        <w:t> </w:t>
      </w:r>
      <w:r>
        <w:rPr/>
        <w:t>control. </w:t>
      </w:r>
      <w:r>
        <w:rPr>
          <w:i/>
        </w:rPr>
        <w:t>Wildlife</w:t>
      </w:r>
      <w:r>
        <w:rPr>
          <w:i/>
          <w:spacing w:val="-6"/>
        </w:rPr>
        <w:t> </w:t>
      </w:r>
      <w:r>
        <w:rPr>
          <w:i/>
        </w:rPr>
        <w:t>Research</w:t>
      </w:r>
      <w:r>
        <w:rPr>
          <w:i/>
          <w:spacing w:val="-5"/>
        </w:rPr>
        <w:t> </w:t>
      </w:r>
      <w:r>
        <w:rPr>
          <w:b/>
        </w:rPr>
        <w:t>26</w:t>
      </w:r>
      <w:r>
        <w:rPr/>
        <w:t>(3):251–61.</w:t>
      </w:r>
      <w:r>
        <w:rPr>
          <w:spacing w:val="-4"/>
        </w:rPr>
        <w:t> </w:t>
      </w:r>
      <w:r>
        <w:rPr/>
        <w:t>doi:</w:t>
      </w:r>
      <w:r>
        <w:rPr>
          <w:spacing w:val="-6"/>
        </w:rPr>
        <w:t> </w:t>
      </w:r>
      <w:r>
        <w:rPr/>
        <w:t>10.1071/WR98006.</w:t>
      </w:r>
    </w:p>
    <w:p>
      <w:pPr>
        <w:pStyle w:val="BodyText"/>
        <w:spacing w:before="11"/>
      </w:pPr>
    </w:p>
    <w:p>
      <w:pPr>
        <w:pStyle w:val="BodyText"/>
        <w:ind w:left="833" w:right="232" w:hanging="721"/>
      </w:pPr>
      <w:r>
        <w:rPr/>
        <w:t>Choquenot,</w:t>
      </w:r>
      <w:r>
        <w:rPr>
          <w:spacing w:val="-3"/>
        </w:rPr>
        <w:t> </w:t>
      </w:r>
      <w:r>
        <w:rPr/>
        <w:t>D,</w:t>
      </w:r>
      <w:r>
        <w:rPr>
          <w:spacing w:val="-2"/>
        </w:rPr>
        <w:t> </w:t>
      </w:r>
      <w:r>
        <w:rPr/>
        <w:t>Lukins,</w:t>
      </w:r>
      <w:r>
        <w:rPr>
          <w:spacing w:val="-3"/>
        </w:rPr>
        <w:t> </w:t>
      </w:r>
      <w:r>
        <w:rPr/>
        <w:t>B.,</w:t>
      </w:r>
      <w:r>
        <w:rPr>
          <w:spacing w:val="-3"/>
        </w:rPr>
        <w:t> </w:t>
      </w:r>
      <w:r>
        <w:rPr/>
        <w:t>and</w:t>
      </w:r>
      <w:r>
        <w:rPr>
          <w:spacing w:val="-4"/>
        </w:rPr>
        <w:t> </w:t>
      </w:r>
      <w:r>
        <w:rPr/>
        <w:t>Curran,</w:t>
      </w:r>
      <w:r>
        <w:rPr>
          <w:spacing w:val="-3"/>
        </w:rPr>
        <w:t> </w:t>
      </w:r>
      <w:r>
        <w:rPr/>
        <w:t>G.</w:t>
      </w:r>
      <w:r>
        <w:rPr>
          <w:spacing w:val="-3"/>
        </w:rPr>
        <w:t> </w:t>
      </w:r>
      <w:r>
        <w:rPr/>
        <w:t>(1997).</w:t>
      </w:r>
      <w:r>
        <w:rPr>
          <w:spacing w:val="-2"/>
        </w:rPr>
        <w:t> </w:t>
      </w:r>
      <w:r>
        <w:rPr/>
        <w:t>Assessing</w:t>
      </w:r>
      <w:r>
        <w:rPr>
          <w:spacing w:val="-4"/>
        </w:rPr>
        <w:t> </w:t>
      </w:r>
      <w:r>
        <w:rPr/>
        <w:t>lamb</w:t>
      </w:r>
      <w:r>
        <w:rPr>
          <w:spacing w:val="-2"/>
        </w:rPr>
        <w:t> </w:t>
      </w:r>
      <w:r>
        <w:rPr/>
        <w:t>predation</w:t>
      </w:r>
      <w:r>
        <w:rPr>
          <w:spacing w:val="-3"/>
        </w:rPr>
        <w:t> </w:t>
      </w:r>
      <w:r>
        <w:rPr/>
        <w:t>by</w:t>
      </w:r>
      <w:r>
        <w:rPr>
          <w:spacing w:val="-3"/>
        </w:rPr>
        <w:t> </w:t>
      </w:r>
      <w:r>
        <w:rPr/>
        <w:t>feral</w:t>
      </w:r>
      <w:r>
        <w:rPr>
          <w:spacing w:val="-4"/>
        </w:rPr>
        <w:t> </w:t>
      </w:r>
      <w:r>
        <w:rPr/>
        <w:t>pigs</w:t>
      </w:r>
      <w:r>
        <w:rPr>
          <w:spacing w:val="-1"/>
        </w:rPr>
        <w:t> </w:t>
      </w:r>
      <w:r>
        <w:rPr/>
        <w:t>in Australia’s</w:t>
      </w:r>
      <w:r>
        <w:rPr>
          <w:spacing w:val="-3"/>
        </w:rPr>
        <w:t> </w:t>
      </w:r>
      <w:r>
        <w:rPr/>
        <w:t>semi- arid rangelands. </w:t>
      </w:r>
      <w:r>
        <w:rPr>
          <w:i/>
        </w:rPr>
        <w:t>Journal of Applied Ecology </w:t>
      </w:r>
      <w:r>
        <w:rPr>
          <w:b/>
        </w:rPr>
        <w:t>14</w:t>
      </w:r>
      <w:r>
        <w:rPr/>
        <w:t>: 45–54.</w:t>
      </w:r>
    </w:p>
    <w:p>
      <w:pPr>
        <w:pStyle w:val="BodyText"/>
        <w:spacing w:before="10"/>
      </w:pPr>
    </w:p>
    <w:p>
      <w:pPr>
        <w:pStyle w:val="BodyText"/>
        <w:spacing w:before="1"/>
        <w:ind w:left="833" w:right="364" w:hanging="721"/>
      </w:pPr>
      <w:r>
        <w:rPr/>
        <w:t>Claridge,</w:t>
      </w:r>
      <w:r>
        <w:rPr>
          <w:spacing w:val="-2"/>
        </w:rPr>
        <w:t> </w:t>
      </w:r>
      <w:r>
        <w:rPr/>
        <w:t>A.W.,</w:t>
      </w:r>
      <w:r>
        <w:rPr>
          <w:spacing w:val="-1"/>
        </w:rPr>
        <w:t> </w:t>
      </w:r>
      <w:r>
        <w:rPr/>
        <w:t>Ballard,</w:t>
      </w:r>
      <w:r>
        <w:rPr>
          <w:spacing w:val="-3"/>
        </w:rPr>
        <w:t> </w:t>
      </w:r>
      <w:r>
        <w:rPr/>
        <w:t>G.,</w:t>
      </w:r>
      <w:r>
        <w:rPr>
          <w:spacing w:val="-1"/>
        </w:rPr>
        <w:t> </w:t>
      </w:r>
      <w:r>
        <w:rPr/>
        <w:t>Körtner,</w:t>
      </w:r>
      <w:r>
        <w:rPr>
          <w:spacing w:val="-3"/>
        </w:rPr>
        <w:t> </w:t>
      </w:r>
      <w:r>
        <w:rPr/>
        <w:t>G.,</w:t>
      </w:r>
      <w:r>
        <w:rPr>
          <w:spacing w:val="-3"/>
        </w:rPr>
        <w:t> </w:t>
      </w:r>
      <w:r>
        <w:rPr/>
        <w:t>Fleming,</w:t>
      </w:r>
      <w:r>
        <w:rPr>
          <w:spacing w:val="-3"/>
        </w:rPr>
        <w:t> </w:t>
      </w:r>
      <w:r>
        <w:rPr/>
        <w:t>P.J.S.,</w:t>
      </w:r>
      <w:r>
        <w:rPr>
          <w:spacing w:val="-3"/>
        </w:rPr>
        <w:t> </w:t>
      </w:r>
      <w:r>
        <w:rPr/>
        <w:t>Forge,</w:t>
      </w:r>
      <w:r>
        <w:rPr>
          <w:spacing w:val="-3"/>
        </w:rPr>
        <w:t> </w:t>
      </w:r>
      <w:r>
        <w:rPr/>
        <w:t>T.,</w:t>
      </w:r>
      <w:r>
        <w:rPr>
          <w:spacing w:val="-3"/>
        </w:rPr>
        <w:t> </w:t>
      </w:r>
      <w:r>
        <w:rPr/>
        <w:t>and</w:t>
      </w:r>
      <w:r>
        <w:rPr>
          <w:spacing w:val="-4"/>
        </w:rPr>
        <w:t> </w:t>
      </w:r>
      <w:r>
        <w:rPr/>
        <w:t>Hine,</w:t>
      </w:r>
      <w:r>
        <w:rPr>
          <w:spacing w:val="-2"/>
        </w:rPr>
        <w:t> </w:t>
      </w:r>
      <w:r>
        <w:rPr/>
        <w:t>A.</w:t>
      </w:r>
      <w:r>
        <w:rPr>
          <w:spacing w:val="-3"/>
        </w:rPr>
        <w:t> </w:t>
      </w:r>
      <w:r>
        <w:rPr/>
        <w:t>(2021).</w:t>
      </w:r>
      <w:r>
        <w:rPr>
          <w:spacing w:val="-3"/>
        </w:rPr>
        <w:t> </w:t>
      </w:r>
      <w:r>
        <w:rPr/>
        <w:t>Lethal</w:t>
      </w:r>
      <w:r>
        <w:rPr>
          <w:spacing w:val="-4"/>
        </w:rPr>
        <w:t> </w:t>
      </w:r>
      <w:r>
        <w:rPr/>
        <w:t>control</w:t>
      </w:r>
      <w:r>
        <w:rPr>
          <w:spacing w:val="-2"/>
        </w:rPr>
        <w:t> </w:t>
      </w:r>
      <w:r>
        <w:rPr/>
        <w:t>of eutherian predators via aerial baiting does not negatively affect female spotted-tailed quolls (</w:t>
      </w:r>
      <w:r>
        <w:rPr>
          <w:i/>
        </w:rPr>
        <w:t>Dasyurus maculatus maculatus</w:t>
      </w:r>
      <w:r>
        <w:rPr/>
        <w:t>) and their pouch young. </w:t>
      </w:r>
      <w:r>
        <w:rPr>
          <w:i/>
        </w:rPr>
        <w:t>Wildlife Research </w:t>
      </w:r>
      <w:r>
        <w:rPr>
          <w:b/>
        </w:rPr>
        <w:t>48</w:t>
      </w:r>
      <w:r>
        <w:rPr/>
        <w:t>(3):273–88.</w:t>
      </w:r>
    </w:p>
    <w:p>
      <w:pPr>
        <w:pStyle w:val="BodyText"/>
        <w:spacing w:before="9"/>
      </w:pPr>
    </w:p>
    <w:p>
      <w:pPr>
        <w:pStyle w:val="BodyText"/>
        <w:ind w:left="833" w:right="524" w:hanging="721"/>
      </w:pPr>
      <w:r>
        <w:rPr/>
        <w:t>Claridge, A.W., Cunningham, R.B., Catling, P.C., and Reid, A.M. (2010). Trends in the activity levels of forest-dwelling</w:t>
      </w:r>
      <w:r>
        <w:rPr>
          <w:spacing w:val="-6"/>
        </w:rPr>
        <w:t> </w:t>
      </w:r>
      <w:r>
        <w:rPr/>
        <w:t>vertebrate</w:t>
      </w:r>
      <w:r>
        <w:rPr>
          <w:spacing w:val="-5"/>
        </w:rPr>
        <w:t> </w:t>
      </w:r>
      <w:r>
        <w:rPr/>
        <w:t>fauna</w:t>
      </w:r>
      <w:r>
        <w:rPr>
          <w:spacing w:val="-3"/>
        </w:rPr>
        <w:t> </w:t>
      </w:r>
      <w:r>
        <w:rPr/>
        <w:t>against</w:t>
      </w:r>
      <w:r>
        <w:rPr>
          <w:spacing w:val="-3"/>
        </w:rPr>
        <w:t> </w:t>
      </w:r>
      <w:r>
        <w:rPr/>
        <w:t>a</w:t>
      </w:r>
      <w:r>
        <w:rPr>
          <w:spacing w:val="-5"/>
        </w:rPr>
        <w:t> </w:t>
      </w:r>
      <w:r>
        <w:rPr/>
        <w:t>background</w:t>
      </w:r>
      <w:r>
        <w:rPr>
          <w:spacing w:val="-4"/>
        </w:rPr>
        <w:t> </w:t>
      </w:r>
      <w:r>
        <w:rPr/>
        <w:t>of</w:t>
      </w:r>
      <w:r>
        <w:rPr>
          <w:spacing w:val="-5"/>
        </w:rPr>
        <w:t> </w:t>
      </w:r>
      <w:r>
        <w:rPr/>
        <w:t>intensive</w:t>
      </w:r>
      <w:r>
        <w:rPr>
          <w:spacing w:val="-5"/>
        </w:rPr>
        <w:t> </w:t>
      </w:r>
      <w:r>
        <w:rPr/>
        <w:t>baiting</w:t>
      </w:r>
      <w:r>
        <w:rPr>
          <w:spacing w:val="-3"/>
        </w:rPr>
        <w:t> </w:t>
      </w:r>
      <w:r>
        <w:rPr/>
        <w:t>for</w:t>
      </w:r>
      <w:r>
        <w:rPr>
          <w:spacing w:val="-4"/>
        </w:rPr>
        <w:t> </w:t>
      </w:r>
      <w:r>
        <w:rPr/>
        <w:t>foxes. </w:t>
      </w:r>
      <w:r>
        <w:rPr>
          <w:i/>
        </w:rPr>
        <w:t>Forest</w:t>
      </w:r>
      <w:r>
        <w:rPr>
          <w:i/>
          <w:spacing w:val="-5"/>
        </w:rPr>
        <w:t> </w:t>
      </w:r>
      <w:r>
        <w:rPr>
          <w:i/>
        </w:rPr>
        <w:t>Ecology</w:t>
      </w:r>
      <w:r>
        <w:rPr>
          <w:i/>
        </w:rPr>
        <w:t> and Management </w:t>
      </w:r>
      <w:r>
        <w:rPr>
          <w:b/>
        </w:rPr>
        <w:t>260</w:t>
      </w:r>
      <w:r>
        <w:rPr/>
        <w:t>(5):822–32. doi: 10.1016/j.foreco.2010.05.041.</w:t>
      </w:r>
    </w:p>
    <w:p>
      <w:pPr>
        <w:pStyle w:val="BodyText"/>
        <w:spacing w:before="11"/>
      </w:pPr>
    </w:p>
    <w:p>
      <w:pPr>
        <w:pStyle w:val="BodyText"/>
        <w:ind w:left="833" w:right="163" w:hanging="721"/>
      </w:pPr>
      <w:r>
        <w:rPr/>
        <w:t>Claridge,</w:t>
      </w:r>
      <w:r>
        <w:rPr>
          <w:spacing w:val="-2"/>
        </w:rPr>
        <w:t> </w:t>
      </w:r>
      <w:r>
        <w:rPr/>
        <w:t>A.W.,</w:t>
      </w:r>
      <w:r>
        <w:rPr>
          <w:spacing w:val="-1"/>
        </w:rPr>
        <w:t> </w:t>
      </w:r>
      <w:r>
        <w:rPr/>
        <w:t>and</w:t>
      </w:r>
      <w:r>
        <w:rPr>
          <w:spacing w:val="-3"/>
        </w:rPr>
        <w:t> </w:t>
      </w:r>
      <w:r>
        <w:rPr/>
        <w:t>Mills,</w:t>
      </w:r>
      <w:r>
        <w:rPr>
          <w:spacing w:val="-3"/>
        </w:rPr>
        <w:t> </w:t>
      </w:r>
      <w:r>
        <w:rPr/>
        <w:t>D.J.</w:t>
      </w:r>
      <w:r>
        <w:rPr>
          <w:spacing w:val="-3"/>
        </w:rPr>
        <w:t> </w:t>
      </w:r>
      <w:r>
        <w:rPr/>
        <w:t>(2007).</w:t>
      </w:r>
      <w:r>
        <w:rPr>
          <w:spacing w:val="-1"/>
        </w:rPr>
        <w:t> </w:t>
      </w:r>
      <w:r>
        <w:rPr/>
        <w:t>Aerial</w:t>
      </w:r>
      <w:r>
        <w:rPr>
          <w:spacing w:val="-2"/>
        </w:rPr>
        <w:t> </w:t>
      </w:r>
      <w:r>
        <w:rPr/>
        <w:t>baiting</w:t>
      </w:r>
      <w:r>
        <w:rPr>
          <w:spacing w:val="-4"/>
        </w:rPr>
        <w:t> </w:t>
      </w:r>
      <w:r>
        <w:rPr/>
        <w:t>for wild</w:t>
      </w:r>
      <w:r>
        <w:rPr>
          <w:spacing w:val="-3"/>
        </w:rPr>
        <w:t> </w:t>
      </w:r>
      <w:r>
        <w:rPr/>
        <w:t>dogs</w:t>
      </w:r>
      <w:r>
        <w:rPr>
          <w:spacing w:val="-2"/>
        </w:rPr>
        <w:t> </w:t>
      </w:r>
      <w:r>
        <w:rPr/>
        <w:t>has no</w:t>
      </w:r>
      <w:r>
        <w:rPr>
          <w:spacing w:val="-4"/>
        </w:rPr>
        <w:t> </w:t>
      </w:r>
      <w:r>
        <w:rPr/>
        <w:t>observable</w:t>
      </w:r>
      <w:r>
        <w:rPr>
          <w:spacing w:val="-1"/>
        </w:rPr>
        <w:t> </w:t>
      </w:r>
      <w:r>
        <w:rPr/>
        <w:t>impact</w:t>
      </w:r>
      <w:r>
        <w:rPr>
          <w:spacing w:val="-3"/>
        </w:rPr>
        <w:t> </w:t>
      </w:r>
      <w:r>
        <w:rPr/>
        <w:t>on</w:t>
      </w:r>
      <w:r>
        <w:rPr>
          <w:spacing w:val="-3"/>
        </w:rPr>
        <w:t> </w:t>
      </w:r>
      <w:r>
        <w:rPr/>
        <w:t>spotted-tailed quolls (</w:t>
      </w:r>
      <w:r>
        <w:rPr>
          <w:i/>
        </w:rPr>
        <w:t>Dasyurus maculatus</w:t>
      </w:r>
      <w:r>
        <w:rPr/>
        <w:t>) in a rain shadow woodland. </w:t>
      </w:r>
      <w:r>
        <w:rPr>
          <w:i/>
        </w:rPr>
        <w:t>Wildlife Research </w:t>
      </w:r>
      <w:r>
        <w:rPr>
          <w:b/>
        </w:rPr>
        <w:t>34</w:t>
      </w:r>
      <w:r>
        <w:rPr/>
        <w:t>:116–24.</w:t>
      </w:r>
    </w:p>
    <w:p>
      <w:pPr>
        <w:pStyle w:val="BodyText"/>
        <w:spacing w:before="9"/>
      </w:pPr>
    </w:p>
    <w:p>
      <w:pPr>
        <w:spacing w:before="0"/>
        <w:ind w:left="833" w:right="364" w:hanging="721"/>
        <w:jc w:val="left"/>
        <w:rPr>
          <w:sz w:val="20"/>
        </w:rPr>
      </w:pPr>
      <w:r>
        <w:rPr>
          <w:sz w:val="20"/>
        </w:rPr>
        <w:t>Coman, B.J. (1992). Simulated rabies eradication: the lessons from two exercises in Victoria. Pp. 91–95 in </w:t>
      </w:r>
      <w:r>
        <w:rPr>
          <w:i/>
          <w:sz w:val="20"/>
        </w:rPr>
        <w:t>Wildlife</w:t>
      </w:r>
      <w:r>
        <w:rPr>
          <w:i/>
          <w:spacing w:val="-4"/>
          <w:sz w:val="20"/>
        </w:rPr>
        <w:t> </w:t>
      </w:r>
      <w:r>
        <w:rPr>
          <w:i/>
          <w:sz w:val="20"/>
        </w:rPr>
        <w:t>Rabies</w:t>
      </w:r>
      <w:r>
        <w:rPr>
          <w:i/>
          <w:spacing w:val="-3"/>
          <w:sz w:val="20"/>
        </w:rPr>
        <w:t> </w:t>
      </w:r>
      <w:r>
        <w:rPr>
          <w:i/>
          <w:sz w:val="20"/>
        </w:rPr>
        <w:t>Contingency</w:t>
      </w:r>
      <w:r>
        <w:rPr>
          <w:i/>
          <w:spacing w:val="-3"/>
          <w:sz w:val="20"/>
        </w:rPr>
        <w:t> </w:t>
      </w:r>
      <w:r>
        <w:rPr>
          <w:i/>
          <w:sz w:val="20"/>
        </w:rPr>
        <w:t>Planning</w:t>
      </w:r>
      <w:r>
        <w:rPr>
          <w:i/>
          <w:spacing w:val="-3"/>
          <w:sz w:val="20"/>
        </w:rPr>
        <w:t> </w:t>
      </w:r>
      <w:r>
        <w:rPr>
          <w:i/>
          <w:sz w:val="20"/>
        </w:rPr>
        <w:t>in</w:t>
      </w:r>
      <w:r>
        <w:rPr>
          <w:i/>
          <w:spacing w:val="-3"/>
          <w:sz w:val="20"/>
        </w:rPr>
        <w:t> </w:t>
      </w:r>
      <w:r>
        <w:rPr>
          <w:i/>
          <w:sz w:val="20"/>
        </w:rPr>
        <w:t>Australia:</w:t>
      </w:r>
      <w:r>
        <w:rPr>
          <w:i/>
          <w:spacing w:val="-3"/>
          <w:sz w:val="20"/>
        </w:rPr>
        <w:t> </w:t>
      </w:r>
      <w:r>
        <w:rPr>
          <w:i/>
          <w:sz w:val="20"/>
        </w:rPr>
        <w:t>Bureau</w:t>
      </w:r>
      <w:r>
        <w:rPr>
          <w:i/>
          <w:spacing w:val="-3"/>
          <w:sz w:val="20"/>
        </w:rPr>
        <w:t> </w:t>
      </w:r>
      <w:r>
        <w:rPr>
          <w:i/>
          <w:sz w:val="20"/>
        </w:rPr>
        <w:t>of</w:t>
      </w:r>
      <w:r>
        <w:rPr>
          <w:i/>
          <w:spacing w:val="-4"/>
          <w:sz w:val="20"/>
        </w:rPr>
        <w:t> </w:t>
      </w:r>
      <w:r>
        <w:rPr>
          <w:i/>
          <w:sz w:val="20"/>
        </w:rPr>
        <w:t>Rural</w:t>
      </w:r>
      <w:r>
        <w:rPr>
          <w:i/>
          <w:spacing w:val="-5"/>
          <w:sz w:val="20"/>
        </w:rPr>
        <w:t> </w:t>
      </w:r>
      <w:r>
        <w:rPr>
          <w:i/>
          <w:sz w:val="20"/>
        </w:rPr>
        <w:t>Resources</w:t>
      </w:r>
      <w:r>
        <w:rPr>
          <w:i/>
          <w:spacing w:val="-3"/>
          <w:sz w:val="20"/>
        </w:rPr>
        <w:t> </w:t>
      </w:r>
      <w:r>
        <w:rPr>
          <w:i/>
          <w:sz w:val="20"/>
        </w:rPr>
        <w:t>Proceedings</w:t>
      </w:r>
      <w:r>
        <w:rPr>
          <w:sz w:val="20"/>
        </w:rPr>
        <w:t>.</w:t>
      </w:r>
      <w:r>
        <w:rPr>
          <w:spacing w:val="-3"/>
          <w:sz w:val="20"/>
        </w:rPr>
        <w:t> </w:t>
      </w:r>
      <w:r>
        <w:rPr>
          <w:sz w:val="20"/>
        </w:rPr>
        <w:t>Bureau of Rural Resources, Canberra.</w:t>
      </w:r>
    </w:p>
    <w:p>
      <w:pPr>
        <w:pStyle w:val="BodyText"/>
        <w:spacing w:before="11"/>
      </w:pPr>
    </w:p>
    <w:p>
      <w:pPr>
        <w:pStyle w:val="BodyText"/>
        <w:ind w:left="833" w:right="163" w:hanging="721"/>
      </w:pPr>
      <w:r>
        <w:rPr/>
        <w:t>Coman,</w:t>
      </w:r>
      <w:r>
        <w:rPr>
          <w:spacing w:val="-2"/>
        </w:rPr>
        <w:t> </w:t>
      </w:r>
      <w:r>
        <w:rPr/>
        <w:t>B.J.,</w:t>
      </w:r>
      <w:r>
        <w:rPr>
          <w:spacing w:val="-4"/>
        </w:rPr>
        <w:t> </w:t>
      </w:r>
      <w:r>
        <w:rPr/>
        <w:t>and</w:t>
      </w:r>
      <w:r>
        <w:rPr>
          <w:spacing w:val="-4"/>
        </w:rPr>
        <w:t> </w:t>
      </w:r>
      <w:r>
        <w:rPr/>
        <w:t>McCutchan,</w:t>
      </w:r>
      <w:r>
        <w:rPr>
          <w:spacing w:val="-4"/>
        </w:rPr>
        <w:t> </w:t>
      </w:r>
      <w:r>
        <w:rPr/>
        <w:t>J.</w:t>
      </w:r>
      <w:r>
        <w:rPr>
          <w:spacing w:val="-4"/>
        </w:rPr>
        <w:t> </w:t>
      </w:r>
      <w:r>
        <w:rPr/>
        <w:t>(1994).</w:t>
      </w:r>
      <w:r>
        <w:rPr>
          <w:spacing w:val="-2"/>
        </w:rPr>
        <w:t> </w:t>
      </w:r>
      <w:r>
        <w:rPr/>
        <w:t>Predator</w:t>
      </w:r>
      <w:r>
        <w:rPr>
          <w:spacing w:val="-1"/>
        </w:rPr>
        <w:t> </w:t>
      </w:r>
      <w:r>
        <w:rPr/>
        <w:t>Exclusion</w:t>
      </w:r>
      <w:r>
        <w:rPr>
          <w:spacing w:val="-5"/>
        </w:rPr>
        <w:t> </w:t>
      </w:r>
      <w:r>
        <w:rPr/>
        <w:t>Fencing</w:t>
      </w:r>
      <w:r>
        <w:rPr>
          <w:spacing w:val="-5"/>
        </w:rPr>
        <w:t> </w:t>
      </w:r>
      <w:r>
        <w:rPr/>
        <w:t>for</w:t>
      </w:r>
      <w:r>
        <w:rPr>
          <w:spacing w:val="-4"/>
        </w:rPr>
        <w:t> </w:t>
      </w:r>
      <w:r>
        <w:rPr/>
        <w:t>Wildlife</w:t>
      </w:r>
      <w:r>
        <w:rPr>
          <w:spacing w:val="-2"/>
        </w:rPr>
        <w:t> </w:t>
      </w:r>
      <w:r>
        <w:rPr/>
        <w:t>Management</w:t>
      </w:r>
      <w:r>
        <w:rPr>
          <w:spacing w:val="-2"/>
        </w:rPr>
        <w:t> </w:t>
      </w:r>
      <w:r>
        <w:rPr/>
        <w:t>in</w:t>
      </w:r>
      <w:r>
        <w:rPr>
          <w:spacing w:val="-2"/>
        </w:rPr>
        <w:t> </w:t>
      </w:r>
      <w:r>
        <w:rPr/>
        <w:t>Australia.</w:t>
      </w:r>
      <w:r>
        <w:rPr>
          <w:spacing w:val="-2"/>
        </w:rPr>
        <w:t> </w:t>
      </w:r>
      <w:r>
        <w:rPr/>
        <w:t>A report to the Australian Nature Conservation Agency. Canberra.</w:t>
      </w:r>
    </w:p>
    <w:p>
      <w:pPr>
        <w:pStyle w:val="BodyText"/>
        <w:spacing w:before="9"/>
      </w:pPr>
    </w:p>
    <w:p>
      <w:pPr>
        <w:pStyle w:val="BodyText"/>
        <w:ind w:left="112"/>
      </w:pPr>
      <w:r>
        <w:rPr/>
        <w:t>Coman,</w:t>
      </w:r>
      <w:r>
        <w:rPr>
          <w:spacing w:val="-6"/>
        </w:rPr>
        <w:t> </w:t>
      </w:r>
      <w:r>
        <w:rPr/>
        <w:t>J.</w:t>
      </w:r>
      <w:r>
        <w:rPr>
          <w:spacing w:val="-5"/>
        </w:rPr>
        <w:t> </w:t>
      </w:r>
      <w:r>
        <w:rPr/>
        <w:t>(1988).</w:t>
      </w:r>
      <w:r>
        <w:rPr>
          <w:spacing w:val="-6"/>
        </w:rPr>
        <w:t> </w:t>
      </w:r>
      <w:r>
        <w:rPr/>
        <w:t>The</w:t>
      </w:r>
      <w:r>
        <w:rPr>
          <w:spacing w:val="-5"/>
        </w:rPr>
        <w:t> </w:t>
      </w:r>
      <w:r>
        <w:rPr/>
        <w:t>age</w:t>
      </w:r>
      <w:r>
        <w:rPr>
          <w:spacing w:val="-5"/>
        </w:rPr>
        <w:t> </w:t>
      </w:r>
      <w:r>
        <w:rPr/>
        <w:t>structure</w:t>
      </w:r>
      <w:r>
        <w:rPr>
          <w:spacing w:val="-5"/>
        </w:rPr>
        <w:t> </w:t>
      </w:r>
      <w:r>
        <w:rPr/>
        <w:t>of</w:t>
      </w:r>
      <w:r>
        <w:rPr>
          <w:spacing w:val="-6"/>
        </w:rPr>
        <w:t> </w:t>
      </w:r>
      <w:r>
        <w:rPr/>
        <w:t>a</w:t>
      </w:r>
      <w:r>
        <w:rPr>
          <w:spacing w:val="-3"/>
        </w:rPr>
        <w:t> </w:t>
      </w:r>
      <w:r>
        <w:rPr/>
        <w:t>sample</w:t>
      </w:r>
      <w:r>
        <w:rPr>
          <w:spacing w:val="-4"/>
        </w:rPr>
        <w:t> </w:t>
      </w:r>
      <w:r>
        <w:rPr/>
        <w:t>of</w:t>
      </w:r>
      <w:r>
        <w:rPr>
          <w:spacing w:val="-2"/>
        </w:rPr>
        <w:t> </w:t>
      </w:r>
      <w:r>
        <w:rPr/>
        <w:t>Red</w:t>
      </w:r>
      <w:r>
        <w:rPr>
          <w:spacing w:val="-5"/>
        </w:rPr>
        <w:t> </w:t>
      </w:r>
      <w:r>
        <w:rPr/>
        <w:t>Foxes</w:t>
      </w:r>
      <w:r>
        <w:rPr>
          <w:spacing w:val="-4"/>
        </w:rPr>
        <w:t> </w:t>
      </w:r>
      <w:r>
        <w:rPr/>
        <w:t>(</w:t>
      </w:r>
      <w:r>
        <w:rPr>
          <w:i/>
        </w:rPr>
        <w:t>Vulpes</w:t>
      </w:r>
      <w:r>
        <w:rPr>
          <w:i/>
          <w:spacing w:val="-5"/>
        </w:rPr>
        <w:t> </w:t>
      </w:r>
      <w:r>
        <w:rPr>
          <w:i/>
        </w:rPr>
        <w:t>vulpes</w:t>
      </w:r>
      <w:r>
        <w:rPr/>
        <w:t>)</w:t>
      </w:r>
      <w:r>
        <w:rPr>
          <w:spacing w:val="-4"/>
        </w:rPr>
        <w:t> </w:t>
      </w:r>
      <w:r>
        <w:rPr/>
        <w:t>taken</w:t>
      </w:r>
      <w:r>
        <w:rPr>
          <w:spacing w:val="-7"/>
        </w:rPr>
        <w:t> </w:t>
      </w:r>
      <w:r>
        <w:rPr/>
        <w:t>by</w:t>
      </w:r>
      <w:r>
        <w:rPr>
          <w:spacing w:val="-4"/>
        </w:rPr>
        <w:t> </w:t>
      </w:r>
      <w:r>
        <w:rPr/>
        <w:t>hunters</w:t>
      </w:r>
      <w:r>
        <w:rPr>
          <w:spacing w:val="-5"/>
        </w:rPr>
        <w:t> </w:t>
      </w:r>
      <w:r>
        <w:rPr/>
        <w:t>in</w:t>
      </w:r>
      <w:r>
        <w:rPr>
          <w:spacing w:val="-3"/>
        </w:rPr>
        <w:t> </w:t>
      </w:r>
      <w:r>
        <w:rPr>
          <w:spacing w:val="-2"/>
        </w:rPr>
        <w:t>Victoria.</w:t>
      </w:r>
    </w:p>
    <w:p>
      <w:pPr>
        <w:spacing w:before="0"/>
        <w:ind w:left="833" w:right="0" w:firstLine="0"/>
        <w:jc w:val="left"/>
        <w:rPr>
          <w:sz w:val="20"/>
        </w:rPr>
      </w:pPr>
      <w:r>
        <w:rPr>
          <w:i/>
          <w:sz w:val="20"/>
        </w:rPr>
        <w:t>Australian</w:t>
      </w:r>
      <w:r>
        <w:rPr>
          <w:i/>
          <w:spacing w:val="-11"/>
          <w:sz w:val="20"/>
        </w:rPr>
        <w:t> </w:t>
      </w:r>
      <w:r>
        <w:rPr>
          <w:i/>
          <w:sz w:val="20"/>
        </w:rPr>
        <w:t>Wildlife</w:t>
      </w:r>
      <w:r>
        <w:rPr>
          <w:i/>
          <w:spacing w:val="-10"/>
          <w:sz w:val="20"/>
        </w:rPr>
        <w:t> </w:t>
      </w:r>
      <w:r>
        <w:rPr>
          <w:i/>
          <w:sz w:val="20"/>
        </w:rPr>
        <w:t>Research</w:t>
      </w:r>
      <w:r>
        <w:rPr>
          <w:i/>
          <w:spacing w:val="-8"/>
          <w:sz w:val="20"/>
        </w:rPr>
        <w:t> </w:t>
      </w:r>
      <w:r>
        <w:rPr>
          <w:b/>
          <w:spacing w:val="-2"/>
          <w:sz w:val="20"/>
        </w:rPr>
        <w:t>15</w:t>
      </w:r>
      <w:r>
        <w:rPr>
          <w:spacing w:val="-2"/>
          <w:sz w:val="20"/>
        </w:rPr>
        <w:t>:223–29.</w:t>
      </w:r>
    </w:p>
    <w:p>
      <w:pPr>
        <w:pStyle w:val="BodyText"/>
        <w:spacing w:line="470" w:lineRule="atLeast" w:before="1"/>
        <w:ind w:left="112" w:right="247"/>
      </w:pPr>
      <w:r>
        <w:rPr/>
        <w:t>Commonwealth of Australia. (2021). The Australian Governments threatened species strategy 2021-2031. Comte,</w:t>
      </w:r>
      <w:r>
        <w:rPr>
          <w:spacing w:val="-3"/>
        </w:rPr>
        <w:t> </w:t>
      </w:r>
      <w:r>
        <w:rPr/>
        <w:t>S.,</w:t>
      </w:r>
      <w:r>
        <w:rPr>
          <w:spacing w:val="-3"/>
        </w:rPr>
        <w:t> </w:t>
      </w:r>
      <w:r>
        <w:rPr/>
        <w:t>Thomas,</w:t>
      </w:r>
      <w:r>
        <w:rPr>
          <w:spacing w:val="-2"/>
        </w:rPr>
        <w:t> </w:t>
      </w:r>
      <w:r>
        <w:rPr/>
        <w:t>E.,</w:t>
      </w:r>
      <w:r>
        <w:rPr>
          <w:spacing w:val="-2"/>
        </w:rPr>
        <w:t> </w:t>
      </w:r>
      <w:r>
        <w:rPr/>
        <w:t>Bengsen,</w:t>
      </w:r>
      <w:r>
        <w:rPr>
          <w:spacing w:val="-2"/>
        </w:rPr>
        <w:t> </w:t>
      </w:r>
      <w:r>
        <w:rPr/>
        <w:t>A.J.,</w:t>
      </w:r>
      <w:r>
        <w:rPr>
          <w:spacing w:val="-2"/>
        </w:rPr>
        <w:t> </w:t>
      </w:r>
      <w:r>
        <w:rPr/>
        <w:t>Bennett,</w:t>
      </w:r>
      <w:r>
        <w:rPr>
          <w:spacing w:val="-3"/>
        </w:rPr>
        <w:t> </w:t>
      </w:r>
      <w:r>
        <w:rPr/>
        <w:t>A.,</w:t>
      </w:r>
      <w:r>
        <w:rPr>
          <w:spacing w:val="-3"/>
        </w:rPr>
        <w:t> </w:t>
      </w:r>
      <w:r>
        <w:rPr/>
        <w:t>Davis,</w:t>
      </w:r>
      <w:r>
        <w:rPr>
          <w:spacing w:val="-3"/>
        </w:rPr>
        <w:t> </w:t>
      </w:r>
      <w:r>
        <w:rPr/>
        <w:t>N.E.,</w:t>
      </w:r>
      <w:r>
        <w:rPr>
          <w:spacing w:val="-3"/>
        </w:rPr>
        <w:t> </w:t>
      </w:r>
      <w:r>
        <w:rPr/>
        <w:t>Brown,</w:t>
      </w:r>
      <w:r>
        <w:rPr>
          <w:spacing w:val="-2"/>
        </w:rPr>
        <w:t> </w:t>
      </w:r>
      <w:r>
        <w:rPr/>
        <w:t>D.,</w:t>
      </w:r>
      <w:r>
        <w:rPr>
          <w:spacing w:val="-3"/>
        </w:rPr>
        <w:t> </w:t>
      </w:r>
      <w:r>
        <w:rPr/>
        <w:t>and</w:t>
      </w:r>
      <w:r>
        <w:rPr>
          <w:spacing w:val="-2"/>
        </w:rPr>
        <w:t> </w:t>
      </w:r>
      <w:r>
        <w:rPr/>
        <w:t>Forsyth,</w:t>
      </w:r>
      <w:r>
        <w:rPr>
          <w:spacing w:val="-3"/>
        </w:rPr>
        <w:t> </w:t>
      </w:r>
      <w:r>
        <w:rPr/>
        <w:t>D.M.</w:t>
      </w:r>
      <w:r>
        <w:rPr>
          <w:spacing w:val="-3"/>
        </w:rPr>
        <w:t> </w:t>
      </w:r>
      <w:r>
        <w:rPr/>
        <w:t>(2022).</w:t>
      </w:r>
      <w:r>
        <w:rPr>
          <w:spacing w:val="-1"/>
        </w:rPr>
        <w:t> </w:t>
      </w:r>
      <w:r>
        <w:rPr/>
        <w:t>Cost-</w:t>
      </w:r>
    </w:p>
    <w:p>
      <w:pPr>
        <w:pStyle w:val="BodyText"/>
        <w:spacing w:before="1"/>
        <w:ind w:left="833"/>
      </w:pPr>
      <w:r>
        <w:rPr/>
        <w:t>effectiveness</w:t>
      </w:r>
      <w:r>
        <w:rPr>
          <w:spacing w:val="-4"/>
        </w:rPr>
        <w:t> </w:t>
      </w:r>
      <w:r>
        <w:rPr/>
        <w:t>of</w:t>
      </w:r>
      <w:r>
        <w:rPr>
          <w:spacing w:val="-5"/>
        </w:rPr>
        <w:t> </w:t>
      </w:r>
      <w:r>
        <w:rPr/>
        <w:t>volunteer</w:t>
      </w:r>
      <w:r>
        <w:rPr>
          <w:spacing w:val="-2"/>
        </w:rPr>
        <w:t> </w:t>
      </w:r>
      <w:r>
        <w:rPr/>
        <w:t>and</w:t>
      </w:r>
      <w:r>
        <w:rPr>
          <w:spacing w:val="-6"/>
        </w:rPr>
        <w:t> </w:t>
      </w:r>
      <w:r>
        <w:rPr/>
        <w:t>contract</w:t>
      </w:r>
      <w:r>
        <w:rPr>
          <w:spacing w:val="-3"/>
        </w:rPr>
        <w:t> </w:t>
      </w:r>
      <w:r>
        <w:rPr/>
        <w:t>ground-based</w:t>
      </w:r>
      <w:r>
        <w:rPr>
          <w:spacing w:val="-5"/>
        </w:rPr>
        <w:t> </w:t>
      </w:r>
      <w:r>
        <w:rPr/>
        <w:t>shooting</w:t>
      </w:r>
      <w:r>
        <w:rPr>
          <w:spacing w:val="-3"/>
        </w:rPr>
        <w:t> </w:t>
      </w:r>
      <w:r>
        <w:rPr/>
        <w:t>of</w:t>
      </w:r>
      <w:r>
        <w:rPr>
          <w:spacing w:val="-5"/>
        </w:rPr>
        <w:t> </w:t>
      </w:r>
      <w:r>
        <w:rPr/>
        <w:t>sambar</w:t>
      </w:r>
      <w:r>
        <w:rPr>
          <w:spacing w:val="-2"/>
        </w:rPr>
        <w:t> </w:t>
      </w:r>
      <w:r>
        <w:rPr/>
        <w:t>deer</w:t>
      </w:r>
      <w:r>
        <w:rPr>
          <w:spacing w:val="-2"/>
        </w:rPr>
        <w:t> </w:t>
      </w:r>
      <w:r>
        <w:rPr/>
        <w:t>in Australia.</w:t>
      </w:r>
      <w:r>
        <w:rPr>
          <w:spacing w:val="-3"/>
        </w:rPr>
        <w:t> </w:t>
      </w:r>
      <w:r>
        <w:rPr>
          <w:i/>
        </w:rPr>
        <w:t>Wildlife</w:t>
      </w:r>
      <w:r>
        <w:rPr>
          <w:i/>
        </w:rPr>
        <w:t> Research </w:t>
      </w:r>
      <w:r>
        <w:rPr>
          <w:b/>
        </w:rPr>
        <w:t>50</w:t>
      </w:r>
      <w:r>
        <w:rPr/>
        <w:t>(9):642–56. doi: 10.1071/WR22030.</w:t>
      </w:r>
    </w:p>
    <w:p>
      <w:pPr>
        <w:pStyle w:val="BodyText"/>
        <w:spacing w:before="8"/>
      </w:pPr>
    </w:p>
    <w:p>
      <w:pPr>
        <w:pStyle w:val="BodyText"/>
        <w:ind w:left="833" w:right="622" w:hanging="721"/>
      </w:pPr>
      <w:r>
        <w:rPr/>
        <w:t>Conejero,</w:t>
      </w:r>
      <w:r>
        <w:rPr>
          <w:spacing w:val="-2"/>
        </w:rPr>
        <w:t> </w:t>
      </w:r>
      <w:r>
        <w:rPr/>
        <w:t>C.,</w:t>
      </w:r>
      <w:r>
        <w:rPr>
          <w:spacing w:val="-3"/>
        </w:rPr>
        <w:t> </w:t>
      </w:r>
      <w:r>
        <w:rPr/>
        <w:t>López-Olvera,</w:t>
      </w:r>
      <w:r>
        <w:rPr>
          <w:spacing w:val="-5"/>
        </w:rPr>
        <w:t> </w:t>
      </w:r>
      <w:r>
        <w:rPr/>
        <w:t>J.R.,</w:t>
      </w:r>
      <w:r>
        <w:rPr>
          <w:spacing w:val="-5"/>
        </w:rPr>
        <w:t> </w:t>
      </w:r>
      <w:r>
        <w:rPr/>
        <w:t>González-Crespo,</w:t>
      </w:r>
      <w:r>
        <w:rPr>
          <w:spacing w:val="-3"/>
        </w:rPr>
        <w:t> </w:t>
      </w:r>
      <w:r>
        <w:rPr/>
        <w:t>C.,</w:t>
      </w:r>
      <w:r>
        <w:rPr>
          <w:spacing w:val="-5"/>
        </w:rPr>
        <w:t> </w:t>
      </w:r>
      <w:r>
        <w:rPr/>
        <w:t>Ráez-Bravo,</w:t>
      </w:r>
      <w:r>
        <w:rPr>
          <w:spacing w:val="-3"/>
        </w:rPr>
        <w:t> </w:t>
      </w:r>
      <w:r>
        <w:rPr/>
        <w:t>A.,</w:t>
      </w:r>
      <w:r>
        <w:rPr>
          <w:spacing w:val="-5"/>
        </w:rPr>
        <w:t> </w:t>
      </w:r>
      <w:r>
        <w:rPr/>
        <w:t>Castillo-Contreras,</w:t>
      </w:r>
      <w:r>
        <w:rPr>
          <w:spacing w:val="-5"/>
        </w:rPr>
        <w:t> </w:t>
      </w:r>
      <w:r>
        <w:rPr/>
        <w:t>R.,</w:t>
      </w:r>
      <w:r>
        <w:rPr>
          <w:spacing w:val="-5"/>
        </w:rPr>
        <w:t> </w:t>
      </w:r>
      <w:r>
        <w:rPr/>
        <w:t>Tampach, S., Velarde, R., and Mentaberre, G. (2022). Assessing mammal trapping standards in wild boar drop-net capture. </w:t>
      </w:r>
      <w:r>
        <w:rPr>
          <w:i/>
        </w:rPr>
        <w:t>Scientific Reports </w:t>
      </w:r>
      <w:r>
        <w:rPr>
          <w:b/>
        </w:rPr>
        <w:t>12</w:t>
      </w:r>
      <w:r>
        <w:rPr/>
        <w:t>(1):15090. doi: 10.1038/s41598-022-17407-5.</w:t>
      </w:r>
    </w:p>
    <w:p>
      <w:pPr>
        <w:pStyle w:val="BodyText"/>
        <w:spacing w:before="11"/>
      </w:pPr>
    </w:p>
    <w:p>
      <w:pPr>
        <w:pStyle w:val="BodyText"/>
        <w:ind w:right="620"/>
        <w:jc w:val="center"/>
      </w:pPr>
      <w:r>
        <w:rPr/>
        <w:t>Connolly,</w:t>
      </w:r>
      <w:r>
        <w:rPr>
          <w:spacing w:val="-8"/>
        </w:rPr>
        <w:t> </w:t>
      </w:r>
      <w:r>
        <w:rPr/>
        <w:t>G.</w:t>
      </w:r>
      <w:r>
        <w:rPr>
          <w:spacing w:val="-7"/>
        </w:rPr>
        <w:t> </w:t>
      </w:r>
      <w:r>
        <w:rPr/>
        <w:t>(1988).</w:t>
      </w:r>
      <w:r>
        <w:rPr>
          <w:spacing w:val="-7"/>
        </w:rPr>
        <w:t> </w:t>
      </w:r>
      <w:r>
        <w:rPr/>
        <w:t>M-44</w:t>
      </w:r>
      <w:r>
        <w:rPr>
          <w:spacing w:val="-6"/>
        </w:rPr>
        <w:t> </w:t>
      </w:r>
      <w:r>
        <w:rPr/>
        <w:t>sodium</w:t>
      </w:r>
      <w:r>
        <w:rPr>
          <w:spacing w:val="-7"/>
        </w:rPr>
        <w:t> </w:t>
      </w:r>
      <w:r>
        <w:rPr/>
        <w:t>cyanide</w:t>
      </w:r>
      <w:r>
        <w:rPr>
          <w:spacing w:val="-6"/>
        </w:rPr>
        <w:t> </w:t>
      </w:r>
      <w:r>
        <w:rPr/>
        <w:t>ejectors</w:t>
      </w:r>
      <w:r>
        <w:rPr>
          <w:spacing w:val="-6"/>
        </w:rPr>
        <w:t> </w:t>
      </w:r>
      <w:r>
        <w:rPr/>
        <w:t>in</w:t>
      </w:r>
      <w:r>
        <w:rPr>
          <w:spacing w:val="-5"/>
        </w:rPr>
        <w:t> </w:t>
      </w:r>
      <w:r>
        <w:rPr/>
        <w:t>the</w:t>
      </w:r>
      <w:r>
        <w:rPr>
          <w:spacing w:val="-8"/>
        </w:rPr>
        <w:t> </w:t>
      </w:r>
      <w:r>
        <w:rPr/>
        <w:t>animal</w:t>
      </w:r>
      <w:r>
        <w:rPr>
          <w:spacing w:val="-8"/>
        </w:rPr>
        <w:t> </w:t>
      </w:r>
      <w:r>
        <w:rPr/>
        <w:t>damage</w:t>
      </w:r>
      <w:r>
        <w:rPr>
          <w:spacing w:val="-8"/>
        </w:rPr>
        <w:t> </w:t>
      </w:r>
      <w:r>
        <w:rPr/>
        <w:t>control</w:t>
      </w:r>
      <w:r>
        <w:rPr>
          <w:spacing w:val="-6"/>
        </w:rPr>
        <w:t> </w:t>
      </w:r>
      <w:r>
        <w:rPr/>
        <w:t>program,</w:t>
      </w:r>
      <w:r>
        <w:rPr>
          <w:spacing w:val="-5"/>
        </w:rPr>
        <w:t> </w:t>
      </w:r>
      <w:r>
        <w:rPr/>
        <w:t>1976-1986.</w:t>
      </w:r>
      <w:r>
        <w:rPr>
          <w:spacing w:val="-6"/>
        </w:rPr>
        <w:t> </w:t>
      </w:r>
      <w:r>
        <w:rPr>
          <w:spacing w:val="-5"/>
        </w:rPr>
        <w:t>in</w:t>
      </w:r>
    </w:p>
    <w:p>
      <w:pPr>
        <w:spacing w:before="1"/>
        <w:ind w:left="5" w:right="620" w:firstLine="0"/>
        <w:jc w:val="center"/>
        <w:rPr>
          <w:sz w:val="20"/>
        </w:rPr>
      </w:pPr>
      <w:r>
        <w:rPr>
          <w:i/>
          <w:sz w:val="20"/>
        </w:rPr>
        <w:t>Proceedings</w:t>
      </w:r>
      <w:r>
        <w:rPr>
          <w:i/>
          <w:spacing w:val="-9"/>
          <w:sz w:val="20"/>
        </w:rPr>
        <w:t> </w:t>
      </w:r>
      <w:r>
        <w:rPr>
          <w:i/>
          <w:sz w:val="20"/>
        </w:rPr>
        <w:t>13th</w:t>
      </w:r>
      <w:r>
        <w:rPr>
          <w:i/>
          <w:spacing w:val="-9"/>
          <w:sz w:val="20"/>
        </w:rPr>
        <w:t> </w:t>
      </w:r>
      <w:r>
        <w:rPr>
          <w:i/>
          <w:sz w:val="20"/>
        </w:rPr>
        <w:t>Vertebrate</w:t>
      </w:r>
      <w:r>
        <w:rPr>
          <w:i/>
          <w:spacing w:val="-9"/>
          <w:sz w:val="20"/>
        </w:rPr>
        <w:t> </w:t>
      </w:r>
      <w:r>
        <w:rPr>
          <w:i/>
          <w:sz w:val="20"/>
        </w:rPr>
        <w:t>Pest</w:t>
      </w:r>
      <w:r>
        <w:rPr>
          <w:i/>
          <w:spacing w:val="-7"/>
          <w:sz w:val="20"/>
        </w:rPr>
        <w:t> </w:t>
      </w:r>
      <w:r>
        <w:rPr>
          <w:i/>
          <w:sz w:val="20"/>
        </w:rPr>
        <w:t>Conference</w:t>
      </w:r>
      <w:r>
        <w:rPr>
          <w:sz w:val="20"/>
        </w:rPr>
        <w:t>.</w:t>
      </w:r>
      <w:r>
        <w:rPr>
          <w:spacing w:val="-8"/>
          <w:sz w:val="20"/>
        </w:rPr>
        <w:t> </w:t>
      </w:r>
      <w:r>
        <w:rPr>
          <w:sz w:val="20"/>
        </w:rPr>
        <w:t>University</w:t>
      </w:r>
      <w:r>
        <w:rPr>
          <w:spacing w:val="-8"/>
          <w:sz w:val="20"/>
        </w:rPr>
        <w:t> </w:t>
      </w:r>
      <w:r>
        <w:rPr>
          <w:sz w:val="20"/>
        </w:rPr>
        <w:t>of</w:t>
      </w:r>
      <w:r>
        <w:rPr>
          <w:spacing w:val="-9"/>
          <w:sz w:val="20"/>
        </w:rPr>
        <w:t> </w:t>
      </w:r>
      <w:r>
        <w:rPr>
          <w:sz w:val="20"/>
        </w:rPr>
        <w:t>California,</w:t>
      </w:r>
      <w:r>
        <w:rPr>
          <w:spacing w:val="-8"/>
          <w:sz w:val="20"/>
        </w:rPr>
        <w:t> </w:t>
      </w:r>
      <w:r>
        <w:rPr>
          <w:sz w:val="20"/>
        </w:rPr>
        <w:t>Davis,</w:t>
      </w:r>
      <w:r>
        <w:rPr>
          <w:spacing w:val="-9"/>
          <w:sz w:val="20"/>
        </w:rPr>
        <w:t> </w:t>
      </w:r>
      <w:r>
        <w:rPr>
          <w:spacing w:val="-2"/>
          <w:sz w:val="20"/>
        </w:rPr>
        <w:t>California.</w:t>
      </w:r>
    </w:p>
    <w:p>
      <w:pPr>
        <w:pStyle w:val="BodyText"/>
        <w:spacing w:before="8"/>
      </w:pPr>
    </w:p>
    <w:p>
      <w:pPr>
        <w:pStyle w:val="BodyText"/>
        <w:ind w:right="1376"/>
        <w:jc w:val="right"/>
      </w:pPr>
      <w:r>
        <w:rPr/>
        <w:t>Connolly,</w:t>
      </w:r>
      <w:r>
        <w:rPr>
          <w:spacing w:val="-7"/>
        </w:rPr>
        <w:t> </w:t>
      </w:r>
      <w:r>
        <w:rPr/>
        <w:t>G.,</w:t>
      </w:r>
      <w:r>
        <w:rPr>
          <w:spacing w:val="-7"/>
        </w:rPr>
        <w:t> </w:t>
      </w:r>
      <w:r>
        <w:rPr/>
        <w:t>and</w:t>
      </w:r>
      <w:r>
        <w:rPr>
          <w:spacing w:val="-6"/>
        </w:rPr>
        <w:t> </w:t>
      </w:r>
      <w:r>
        <w:rPr/>
        <w:t>Simmons,</w:t>
      </w:r>
      <w:r>
        <w:rPr>
          <w:spacing w:val="-7"/>
        </w:rPr>
        <w:t> </w:t>
      </w:r>
      <w:r>
        <w:rPr/>
        <w:t>G.D.</w:t>
      </w:r>
      <w:r>
        <w:rPr>
          <w:spacing w:val="-7"/>
        </w:rPr>
        <w:t> </w:t>
      </w:r>
      <w:r>
        <w:rPr/>
        <w:t>(1984).</w:t>
      </w:r>
      <w:r>
        <w:rPr>
          <w:spacing w:val="-5"/>
        </w:rPr>
        <w:t> </w:t>
      </w:r>
      <w:r>
        <w:rPr/>
        <w:t>Performance</w:t>
      </w:r>
      <w:r>
        <w:rPr>
          <w:spacing w:val="-5"/>
        </w:rPr>
        <w:t> </w:t>
      </w:r>
      <w:r>
        <w:rPr/>
        <w:t>of</w:t>
      </w:r>
      <w:r>
        <w:rPr>
          <w:spacing w:val="-6"/>
        </w:rPr>
        <w:t> </w:t>
      </w:r>
      <w:r>
        <w:rPr/>
        <w:t>sodium</w:t>
      </w:r>
      <w:r>
        <w:rPr>
          <w:spacing w:val="-6"/>
        </w:rPr>
        <w:t> </w:t>
      </w:r>
      <w:r>
        <w:rPr/>
        <w:t>cyanide</w:t>
      </w:r>
      <w:r>
        <w:rPr>
          <w:spacing w:val="-7"/>
        </w:rPr>
        <w:t> </w:t>
      </w:r>
      <w:r>
        <w:rPr/>
        <w:t>ejectors.</w:t>
      </w:r>
      <w:r>
        <w:rPr>
          <w:spacing w:val="-7"/>
        </w:rPr>
        <w:t> </w:t>
      </w:r>
      <w:r>
        <w:rPr/>
        <w:t>Pp.</w:t>
      </w:r>
      <w:r>
        <w:rPr>
          <w:spacing w:val="-5"/>
        </w:rPr>
        <w:t> </w:t>
      </w:r>
      <w:r>
        <w:rPr/>
        <w:t>114–21</w:t>
      </w:r>
      <w:r>
        <w:rPr>
          <w:spacing w:val="-7"/>
        </w:rPr>
        <w:t> </w:t>
      </w:r>
      <w:r>
        <w:rPr>
          <w:spacing w:val="-5"/>
        </w:rPr>
        <w:t>in</w:t>
      </w:r>
    </w:p>
    <w:p>
      <w:pPr>
        <w:spacing w:before="1"/>
        <w:ind w:left="0" w:right="1449" w:firstLine="0"/>
        <w:jc w:val="right"/>
        <w:rPr>
          <w:sz w:val="20"/>
        </w:rPr>
      </w:pPr>
      <w:r>
        <w:rPr>
          <w:i/>
          <w:sz w:val="20"/>
        </w:rPr>
        <w:t>Proceedings</w:t>
      </w:r>
      <w:r>
        <w:rPr>
          <w:i/>
          <w:spacing w:val="-9"/>
          <w:sz w:val="20"/>
        </w:rPr>
        <w:t> </w:t>
      </w:r>
      <w:r>
        <w:rPr>
          <w:i/>
          <w:sz w:val="20"/>
        </w:rPr>
        <w:t>11th</w:t>
      </w:r>
      <w:r>
        <w:rPr>
          <w:i/>
          <w:spacing w:val="-9"/>
          <w:sz w:val="20"/>
        </w:rPr>
        <w:t> </w:t>
      </w:r>
      <w:r>
        <w:rPr>
          <w:i/>
          <w:sz w:val="20"/>
        </w:rPr>
        <w:t>Vertebrate</w:t>
      </w:r>
      <w:r>
        <w:rPr>
          <w:i/>
          <w:spacing w:val="-9"/>
          <w:sz w:val="20"/>
        </w:rPr>
        <w:t> </w:t>
      </w:r>
      <w:r>
        <w:rPr>
          <w:i/>
          <w:sz w:val="20"/>
        </w:rPr>
        <w:t>Pest</w:t>
      </w:r>
      <w:r>
        <w:rPr>
          <w:i/>
          <w:spacing w:val="-7"/>
          <w:sz w:val="20"/>
        </w:rPr>
        <w:t> </w:t>
      </w:r>
      <w:r>
        <w:rPr>
          <w:i/>
          <w:sz w:val="20"/>
        </w:rPr>
        <w:t>Conference</w:t>
      </w:r>
      <w:r>
        <w:rPr>
          <w:sz w:val="20"/>
        </w:rPr>
        <w:t>.</w:t>
      </w:r>
      <w:r>
        <w:rPr>
          <w:spacing w:val="-8"/>
          <w:sz w:val="20"/>
        </w:rPr>
        <w:t> </w:t>
      </w:r>
      <w:r>
        <w:rPr>
          <w:sz w:val="20"/>
        </w:rPr>
        <w:t>University</w:t>
      </w:r>
      <w:r>
        <w:rPr>
          <w:spacing w:val="-8"/>
          <w:sz w:val="20"/>
        </w:rPr>
        <w:t> </w:t>
      </w:r>
      <w:r>
        <w:rPr>
          <w:sz w:val="20"/>
        </w:rPr>
        <w:t>of</w:t>
      </w:r>
      <w:r>
        <w:rPr>
          <w:spacing w:val="-9"/>
          <w:sz w:val="20"/>
        </w:rPr>
        <w:t> </w:t>
      </w:r>
      <w:r>
        <w:rPr>
          <w:sz w:val="20"/>
        </w:rPr>
        <w:t>California,</w:t>
      </w:r>
      <w:r>
        <w:rPr>
          <w:spacing w:val="-8"/>
          <w:sz w:val="20"/>
        </w:rPr>
        <w:t> </w:t>
      </w:r>
      <w:r>
        <w:rPr>
          <w:sz w:val="20"/>
        </w:rPr>
        <w:t>Davis,</w:t>
      </w:r>
      <w:r>
        <w:rPr>
          <w:spacing w:val="-9"/>
          <w:sz w:val="20"/>
        </w:rPr>
        <w:t> </w:t>
      </w:r>
      <w:r>
        <w:rPr>
          <w:spacing w:val="-2"/>
          <w:sz w:val="20"/>
        </w:rPr>
        <w:t>California.</w:t>
      </w:r>
    </w:p>
    <w:p>
      <w:pPr>
        <w:pStyle w:val="BodyText"/>
        <w:spacing w:before="10"/>
      </w:pPr>
    </w:p>
    <w:p>
      <w:pPr>
        <w:pStyle w:val="BodyText"/>
        <w:ind w:left="833" w:right="163" w:hanging="721"/>
      </w:pPr>
      <w:r>
        <w:rPr/>
        <w:t>Cooke,</w:t>
      </w:r>
      <w:r>
        <w:rPr>
          <w:spacing w:val="-2"/>
        </w:rPr>
        <w:t> </w:t>
      </w:r>
      <w:r>
        <w:rPr/>
        <w:t>B.D.</w:t>
      </w:r>
      <w:r>
        <w:rPr>
          <w:spacing w:val="-4"/>
        </w:rPr>
        <w:t> </w:t>
      </w:r>
      <w:r>
        <w:rPr/>
        <w:t>(1981).</w:t>
      </w:r>
      <w:r>
        <w:rPr>
          <w:spacing w:val="-4"/>
        </w:rPr>
        <w:t> </w:t>
      </w:r>
      <w:r>
        <w:rPr/>
        <w:t>Rabbit</w:t>
      </w:r>
      <w:r>
        <w:rPr>
          <w:spacing w:val="-2"/>
        </w:rPr>
        <w:t> </w:t>
      </w:r>
      <w:r>
        <w:rPr/>
        <w:t>control</w:t>
      </w:r>
      <w:r>
        <w:rPr>
          <w:spacing w:val="-3"/>
        </w:rPr>
        <w:t> </w:t>
      </w:r>
      <w:r>
        <w:rPr/>
        <w:t>and</w:t>
      </w:r>
      <w:r>
        <w:rPr>
          <w:spacing w:val="-2"/>
        </w:rPr>
        <w:t> </w:t>
      </w:r>
      <w:r>
        <w:rPr/>
        <w:t>the</w:t>
      </w:r>
      <w:r>
        <w:rPr>
          <w:spacing w:val="-4"/>
        </w:rPr>
        <w:t> </w:t>
      </w:r>
      <w:r>
        <w:rPr/>
        <w:t>conservation</w:t>
      </w:r>
      <w:r>
        <w:rPr>
          <w:spacing w:val="-5"/>
        </w:rPr>
        <w:t> </w:t>
      </w:r>
      <w:r>
        <w:rPr/>
        <w:t>of</w:t>
      </w:r>
      <w:r>
        <w:rPr>
          <w:spacing w:val="-2"/>
        </w:rPr>
        <w:t> </w:t>
      </w:r>
      <w:r>
        <w:rPr/>
        <w:t>native</w:t>
      </w:r>
      <w:r>
        <w:rPr>
          <w:spacing w:val="-4"/>
        </w:rPr>
        <w:t> </w:t>
      </w:r>
      <w:r>
        <w:rPr/>
        <w:t>mallee</w:t>
      </w:r>
      <w:r>
        <w:rPr>
          <w:spacing w:val="-4"/>
        </w:rPr>
        <w:t> </w:t>
      </w:r>
      <w:r>
        <w:rPr/>
        <w:t>vegetation</w:t>
      </w:r>
      <w:r>
        <w:rPr>
          <w:spacing w:val="-5"/>
        </w:rPr>
        <w:t> </w:t>
      </w:r>
      <w:r>
        <w:rPr/>
        <w:t>on</w:t>
      </w:r>
      <w:r>
        <w:rPr>
          <w:spacing w:val="-4"/>
        </w:rPr>
        <w:t> </w:t>
      </w:r>
      <w:r>
        <w:rPr/>
        <w:t>roadsides</w:t>
      </w:r>
      <w:r>
        <w:rPr>
          <w:spacing w:val="-1"/>
        </w:rPr>
        <w:t> </w:t>
      </w:r>
      <w:r>
        <w:rPr/>
        <w:t>in South Australia. </w:t>
      </w:r>
      <w:r>
        <w:rPr>
          <w:i/>
        </w:rPr>
        <w:t>Wildlife Research </w:t>
      </w:r>
      <w:r>
        <w:rPr>
          <w:b/>
        </w:rPr>
        <w:t>8</w:t>
      </w:r>
      <w:r>
        <w:rPr/>
        <w:t>(3):627. doi: 10.1071/WR9810627.</w:t>
      </w:r>
    </w:p>
    <w:p>
      <w:pPr>
        <w:pStyle w:val="BodyText"/>
        <w:spacing w:before="11"/>
      </w:pPr>
    </w:p>
    <w:p>
      <w:pPr>
        <w:pStyle w:val="BodyText"/>
        <w:ind w:left="112"/>
      </w:pPr>
      <w:r>
        <w:rPr/>
        <w:t>Cooke,</w:t>
      </w:r>
      <w:r>
        <w:rPr>
          <w:spacing w:val="-6"/>
        </w:rPr>
        <w:t> </w:t>
      </w:r>
      <w:r>
        <w:rPr/>
        <w:t>B.D.,</w:t>
      </w:r>
      <w:r>
        <w:rPr>
          <w:spacing w:val="-6"/>
        </w:rPr>
        <w:t> </w:t>
      </w:r>
      <w:r>
        <w:rPr/>
        <w:t>and</w:t>
      </w:r>
      <w:r>
        <w:rPr>
          <w:spacing w:val="-7"/>
        </w:rPr>
        <w:t> </w:t>
      </w:r>
      <w:r>
        <w:rPr/>
        <w:t>Fenner,</w:t>
      </w:r>
      <w:r>
        <w:rPr>
          <w:spacing w:val="-7"/>
        </w:rPr>
        <w:t> </w:t>
      </w:r>
      <w:r>
        <w:rPr/>
        <w:t>F.</w:t>
      </w:r>
      <w:r>
        <w:rPr>
          <w:spacing w:val="-7"/>
        </w:rPr>
        <w:t> </w:t>
      </w:r>
      <w:r>
        <w:rPr/>
        <w:t>(2002).</w:t>
      </w:r>
      <w:r>
        <w:rPr>
          <w:spacing w:val="-6"/>
        </w:rPr>
        <w:t> </w:t>
      </w:r>
      <w:r>
        <w:rPr/>
        <w:t>Rabbit</w:t>
      </w:r>
      <w:r>
        <w:rPr>
          <w:spacing w:val="-6"/>
        </w:rPr>
        <w:t> </w:t>
      </w:r>
      <w:r>
        <w:rPr/>
        <w:t>haemorrhagic</w:t>
      </w:r>
      <w:r>
        <w:rPr>
          <w:spacing w:val="-6"/>
        </w:rPr>
        <w:t> </w:t>
      </w:r>
      <w:r>
        <w:rPr/>
        <w:t>disease</w:t>
      </w:r>
      <w:r>
        <w:rPr>
          <w:spacing w:val="-7"/>
        </w:rPr>
        <w:t> </w:t>
      </w:r>
      <w:r>
        <w:rPr/>
        <w:t>and</w:t>
      </w:r>
      <w:r>
        <w:rPr>
          <w:spacing w:val="-8"/>
        </w:rPr>
        <w:t> </w:t>
      </w:r>
      <w:r>
        <w:rPr/>
        <w:t>the</w:t>
      </w:r>
      <w:r>
        <w:rPr>
          <w:spacing w:val="-7"/>
        </w:rPr>
        <w:t> </w:t>
      </w:r>
      <w:r>
        <w:rPr/>
        <w:t>biological</w:t>
      </w:r>
      <w:r>
        <w:rPr>
          <w:spacing w:val="-8"/>
        </w:rPr>
        <w:t> </w:t>
      </w:r>
      <w:r>
        <w:rPr/>
        <w:t>control</w:t>
      </w:r>
      <w:r>
        <w:rPr>
          <w:spacing w:val="-8"/>
        </w:rPr>
        <w:t> </w:t>
      </w:r>
      <w:r>
        <w:rPr/>
        <w:t>of</w:t>
      </w:r>
      <w:r>
        <w:rPr>
          <w:spacing w:val="-6"/>
        </w:rPr>
        <w:t> </w:t>
      </w:r>
      <w:r>
        <w:rPr/>
        <w:t>wild</w:t>
      </w:r>
      <w:r>
        <w:rPr>
          <w:spacing w:val="-7"/>
        </w:rPr>
        <w:t> </w:t>
      </w:r>
      <w:r>
        <w:rPr>
          <w:spacing w:val="-2"/>
        </w:rPr>
        <w:t>rabbits,</w:t>
      </w:r>
    </w:p>
    <w:p>
      <w:pPr>
        <w:spacing w:before="1"/>
        <w:ind w:left="0" w:right="679" w:firstLine="0"/>
        <w:jc w:val="center"/>
        <w:rPr>
          <w:sz w:val="20"/>
        </w:rPr>
      </w:pPr>
      <w:r>
        <w:rPr>
          <w:i/>
          <w:sz w:val="20"/>
        </w:rPr>
        <w:t>Oryctolagus</w:t>
      </w:r>
      <w:r>
        <w:rPr>
          <w:i/>
          <w:spacing w:val="-8"/>
          <w:sz w:val="20"/>
        </w:rPr>
        <w:t> </w:t>
      </w:r>
      <w:r>
        <w:rPr>
          <w:i/>
          <w:sz w:val="20"/>
        </w:rPr>
        <w:t>cuniculus</w:t>
      </w:r>
      <w:r>
        <w:rPr>
          <w:sz w:val="20"/>
        </w:rPr>
        <w:t>,</w:t>
      </w:r>
      <w:r>
        <w:rPr>
          <w:spacing w:val="-9"/>
          <w:sz w:val="20"/>
        </w:rPr>
        <w:t> </w:t>
      </w:r>
      <w:r>
        <w:rPr>
          <w:sz w:val="20"/>
        </w:rPr>
        <w:t>in</w:t>
      </w:r>
      <w:r>
        <w:rPr>
          <w:spacing w:val="-6"/>
          <w:sz w:val="20"/>
        </w:rPr>
        <w:t> </w:t>
      </w:r>
      <w:r>
        <w:rPr>
          <w:sz w:val="20"/>
        </w:rPr>
        <w:t>Australia</w:t>
      </w:r>
      <w:r>
        <w:rPr>
          <w:spacing w:val="-9"/>
          <w:sz w:val="20"/>
        </w:rPr>
        <w:t> </w:t>
      </w:r>
      <w:r>
        <w:rPr>
          <w:sz w:val="20"/>
        </w:rPr>
        <w:t>and</w:t>
      </w:r>
      <w:r>
        <w:rPr>
          <w:spacing w:val="-8"/>
          <w:sz w:val="20"/>
        </w:rPr>
        <w:t> </w:t>
      </w:r>
      <w:r>
        <w:rPr>
          <w:sz w:val="20"/>
        </w:rPr>
        <w:t>New</w:t>
      </w:r>
      <w:r>
        <w:rPr>
          <w:spacing w:val="-9"/>
          <w:sz w:val="20"/>
        </w:rPr>
        <w:t> </w:t>
      </w:r>
      <w:r>
        <w:rPr>
          <w:sz w:val="20"/>
        </w:rPr>
        <w:t>Zealand.</w:t>
      </w:r>
      <w:r>
        <w:rPr>
          <w:spacing w:val="-6"/>
          <w:sz w:val="20"/>
        </w:rPr>
        <w:t> </w:t>
      </w:r>
      <w:r>
        <w:rPr>
          <w:i/>
          <w:sz w:val="20"/>
        </w:rPr>
        <w:t>Wildlife</w:t>
      </w:r>
      <w:r>
        <w:rPr>
          <w:i/>
          <w:spacing w:val="-9"/>
          <w:sz w:val="20"/>
        </w:rPr>
        <w:t> </w:t>
      </w:r>
      <w:r>
        <w:rPr>
          <w:i/>
          <w:sz w:val="20"/>
        </w:rPr>
        <w:t>Research</w:t>
      </w:r>
      <w:r>
        <w:rPr>
          <w:i/>
          <w:spacing w:val="-8"/>
          <w:sz w:val="20"/>
        </w:rPr>
        <w:t> </w:t>
      </w:r>
      <w:r>
        <w:rPr>
          <w:b/>
          <w:spacing w:val="-2"/>
          <w:sz w:val="20"/>
        </w:rPr>
        <w:t>29</w:t>
      </w:r>
      <w:r>
        <w:rPr>
          <w:spacing w:val="-2"/>
          <w:sz w:val="20"/>
        </w:rPr>
        <w:t>(6):689–706.</w:t>
      </w:r>
    </w:p>
    <w:p>
      <w:pPr>
        <w:pStyle w:val="BodyText"/>
        <w:spacing w:before="7"/>
      </w:pPr>
    </w:p>
    <w:p>
      <w:pPr>
        <w:pStyle w:val="BodyText"/>
        <w:ind w:left="833" w:right="163" w:hanging="721"/>
      </w:pPr>
      <w:r>
        <w:rPr/>
        <w:t>Cooke, B., Chudleigh, P., Simpson, S., and Saunders, G. (2013). The economic benefits of the biological control</w:t>
      </w:r>
      <w:r>
        <w:rPr>
          <w:spacing w:val="-5"/>
        </w:rPr>
        <w:t> </w:t>
      </w:r>
      <w:r>
        <w:rPr/>
        <w:t>of</w:t>
      </w:r>
      <w:r>
        <w:rPr>
          <w:spacing w:val="-5"/>
        </w:rPr>
        <w:t> </w:t>
      </w:r>
      <w:r>
        <w:rPr/>
        <w:t>rabbits</w:t>
      </w:r>
      <w:r>
        <w:rPr>
          <w:spacing w:val="-3"/>
        </w:rPr>
        <w:t> </w:t>
      </w:r>
      <w:r>
        <w:rPr/>
        <w:t>in</w:t>
      </w:r>
      <w:r>
        <w:rPr>
          <w:spacing w:val="-2"/>
        </w:rPr>
        <w:t> </w:t>
      </w:r>
      <w:r>
        <w:rPr/>
        <w:t>Australia,</w:t>
      </w:r>
      <w:r>
        <w:rPr>
          <w:spacing w:val="-5"/>
        </w:rPr>
        <w:t> </w:t>
      </w:r>
      <w:r>
        <w:rPr/>
        <w:t>1950–2011.</w:t>
      </w:r>
      <w:r>
        <w:rPr>
          <w:spacing w:val="-4"/>
        </w:rPr>
        <w:t> </w:t>
      </w:r>
      <w:r>
        <w:rPr>
          <w:i/>
        </w:rPr>
        <w:t>Australian</w:t>
      </w:r>
      <w:r>
        <w:rPr>
          <w:i/>
          <w:spacing w:val="-5"/>
        </w:rPr>
        <w:t> </w:t>
      </w:r>
      <w:r>
        <w:rPr>
          <w:i/>
        </w:rPr>
        <w:t>Economic</w:t>
      </w:r>
      <w:r>
        <w:rPr>
          <w:i/>
          <w:spacing w:val="-5"/>
        </w:rPr>
        <w:t> </w:t>
      </w:r>
      <w:r>
        <w:rPr>
          <w:i/>
        </w:rPr>
        <w:t>History</w:t>
      </w:r>
      <w:r>
        <w:rPr>
          <w:i/>
          <w:spacing w:val="-4"/>
        </w:rPr>
        <w:t> </w:t>
      </w:r>
      <w:r>
        <w:rPr>
          <w:i/>
        </w:rPr>
        <w:t>Review</w:t>
      </w:r>
      <w:r>
        <w:rPr>
          <w:i/>
          <w:spacing w:val="-1"/>
        </w:rPr>
        <w:t> </w:t>
      </w:r>
      <w:r>
        <w:rPr>
          <w:b/>
        </w:rPr>
        <w:t>53</w:t>
      </w:r>
      <w:r>
        <w:rPr/>
        <w:t>(1):91–107.</w:t>
      </w:r>
      <w:r>
        <w:rPr>
          <w:spacing w:val="-4"/>
        </w:rPr>
        <w:t> </w:t>
      </w:r>
      <w:r>
        <w:rPr/>
        <w:t>doi: </w:t>
      </w:r>
      <w:r>
        <w:rPr>
          <w:spacing w:val="-2"/>
        </w:rPr>
        <w:t>10.1111/aehr.12000.</w:t>
      </w:r>
    </w:p>
    <w:p>
      <w:pPr>
        <w:spacing w:after="0"/>
        <w:sectPr>
          <w:pgSz w:w="11910" w:h="16850"/>
          <w:pgMar w:header="0" w:footer="688" w:top="1060" w:bottom="880" w:left="1020" w:right="780"/>
        </w:sectPr>
      </w:pPr>
    </w:p>
    <w:p>
      <w:pPr>
        <w:spacing w:before="71"/>
        <w:ind w:left="833" w:right="163" w:hanging="721"/>
        <w:jc w:val="left"/>
        <w:rPr>
          <w:sz w:val="20"/>
        </w:rPr>
      </w:pPr>
      <w:r>
        <w:rPr>
          <w:sz w:val="20"/>
        </w:rPr>
        <w:t>Cooke,</w:t>
      </w:r>
      <w:r>
        <w:rPr>
          <w:spacing w:val="-2"/>
          <w:sz w:val="20"/>
        </w:rPr>
        <w:t> </w:t>
      </w:r>
      <w:r>
        <w:rPr>
          <w:sz w:val="20"/>
        </w:rPr>
        <w:t>B.D.</w:t>
      </w:r>
      <w:r>
        <w:rPr>
          <w:spacing w:val="-4"/>
          <w:sz w:val="20"/>
        </w:rPr>
        <w:t> </w:t>
      </w:r>
      <w:r>
        <w:rPr>
          <w:sz w:val="20"/>
        </w:rPr>
        <w:t>(2012).</w:t>
      </w:r>
      <w:r>
        <w:rPr>
          <w:spacing w:val="-3"/>
          <w:sz w:val="20"/>
        </w:rPr>
        <w:t> </w:t>
      </w:r>
      <w:r>
        <w:rPr>
          <w:i/>
          <w:sz w:val="20"/>
        </w:rPr>
        <w:t>Planning</w:t>
      </w:r>
      <w:r>
        <w:rPr>
          <w:i/>
          <w:spacing w:val="-5"/>
          <w:sz w:val="20"/>
        </w:rPr>
        <w:t> </w:t>
      </w:r>
      <w:r>
        <w:rPr>
          <w:i/>
          <w:sz w:val="20"/>
        </w:rPr>
        <w:t>landscape-scale</w:t>
      </w:r>
      <w:r>
        <w:rPr>
          <w:i/>
          <w:spacing w:val="-4"/>
          <w:sz w:val="20"/>
        </w:rPr>
        <w:t> </w:t>
      </w:r>
      <w:r>
        <w:rPr>
          <w:i/>
          <w:sz w:val="20"/>
        </w:rPr>
        <w:t>rabbit</w:t>
      </w:r>
      <w:r>
        <w:rPr>
          <w:i/>
          <w:spacing w:val="-4"/>
          <w:sz w:val="20"/>
        </w:rPr>
        <w:t> </w:t>
      </w:r>
      <w:r>
        <w:rPr>
          <w:i/>
          <w:sz w:val="20"/>
        </w:rPr>
        <w:t>control</w:t>
      </w:r>
      <w:r>
        <w:rPr>
          <w:sz w:val="20"/>
        </w:rPr>
        <w:t>.</w:t>
      </w:r>
      <w:r>
        <w:rPr>
          <w:spacing w:val="-4"/>
          <w:sz w:val="20"/>
        </w:rPr>
        <w:t> </w:t>
      </w:r>
      <w:r>
        <w:rPr>
          <w:i/>
          <w:sz w:val="20"/>
        </w:rPr>
        <w:t>pestSmart</w:t>
      </w:r>
      <w:r>
        <w:rPr>
          <w:i/>
          <w:spacing w:val="-4"/>
          <w:sz w:val="20"/>
        </w:rPr>
        <w:t> </w:t>
      </w:r>
      <w:r>
        <w:rPr>
          <w:i/>
          <w:sz w:val="20"/>
        </w:rPr>
        <w:t>Toolkit</w:t>
      </w:r>
      <w:r>
        <w:rPr>
          <w:i/>
          <w:spacing w:val="-2"/>
          <w:sz w:val="20"/>
        </w:rPr>
        <w:t> </w:t>
      </w:r>
      <w:r>
        <w:rPr>
          <w:i/>
          <w:sz w:val="20"/>
        </w:rPr>
        <w:t>publication</w:t>
      </w:r>
      <w:r>
        <w:rPr>
          <w:sz w:val="20"/>
        </w:rPr>
        <w:t>.</w:t>
      </w:r>
      <w:r>
        <w:rPr>
          <w:spacing w:val="-4"/>
          <w:sz w:val="20"/>
        </w:rPr>
        <w:t> </w:t>
      </w:r>
      <w:r>
        <w:rPr>
          <w:sz w:val="20"/>
        </w:rPr>
        <w:t>Invasive</w:t>
      </w:r>
      <w:r>
        <w:rPr>
          <w:spacing w:val="-2"/>
          <w:sz w:val="20"/>
        </w:rPr>
        <w:t> </w:t>
      </w:r>
      <w:r>
        <w:rPr>
          <w:sz w:val="20"/>
        </w:rPr>
        <w:t>Animals Cooperative Research Centre, Canberra, Australia.</w:t>
      </w:r>
    </w:p>
    <w:p>
      <w:pPr>
        <w:pStyle w:val="BodyText"/>
        <w:spacing w:before="11"/>
      </w:pPr>
    </w:p>
    <w:p>
      <w:pPr>
        <w:spacing w:before="1"/>
        <w:ind w:left="833" w:right="1166" w:hanging="721"/>
        <w:jc w:val="both"/>
        <w:rPr>
          <w:sz w:val="20"/>
        </w:rPr>
      </w:pPr>
      <w:r>
        <w:rPr>
          <w:sz w:val="20"/>
        </w:rPr>
        <w:t>Cooke, B.,</w:t>
      </w:r>
      <w:r>
        <w:rPr>
          <w:spacing w:val="-1"/>
          <w:sz w:val="20"/>
        </w:rPr>
        <w:t> </w:t>
      </w:r>
      <w:r>
        <w:rPr>
          <w:sz w:val="20"/>
        </w:rPr>
        <w:t>Jones,</w:t>
      </w:r>
      <w:r>
        <w:rPr>
          <w:spacing w:val="-1"/>
          <w:sz w:val="20"/>
        </w:rPr>
        <w:t> </w:t>
      </w:r>
      <w:r>
        <w:rPr>
          <w:sz w:val="20"/>
        </w:rPr>
        <w:t>R., and Gong, W.</w:t>
      </w:r>
      <w:r>
        <w:rPr>
          <w:spacing w:val="-1"/>
          <w:sz w:val="20"/>
        </w:rPr>
        <w:t> </w:t>
      </w:r>
      <w:r>
        <w:rPr>
          <w:sz w:val="20"/>
        </w:rPr>
        <w:t>(2010). An economic decision</w:t>
      </w:r>
      <w:r>
        <w:rPr>
          <w:spacing w:val="-1"/>
          <w:sz w:val="20"/>
        </w:rPr>
        <w:t> </w:t>
      </w:r>
      <w:r>
        <w:rPr>
          <w:sz w:val="20"/>
        </w:rPr>
        <w:t>model</w:t>
      </w:r>
      <w:r>
        <w:rPr>
          <w:spacing w:val="-2"/>
          <w:sz w:val="20"/>
        </w:rPr>
        <w:t> </w:t>
      </w:r>
      <w:r>
        <w:rPr>
          <w:sz w:val="20"/>
        </w:rPr>
        <w:t>of wild</w:t>
      </w:r>
      <w:r>
        <w:rPr>
          <w:spacing w:val="-1"/>
          <w:sz w:val="20"/>
        </w:rPr>
        <w:t> </w:t>
      </w:r>
      <w:r>
        <w:rPr>
          <w:sz w:val="20"/>
        </w:rPr>
        <w:t>rabbit </w:t>
      </w:r>
      <w:r>
        <w:rPr>
          <w:i/>
          <w:sz w:val="20"/>
        </w:rPr>
        <w:t>Oryctolagus</w:t>
      </w:r>
      <w:r>
        <w:rPr>
          <w:i/>
          <w:sz w:val="20"/>
        </w:rPr>
        <w:t> cuniculus</w:t>
      </w:r>
      <w:r>
        <w:rPr>
          <w:i/>
          <w:spacing w:val="-3"/>
          <w:sz w:val="20"/>
        </w:rPr>
        <w:t> </w:t>
      </w:r>
      <w:r>
        <w:rPr>
          <w:sz w:val="20"/>
        </w:rPr>
        <w:t>control</w:t>
      </w:r>
      <w:r>
        <w:rPr>
          <w:spacing w:val="-6"/>
          <w:sz w:val="20"/>
        </w:rPr>
        <w:t> </w:t>
      </w:r>
      <w:r>
        <w:rPr>
          <w:sz w:val="20"/>
        </w:rPr>
        <w:t>to</w:t>
      </w:r>
      <w:r>
        <w:rPr>
          <w:spacing w:val="-3"/>
          <w:sz w:val="20"/>
        </w:rPr>
        <w:t> </w:t>
      </w:r>
      <w:r>
        <w:rPr>
          <w:sz w:val="20"/>
        </w:rPr>
        <w:t>conserve</w:t>
      </w:r>
      <w:r>
        <w:rPr>
          <w:spacing w:val="-3"/>
          <w:sz w:val="20"/>
        </w:rPr>
        <w:t> </w:t>
      </w:r>
      <w:r>
        <w:rPr>
          <w:sz w:val="20"/>
        </w:rPr>
        <w:t>Australian</w:t>
      </w:r>
      <w:r>
        <w:rPr>
          <w:spacing w:val="-5"/>
          <w:sz w:val="20"/>
        </w:rPr>
        <w:t> </w:t>
      </w:r>
      <w:r>
        <w:rPr>
          <w:sz w:val="20"/>
        </w:rPr>
        <w:t>native</w:t>
      </w:r>
      <w:r>
        <w:rPr>
          <w:spacing w:val="-5"/>
          <w:sz w:val="20"/>
        </w:rPr>
        <w:t> </w:t>
      </w:r>
      <w:r>
        <w:rPr>
          <w:sz w:val="20"/>
        </w:rPr>
        <w:t>vegetation.</w:t>
      </w:r>
      <w:r>
        <w:rPr>
          <w:spacing w:val="-3"/>
          <w:sz w:val="20"/>
        </w:rPr>
        <w:t> </w:t>
      </w:r>
      <w:r>
        <w:rPr>
          <w:i/>
          <w:sz w:val="20"/>
        </w:rPr>
        <w:t>Wildlife</w:t>
      </w:r>
      <w:r>
        <w:rPr>
          <w:i/>
          <w:spacing w:val="-3"/>
          <w:sz w:val="20"/>
        </w:rPr>
        <w:t> </w:t>
      </w:r>
      <w:r>
        <w:rPr>
          <w:i/>
          <w:sz w:val="20"/>
        </w:rPr>
        <w:t>Research</w:t>
      </w:r>
      <w:r>
        <w:rPr>
          <w:i/>
          <w:spacing w:val="-2"/>
          <w:sz w:val="20"/>
        </w:rPr>
        <w:t> </w:t>
      </w:r>
      <w:r>
        <w:rPr>
          <w:b/>
          <w:sz w:val="20"/>
        </w:rPr>
        <w:t>37</w:t>
      </w:r>
      <w:r>
        <w:rPr>
          <w:sz w:val="20"/>
        </w:rPr>
        <w:t>(7):558.</w:t>
      </w:r>
      <w:r>
        <w:rPr>
          <w:spacing w:val="-3"/>
          <w:sz w:val="20"/>
        </w:rPr>
        <w:t> </w:t>
      </w:r>
      <w:r>
        <w:rPr>
          <w:sz w:val="20"/>
        </w:rPr>
        <w:t>doi: </w:t>
      </w:r>
      <w:r>
        <w:rPr>
          <w:spacing w:val="-2"/>
          <w:sz w:val="20"/>
        </w:rPr>
        <w:t>10.1071/WR09154.</w:t>
      </w:r>
    </w:p>
    <w:p>
      <w:pPr>
        <w:pStyle w:val="BodyText"/>
        <w:spacing w:before="8"/>
      </w:pPr>
    </w:p>
    <w:p>
      <w:pPr>
        <w:pStyle w:val="BodyText"/>
        <w:ind w:left="833" w:right="544" w:hanging="721"/>
      </w:pPr>
      <w:r>
        <w:rPr/>
        <w:t>Cooper, D., Larsen, E., and Shields, J. (2007). 1080 and wildlife: scientific and ethical issues raised by its use</w:t>
      </w:r>
      <w:r>
        <w:rPr>
          <w:spacing w:val="-4"/>
        </w:rPr>
        <w:t> </w:t>
      </w:r>
      <w:r>
        <w:rPr/>
        <w:t>on</w:t>
      </w:r>
      <w:r>
        <w:rPr>
          <w:spacing w:val="-2"/>
        </w:rPr>
        <w:t> </w:t>
      </w:r>
      <w:r>
        <w:rPr/>
        <w:t>Australian</w:t>
      </w:r>
      <w:r>
        <w:rPr>
          <w:spacing w:val="-3"/>
        </w:rPr>
        <w:t> </w:t>
      </w:r>
      <w:r>
        <w:rPr/>
        <w:t>mammals.</w:t>
      </w:r>
      <w:r>
        <w:rPr>
          <w:spacing w:val="-4"/>
        </w:rPr>
        <w:t> </w:t>
      </w:r>
      <w:r>
        <w:rPr/>
        <w:t>Pp.</w:t>
      </w:r>
      <w:r>
        <w:rPr>
          <w:spacing w:val="-2"/>
        </w:rPr>
        <w:t> </w:t>
      </w:r>
      <w:r>
        <w:rPr/>
        <w:t>229–32</w:t>
      </w:r>
      <w:r>
        <w:rPr>
          <w:spacing w:val="-2"/>
        </w:rPr>
        <w:t> </w:t>
      </w:r>
      <w:r>
        <w:rPr/>
        <w:t>in</w:t>
      </w:r>
      <w:r>
        <w:rPr>
          <w:spacing w:val="-2"/>
        </w:rPr>
        <w:t> </w:t>
      </w:r>
      <w:r>
        <w:rPr>
          <w:i/>
        </w:rPr>
        <w:t>Pest</w:t>
      </w:r>
      <w:r>
        <w:rPr>
          <w:i/>
          <w:spacing w:val="-2"/>
        </w:rPr>
        <w:t> </w:t>
      </w:r>
      <w:r>
        <w:rPr>
          <w:i/>
        </w:rPr>
        <w:t>or</w:t>
      </w:r>
      <w:r>
        <w:rPr>
          <w:i/>
          <w:spacing w:val="-4"/>
        </w:rPr>
        <w:t> </w:t>
      </w:r>
      <w:r>
        <w:rPr>
          <w:i/>
        </w:rPr>
        <w:t>Guest:</w:t>
      </w:r>
      <w:r>
        <w:rPr>
          <w:i/>
          <w:spacing w:val="-4"/>
        </w:rPr>
        <w:t> </w:t>
      </w:r>
      <w:r>
        <w:rPr>
          <w:i/>
        </w:rPr>
        <w:t>The</w:t>
      </w:r>
      <w:r>
        <w:rPr>
          <w:i/>
          <w:spacing w:val="-2"/>
        </w:rPr>
        <w:t> </w:t>
      </w:r>
      <w:r>
        <w:rPr>
          <w:i/>
        </w:rPr>
        <w:t>Zoology</w:t>
      </w:r>
      <w:r>
        <w:rPr>
          <w:i/>
          <w:spacing w:val="-1"/>
        </w:rPr>
        <w:t> </w:t>
      </w:r>
      <w:r>
        <w:rPr>
          <w:i/>
        </w:rPr>
        <w:t>of</w:t>
      </w:r>
      <w:r>
        <w:rPr>
          <w:i/>
          <w:spacing w:val="-4"/>
        </w:rPr>
        <w:t> </w:t>
      </w:r>
      <w:r>
        <w:rPr>
          <w:i/>
        </w:rPr>
        <w:t>Overabundance</w:t>
      </w:r>
      <w:r>
        <w:rPr/>
        <w:t>,</w:t>
      </w:r>
      <w:r>
        <w:rPr>
          <w:spacing w:val="-2"/>
        </w:rPr>
        <w:t> </w:t>
      </w:r>
      <w:r>
        <w:rPr/>
        <w:t>edited by D. Lunney, P. Eby, P. Hutchings, and S. Burgin. P.O. Box 20, Mosman NSW 2088, Australia: Royal Zoological Society of New South Wales.</w:t>
      </w:r>
    </w:p>
    <w:p>
      <w:pPr>
        <w:pStyle w:val="BodyText"/>
        <w:spacing w:before="12"/>
      </w:pPr>
    </w:p>
    <w:p>
      <w:pPr>
        <w:pStyle w:val="BodyText"/>
        <w:ind w:left="833" w:right="163" w:hanging="721"/>
      </w:pPr>
      <w:r>
        <w:rPr/>
        <w:t>Coppinger, R., Coppinger, L., Langeloh, G., Getiler, L., and Lorenz, J. (1988). A decade of use of livestock guarding</w:t>
      </w:r>
      <w:r>
        <w:rPr>
          <w:spacing w:val="-2"/>
        </w:rPr>
        <w:t> </w:t>
      </w:r>
      <w:r>
        <w:rPr/>
        <w:t>dogs.</w:t>
      </w:r>
      <w:r>
        <w:rPr>
          <w:spacing w:val="-4"/>
        </w:rPr>
        <w:t> </w:t>
      </w:r>
      <w:r>
        <w:rPr/>
        <w:t>Pp.</w:t>
      </w:r>
      <w:r>
        <w:rPr>
          <w:spacing w:val="-4"/>
        </w:rPr>
        <w:t> </w:t>
      </w:r>
      <w:r>
        <w:rPr/>
        <w:t>209–14</w:t>
      </w:r>
      <w:r>
        <w:rPr>
          <w:spacing w:val="-2"/>
        </w:rPr>
        <w:t> </w:t>
      </w:r>
      <w:r>
        <w:rPr/>
        <w:t>in</w:t>
      </w:r>
      <w:r>
        <w:rPr>
          <w:spacing w:val="-2"/>
        </w:rPr>
        <w:t> </w:t>
      </w:r>
      <w:r>
        <w:rPr>
          <w:i/>
        </w:rPr>
        <w:t>Proceedings</w:t>
      </w:r>
      <w:r>
        <w:rPr>
          <w:i/>
          <w:spacing w:val="-3"/>
        </w:rPr>
        <w:t> </w:t>
      </w:r>
      <w:r>
        <w:rPr>
          <w:i/>
        </w:rPr>
        <w:t>of</w:t>
      </w:r>
      <w:r>
        <w:rPr>
          <w:i/>
          <w:spacing w:val="-4"/>
        </w:rPr>
        <w:t> </w:t>
      </w:r>
      <w:r>
        <w:rPr>
          <w:i/>
        </w:rPr>
        <w:t>the</w:t>
      </w:r>
      <w:r>
        <w:rPr>
          <w:i/>
          <w:spacing w:val="-3"/>
        </w:rPr>
        <w:t> </w:t>
      </w:r>
      <w:r>
        <w:rPr>
          <w:i/>
        </w:rPr>
        <w:t>13th Vertebrate</w:t>
      </w:r>
      <w:r>
        <w:rPr>
          <w:i/>
          <w:spacing w:val="-2"/>
        </w:rPr>
        <w:t> </w:t>
      </w:r>
      <w:r>
        <w:rPr>
          <w:i/>
        </w:rPr>
        <w:t>Pest</w:t>
      </w:r>
      <w:r>
        <w:rPr>
          <w:i/>
          <w:spacing w:val="-4"/>
        </w:rPr>
        <w:t> </w:t>
      </w:r>
      <w:r>
        <w:rPr>
          <w:i/>
        </w:rPr>
        <w:t>Conference</w:t>
      </w:r>
      <w:r>
        <w:rPr/>
        <w:t>,</w:t>
      </w:r>
      <w:r>
        <w:rPr>
          <w:spacing w:val="-4"/>
        </w:rPr>
        <w:t> </w:t>
      </w:r>
      <w:r>
        <w:rPr/>
        <w:t>edited</w:t>
      </w:r>
      <w:r>
        <w:rPr>
          <w:spacing w:val="-4"/>
        </w:rPr>
        <w:t> </w:t>
      </w:r>
      <w:r>
        <w:rPr/>
        <w:t>by</w:t>
      </w:r>
      <w:r>
        <w:rPr>
          <w:spacing w:val="-1"/>
        </w:rPr>
        <w:t> </w:t>
      </w:r>
      <w:r>
        <w:rPr/>
        <w:t>A.</w:t>
      </w:r>
      <w:r>
        <w:rPr>
          <w:spacing w:val="-4"/>
        </w:rPr>
        <w:t> </w:t>
      </w:r>
      <w:r>
        <w:rPr/>
        <w:t>C. Crabb and R. E. Marsh. University of California Press: Berkeley, CA, USA.</w:t>
      </w:r>
    </w:p>
    <w:p>
      <w:pPr>
        <w:pStyle w:val="BodyText"/>
        <w:spacing w:before="9"/>
      </w:pPr>
    </w:p>
    <w:p>
      <w:pPr>
        <w:pStyle w:val="BodyText"/>
        <w:ind w:left="833" w:right="163" w:hanging="721"/>
      </w:pPr>
      <w:r>
        <w:rPr/>
        <w:t>Corbett,</w:t>
      </w:r>
      <w:r>
        <w:rPr>
          <w:spacing w:val="-2"/>
        </w:rPr>
        <w:t> </w:t>
      </w:r>
      <w:r>
        <w:rPr/>
        <w:t>L.</w:t>
      </w:r>
      <w:r>
        <w:rPr>
          <w:spacing w:val="-4"/>
        </w:rPr>
        <w:t> </w:t>
      </w:r>
      <w:r>
        <w:rPr/>
        <w:t>(1974).</w:t>
      </w:r>
      <w:r>
        <w:rPr>
          <w:spacing w:val="-1"/>
        </w:rPr>
        <w:t> </w:t>
      </w:r>
      <w:r>
        <w:rPr/>
        <w:t>‘Contributions</w:t>
      </w:r>
      <w:r>
        <w:rPr>
          <w:spacing w:val="-3"/>
        </w:rPr>
        <w:t> </w:t>
      </w:r>
      <w:r>
        <w:rPr/>
        <w:t>to</w:t>
      </w:r>
      <w:r>
        <w:rPr>
          <w:spacing w:val="-5"/>
        </w:rPr>
        <w:t> </w:t>
      </w:r>
      <w:r>
        <w:rPr/>
        <w:t>the</w:t>
      </w:r>
      <w:r>
        <w:rPr>
          <w:spacing w:val="-3"/>
        </w:rPr>
        <w:t> </w:t>
      </w:r>
      <w:r>
        <w:rPr/>
        <w:t>biology</w:t>
      </w:r>
      <w:r>
        <w:rPr>
          <w:spacing w:val="-3"/>
        </w:rPr>
        <w:t> </w:t>
      </w:r>
      <w:r>
        <w:rPr/>
        <w:t>of</w:t>
      </w:r>
      <w:r>
        <w:rPr>
          <w:spacing w:val="-4"/>
        </w:rPr>
        <w:t> </w:t>
      </w:r>
      <w:r>
        <w:rPr/>
        <w:t>dingoes</w:t>
      </w:r>
      <w:r>
        <w:rPr>
          <w:spacing w:val="-3"/>
        </w:rPr>
        <w:t> </w:t>
      </w:r>
      <w:r>
        <w:rPr/>
        <w:t>(</w:t>
      </w:r>
      <w:r>
        <w:rPr>
          <w:i/>
        </w:rPr>
        <w:t>Carnivora:</w:t>
      </w:r>
      <w:r>
        <w:rPr>
          <w:i/>
          <w:spacing w:val="-4"/>
        </w:rPr>
        <w:t> </w:t>
      </w:r>
      <w:r>
        <w:rPr>
          <w:i/>
        </w:rPr>
        <w:t>Canidae</w:t>
      </w:r>
      <w:r>
        <w:rPr/>
        <w:t>)</w:t>
      </w:r>
      <w:r>
        <w:rPr>
          <w:spacing w:val="-1"/>
        </w:rPr>
        <w:t> </w:t>
      </w:r>
      <w:r>
        <w:rPr/>
        <w:t>in</w:t>
      </w:r>
      <w:r>
        <w:rPr>
          <w:spacing w:val="-1"/>
        </w:rPr>
        <w:t> </w:t>
      </w:r>
      <w:r>
        <w:rPr/>
        <w:t>Victoria.’</w:t>
      </w:r>
      <w:r>
        <w:rPr>
          <w:spacing w:val="-5"/>
        </w:rPr>
        <w:t> </w:t>
      </w:r>
      <w:r>
        <w:rPr/>
        <w:t>MSc,</w:t>
      </w:r>
      <w:r>
        <w:rPr>
          <w:spacing w:val="-4"/>
        </w:rPr>
        <w:t> </w:t>
      </w:r>
      <w:r>
        <w:rPr/>
        <w:t>Monash University, Clayton, Victoria.</w:t>
      </w:r>
    </w:p>
    <w:p>
      <w:pPr>
        <w:pStyle w:val="BodyText"/>
        <w:spacing w:before="11"/>
      </w:pPr>
    </w:p>
    <w:p>
      <w:pPr>
        <w:spacing w:before="0"/>
        <w:ind w:left="833" w:right="163" w:hanging="721"/>
        <w:jc w:val="left"/>
        <w:rPr>
          <w:sz w:val="20"/>
        </w:rPr>
      </w:pPr>
      <w:r>
        <w:rPr>
          <w:sz w:val="20"/>
        </w:rPr>
        <w:t>Corbett,</w:t>
      </w:r>
      <w:r>
        <w:rPr>
          <w:spacing w:val="-2"/>
          <w:sz w:val="20"/>
        </w:rPr>
        <w:t> </w:t>
      </w:r>
      <w:r>
        <w:rPr>
          <w:sz w:val="20"/>
        </w:rPr>
        <w:t>L.K.</w:t>
      </w:r>
      <w:r>
        <w:rPr>
          <w:spacing w:val="-4"/>
          <w:sz w:val="20"/>
        </w:rPr>
        <w:t> </w:t>
      </w:r>
      <w:r>
        <w:rPr>
          <w:sz w:val="20"/>
        </w:rPr>
        <w:t>(1995).</w:t>
      </w:r>
      <w:r>
        <w:rPr>
          <w:spacing w:val="-2"/>
          <w:sz w:val="20"/>
        </w:rPr>
        <w:t> </w:t>
      </w:r>
      <w:r>
        <w:rPr>
          <w:i/>
          <w:sz w:val="20"/>
        </w:rPr>
        <w:t>The</w:t>
      </w:r>
      <w:r>
        <w:rPr>
          <w:i/>
          <w:spacing w:val="-4"/>
          <w:sz w:val="20"/>
        </w:rPr>
        <w:t> </w:t>
      </w:r>
      <w:r>
        <w:rPr>
          <w:i/>
          <w:sz w:val="20"/>
        </w:rPr>
        <w:t>dingo</w:t>
      </w:r>
      <w:r>
        <w:rPr>
          <w:i/>
          <w:spacing w:val="-2"/>
          <w:sz w:val="20"/>
        </w:rPr>
        <w:t> </w:t>
      </w:r>
      <w:r>
        <w:rPr>
          <w:i/>
          <w:sz w:val="20"/>
        </w:rPr>
        <w:t>in Australia</w:t>
      </w:r>
      <w:r>
        <w:rPr>
          <w:i/>
          <w:spacing w:val="-2"/>
          <w:sz w:val="20"/>
        </w:rPr>
        <w:t> </w:t>
      </w:r>
      <w:r>
        <w:rPr>
          <w:i/>
          <w:sz w:val="20"/>
        </w:rPr>
        <w:t>and</w:t>
      </w:r>
      <w:r>
        <w:rPr>
          <w:i/>
          <w:spacing w:val="-3"/>
          <w:sz w:val="20"/>
        </w:rPr>
        <w:t> </w:t>
      </w:r>
      <w:r>
        <w:rPr>
          <w:i/>
          <w:sz w:val="20"/>
        </w:rPr>
        <w:t>Asia</w:t>
      </w:r>
      <w:r>
        <w:rPr>
          <w:sz w:val="20"/>
        </w:rPr>
        <w:t>.</w:t>
      </w:r>
      <w:r>
        <w:rPr>
          <w:spacing w:val="-2"/>
          <w:sz w:val="20"/>
        </w:rPr>
        <w:t> </w:t>
      </w:r>
      <w:r>
        <w:rPr>
          <w:sz w:val="20"/>
        </w:rPr>
        <w:t>University</w:t>
      </w:r>
      <w:r>
        <w:rPr>
          <w:spacing w:val="-2"/>
          <w:sz w:val="20"/>
        </w:rPr>
        <w:t> </w:t>
      </w:r>
      <w:r>
        <w:rPr>
          <w:sz w:val="20"/>
        </w:rPr>
        <w:t>of</w:t>
      </w:r>
      <w:r>
        <w:rPr>
          <w:spacing w:val="-2"/>
          <w:sz w:val="20"/>
        </w:rPr>
        <w:t> </w:t>
      </w:r>
      <w:r>
        <w:rPr>
          <w:sz w:val="20"/>
        </w:rPr>
        <w:t>New</w:t>
      </w:r>
      <w:r>
        <w:rPr>
          <w:spacing w:val="-2"/>
          <w:sz w:val="20"/>
        </w:rPr>
        <w:t> </w:t>
      </w:r>
      <w:r>
        <w:rPr>
          <w:sz w:val="20"/>
        </w:rPr>
        <w:t>South</w:t>
      </w:r>
      <w:r>
        <w:rPr>
          <w:spacing w:val="-3"/>
          <w:sz w:val="20"/>
        </w:rPr>
        <w:t> </w:t>
      </w:r>
      <w:r>
        <w:rPr>
          <w:sz w:val="20"/>
        </w:rPr>
        <w:t>Wales,</w:t>
      </w:r>
      <w:r>
        <w:rPr>
          <w:spacing w:val="-2"/>
          <w:sz w:val="20"/>
        </w:rPr>
        <w:t> </w:t>
      </w:r>
      <w:r>
        <w:rPr>
          <w:sz w:val="20"/>
        </w:rPr>
        <w:t>Sydney,</w:t>
      </w:r>
      <w:r>
        <w:rPr>
          <w:spacing w:val="-2"/>
          <w:sz w:val="20"/>
        </w:rPr>
        <w:t> </w:t>
      </w:r>
      <w:r>
        <w:rPr>
          <w:sz w:val="20"/>
        </w:rPr>
        <w:t>NSW:</w:t>
      </w:r>
      <w:r>
        <w:rPr>
          <w:spacing w:val="-4"/>
          <w:sz w:val="20"/>
        </w:rPr>
        <w:t> </w:t>
      </w:r>
      <w:r>
        <w:rPr>
          <w:sz w:val="20"/>
        </w:rPr>
        <w:t>UNSW </w:t>
      </w:r>
      <w:r>
        <w:rPr>
          <w:spacing w:val="-2"/>
          <w:sz w:val="20"/>
        </w:rPr>
        <w:t>Press.</w:t>
      </w:r>
    </w:p>
    <w:p>
      <w:pPr>
        <w:pStyle w:val="BodyText"/>
        <w:spacing w:before="26"/>
      </w:pPr>
    </w:p>
    <w:p>
      <w:pPr>
        <w:pStyle w:val="BodyText"/>
        <w:spacing w:line="254" w:lineRule="auto"/>
        <w:ind w:left="833" w:right="163" w:hanging="721"/>
      </w:pPr>
      <w:r>
        <w:rPr/>
        <w:t>Cowled,</w:t>
      </w:r>
      <w:r>
        <w:rPr>
          <w:spacing w:val="-2"/>
        </w:rPr>
        <w:t> </w:t>
      </w:r>
      <w:r>
        <w:rPr/>
        <w:t>B.D.,</w:t>
      </w:r>
      <w:r>
        <w:rPr>
          <w:spacing w:val="-2"/>
        </w:rPr>
        <w:t> </w:t>
      </w:r>
      <w:r>
        <w:rPr/>
        <w:t>Elsworth,</w:t>
      </w:r>
      <w:r>
        <w:rPr>
          <w:spacing w:val="-2"/>
        </w:rPr>
        <w:t> </w:t>
      </w:r>
      <w:r>
        <w:rPr/>
        <w:t>P.,</w:t>
      </w:r>
      <w:r>
        <w:rPr>
          <w:spacing w:val="-2"/>
        </w:rPr>
        <w:t> </w:t>
      </w:r>
      <w:r>
        <w:rPr/>
        <w:t>and</w:t>
      </w:r>
      <w:r>
        <w:rPr>
          <w:spacing w:val="-2"/>
        </w:rPr>
        <w:t> </w:t>
      </w:r>
      <w:r>
        <w:rPr/>
        <w:t>Lapidge,</w:t>
      </w:r>
      <w:r>
        <w:rPr>
          <w:spacing w:val="-2"/>
        </w:rPr>
        <w:t> </w:t>
      </w:r>
      <w:r>
        <w:rPr/>
        <w:t>S.J.</w:t>
      </w:r>
      <w:r>
        <w:rPr>
          <w:spacing w:val="-4"/>
        </w:rPr>
        <w:t> </w:t>
      </w:r>
      <w:r>
        <w:rPr/>
        <w:t>(2008).</w:t>
      </w:r>
      <w:r>
        <w:rPr>
          <w:spacing w:val="-2"/>
        </w:rPr>
        <w:t> </w:t>
      </w:r>
      <w:r>
        <w:rPr/>
        <w:t>Additional</w:t>
      </w:r>
      <w:r>
        <w:rPr>
          <w:spacing w:val="-5"/>
        </w:rPr>
        <w:t> </w:t>
      </w:r>
      <w:r>
        <w:rPr/>
        <w:t>toxins</w:t>
      </w:r>
      <w:r>
        <w:rPr>
          <w:spacing w:val="-3"/>
        </w:rPr>
        <w:t> </w:t>
      </w:r>
      <w:r>
        <w:rPr/>
        <w:t>for</w:t>
      </w:r>
      <w:r>
        <w:rPr>
          <w:spacing w:val="-4"/>
        </w:rPr>
        <w:t> </w:t>
      </w:r>
      <w:r>
        <w:rPr/>
        <w:t>feral</w:t>
      </w:r>
      <w:r>
        <w:rPr>
          <w:spacing w:val="-5"/>
        </w:rPr>
        <w:t> </w:t>
      </w:r>
      <w:r>
        <w:rPr/>
        <w:t>pig</w:t>
      </w:r>
      <w:r>
        <w:rPr>
          <w:spacing w:val="-4"/>
        </w:rPr>
        <w:t> </w:t>
      </w:r>
      <w:r>
        <w:rPr/>
        <w:t>(</w:t>
      </w:r>
      <w:r>
        <w:rPr>
          <w:i/>
        </w:rPr>
        <w:t>Sus</w:t>
      </w:r>
      <w:r>
        <w:rPr>
          <w:i/>
          <w:spacing w:val="-3"/>
        </w:rPr>
        <w:t> </w:t>
      </w:r>
      <w:r>
        <w:rPr>
          <w:i/>
        </w:rPr>
        <w:t>scrofa</w:t>
      </w:r>
      <w:r>
        <w:rPr/>
        <w:t>)</w:t>
      </w:r>
      <w:r>
        <w:rPr>
          <w:spacing w:val="-3"/>
        </w:rPr>
        <w:t> </w:t>
      </w:r>
      <w:r>
        <w:rPr/>
        <w:t>control: identifying and testing Achilles’ heels. </w:t>
      </w:r>
      <w:r>
        <w:rPr>
          <w:i/>
        </w:rPr>
        <w:t>Wildlife Research </w:t>
      </w:r>
      <w:r>
        <w:rPr>
          <w:b/>
        </w:rPr>
        <w:t>35</w:t>
      </w:r>
      <w:r>
        <w:rPr/>
        <w:t>:651–62.</w:t>
      </w:r>
    </w:p>
    <w:p>
      <w:pPr>
        <w:pStyle w:val="BodyText"/>
        <w:spacing w:before="225"/>
        <w:ind w:left="833" w:right="364" w:hanging="721"/>
      </w:pPr>
      <w:r>
        <w:rPr/>
        <w:t>Cowled, B.D., Gifford, E., Smith, M., Staples, L., and Lapidge, S.J. (2006). Efficacy of manufactured PIGOUT®</w:t>
      </w:r>
      <w:r>
        <w:rPr>
          <w:spacing w:val="-4"/>
        </w:rPr>
        <w:t> </w:t>
      </w:r>
      <w:r>
        <w:rPr/>
        <w:t>baits</w:t>
      </w:r>
      <w:r>
        <w:rPr>
          <w:spacing w:val="-3"/>
        </w:rPr>
        <w:t> </w:t>
      </w:r>
      <w:r>
        <w:rPr/>
        <w:t>for</w:t>
      </w:r>
      <w:r>
        <w:rPr>
          <w:spacing w:val="-4"/>
        </w:rPr>
        <w:t> </w:t>
      </w:r>
      <w:r>
        <w:rPr/>
        <w:t>localised</w:t>
      </w:r>
      <w:r>
        <w:rPr>
          <w:spacing w:val="-4"/>
        </w:rPr>
        <w:t> </w:t>
      </w:r>
      <w:r>
        <w:rPr/>
        <w:t>control</w:t>
      </w:r>
      <w:r>
        <w:rPr>
          <w:spacing w:val="-5"/>
        </w:rPr>
        <w:t> </w:t>
      </w:r>
      <w:r>
        <w:rPr/>
        <w:t>of</w:t>
      </w:r>
      <w:r>
        <w:rPr>
          <w:spacing w:val="-2"/>
        </w:rPr>
        <w:t> </w:t>
      </w:r>
      <w:r>
        <w:rPr/>
        <w:t>feral</w:t>
      </w:r>
      <w:r>
        <w:rPr>
          <w:spacing w:val="-5"/>
        </w:rPr>
        <w:t> </w:t>
      </w:r>
      <w:r>
        <w:rPr/>
        <w:t>pigs</w:t>
      </w:r>
      <w:r>
        <w:rPr>
          <w:spacing w:val="-3"/>
        </w:rPr>
        <w:t> </w:t>
      </w:r>
      <w:r>
        <w:rPr/>
        <w:t>in</w:t>
      </w:r>
      <w:r>
        <w:rPr>
          <w:spacing w:val="-4"/>
        </w:rPr>
        <w:t> </w:t>
      </w:r>
      <w:r>
        <w:rPr/>
        <w:t>the</w:t>
      </w:r>
      <w:r>
        <w:rPr>
          <w:spacing w:val="-2"/>
        </w:rPr>
        <w:t> </w:t>
      </w:r>
      <w:r>
        <w:rPr/>
        <w:t>semi-arid</w:t>
      </w:r>
      <w:r>
        <w:rPr>
          <w:spacing w:val="-4"/>
        </w:rPr>
        <w:t> </w:t>
      </w:r>
      <w:r>
        <w:rPr/>
        <w:t>Queensland</w:t>
      </w:r>
      <w:r>
        <w:rPr>
          <w:spacing w:val="-2"/>
        </w:rPr>
        <w:t> </w:t>
      </w:r>
      <w:r>
        <w:rPr/>
        <w:t>rangelands.</w:t>
      </w:r>
      <w:r>
        <w:rPr>
          <w:spacing w:val="-1"/>
        </w:rPr>
        <w:t> </w:t>
      </w:r>
      <w:r>
        <w:rPr>
          <w:i/>
        </w:rPr>
        <w:t>Wildlife</w:t>
      </w:r>
      <w:r>
        <w:rPr>
          <w:i/>
        </w:rPr>
        <w:t> Research </w:t>
      </w:r>
      <w:r>
        <w:rPr>
          <w:b/>
        </w:rPr>
        <w:t>33</w:t>
      </w:r>
      <w:r>
        <w:rPr/>
        <w:t>(5):427–37. doi: 10.1071/WR05083.</w:t>
      </w:r>
    </w:p>
    <w:p>
      <w:pPr>
        <w:pStyle w:val="BodyText"/>
        <w:spacing w:before="11"/>
      </w:pPr>
    </w:p>
    <w:p>
      <w:pPr>
        <w:pStyle w:val="BodyText"/>
        <w:ind w:left="833" w:right="163" w:hanging="721"/>
      </w:pPr>
      <w:r>
        <w:rPr/>
        <w:t>Cowled,</w:t>
      </w:r>
      <w:r>
        <w:rPr>
          <w:spacing w:val="-2"/>
        </w:rPr>
        <w:t> </w:t>
      </w:r>
      <w:r>
        <w:rPr/>
        <w:t>B.D.,</w:t>
      </w:r>
      <w:r>
        <w:rPr>
          <w:spacing w:val="-2"/>
        </w:rPr>
        <w:t> </w:t>
      </w:r>
      <w:r>
        <w:rPr/>
        <w:t>Lapidge,</w:t>
      </w:r>
      <w:r>
        <w:rPr>
          <w:spacing w:val="-2"/>
        </w:rPr>
        <w:t> </w:t>
      </w:r>
      <w:r>
        <w:rPr/>
        <w:t>S.</w:t>
      </w:r>
      <w:r>
        <w:rPr>
          <w:spacing w:val="-4"/>
        </w:rPr>
        <w:t> </w:t>
      </w:r>
      <w:r>
        <w:rPr/>
        <w:t>J.,</w:t>
      </w:r>
      <w:r>
        <w:rPr>
          <w:spacing w:val="-4"/>
        </w:rPr>
        <w:t> </w:t>
      </w:r>
      <w:r>
        <w:rPr/>
        <w:t>Hampton,</w:t>
      </w:r>
      <w:r>
        <w:rPr>
          <w:spacing w:val="-4"/>
        </w:rPr>
        <w:t> </w:t>
      </w:r>
      <w:r>
        <w:rPr/>
        <w:t>J.O.,</w:t>
      </w:r>
      <w:r>
        <w:rPr>
          <w:spacing w:val="-4"/>
        </w:rPr>
        <w:t> </w:t>
      </w:r>
      <w:r>
        <w:rPr/>
        <w:t>and</w:t>
      </w:r>
      <w:r>
        <w:rPr>
          <w:spacing w:val="-3"/>
        </w:rPr>
        <w:t> </w:t>
      </w:r>
      <w:r>
        <w:rPr/>
        <w:t>Spencer,</w:t>
      </w:r>
      <w:r>
        <w:rPr>
          <w:spacing w:val="-4"/>
        </w:rPr>
        <w:t> </w:t>
      </w:r>
      <w:r>
        <w:rPr/>
        <w:t>P.B.S.</w:t>
      </w:r>
      <w:r>
        <w:rPr>
          <w:spacing w:val="-4"/>
        </w:rPr>
        <w:t> </w:t>
      </w:r>
      <w:r>
        <w:rPr/>
        <w:t>(2006).</w:t>
      </w:r>
      <w:r>
        <w:rPr>
          <w:spacing w:val="-4"/>
        </w:rPr>
        <w:t> </w:t>
      </w:r>
      <w:r>
        <w:rPr/>
        <w:t>Measuring</w:t>
      </w:r>
      <w:r>
        <w:rPr>
          <w:spacing w:val="-4"/>
        </w:rPr>
        <w:t> </w:t>
      </w:r>
      <w:r>
        <w:rPr/>
        <w:t>the</w:t>
      </w:r>
      <w:r>
        <w:rPr>
          <w:spacing w:val="-4"/>
        </w:rPr>
        <w:t> </w:t>
      </w:r>
      <w:r>
        <w:rPr/>
        <w:t>demographic</w:t>
      </w:r>
      <w:r>
        <w:rPr>
          <w:spacing w:val="-3"/>
        </w:rPr>
        <w:t> </w:t>
      </w:r>
      <w:r>
        <w:rPr/>
        <w:t>and genetic effects of pest control in a highly persecuted feral pig population. </w:t>
      </w:r>
      <w:r>
        <w:rPr>
          <w:i/>
        </w:rPr>
        <w:t>Journal of Wildlife</w:t>
      </w:r>
      <w:r>
        <w:rPr>
          <w:i/>
        </w:rPr>
        <w:t> Management </w:t>
      </w:r>
      <w:r>
        <w:rPr>
          <w:b/>
        </w:rPr>
        <w:t>70</w:t>
      </w:r>
      <w:r>
        <w:rPr/>
        <w:t>(6):1690–97. doi: 10.2193/0022-541X(2006)70[1690:MTDAGE]2.0.CO;2.</w:t>
      </w:r>
    </w:p>
    <w:p>
      <w:pPr>
        <w:pStyle w:val="BodyText"/>
        <w:spacing w:before="9"/>
      </w:pPr>
    </w:p>
    <w:p>
      <w:pPr>
        <w:pStyle w:val="BodyText"/>
        <w:spacing w:before="1"/>
        <w:ind w:left="833" w:right="232" w:hanging="721"/>
      </w:pPr>
      <w:r>
        <w:rPr/>
        <w:t>Cowled, B.D., Lapidge, S.J, Smith, M., and Staples, L. (2006). Attractiveness of a novel omnivore bait, PIGOUT</w:t>
      </w:r>
      <w:r>
        <w:rPr>
          <w:spacing w:val="-3"/>
        </w:rPr>
        <w:t> </w:t>
      </w:r>
      <w:r>
        <w:rPr/>
        <w:t>®,</w:t>
      </w:r>
      <w:r>
        <w:rPr>
          <w:spacing w:val="-2"/>
        </w:rPr>
        <w:t> </w:t>
      </w:r>
      <w:r>
        <w:rPr/>
        <w:t>to</w:t>
      </w:r>
      <w:r>
        <w:rPr>
          <w:spacing w:val="-4"/>
        </w:rPr>
        <w:t> </w:t>
      </w:r>
      <w:r>
        <w:rPr/>
        <w:t>feral</w:t>
      </w:r>
      <w:r>
        <w:rPr>
          <w:spacing w:val="-3"/>
        </w:rPr>
        <w:t> </w:t>
      </w:r>
      <w:r>
        <w:rPr/>
        <w:t>pigs</w:t>
      </w:r>
      <w:r>
        <w:rPr>
          <w:spacing w:val="-3"/>
        </w:rPr>
        <w:t> </w:t>
      </w:r>
      <w:r>
        <w:rPr/>
        <w:t>(</w:t>
      </w:r>
      <w:r>
        <w:rPr>
          <w:i/>
        </w:rPr>
        <w:t>Sus</w:t>
      </w:r>
      <w:r>
        <w:rPr>
          <w:i/>
          <w:spacing w:val="-3"/>
        </w:rPr>
        <w:t> </w:t>
      </w:r>
      <w:r>
        <w:rPr>
          <w:i/>
        </w:rPr>
        <w:t>scrofa</w:t>
      </w:r>
      <w:r>
        <w:rPr/>
        <w:t>)</w:t>
      </w:r>
      <w:r>
        <w:rPr>
          <w:spacing w:val="-3"/>
        </w:rPr>
        <w:t> </w:t>
      </w:r>
      <w:r>
        <w:rPr/>
        <w:t>and</w:t>
      </w:r>
      <w:r>
        <w:rPr>
          <w:spacing w:val="-2"/>
        </w:rPr>
        <w:t> </w:t>
      </w:r>
      <w:r>
        <w:rPr/>
        <w:t>assessment</w:t>
      </w:r>
      <w:r>
        <w:rPr>
          <w:spacing w:val="-2"/>
        </w:rPr>
        <w:t> </w:t>
      </w:r>
      <w:r>
        <w:rPr/>
        <w:t>of</w:t>
      </w:r>
      <w:r>
        <w:rPr>
          <w:spacing w:val="-4"/>
        </w:rPr>
        <w:t> </w:t>
      </w:r>
      <w:r>
        <w:rPr/>
        <w:t>risks</w:t>
      </w:r>
      <w:r>
        <w:rPr>
          <w:spacing w:val="-3"/>
        </w:rPr>
        <w:t> </w:t>
      </w:r>
      <w:r>
        <w:rPr/>
        <w:t>of</w:t>
      </w:r>
      <w:r>
        <w:rPr>
          <w:spacing w:val="-4"/>
        </w:rPr>
        <w:t> </w:t>
      </w:r>
      <w:r>
        <w:rPr/>
        <w:t>bait</w:t>
      </w:r>
      <w:r>
        <w:rPr>
          <w:spacing w:val="-2"/>
        </w:rPr>
        <w:t> </w:t>
      </w:r>
      <w:r>
        <w:rPr/>
        <w:t>uptake</w:t>
      </w:r>
      <w:r>
        <w:rPr>
          <w:spacing w:val="-2"/>
        </w:rPr>
        <w:t> </w:t>
      </w:r>
      <w:r>
        <w:rPr/>
        <w:t>by</w:t>
      </w:r>
      <w:r>
        <w:rPr>
          <w:spacing w:val="-3"/>
        </w:rPr>
        <w:t> </w:t>
      </w:r>
      <w:r>
        <w:rPr/>
        <w:t>non-target</w:t>
      </w:r>
      <w:r>
        <w:rPr>
          <w:spacing w:val="-4"/>
        </w:rPr>
        <w:t> </w:t>
      </w:r>
      <w:r>
        <w:rPr/>
        <w:t>species. </w:t>
      </w:r>
      <w:r>
        <w:rPr>
          <w:i/>
        </w:rPr>
        <w:t>Wildlife Research </w:t>
      </w:r>
      <w:r>
        <w:rPr>
          <w:b/>
        </w:rPr>
        <w:t>33</w:t>
      </w:r>
      <w:r>
        <w:rPr/>
        <w:t>:651–60. doi: 10.1071/WR06054 1035-3712/06/080651.</w:t>
      </w:r>
    </w:p>
    <w:p>
      <w:pPr>
        <w:pStyle w:val="BodyText"/>
        <w:spacing w:before="11"/>
      </w:pPr>
    </w:p>
    <w:p>
      <w:pPr>
        <w:pStyle w:val="BodyText"/>
        <w:ind w:left="833" w:right="544" w:hanging="721"/>
      </w:pPr>
      <w:r>
        <w:rPr/>
        <w:t>Cox,</w:t>
      </w:r>
      <w:r>
        <w:rPr>
          <w:spacing w:val="-4"/>
        </w:rPr>
        <w:t> </w:t>
      </w:r>
      <w:r>
        <w:rPr/>
        <w:t>T.E.,</w:t>
      </w:r>
      <w:r>
        <w:rPr>
          <w:spacing w:val="-2"/>
        </w:rPr>
        <w:t> </w:t>
      </w:r>
      <w:r>
        <w:rPr/>
        <w:t>Paine,</w:t>
      </w:r>
      <w:r>
        <w:rPr>
          <w:spacing w:val="-4"/>
        </w:rPr>
        <w:t> </w:t>
      </w:r>
      <w:r>
        <w:rPr/>
        <w:t>D.,</w:t>
      </w:r>
      <w:r>
        <w:rPr>
          <w:spacing w:val="-4"/>
        </w:rPr>
        <w:t> </w:t>
      </w:r>
      <w:r>
        <w:rPr/>
        <w:t>O’Dwyer-Hall,</w:t>
      </w:r>
      <w:r>
        <w:rPr>
          <w:spacing w:val="-2"/>
        </w:rPr>
        <w:t> </w:t>
      </w:r>
      <w:r>
        <w:rPr/>
        <w:t>E.,</w:t>
      </w:r>
      <w:r>
        <w:rPr>
          <w:spacing w:val="-2"/>
        </w:rPr>
        <w:t> </w:t>
      </w:r>
      <w:r>
        <w:rPr/>
        <w:t>Matthews,</w:t>
      </w:r>
      <w:r>
        <w:rPr>
          <w:spacing w:val="-2"/>
        </w:rPr>
        <w:t> </w:t>
      </w:r>
      <w:r>
        <w:rPr/>
        <w:t>R.,</w:t>
      </w:r>
      <w:r>
        <w:rPr>
          <w:spacing w:val="-2"/>
        </w:rPr>
        <w:t> </w:t>
      </w:r>
      <w:r>
        <w:rPr/>
        <w:t>Blumson,</w:t>
      </w:r>
      <w:r>
        <w:rPr>
          <w:spacing w:val="-2"/>
        </w:rPr>
        <w:t> </w:t>
      </w:r>
      <w:r>
        <w:rPr/>
        <w:t>T.,</w:t>
      </w:r>
      <w:r>
        <w:rPr>
          <w:spacing w:val="-4"/>
        </w:rPr>
        <w:t> </w:t>
      </w:r>
      <w:r>
        <w:rPr/>
        <w:t>Florance,</w:t>
      </w:r>
      <w:r>
        <w:rPr>
          <w:spacing w:val="-2"/>
        </w:rPr>
        <w:t> </w:t>
      </w:r>
      <w:r>
        <w:rPr/>
        <w:t>B., Fielder,</w:t>
      </w:r>
      <w:r>
        <w:rPr>
          <w:spacing w:val="-2"/>
        </w:rPr>
        <w:t> </w:t>
      </w:r>
      <w:r>
        <w:rPr/>
        <w:t>K.,</w:t>
      </w:r>
      <w:r>
        <w:rPr>
          <w:spacing w:val="-4"/>
        </w:rPr>
        <w:t> </w:t>
      </w:r>
      <w:r>
        <w:rPr/>
        <w:t>Tarran,</w:t>
      </w:r>
      <w:r>
        <w:rPr>
          <w:spacing w:val="-4"/>
        </w:rPr>
        <w:t> </w:t>
      </w:r>
      <w:r>
        <w:rPr/>
        <w:t>M., Korcz, M., Wiebkin, A., Hamnett, P.W., Bradshaw, C.J.A., and Page, B. (2023). Thermal aerial culling for the control of vertebrate pest populations. </w:t>
      </w:r>
      <w:r>
        <w:rPr>
          <w:i/>
        </w:rPr>
        <w:t>Scientific Reports </w:t>
      </w:r>
      <w:r>
        <w:rPr/>
        <w:t>13(1):1–12.</w:t>
      </w:r>
    </w:p>
    <w:p>
      <w:pPr>
        <w:pStyle w:val="BodyText"/>
        <w:spacing w:before="8"/>
      </w:pPr>
    </w:p>
    <w:p>
      <w:pPr>
        <w:pStyle w:val="BodyText"/>
        <w:spacing w:before="1"/>
        <w:ind w:left="833" w:right="459" w:hanging="721"/>
      </w:pPr>
      <w:r>
        <w:rPr/>
        <w:t>Cox,</w:t>
      </w:r>
      <w:r>
        <w:rPr>
          <w:spacing w:val="-4"/>
        </w:rPr>
        <w:t> </w:t>
      </w:r>
      <w:r>
        <w:rPr/>
        <w:t>T.E.,</w:t>
      </w:r>
      <w:r>
        <w:rPr>
          <w:spacing w:val="-2"/>
        </w:rPr>
        <w:t> </w:t>
      </w:r>
      <w:r>
        <w:rPr/>
        <w:t>Ramsey,</w:t>
      </w:r>
      <w:r>
        <w:rPr>
          <w:spacing w:val="-4"/>
        </w:rPr>
        <w:t> </w:t>
      </w:r>
      <w:r>
        <w:rPr/>
        <w:t>D.S.L.,</w:t>
      </w:r>
      <w:r>
        <w:rPr>
          <w:spacing w:val="-2"/>
        </w:rPr>
        <w:t> </w:t>
      </w:r>
      <w:r>
        <w:rPr/>
        <w:t>Sawyers,</w:t>
      </w:r>
      <w:r>
        <w:rPr>
          <w:spacing w:val="-4"/>
        </w:rPr>
        <w:t> </w:t>
      </w:r>
      <w:r>
        <w:rPr/>
        <w:t>E.,</w:t>
      </w:r>
      <w:r>
        <w:rPr>
          <w:spacing w:val="-4"/>
        </w:rPr>
        <w:t> </w:t>
      </w:r>
      <w:r>
        <w:rPr/>
        <w:t>Campbell,</w:t>
      </w:r>
      <w:r>
        <w:rPr>
          <w:spacing w:val="-2"/>
        </w:rPr>
        <w:t> </w:t>
      </w:r>
      <w:r>
        <w:rPr/>
        <w:t>S.,</w:t>
      </w:r>
      <w:r>
        <w:rPr>
          <w:spacing w:val="-2"/>
        </w:rPr>
        <w:t> </w:t>
      </w:r>
      <w:r>
        <w:rPr/>
        <w:t>Matthews,</w:t>
      </w:r>
      <w:r>
        <w:rPr>
          <w:spacing w:val="-4"/>
        </w:rPr>
        <w:t> </w:t>
      </w:r>
      <w:r>
        <w:rPr/>
        <w:t>J.,</w:t>
      </w:r>
      <w:r>
        <w:rPr>
          <w:spacing w:val="-4"/>
        </w:rPr>
        <w:t> </w:t>
      </w:r>
      <w:r>
        <w:rPr/>
        <w:t>and</w:t>
      </w:r>
      <w:r>
        <w:rPr>
          <w:spacing w:val="-3"/>
        </w:rPr>
        <w:t> </w:t>
      </w:r>
      <w:r>
        <w:rPr/>
        <w:t>Elsworth,</w:t>
      </w:r>
      <w:r>
        <w:rPr>
          <w:spacing w:val="-2"/>
        </w:rPr>
        <w:t> </w:t>
      </w:r>
      <w:r>
        <w:rPr/>
        <w:t>P.</w:t>
      </w:r>
      <w:r>
        <w:rPr>
          <w:spacing w:val="-4"/>
        </w:rPr>
        <w:t> </w:t>
      </w:r>
      <w:r>
        <w:rPr/>
        <w:t>(2019).</w:t>
      </w:r>
      <w:r>
        <w:rPr>
          <w:spacing w:val="-4"/>
        </w:rPr>
        <w:t> </w:t>
      </w:r>
      <w:r>
        <w:rPr/>
        <w:t>The</w:t>
      </w:r>
      <w:r>
        <w:rPr>
          <w:spacing w:val="-3"/>
        </w:rPr>
        <w:t> </w:t>
      </w:r>
      <w:r>
        <w:rPr/>
        <w:t>impact</w:t>
      </w:r>
      <w:r>
        <w:rPr>
          <w:spacing w:val="-4"/>
        </w:rPr>
        <w:t> </w:t>
      </w:r>
      <w:r>
        <w:rPr/>
        <w:t>of RHDV-K5 on rabbit populations in Australia: an evaluation of citizen science surveys to monitor rabbit abundance. </w:t>
      </w:r>
      <w:r>
        <w:rPr>
          <w:i/>
        </w:rPr>
        <w:t>Scientific Reports </w:t>
      </w:r>
      <w:r>
        <w:rPr>
          <w:b/>
        </w:rPr>
        <w:t>9</w:t>
      </w:r>
      <w:r>
        <w:rPr/>
        <w:t>(1):15229. doi: 10.1038/s41598-019-51847-w.</w:t>
      </w:r>
    </w:p>
    <w:p>
      <w:pPr>
        <w:pStyle w:val="BodyText"/>
        <w:spacing w:before="11"/>
      </w:pPr>
    </w:p>
    <w:p>
      <w:pPr>
        <w:pStyle w:val="BodyText"/>
        <w:ind w:left="833" w:right="163" w:hanging="721"/>
      </w:pPr>
      <w:r>
        <w:rPr/>
        <w:t>Darrow,</w:t>
      </w:r>
      <w:r>
        <w:rPr>
          <w:spacing w:val="-4"/>
        </w:rPr>
        <w:t> </w:t>
      </w:r>
      <w:r>
        <w:rPr/>
        <w:t>P.A.,</w:t>
      </w:r>
      <w:r>
        <w:rPr>
          <w:spacing w:val="-4"/>
        </w:rPr>
        <w:t> </w:t>
      </w:r>
      <w:r>
        <w:rPr/>
        <w:t>and</w:t>
      </w:r>
      <w:r>
        <w:rPr>
          <w:spacing w:val="-4"/>
        </w:rPr>
        <w:t> </w:t>
      </w:r>
      <w:r>
        <w:rPr/>
        <w:t>Shivik,</w:t>
      </w:r>
      <w:r>
        <w:rPr>
          <w:spacing w:val="-4"/>
        </w:rPr>
        <w:t> </w:t>
      </w:r>
      <w:r>
        <w:rPr/>
        <w:t>J.A.</w:t>
      </w:r>
      <w:r>
        <w:rPr>
          <w:spacing w:val="-4"/>
        </w:rPr>
        <w:t> </w:t>
      </w:r>
      <w:r>
        <w:rPr/>
        <w:t>(2009).</w:t>
      </w:r>
      <w:r>
        <w:rPr>
          <w:spacing w:val="-2"/>
        </w:rPr>
        <w:t> </w:t>
      </w:r>
      <w:r>
        <w:rPr/>
        <w:t>Bold,</w:t>
      </w:r>
      <w:r>
        <w:rPr>
          <w:spacing w:val="-4"/>
        </w:rPr>
        <w:t> </w:t>
      </w:r>
      <w:r>
        <w:rPr/>
        <w:t>shy,</w:t>
      </w:r>
      <w:r>
        <w:rPr>
          <w:spacing w:val="-2"/>
        </w:rPr>
        <w:t> </w:t>
      </w:r>
      <w:r>
        <w:rPr/>
        <w:t>and</w:t>
      </w:r>
      <w:r>
        <w:rPr>
          <w:spacing w:val="-2"/>
        </w:rPr>
        <w:t> </w:t>
      </w:r>
      <w:r>
        <w:rPr/>
        <w:t>persistent:</w:t>
      </w:r>
      <w:r>
        <w:rPr>
          <w:spacing w:val="-4"/>
        </w:rPr>
        <w:t> </w:t>
      </w:r>
      <w:r>
        <w:rPr/>
        <w:t>variable</w:t>
      </w:r>
      <w:r>
        <w:rPr>
          <w:spacing w:val="-4"/>
        </w:rPr>
        <w:t> </w:t>
      </w:r>
      <w:r>
        <w:rPr/>
        <w:t>coyote</w:t>
      </w:r>
      <w:r>
        <w:rPr>
          <w:spacing w:val="-4"/>
        </w:rPr>
        <w:t> </w:t>
      </w:r>
      <w:r>
        <w:rPr/>
        <w:t>response</w:t>
      </w:r>
      <w:r>
        <w:rPr>
          <w:spacing w:val="-4"/>
        </w:rPr>
        <w:t> </w:t>
      </w:r>
      <w:r>
        <w:rPr/>
        <w:t>to</w:t>
      </w:r>
      <w:r>
        <w:rPr>
          <w:spacing w:val="-2"/>
        </w:rPr>
        <w:t> </w:t>
      </w:r>
      <w:r>
        <w:rPr/>
        <w:t>light</w:t>
      </w:r>
      <w:r>
        <w:rPr>
          <w:spacing w:val="-2"/>
        </w:rPr>
        <w:t> </w:t>
      </w:r>
      <w:r>
        <w:rPr/>
        <w:t>and</w:t>
      </w:r>
      <w:r>
        <w:rPr>
          <w:spacing w:val="-4"/>
        </w:rPr>
        <w:t> </w:t>
      </w:r>
      <w:r>
        <w:rPr/>
        <w:t>sound stimuli. </w:t>
      </w:r>
      <w:r>
        <w:rPr>
          <w:i/>
        </w:rPr>
        <w:t>Applied Animal Behaviour Science </w:t>
      </w:r>
      <w:r>
        <w:rPr>
          <w:b/>
        </w:rPr>
        <w:t>116</w:t>
      </w:r>
      <w:r>
        <w:rPr/>
        <w:t>:82–87. doi: 10.1016/j. applanim.2008.06.013.</w:t>
      </w:r>
    </w:p>
    <w:p>
      <w:pPr>
        <w:pStyle w:val="BodyText"/>
        <w:spacing w:before="9"/>
      </w:pPr>
    </w:p>
    <w:p>
      <w:pPr>
        <w:pStyle w:val="BodyText"/>
        <w:ind w:left="833" w:right="364" w:hanging="721"/>
      </w:pPr>
      <w:r>
        <w:rPr/>
        <w:t>Davis,</w:t>
      </w:r>
      <w:r>
        <w:rPr>
          <w:spacing w:val="-4"/>
        </w:rPr>
        <w:t> </w:t>
      </w:r>
      <w:r>
        <w:rPr/>
        <w:t>A.J.,</w:t>
      </w:r>
      <w:r>
        <w:rPr>
          <w:spacing w:val="-2"/>
        </w:rPr>
        <w:t> </w:t>
      </w:r>
      <w:r>
        <w:rPr/>
        <w:t>Leland,</w:t>
      </w:r>
      <w:r>
        <w:rPr>
          <w:spacing w:val="-2"/>
        </w:rPr>
        <w:t> </w:t>
      </w:r>
      <w:r>
        <w:rPr/>
        <w:t>B.,</w:t>
      </w:r>
      <w:r>
        <w:rPr>
          <w:spacing w:val="-2"/>
        </w:rPr>
        <w:t> </w:t>
      </w:r>
      <w:r>
        <w:rPr/>
        <w:t>Bodenchuk,</w:t>
      </w:r>
      <w:r>
        <w:rPr>
          <w:spacing w:val="-4"/>
        </w:rPr>
        <w:t> </w:t>
      </w:r>
      <w:r>
        <w:rPr/>
        <w:t>M.,</w:t>
      </w:r>
      <w:r>
        <w:rPr>
          <w:spacing w:val="-2"/>
        </w:rPr>
        <w:t> </w:t>
      </w:r>
      <w:r>
        <w:rPr/>
        <w:t>VerCauteren,</w:t>
      </w:r>
      <w:r>
        <w:rPr>
          <w:spacing w:val="-2"/>
        </w:rPr>
        <w:t> </w:t>
      </w:r>
      <w:r>
        <w:rPr/>
        <w:t>K.C.,</w:t>
      </w:r>
      <w:r>
        <w:rPr>
          <w:spacing w:val="-2"/>
        </w:rPr>
        <w:t> </w:t>
      </w:r>
      <w:r>
        <w:rPr/>
        <w:t>and</w:t>
      </w:r>
      <w:r>
        <w:rPr>
          <w:spacing w:val="-2"/>
        </w:rPr>
        <w:t> </w:t>
      </w:r>
      <w:r>
        <w:rPr/>
        <w:t>Pepin,</w:t>
      </w:r>
      <w:r>
        <w:rPr>
          <w:spacing w:val="-3"/>
        </w:rPr>
        <w:t> </w:t>
      </w:r>
      <w:r>
        <w:rPr/>
        <w:t>K.M.</w:t>
      </w:r>
      <w:r>
        <w:rPr>
          <w:spacing w:val="-2"/>
        </w:rPr>
        <w:t> </w:t>
      </w:r>
      <w:r>
        <w:rPr/>
        <w:t>(2018).</w:t>
      </w:r>
      <w:r>
        <w:rPr>
          <w:spacing w:val="-4"/>
        </w:rPr>
        <w:t> </w:t>
      </w:r>
      <w:r>
        <w:rPr/>
        <w:t>Costs</w:t>
      </w:r>
      <w:r>
        <w:rPr>
          <w:spacing w:val="-3"/>
        </w:rPr>
        <w:t> </w:t>
      </w:r>
      <w:r>
        <w:rPr/>
        <w:t>and</w:t>
      </w:r>
      <w:r>
        <w:rPr>
          <w:spacing w:val="-4"/>
        </w:rPr>
        <w:t> </w:t>
      </w:r>
      <w:r>
        <w:rPr/>
        <w:t>effectiveness of damage management of an overabundant species (</w:t>
      </w:r>
      <w:r>
        <w:rPr>
          <w:i/>
        </w:rPr>
        <w:t>Sus scrofa</w:t>
      </w:r>
      <w:r>
        <w:rPr/>
        <w:t>) using aerial gunning. </w:t>
      </w:r>
      <w:r>
        <w:rPr>
          <w:i/>
        </w:rPr>
        <w:t>Wildlife</w:t>
      </w:r>
      <w:r>
        <w:rPr>
          <w:i/>
        </w:rPr>
        <w:t> Research </w:t>
      </w:r>
      <w:r>
        <w:rPr>
          <w:b/>
        </w:rPr>
        <w:t>45</w:t>
      </w:r>
      <w:r>
        <w:rPr/>
        <w:t>(8):696. doi: 10.1071/WR17170.</w:t>
      </w:r>
    </w:p>
    <w:p>
      <w:pPr>
        <w:pStyle w:val="BodyText"/>
        <w:spacing w:before="11"/>
      </w:pPr>
    </w:p>
    <w:p>
      <w:pPr>
        <w:pStyle w:val="BodyText"/>
        <w:ind w:left="833" w:right="452" w:hanging="721"/>
      </w:pPr>
      <w:r>
        <w:rPr/>
        <w:t>De</w:t>
      </w:r>
      <w:r>
        <w:rPr>
          <w:spacing w:val="-4"/>
        </w:rPr>
        <w:t> </w:t>
      </w:r>
      <w:r>
        <w:rPr/>
        <w:t>Ridder,</w:t>
      </w:r>
      <w:r>
        <w:rPr>
          <w:spacing w:val="-1"/>
        </w:rPr>
        <w:t> </w:t>
      </w:r>
      <w:r>
        <w:rPr/>
        <w:t>N.,</w:t>
      </w:r>
      <w:r>
        <w:rPr>
          <w:spacing w:val="-4"/>
        </w:rPr>
        <w:t> </w:t>
      </w:r>
      <w:r>
        <w:rPr/>
        <w:t>and</w:t>
      </w:r>
      <w:r>
        <w:rPr>
          <w:spacing w:val="-3"/>
        </w:rPr>
        <w:t> </w:t>
      </w:r>
      <w:r>
        <w:rPr/>
        <w:t>Knight,</w:t>
      </w:r>
      <w:r>
        <w:rPr>
          <w:spacing w:val="-2"/>
        </w:rPr>
        <w:t> </w:t>
      </w:r>
      <w:r>
        <w:rPr/>
        <w:t>A.</w:t>
      </w:r>
      <w:r>
        <w:rPr>
          <w:spacing w:val="-4"/>
        </w:rPr>
        <w:t> </w:t>
      </w:r>
      <w:r>
        <w:rPr/>
        <w:t>(2024).</w:t>
      </w:r>
      <w:r>
        <w:rPr>
          <w:spacing w:val="-4"/>
        </w:rPr>
        <w:t> </w:t>
      </w:r>
      <w:r>
        <w:rPr/>
        <w:t>The</w:t>
      </w:r>
      <w:r>
        <w:rPr>
          <w:spacing w:val="-4"/>
        </w:rPr>
        <w:t> </w:t>
      </w:r>
      <w:r>
        <w:rPr/>
        <w:t>animal</w:t>
      </w:r>
      <w:r>
        <w:rPr>
          <w:spacing w:val="-3"/>
        </w:rPr>
        <w:t> </w:t>
      </w:r>
      <w:r>
        <w:rPr/>
        <w:t>welfare</w:t>
      </w:r>
      <w:r>
        <w:rPr>
          <w:spacing w:val="-4"/>
        </w:rPr>
        <w:t> </w:t>
      </w:r>
      <w:r>
        <w:rPr/>
        <w:t>consequences</w:t>
      </w:r>
      <w:r>
        <w:rPr>
          <w:spacing w:val="-3"/>
        </w:rPr>
        <w:t> </w:t>
      </w:r>
      <w:r>
        <w:rPr/>
        <w:t>and</w:t>
      </w:r>
      <w:r>
        <w:rPr>
          <w:spacing w:val="-3"/>
        </w:rPr>
        <w:t> </w:t>
      </w:r>
      <w:r>
        <w:rPr/>
        <w:t>moral</w:t>
      </w:r>
      <w:r>
        <w:rPr>
          <w:spacing w:val="-5"/>
        </w:rPr>
        <w:t> </w:t>
      </w:r>
      <w:r>
        <w:rPr/>
        <w:t>implications</w:t>
      </w:r>
      <w:r>
        <w:rPr>
          <w:spacing w:val="-1"/>
        </w:rPr>
        <w:t> </w:t>
      </w:r>
      <w:r>
        <w:rPr/>
        <w:t>of</w:t>
      </w:r>
      <w:r>
        <w:rPr>
          <w:spacing w:val="-4"/>
        </w:rPr>
        <w:t> </w:t>
      </w:r>
      <w:r>
        <w:rPr/>
        <w:t>lethal</w:t>
      </w:r>
      <w:r>
        <w:rPr>
          <w:spacing w:val="-3"/>
        </w:rPr>
        <w:t> </w:t>
      </w:r>
      <w:r>
        <w:rPr/>
        <w:t>and non-lethal fox control methods. </w:t>
      </w:r>
      <w:r>
        <w:rPr>
          <w:i/>
        </w:rPr>
        <w:t>Animals </w:t>
      </w:r>
      <w:r>
        <w:rPr>
          <w:b/>
        </w:rPr>
        <w:t>14</w:t>
      </w:r>
      <w:r>
        <w:rPr/>
        <w:t>(11):1672. doi: 10.3390/ani14111672.</w:t>
      </w:r>
    </w:p>
    <w:p>
      <w:pPr>
        <w:pStyle w:val="BodyText"/>
        <w:spacing w:before="11"/>
      </w:pPr>
    </w:p>
    <w:p>
      <w:pPr>
        <w:pStyle w:val="BodyText"/>
        <w:ind w:left="833" w:right="163" w:hanging="721"/>
      </w:pPr>
      <w:r>
        <w:rPr/>
        <w:t>Dean,</w:t>
      </w:r>
      <w:r>
        <w:rPr>
          <w:spacing w:val="-1"/>
        </w:rPr>
        <w:t> </w:t>
      </w:r>
      <w:r>
        <w:rPr/>
        <w:t>A.T.,</w:t>
      </w:r>
      <w:r>
        <w:rPr>
          <w:spacing w:val="-3"/>
        </w:rPr>
        <w:t> </w:t>
      </w:r>
      <w:r>
        <w:rPr/>
        <w:t>Brandle,</w:t>
      </w:r>
      <w:r>
        <w:rPr>
          <w:spacing w:val="-3"/>
        </w:rPr>
        <w:t> </w:t>
      </w:r>
      <w:r>
        <w:rPr/>
        <w:t>R.,</w:t>
      </w:r>
      <w:r>
        <w:rPr>
          <w:spacing w:val="-3"/>
        </w:rPr>
        <w:t> </w:t>
      </w:r>
      <w:r>
        <w:rPr/>
        <w:t>Barmuta,</w:t>
      </w:r>
      <w:r>
        <w:rPr>
          <w:spacing w:val="-1"/>
        </w:rPr>
        <w:t> </w:t>
      </w:r>
      <w:r>
        <w:rPr/>
        <w:t>L.A.,</w:t>
      </w:r>
      <w:r>
        <w:rPr>
          <w:spacing w:val="-3"/>
        </w:rPr>
        <w:t> </w:t>
      </w:r>
      <w:r>
        <w:rPr/>
        <w:t>Jones,</w:t>
      </w:r>
      <w:r>
        <w:rPr>
          <w:spacing w:val="-3"/>
        </w:rPr>
        <w:t> </w:t>
      </w:r>
      <w:r>
        <w:rPr/>
        <w:t>M.E.,</w:t>
      </w:r>
      <w:r>
        <w:rPr>
          <w:spacing w:val="-1"/>
        </w:rPr>
        <w:t> </w:t>
      </w:r>
      <w:r>
        <w:rPr/>
        <w:t>and</w:t>
      </w:r>
      <w:r>
        <w:rPr>
          <w:spacing w:val="-4"/>
        </w:rPr>
        <w:t> </w:t>
      </w:r>
      <w:r>
        <w:rPr/>
        <w:t>Jansen,</w:t>
      </w:r>
      <w:r>
        <w:rPr>
          <w:spacing w:val="-3"/>
        </w:rPr>
        <w:t> </w:t>
      </w:r>
      <w:r>
        <w:rPr/>
        <w:t>J.</w:t>
      </w:r>
      <w:r>
        <w:rPr>
          <w:spacing w:val="-3"/>
        </w:rPr>
        <w:t> </w:t>
      </w:r>
      <w:r>
        <w:rPr/>
        <w:t>(2023).</w:t>
      </w:r>
      <w:r>
        <w:rPr>
          <w:spacing w:val="-3"/>
        </w:rPr>
        <w:t> </w:t>
      </w:r>
      <w:r>
        <w:rPr/>
        <w:t>Rabbit</w:t>
      </w:r>
      <w:r>
        <w:rPr>
          <w:spacing w:val="-3"/>
        </w:rPr>
        <w:t> </w:t>
      </w:r>
      <w:r>
        <w:rPr/>
        <w:t>warrens:</w:t>
      </w:r>
      <w:r>
        <w:rPr>
          <w:spacing w:val="-3"/>
        </w:rPr>
        <w:t> </w:t>
      </w:r>
      <w:r>
        <w:rPr/>
        <w:t>an</w:t>
      </w:r>
      <w:r>
        <w:rPr>
          <w:spacing w:val="-1"/>
        </w:rPr>
        <w:t> </w:t>
      </w:r>
      <w:r>
        <w:rPr/>
        <w:t>important resource for invasive alien species in semi-arid Australia. </w:t>
      </w:r>
      <w:r>
        <w:rPr>
          <w:i/>
        </w:rPr>
        <w:t>Wildlife Research </w:t>
      </w:r>
      <w:r>
        <w:rPr>
          <w:b/>
        </w:rPr>
        <w:t>51</w:t>
      </w:r>
      <w:r>
        <w:rPr/>
        <w:t>(1). doi: </w:t>
      </w:r>
      <w:r>
        <w:rPr>
          <w:spacing w:val="-2"/>
        </w:rPr>
        <w:t>10.1071/WR22154.</w:t>
      </w:r>
    </w:p>
    <w:p>
      <w:pPr>
        <w:pStyle w:val="BodyText"/>
        <w:spacing w:before="9"/>
      </w:pPr>
    </w:p>
    <w:p>
      <w:pPr>
        <w:pStyle w:val="BodyText"/>
        <w:ind w:left="833" w:right="163" w:hanging="721"/>
      </w:pPr>
      <w:r>
        <w:rPr/>
        <w:t>DELWP.</w:t>
      </w:r>
      <w:r>
        <w:rPr>
          <w:spacing w:val="-4"/>
        </w:rPr>
        <w:t> </w:t>
      </w:r>
      <w:r>
        <w:rPr/>
        <w:t>(2023).</w:t>
      </w:r>
      <w:r>
        <w:rPr>
          <w:spacing w:val="-4"/>
        </w:rPr>
        <w:t> </w:t>
      </w:r>
      <w:r>
        <w:rPr/>
        <w:t>Flora</w:t>
      </w:r>
      <w:r>
        <w:rPr>
          <w:spacing w:val="-4"/>
        </w:rPr>
        <w:t> </w:t>
      </w:r>
      <w:r>
        <w:rPr/>
        <w:t>and</w:t>
      </w:r>
      <w:r>
        <w:rPr>
          <w:spacing w:val="-3"/>
        </w:rPr>
        <w:t> </w:t>
      </w:r>
      <w:r>
        <w:rPr/>
        <w:t>fauna</w:t>
      </w:r>
      <w:r>
        <w:rPr>
          <w:spacing w:val="-4"/>
        </w:rPr>
        <w:t> </w:t>
      </w:r>
      <w:r>
        <w:rPr/>
        <w:t>guarantee</w:t>
      </w:r>
      <w:r>
        <w:rPr>
          <w:spacing w:val="-3"/>
        </w:rPr>
        <w:t> </w:t>
      </w:r>
      <w:r>
        <w:rPr/>
        <w:t>act</w:t>
      </w:r>
      <w:r>
        <w:rPr>
          <w:spacing w:val="-4"/>
        </w:rPr>
        <w:t> </w:t>
      </w:r>
      <w:r>
        <w:rPr/>
        <w:t>1988</w:t>
      </w:r>
      <w:r>
        <w:rPr>
          <w:spacing w:val="-1"/>
        </w:rPr>
        <w:t> </w:t>
      </w:r>
      <w:r>
        <w:rPr/>
        <w:t>–</w:t>
      </w:r>
      <w:r>
        <w:rPr>
          <w:spacing w:val="-2"/>
        </w:rPr>
        <w:t> </w:t>
      </w:r>
      <w:r>
        <w:rPr/>
        <w:t>potentially</w:t>
      </w:r>
      <w:r>
        <w:rPr>
          <w:spacing w:val="-3"/>
        </w:rPr>
        <w:t> </w:t>
      </w:r>
      <w:r>
        <w:rPr/>
        <w:t>threatening</w:t>
      </w:r>
      <w:r>
        <w:rPr>
          <w:spacing w:val="-4"/>
        </w:rPr>
        <w:t> </w:t>
      </w:r>
      <w:r>
        <w:rPr/>
        <w:t>processes</w:t>
      </w:r>
      <w:r>
        <w:rPr>
          <w:spacing w:val="-3"/>
        </w:rPr>
        <w:t> </w:t>
      </w:r>
      <w:r>
        <w:rPr/>
        <w:t>list. Victorian </w:t>
      </w:r>
      <w:r>
        <w:rPr>
          <w:spacing w:val="-2"/>
        </w:rPr>
        <w:t>Government.</w:t>
      </w:r>
    </w:p>
    <w:p>
      <w:pPr>
        <w:spacing w:after="0"/>
        <w:sectPr>
          <w:pgSz w:w="11910" w:h="16850"/>
          <w:pgMar w:header="0" w:footer="688" w:top="1060" w:bottom="880" w:left="1020" w:right="780"/>
        </w:sectPr>
      </w:pPr>
    </w:p>
    <w:p>
      <w:pPr>
        <w:pStyle w:val="BodyText"/>
        <w:spacing w:before="71"/>
        <w:ind w:left="833" w:right="416" w:hanging="721"/>
      </w:pPr>
      <w:r>
        <w:rPr/>
        <w:t>Denham,</w:t>
      </w:r>
      <w:r>
        <w:rPr>
          <w:spacing w:val="-2"/>
        </w:rPr>
        <w:t> </w:t>
      </w:r>
      <w:r>
        <w:rPr/>
        <w:t>A.J.,</w:t>
      </w:r>
      <w:r>
        <w:rPr>
          <w:spacing w:val="-2"/>
        </w:rPr>
        <w:t> </w:t>
      </w:r>
      <w:r>
        <w:rPr/>
        <w:t>and</w:t>
      </w:r>
      <w:r>
        <w:rPr>
          <w:spacing w:val="-2"/>
        </w:rPr>
        <w:t> </w:t>
      </w:r>
      <w:r>
        <w:rPr/>
        <w:t>Auld,</w:t>
      </w:r>
      <w:r>
        <w:rPr>
          <w:spacing w:val="-2"/>
        </w:rPr>
        <w:t> </w:t>
      </w:r>
      <w:r>
        <w:rPr/>
        <w:t>T.D.</w:t>
      </w:r>
      <w:r>
        <w:rPr>
          <w:spacing w:val="-4"/>
        </w:rPr>
        <w:t> </w:t>
      </w:r>
      <w:r>
        <w:rPr/>
        <w:t>(2004).</w:t>
      </w:r>
      <w:r>
        <w:rPr>
          <w:spacing w:val="-4"/>
        </w:rPr>
        <w:t> </w:t>
      </w:r>
      <w:r>
        <w:rPr/>
        <w:t>Survival</w:t>
      </w:r>
      <w:r>
        <w:rPr>
          <w:spacing w:val="-3"/>
        </w:rPr>
        <w:t> </w:t>
      </w:r>
      <w:r>
        <w:rPr/>
        <w:t>and</w:t>
      </w:r>
      <w:r>
        <w:rPr>
          <w:spacing w:val="-4"/>
        </w:rPr>
        <w:t> </w:t>
      </w:r>
      <w:r>
        <w:rPr/>
        <w:t>recruitment</w:t>
      </w:r>
      <w:r>
        <w:rPr>
          <w:spacing w:val="-2"/>
        </w:rPr>
        <w:t> </w:t>
      </w:r>
      <w:r>
        <w:rPr/>
        <w:t>of</w:t>
      </w:r>
      <w:r>
        <w:rPr>
          <w:spacing w:val="-4"/>
        </w:rPr>
        <w:t> </w:t>
      </w:r>
      <w:r>
        <w:rPr/>
        <w:t>seedlings</w:t>
      </w:r>
      <w:r>
        <w:rPr>
          <w:spacing w:val="-3"/>
        </w:rPr>
        <w:t> </w:t>
      </w:r>
      <w:r>
        <w:rPr/>
        <w:t>and</w:t>
      </w:r>
      <w:r>
        <w:rPr>
          <w:spacing w:val="-2"/>
        </w:rPr>
        <w:t> </w:t>
      </w:r>
      <w:r>
        <w:rPr/>
        <w:t>suckers</w:t>
      </w:r>
      <w:r>
        <w:rPr>
          <w:spacing w:val="-2"/>
        </w:rPr>
        <w:t> </w:t>
      </w:r>
      <w:r>
        <w:rPr/>
        <w:t>of</w:t>
      </w:r>
      <w:r>
        <w:rPr>
          <w:spacing w:val="-4"/>
        </w:rPr>
        <w:t> </w:t>
      </w:r>
      <w:r>
        <w:rPr/>
        <w:t>trees</w:t>
      </w:r>
      <w:r>
        <w:rPr>
          <w:spacing w:val="-3"/>
        </w:rPr>
        <w:t> </w:t>
      </w:r>
      <w:r>
        <w:rPr/>
        <w:t>and</w:t>
      </w:r>
      <w:r>
        <w:rPr>
          <w:spacing w:val="-2"/>
        </w:rPr>
        <w:t> </w:t>
      </w:r>
      <w:r>
        <w:rPr/>
        <w:t>shrubs of the Australian arid zone following habitat management and the outbreak of rabbit calicivirus disease (RCD). </w:t>
      </w:r>
      <w:r>
        <w:rPr>
          <w:i/>
        </w:rPr>
        <w:t>Austral Ecology </w:t>
      </w:r>
      <w:r>
        <w:rPr>
          <w:b/>
        </w:rPr>
        <w:t>29</w:t>
      </w:r>
      <w:r>
        <w:rPr/>
        <w:t>(5):585–99. doi: 10.1111/j.1442-9993.2004.01393.x.</w:t>
      </w:r>
    </w:p>
    <w:p>
      <w:pPr>
        <w:pStyle w:val="BodyText"/>
        <w:spacing w:before="12"/>
      </w:pPr>
    </w:p>
    <w:p>
      <w:pPr>
        <w:pStyle w:val="BodyText"/>
        <w:ind w:left="112"/>
      </w:pPr>
      <w:r>
        <w:rPr/>
        <w:t>Dennis,</w:t>
      </w:r>
      <w:r>
        <w:rPr>
          <w:spacing w:val="-7"/>
        </w:rPr>
        <w:t> </w:t>
      </w:r>
      <w:r>
        <w:rPr/>
        <w:t>S.M.</w:t>
      </w:r>
      <w:r>
        <w:rPr>
          <w:spacing w:val="-6"/>
        </w:rPr>
        <w:t> </w:t>
      </w:r>
      <w:r>
        <w:rPr/>
        <w:t>(1965).</w:t>
      </w:r>
      <w:r>
        <w:rPr>
          <w:spacing w:val="-3"/>
        </w:rPr>
        <w:t> </w:t>
      </w:r>
      <w:r>
        <w:rPr/>
        <w:t>More</w:t>
      </w:r>
      <w:r>
        <w:rPr>
          <w:spacing w:val="-5"/>
        </w:rPr>
        <w:t> </w:t>
      </w:r>
      <w:r>
        <w:rPr/>
        <w:t>light</w:t>
      </w:r>
      <w:r>
        <w:rPr>
          <w:spacing w:val="-4"/>
        </w:rPr>
        <w:t> </w:t>
      </w:r>
      <w:r>
        <w:rPr/>
        <w:t>on</w:t>
      </w:r>
      <w:r>
        <w:rPr>
          <w:spacing w:val="-6"/>
        </w:rPr>
        <w:t> </w:t>
      </w:r>
      <w:r>
        <w:rPr/>
        <w:t>lamb</w:t>
      </w:r>
      <w:r>
        <w:rPr>
          <w:spacing w:val="-2"/>
        </w:rPr>
        <w:t> </w:t>
      </w:r>
      <w:r>
        <w:rPr/>
        <w:t>losses:</w:t>
      </w:r>
      <w:r>
        <w:rPr>
          <w:spacing w:val="-5"/>
        </w:rPr>
        <w:t> </w:t>
      </w:r>
      <w:r>
        <w:rPr/>
        <w:t>third</w:t>
      </w:r>
      <w:r>
        <w:rPr>
          <w:spacing w:val="-7"/>
        </w:rPr>
        <w:t> </w:t>
      </w:r>
      <w:r>
        <w:rPr/>
        <w:t>and</w:t>
      </w:r>
      <w:r>
        <w:rPr>
          <w:spacing w:val="-7"/>
        </w:rPr>
        <w:t> </w:t>
      </w:r>
      <w:r>
        <w:rPr/>
        <w:t>final</w:t>
      </w:r>
      <w:r>
        <w:rPr>
          <w:spacing w:val="-7"/>
        </w:rPr>
        <w:t> </w:t>
      </w:r>
      <w:r>
        <w:rPr/>
        <w:t>report</w:t>
      </w:r>
      <w:r>
        <w:rPr>
          <w:spacing w:val="-6"/>
        </w:rPr>
        <w:t> </w:t>
      </w:r>
      <w:r>
        <w:rPr/>
        <w:t>of</w:t>
      </w:r>
      <w:r>
        <w:rPr>
          <w:spacing w:val="-5"/>
        </w:rPr>
        <w:t> </w:t>
      </w:r>
      <w:r>
        <w:rPr/>
        <w:t>a</w:t>
      </w:r>
      <w:r>
        <w:rPr>
          <w:spacing w:val="-6"/>
        </w:rPr>
        <w:t> </w:t>
      </w:r>
      <w:r>
        <w:rPr/>
        <w:t>survey</w:t>
      </w:r>
      <w:r>
        <w:rPr>
          <w:spacing w:val="-5"/>
        </w:rPr>
        <w:t> </w:t>
      </w:r>
      <w:r>
        <w:rPr/>
        <w:t>of</w:t>
      </w:r>
      <w:r>
        <w:rPr>
          <w:spacing w:val="-6"/>
        </w:rPr>
        <w:t> </w:t>
      </w:r>
      <w:r>
        <w:rPr/>
        <w:t>lamb</w:t>
      </w:r>
      <w:r>
        <w:rPr>
          <w:spacing w:val="-5"/>
        </w:rPr>
        <w:t> </w:t>
      </w:r>
      <w:r>
        <w:rPr/>
        <w:t>mortalities</w:t>
      </w:r>
      <w:r>
        <w:rPr>
          <w:spacing w:val="-3"/>
        </w:rPr>
        <w:t> </w:t>
      </w:r>
      <w:r>
        <w:rPr/>
        <w:t>in</w:t>
      </w:r>
      <w:r>
        <w:rPr>
          <w:spacing w:val="1"/>
        </w:rPr>
        <w:t> </w:t>
      </w:r>
      <w:r>
        <w:rPr>
          <w:spacing w:val="-4"/>
        </w:rPr>
        <w:t>W.A.</w:t>
      </w:r>
    </w:p>
    <w:p>
      <w:pPr>
        <w:spacing w:before="0"/>
        <w:ind w:left="833" w:right="0" w:firstLine="0"/>
        <w:jc w:val="left"/>
        <w:rPr>
          <w:sz w:val="20"/>
        </w:rPr>
      </w:pPr>
      <w:r>
        <w:rPr>
          <w:i/>
          <w:sz w:val="20"/>
        </w:rPr>
        <w:t>Journal</w:t>
      </w:r>
      <w:r>
        <w:rPr>
          <w:i/>
          <w:spacing w:val="-7"/>
          <w:sz w:val="20"/>
        </w:rPr>
        <w:t> </w:t>
      </w:r>
      <w:r>
        <w:rPr>
          <w:i/>
          <w:sz w:val="20"/>
        </w:rPr>
        <w:t>of</w:t>
      </w:r>
      <w:r>
        <w:rPr>
          <w:i/>
          <w:spacing w:val="-7"/>
          <w:sz w:val="20"/>
        </w:rPr>
        <w:t> </w:t>
      </w:r>
      <w:r>
        <w:rPr>
          <w:i/>
          <w:sz w:val="20"/>
        </w:rPr>
        <w:t>the</w:t>
      </w:r>
      <w:r>
        <w:rPr>
          <w:i/>
          <w:spacing w:val="-8"/>
          <w:sz w:val="20"/>
        </w:rPr>
        <w:t> </w:t>
      </w:r>
      <w:r>
        <w:rPr>
          <w:i/>
          <w:sz w:val="20"/>
        </w:rPr>
        <w:t>Department</w:t>
      </w:r>
      <w:r>
        <w:rPr>
          <w:i/>
          <w:spacing w:val="-5"/>
          <w:sz w:val="20"/>
        </w:rPr>
        <w:t> </w:t>
      </w:r>
      <w:r>
        <w:rPr>
          <w:i/>
          <w:sz w:val="20"/>
        </w:rPr>
        <w:t>of</w:t>
      </w:r>
      <w:r>
        <w:rPr>
          <w:i/>
          <w:spacing w:val="-8"/>
          <w:sz w:val="20"/>
        </w:rPr>
        <w:t> </w:t>
      </w:r>
      <w:r>
        <w:rPr>
          <w:i/>
          <w:sz w:val="20"/>
        </w:rPr>
        <w:t>Agriculture,</w:t>
      </w:r>
      <w:r>
        <w:rPr>
          <w:i/>
          <w:spacing w:val="-5"/>
          <w:sz w:val="20"/>
        </w:rPr>
        <w:t> </w:t>
      </w:r>
      <w:r>
        <w:rPr>
          <w:i/>
          <w:sz w:val="20"/>
        </w:rPr>
        <w:t>Western</w:t>
      </w:r>
      <w:r>
        <w:rPr>
          <w:i/>
          <w:spacing w:val="-7"/>
          <w:sz w:val="20"/>
        </w:rPr>
        <w:t> </w:t>
      </w:r>
      <w:r>
        <w:rPr>
          <w:i/>
          <w:sz w:val="20"/>
        </w:rPr>
        <w:t>Australia</w:t>
      </w:r>
      <w:r>
        <w:rPr>
          <w:i/>
          <w:spacing w:val="-3"/>
          <w:sz w:val="20"/>
        </w:rPr>
        <w:t> </w:t>
      </w:r>
      <w:r>
        <w:rPr>
          <w:spacing w:val="-2"/>
          <w:sz w:val="20"/>
        </w:rPr>
        <w:t>12:686–89.</w:t>
      </w:r>
    </w:p>
    <w:p>
      <w:pPr>
        <w:pStyle w:val="BodyText"/>
        <w:spacing w:before="8"/>
      </w:pPr>
    </w:p>
    <w:p>
      <w:pPr>
        <w:pStyle w:val="BodyText"/>
        <w:ind w:left="833" w:right="544" w:hanging="721"/>
      </w:pPr>
      <w:r>
        <w:rPr/>
        <w:t>Dexter,</w:t>
      </w:r>
      <w:r>
        <w:rPr>
          <w:spacing w:val="-4"/>
        </w:rPr>
        <w:t> </w:t>
      </w:r>
      <w:r>
        <w:rPr/>
        <w:t>N.</w:t>
      </w:r>
      <w:r>
        <w:rPr>
          <w:spacing w:val="-4"/>
        </w:rPr>
        <w:t> </w:t>
      </w:r>
      <w:r>
        <w:rPr/>
        <w:t>(1996).</w:t>
      </w:r>
      <w:r>
        <w:rPr>
          <w:spacing w:val="-4"/>
        </w:rPr>
        <w:t> </w:t>
      </w:r>
      <w:r>
        <w:rPr/>
        <w:t>The</w:t>
      </w:r>
      <w:r>
        <w:rPr>
          <w:spacing w:val="-3"/>
        </w:rPr>
        <w:t> </w:t>
      </w:r>
      <w:r>
        <w:rPr/>
        <w:t>effect</w:t>
      </w:r>
      <w:r>
        <w:rPr>
          <w:spacing w:val="-4"/>
        </w:rPr>
        <w:t> </w:t>
      </w:r>
      <w:r>
        <w:rPr/>
        <w:t>of</w:t>
      </w:r>
      <w:r>
        <w:rPr>
          <w:spacing w:val="-4"/>
        </w:rPr>
        <w:t> </w:t>
      </w:r>
      <w:r>
        <w:rPr/>
        <w:t>an</w:t>
      </w:r>
      <w:r>
        <w:rPr>
          <w:spacing w:val="-2"/>
        </w:rPr>
        <w:t> </w:t>
      </w:r>
      <w:r>
        <w:rPr/>
        <w:t>intensive</w:t>
      </w:r>
      <w:r>
        <w:rPr>
          <w:spacing w:val="-2"/>
        </w:rPr>
        <w:t> </w:t>
      </w:r>
      <w:r>
        <w:rPr/>
        <w:t>shooting</w:t>
      </w:r>
      <w:r>
        <w:rPr>
          <w:spacing w:val="-2"/>
        </w:rPr>
        <w:t> </w:t>
      </w:r>
      <w:r>
        <w:rPr/>
        <w:t>exercise</w:t>
      </w:r>
      <w:r>
        <w:rPr>
          <w:spacing w:val="-4"/>
        </w:rPr>
        <w:t> </w:t>
      </w:r>
      <w:r>
        <w:rPr/>
        <w:t>from</w:t>
      </w:r>
      <w:r>
        <w:rPr>
          <w:spacing w:val="-2"/>
        </w:rPr>
        <w:t> </w:t>
      </w:r>
      <w:r>
        <w:rPr/>
        <w:t>a</w:t>
      </w:r>
      <w:r>
        <w:rPr>
          <w:spacing w:val="-4"/>
        </w:rPr>
        <w:t> </w:t>
      </w:r>
      <w:r>
        <w:rPr/>
        <w:t>helicopter</w:t>
      </w:r>
      <w:r>
        <w:rPr>
          <w:spacing w:val="-1"/>
        </w:rPr>
        <w:t> </w:t>
      </w:r>
      <w:r>
        <w:rPr/>
        <w:t>on</w:t>
      </w:r>
      <w:r>
        <w:rPr>
          <w:spacing w:val="-5"/>
        </w:rPr>
        <w:t> </w:t>
      </w:r>
      <w:r>
        <w:rPr/>
        <w:t>the</w:t>
      </w:r>
      <w:r>
        <w:rPr>
          <w:spacing w:val="-4"/>
        </w:rPr>
        <w:t> </w:t>
      </w:r>
      <w:r>
        <w:rPr/>
        <w:t>behaviour</w:t>
      </w:r>
      <w:r>
        <w:rPr>
          <w:spacing w:val="-3"/>
        </w:rPr>
        <w:t> </w:t>
      </w:r>
      <w:r>
        <w:rPr/>
        <w:t>of surviving feral pigs. </w:t>
      </w:r>
      <w:r>
        <w:rPr>
          <w:i/>
        </w:rPr>
        <w:t>Wildlife Research </w:t>
      </w:r>
      <w:r>
        <w:rPr>
          <w:b/>
        </w:rPr>
        <w:t>23</w:t>
      </w:r>
      <w:r>
        <w:rPr/>
        <w:t>(4):435. doi: 10.1071/WR9960435.</w:t>
      </w:r>
    </w:p>
    <w:p>
      <w:pPr>
        <w:pStyle w:val="BodyText"/>
        <w:spacing w:before="11"/>
      </w:pPr>
    </w:p>
    <w:p>
      <w:pPr>
        <w:pStyle w:val="BodyText"/>
        <w:ind w:left="833" w:right="163" w:hanging="721"/>
      </w:pPr>
      <w:r>
        <w:rPr/>
        <w:t>Dexter,</w:t>
      </w:r>
      <w:r>
        <w:rPr>
          <w:spacing w:val="-3"/>
        </w:rPr>
        <w:t> </w:t>
      </w:r>
      <w:r>
        <w:rPr/>
        <w:t>N.,</w:t>
      </w:r>
      <w:r>
        <w:rPr>
          <w:spacing w:val="-2"/>
        </w:rPr>
        <w:t> </w:t>
      </w:r>
      <w:r>
        <w:rPr/>
        <w:t>and</w:t>
      </w:r>
      <w:r>
        <w:rPr>
          <w:spacing w:val="-2"/>
        </w:rPr>
        <w:t> </w:t>
      </w:r>
      <w:r>
        <w:rPr/>
        <w:t>Murray,</w:t>
      </w:r>
      <w:r>
        <w:rPr>
          <w:spacing w:val="-2"/>
        </w:rPr>
        <w:t> </w:t>
      </w:r>
      <w:r>
        <w:rPr/>
        <w:t>A.</w:t>
      </w:r>
      <w:r>
        <w:rPr>
          <w:spacing w:val="-3"/>
        </w:rPr>
        <w:t> </w:t>
      </w:r>
      <w:r>
        <w:rPr/>
        <w:t>(2009).</w:t>
      </w:r>
      <w:r>
        <w:rPr>
          <w:spacing w:val="-3"/>
        </w:rPr>
        <w:t> </w:t>
      </w:r>
      <w:r>
        <w:rPr/>
        <w:t>The</w:t>
      </w:r>
      <w:r>
        <w:rPr>
          <w:spacing w:val="-2"/>
        </w:rPr>
        <w:t> </w:t>
      </w:r>
      <w:r>
        <w:rPr/>
        <w:t>impact</w:t>
      </w:r>
      <w:r>
        <w:rPr>
          <w:spacing w:val="-3"/>
        </w:rPr>
        <w:t> </w:t>
      </w:r>
      <w:r>
        <w:rPr/>
        <w:t>of</w:t>
      </w:r>
      <w:r>
        <w:rPr>
          <w:spacing w:val="-2"/>
        </w:rPr>
        <w:t> </w:t>
      </w:r>
      <w:r>
        <w:rPr/>
        <w:t>fox</w:t>
      </w:r>
      <w:r>
        <w:rPr>
          <w:spacing w:val="-2"/>
        </w:rPr>
        <w:t> </w:t>
      </w:r>
      <w:r>
        <w:rPr/>
        <w:t>control</w:t>
      </w:r>
      <w:r>
        <w:rPr>
          <w:spacing w:val="-2"/>
        </w:rPr>
        <w:t> </w:t>
      </w:r>
      <w:r>
        <w:rPr/>
        <w:t>on</w:t>
      </w:r>
      <w:r>
        <w:rPr>
          <w:spacing w:val="-4"/>
        </w:rPr>
        <w:t> </w:t>
      </w:r>
      <w:r>
        <w:rPr/>
        <w:t>the</w:t>
      </w:r>
      <w:r>
        <w:rPr>
          <w:spacing w:val="-4"/>
        </w:rPr>
        <w:t> </w:t>
      </w:r>
      <w:r>
        <w:rPr/>
        <w:t>relative</w:t>
      </w:r>
      <w:r>
        <w:rPr>
          <w:spacing w:val="-3"/>
        </w:rPr>
        <w:t> </w:t>
      </w:r>
      <w:r>
        <w:rPr/>
        <w:t>abundance</w:t>
      </w:r>
      <w:r>
        <w:rPr>
          <w:spacing w:val="-3"/>
        </w:rPr>
        <w:t> </w:t>
      </w:r>
      <w:r>
        <w:rPr/>
        <w:t>of</w:t>
      </w:r>
      <w:r>
        <w:rPr>
          <w:spacing w:val="-3"/>
        </w:rPr>
        <w:t> </w:t>
      </w:r>
      <w:r>
        <w:rPr/>
        <w:t>forest</w:t>
      </w:r>
      <w:r>
        <w:rPr>
          <w:spacing w:val="-3"/>
        </w:rPr>
        <w:t> </w:t>
      </w:r>
      <w:r>
        <w:rPr/>
        <w:t>mammals</w:t>
      </w:r>
      <w:r>
        <w:rPr>
          <w:spacing w:val="-1"/>
        </w:rPr>
        <w:t> </w:t>
      </w:r>
      <w:r>
        <w:rPr/>
        <w:t>in east Gippsland, Victoria. </w:t>
      </w:r>
      <w:r>
        <w:rPr>
          <w:i/>
        </w:rPr>
        <w:t>Wildlife Research </w:t>
      </w:r>
      <w:r>
        <w:rPr>
          <w:b/>
        </w:rPr>
        <w:t>36</w:t>
      </w:r>
      <w:r>
        <w:rPr/>
        <w:t>:252–61.</w:t>
      </w:r>
    </w:p>
    <w:p>
      <w:pPr>
        <w:pStyle w:val="BodyText"/>
        <w:spacing w:before="11"/>
      </w:pPr>
    </w:p>
    <w:p>
      <w:pPr>
        <w:pStyle w:val="BodyText"/>
        <w:ind w:left="833" w:right="364" w:hanging="721"/>
      </w:pPr>
      <w:r>
        <w:rPr/>
        <w:t>Dexter, N., Hudson, M., James, S., MacGregor, C., and Lindenmayer, D.B. (2013). Unintended consequences</w:t>
      </w:r>
      <w:r>
        <w:rPr>
          <w:spacing w:val="-4"/>
        </w:rPr>
        <w:t> </w:t>
      </w:r>
      <w:r>
        <w:rPr/>
        <w:t>of</w:t>
      </w:r>
      <w:r>
        <w:rPr>
          <w:spacing w:val="-3"/>
        </w:rPr>
        <w:t> </w:t>
      </w:r>
      <w:r>
        <w:rPr/>
        <w:t>invasive</w:t>
      </w:r>
      <w:r>
        <w:rPr>
          <w:spacing w:val="-1"/>
        </w:rPr>
        <w:t> </w:t>
      </w:r>
      <w:r>
        <w:rPr/>
        <w:t>predator</w:t>
      </w:r>
      <w:r>
        <w:rPr>
          <w:spacing w:val="-5"/>
        </w:rPr>
        <w:t> </w:t>
      </w:r>
      <w:r>
        <w:rPr/>
        <w:t>control</w:t>
      </w:r>
      <w:r>
        <w:rPr>
          <w:spacing w:val="-6"/>
        </w:rPr>
        <w:t> </w:t>
      </w:r>
      <w:r>
        <w:rPr/>
        <w:t>in</w:t>
      </w:r>
      <w:r>
        <w:rPr>
          <w:spacing w:val="-5"/>
        </w:rPr>
        <w:t> </w:t>
      </w:r>
      <w:r>
        <w:rPr/>
        <w:t>an</w:t>
      </w:r>
      <w:r>
        <w:rPr>
          <w:spacing w:val="-1"/>
        </w:rPr>
        <w:t> </w:t>
      </w:r>
      <w:r>
        <w:rPr/>
        <w:t>Australian</w:t>
      </w:r>
      <w:r>
        <w:rPr>
          <w:spacing w:val="-6"/>
        </w:rPr>
        <w:t> </w:t>
      </w:r>
      <w:r>
        <w:rPr/>
        <w:t>forest:</w:t>
      </w:r>
      <w:r>
        <w:rPr>
          <w:spacing w:val="-5"/>
        </w:rPr>
        <w:t> </w:t>
      </w:r>
      <w:r>
        <w:rPr/>
        <w:t>overabundant</w:t>
      </w:r>
      <w:r>
        <w:rPr>
          <w:spacing w:val="-3"/>
        </w:rPr>
        <w:t> </w:t>
      </w:r>
      <w:r>
        <w:rPr/>
        <w:t>wallabies</w:t>
      </w:r>
      <w:r>
        <w:rPr>
          <w:spacing w:val="-4"/>
        </w:rPr>
        <w:t> </w:t>
      </w:r>
      <w:r>
        <w:rPr/>
        <w:t>and vegetation change. </w:t>
      </w:r>
      <w:r>
        <w:rPr>
          <w:i/>
        </w:rPr>
        <w:t>PLoS ONE </w:t>
      </w:r>
      <w:r>
        <w:rPr>
          <w:b/>
        </w:rPr>
        <w:t>8</w:t>
      </w:r>
      <w:r>
        <w:rPr/>
        <w:t>(8):e69087. doi: 10.1371/journal.pone.0069087.</w:t>
      </w:r>
    </w:p>
    <w:p>
      <w:pPr>
        <w:pStyle w:val="BodyText"/>
        <w:spacing w:before="9"/>
      </w:pPr>
    </w:p>
    <w:p>
      <w:pPr>
        <w:pStyle w:val="BodyText"/>
        <w:spacing w:before="1"/>
        <w:ind w:left="833" w:right="544" w:hanging="721"/>
      </w:pPr>
      <w:r>
        <w:rPr/>
        <w:t>Dexter,</w:t>
      </w:r>
      <w:r>
        <w:rPr>
          <w:spacing w:val="-4"/>
        </w:rPr>
        <w:t> </w:t>
      </w:r>
      <w:r>
        <w:rPr/>
        <w:t>N.,</w:t>
      </w:r>
      <w:r>
        <w:rPr>
          <w:spacing w:val="-2"/>
        </w:rPr>
        <w:t> </w:t>
      </w:r>
      <w:r>
        <w:rPr/>
        <w:t>and</w:t>
      </w:r>
      <w:r>
        <w:rPr>
          <w:spacing w:val="-2"/>
        </w:rPr>
        <w:t> </w:t>
      </w:r>
      <w:r>
        <w:rPr/>
        <w:t>Meek,</w:t>
      </w:r>
      <w:r>
        <w:rPr>
          <w:spacing w:val="-4"/>
        </w:rPr>
        <w:t> </w:t>
      </w:r>
      <w:r>
        <w:rPr/>
        <w:t>P.</w:t>
      </w:r>
      <w:r>
        <w:rPr>
          <w:spacing w:val="-2"/>
        </w:rPr>
        <w:t> </w:t>
      </w:r>
      <w:r>
        <w:rPr/>
        <w:t>(1998).</w:t>
      </w:r>
      <w:r>
        <w:rPr>
          <w:spacing w:val="-1"/>
        </w:rPr>
        <w:t> </w:t>
      </w:r>
      <w:r>
        <w:rPr/>
        <w:t>An</w:t>
      </w:r>
      <w:r>
        <w:rPr>
          <w:spacing w:val="-2"/>
        </w:rPr>
        <w:t> </w:t>
      </w:r>
      <w:r>
        <w:rPr/>
        <w:t>analysis</w:t>
      </w:r>
      <w:r>
        <w:rPr>
          <w:spacing w:val="-3"/>
        </w:rPr>
        <w:t> </w:t>
      </w:r>
      <w:r>
        <w:rPr/>
        <w:t>of</w:t>
      </w:r>
      <w:r>
        <w:rPr>
          <w:spacing w:val="-4"/>
        </w:rPr>
        <w:t> </w:t>
      </w:r>
      <w:r>
        <w:rPr/>
        <w:t>bait-take</w:t>
      </w:r>
      <w:r>
        <w:rPr>
          <w:spacing w:val="-4"/>
        </w:rPr>
        <w:t> </w:t>
      </w:r>
      <w:r>
        <w:rPr/>
        <w:t>and</w:t>
      </w:r>
      <w:r>
        <w:rPr>
          <w:spacing w:val="-3"/>
        </w:rPr>
        <w:t> </w:t>
      </w:r>
      <w:r>
        <w:rPr/>
        <w:t>non-target</w:t>
      </w:r>
      <w:r>
        <w:rPr>
          <w:spacing w:val="-2"/>
        </w:rPr>
        <w:t> </w:t>
      </w:r>
      <w:r>
        <w:rPr/>
        <w:t>impacts</w:t>
      </w:r>
      <w:r>
        <w:rPr>
          <w:spacing w:val="-1"/>
        </w:rPr>
        <w:t> </w:t>
      </w:r>
      <w:r>
        <w:rPr/>
        <w:t>during</w:t>
      </w:r>
      <w:r>
        <w:rPr>
          <w:spacing w:val="-4"/>
        </w:rPr>
        <w:t> </w:t>
      </w:r>
      <w:r>
        <w:rPr/>
        <w:t>a</w:t>
      </w:r>
      <w:r>
        <w:rPr>
          <w:spacing w:val="-5"/>
        </w:rPr>
        <w:t> </w:t>
      </w:r>
      <w:r>
        <w:rPr/>
        <w:t>fox-control exercise. </w:t>
      </w:r>
      <w:r>
        <w:rPr>
          <w:i/>
        </w:rPr>
        <w:t>Wildlife Research </w:t>
      </w:r>
      <w:r>
        <w:rPr>
          <w:b/>
        </w:rPr>
        <w:t>25</w:t>
      </w:r>
      <w:r>
        <w:rPr/>
        <w:t>(2):147. doi: 10.1071/WR97020.</w:t>
      </w:r>
    </w:p>
    <w:p>
      <w:pPr>
        <w:pStyle w:val="BodyText"/>
        <w:spacing w:before="10"/>
      </w:pPr>
    </w:p>
    <w:p>
      <w:pPr>
        <w:spacing w:before="0"/>
        <w:ind w:left="833" w:right="357" w:hanging="721"/>
        <w:jc w:val="left"/>
        <w:rPr>
          <w:sz w:val="20"/>
        </w:rPr>
      </w:pPr>
      <w:r>
        <w:rPr>
          <w:sz w:val="20"/>
        </w:rPr>
        <w:t>Dickman,</w:t>
      </w:r>
      <w:r>
        <w:rPr>
          <w:spacing w:val="-2"/>
          <w:sz w:val="20"/>
        </w:rPr>
        <w:t> </w:t>
      </w:r>
      <w:r>
        <w:rPr>
          <w:sz w:val="20"/>
        </w:rPr>
        <w:t>C.R.</w:t>
      </w:r>
      <w:r>
        <w:rPr>
          <w:spacing w:val="-4"/>
          <w:sz w:val="20"/>
        </w:rPr>
        <w:t> </w:t>
      </w:r>
      <w:r>
        <w:rPr>
          <w:sz w:val="20"/>
        </w:rPr>
        <w:t>(2012).</w:t>
      </w:r>
      <w:r>
        <w:rPr>
          <w:spacing w:val="-1"/>
          <w:sz w:val="20"/>
        </w:rPr>
        <w:t> </w:t>
      </w:r>
      <w:r>
        <w:rPr>
          <w:sz w:val="20"/>
        </w:rPr>
        <w:t>Fences</w:t>
      </w:r>
      <w:r>
        <w:rPr>
          <w:spacing w:val="-3"/>
          <w:sz w:val="20"/>
        </w:rPr>
        <w:t> </w:t>
      </w:r>
      <w:r>
        <w:rPr>
          <w:sz w:val="20"/>
        </w:rPr>
        <w:t>or</w:t>
      </w:r>
      <w:r>
        <w:rPr>
          <w:spacing w:val="-4"/>
          <w:sz w:val="20"/>
        </w:rPr>
        <w:t> </w:t>
      </w:r>
      <w:r>
        <w:rPr>
          <w:sz w:val="20"/>
        </w:rPr>
        <w:t>ferals?</w:t>
      </w:r>
      <w:r>
        <w:rPr>
          <w:spacing w:val="-2"/>
          <w:sz w:val="20"/>
        </w:rPr>
        <w:t> </w:t>
      </w:r>
      <w:r>
        <w:rPr>
          <w:sz w:val="20"/>
        </w:rPr>
        <w:t>beneﬁts</w:t>
      </w:r>
      <w:r>
        <w:rPr>
          <w:spacing w:val="-3"/>
          <w:sz w:val="20"/>
        </w:rPr>
        <w:t> </w:t>
      </w:r>
      <w:r>
        <w:rPr>
          <w:sz w:val="20"/>
        </w:rPr>
        <w:t>and costs</w:t>
      </w:r>
      <w:r>
        <w:rPr>
          <w:spacing w:val="-3"/>
          <w:sz w:val="20"/>
        </w:rPr>
        <w:t> </w:t>
      </w:r>
      <w:r>
        <w:rPr>
          <w:sz w:val="20"/>
        </w:rPr>
        <w:t>of</w:t>
      </w:r>
      <w:r>
        <w:rPr>
          <w:spacing w:val="-4"/>
          <w:sz w:val="20"/>
        </w:rPr>
        <w:t> </w:t>
      </w:r>
      <w:r>
        <w:rPr>
          <w:sz w:val="20"/>
        </w:rPr>
        <w:t>conservation</w:t>
      </w:r>
      <w:r>
        <w:rPr>
          <w:spacing w:val="-5"/>
          <w:sz w:val="20"/>
        </w:rPr>
        <w:t> </w:t>
      </w:r>
      <w:r>
        <w:rPr>
          <w:sz w:val="20"/>
        </w:rPr>
        <w:t>fencing</w:t>
      </w:r>
      <w:r>
        <w:rPr>
          <w:spacing w:val="-5"/>
          <w:sz w:val="20"/>
        </w:rPr>
        <w:t> </w:t>
      </w:r>
      <w:r>
        <w:rPr>
          <w:sz w:val="20"/>
        </w:rPr>
        <w:t>in Australia.</w:t>
      </w:r>
      <w:r>
        <w:rPr>
          <w:spacing w:val="-2"/>
          <w:sz w:val="20"/>
        </w:rPr>
        <w:t> </w:t>
      </w:r>
      <w:r>
        <w:rPr>
          <w:sz w:val="20"/>
        </w:rPr>
        <w:t>Pp.</w:t>
      </w:r>
      <w:r>
        <w:rPr>
          <w:spacing w:val="-4"/>
          <w:sz w:val="20"/>
        </w:rPr>
        <w:t> </w:t>
      </w:r>
      <w:r>
        <w:rPr>
          <w:sz w:val="20"/>
        </w:rPr>
        <w:t>43–63</w:t>
      </w:r>
      <w:r>
        <w:rPr>
          <w:spacing w:val="-2"/>
          <w:sz w:val="20"/>
        </w:rPr>
        <w:t> </w:t>
      </w:r>
      <w:r>
        <w:rPr>
          <w:sz w:val="20"/>
        </w:rPr>
        <w:t>in </w:t>
      </w:r>
      <w:r>
        <w:rPr>
          <w:i/>
          <w:sz w:val="20"/>
        </w:rPr>
        <w:t>Fencing for Conservation: Restriction of Evolutionary Potential or a Riposte to Threatening</w:t>
      </w:r>
      <w:r>
        <w:rPr>
          <w:i/>
          <w:sz w:val="20"/>
        </w:rPr>
        <w:t> Processes? </w:t>
      </w:r>
      <w:r>
        <w:rPr>
          <w:sz w:val="20"/>
        </w:rPr>
        <w:t>Edited by M. J. Somers and M. W. Hayward. Springer Science &amp; Business Media.</w:t>
      </w:r>
    </w:p>
    <w:p>
      <w:pPr>
        <w:pStyle w:val="BodyText"/>
        <w:spacing w:before="9"/>
      </w:pPr>
    </w:p>
    <w:p>
      <w:pPr>
        <w:spacing w:before="0"/>
        <w:ind w:left="833" w:right="454" w:hanging="721"/>
        <w:jc w:val="left"/>
        <w:rPr>
          <w:sz w:val="20"/>
        </w:rPr>
      </w:pPr>
      <w:r>
        <w:rPr>
          <w:sz w:val="20"/>
        </w:rPr>
        <w:t>Dobrowolska,</w:t>
      </w:r>
      <w:r>
        <w:rPr>
          <w:spacing w:val="-1"/>
          <w:sz w:val="20"/>
        </w:rPr>
        <w:t> </w:t>
      </w:r>
      <w:r>
        <w:rPr>
          <w:sz w:val="20"/>
        </w:rPr>
        <w:t>A.,</w:t>
      </w:r>
      <w:r>
        <w:rPr>
          <w:spacing w:val="-3"/>
          <w:sz w:val="20"/>
        </w:rPr>
        <w:t> </w:t>
      </w:r>
      <w:r>
        <w:rPr>
          <w:sz w:val="20"/>
        </w:rPr>
        <w:t>and</w:t>
      </w:r>
      <w:r>
        <w:rPr>
          <w:spacing w:val="-2"/>
          <w:sz w:val="20"/>
        </w:rPr>
        <w:t> </w:t>
      </w:r>
      <w:r>
        <w:rPr>
          <w:sz w:val="20"/>
        </w:rPr>
        <w:t>Melosik,</w:t>
      </w:r>
      <w:r>
        <w:rPr>
          <w:spacing w:val="-3"/>
          <w:sz w:val="20"/>
        </w:rPr>
        <w:t> </w:t>
      </w:r>
      <w:r>
        <w:rPr>
          <w:sz w:val="20"/>
        </w:rPr>
        <w:t>M.</w:t>
      </w:r>
      <w:r>
        <w:rPr>
          <w:spacing w:val="-3"/>
          <w:sz w:val="20"/>
        </w:rPr>
        <w:t> </w:t>
      </w:r>
      <w:r>
        <w:rPr>
          <w:sz w:val="20"/>
        </w:rPr>
        <w:t>(2008).</w:t>
      </w:r>
      <w:r>
        <w:rPr>
          <w:spacing w:val="-1"/>
          <w:sz w:val="20"/>
        </w:rPr>
        <w:t> </w:t>
      </w:r>
      <w:r>
        <w:rPr>
          <w:sz w:val="20"/>
        </w:rPr>
        <w:t>Bullet-derived</w:t>
      </w:r>
      <w:r>
        <w:rPr>
          <w:spacing w:val="-3"/>
          <w:sz w:val="20"/>
        </w:rPr>
        <w:t> </w:t>
      </w:r>
      <w:r>
        <w:rPr>
          <w:sz w:val="20"/>
        </w:rPr>
        <w:t>lead</w:t>
      </w:r>
      <w:r>
        <w:rPr>
          <w:spacing w:val="-2"/>
          <w:sz w:val="20"/>
        </w:rPr>
        <w:t> </w:t>
      </w:r>
      <w:r>
        <w:rPr>
          <w:sz w:val="20"/>
        </w:rPr>
        <w:t>in</w:t>
      </w:r>
      <w:r>
        <w:rPr>
          <w:spacing w:val="-3"/>
          <w:sz w:val="20"/>
        </w:rPr>
        <w:t> </w:t>
      </w:r>
      <w:r>
        <w:rPr>
          <w:sz w:val="20"/>
        </w:rPr>
        <w:t>tissues</w:t>
      </w:r>
      <w:r>
        <w:rPr>
          <w:spacing w:val="-2"/>
          <w:sz w:val="20"/>
        </w:rPr>
        <w:t> </w:t>
      </w:r>
      <w:r>
        <w:rPr>
          <w:sz w:val="20"/>
        </w:rPr>
        <w:t>of</w:t>
      </w:r>
      <w:r>
        <w:rPr>
          <w:spacing w:val="-1"/>
          <w:sz w:val="20"/>
        </w:rPr>
        <w:t> </w:t>
      </w:r>
      <w:r>
        <w:rPr>
          <w:sz w:val="20"/>
        </w:rPr>
        <w:t>the</w:t>
      </w:r>
      <w:r>
        <w:rPr>
          <w:spacing w:val="-2"/>
          <w:sz w:val="20"/>
        </w:rPr>
        <w:t> </w:t>
      </w:r>
      <w:r>
        <w:rPr>
          <w:sz w:val="20"/>
        </w:rPr>
        <w:t>wild</w:t>
      </w:r>
      <w:r>
        <w:rPr>
          <w:spacing w:val="-1"/>
          <w:sz w:val="20"/>
        </w:rPr>
        <w:t> </w:t>
      </w:r>
      <w:r>
        <w:rPr>
          <w:sz w:val="20"/>
        </w:rPr>
        <w:t>boar</w:t>
      </w:r>
      <w:r>
        <w:rPr>
          <w:spacing w:val="-3"/>
          <w:sz w:val="20"/>
        </w:rPr>
        <w:t> </w:t>
      </w:r>
      <w:r>
        <w:rPr>
          <w:sz w:val="20"/>
        </w:rPr>
        <w:t>(</w:t>
      </w:r>
      <w:r>
        <w:rPr>
          <w:i/>
          <w:sz w:val="20"/>
        </w:rPr>
        <w:t>Sus</w:t>
      </w:r>
      <w:r>
        <w:rPr>
          <w:i/>
          <w:spacing w:val="-2"/>
          <w:sz w:val="20"/>
        </w:rPr>
        <w:t> </w:t>
      </w:r>
      <w:r>
        <w:rPr>
          <w:i/>
          <w:sz w:val="20"/>
        </w:rPr>
        <w:t>scrofa</w:t>
      </w:r>
      <w:r>
        <w:rPr>
          <w:sz w:val="20"/>
        </w:rPr>
        <w:t>)</w:t>
      </w:r>
      <w:r>
        <w:rPr>
          <w:spacing w:val="-2"/>
          <w:sz w:val="20"/>
        </w:rPr>
        <w:t> </w:t>
      </w:r>
      <w:r>
        <w:rPr>
          <w:sz w:val="20"/>
        </w:rPr>
        <w:t>and</w:t>
      </w:r>
      <w:r>
        <w:rPr>
          <w:spacing w:val="-1"/>
          <w:sz w:val="20"/>
        </w:rPr>
        <w:t> </w:t>
      </w:r>
      <w:r>
        <w:rPr>
          <w:sz w:val="20"/>
        </w:rPr>
        <w:t>red deer (</w:t>
      </w:r>
      <w:r>
        <w:rPr>
          <w:i/>
          <w:sz w:val="20"/>
        </w:rPr>
        <w:t>Cervus elaphus</w:t>
      </w:r>
      <w:r>
        <w:rPr>
          <w:sz w:val="20"/>
        </w:rPr>
        <w:t>). </w:t>
      </w:r>
      <w:r>
        <w:rPr>
          <w:i/>
          <w:sz w:val="20"/>
        </w:rPr>
        <w:t>European Journal of Wildlife Research </w:t>
      </w:r>
      <w:r>
        <w:rPr>
          <w:b/>
          <w:sz w:val="20"/>
        </w:rPr>
        <w:t>54</w:t>
      </w:r>
      <w:r>
        <w:rPr>
          <w:sz w:val="20"/>
        </w:rPr>
        <w:t>(2):231–35. doi: 10.1007/s10344- </w:t>
      </w:r>
      <w:r>
        <w:rPr>
          <w:spacing w:val="-2"/>
          <w:sz w:val="20"/>
        </w:rPr>
        <w:t>007-0134-y.</w:t>
      </w:r>
    </w:p>
    <w:p>
      <w:pPr>
        <w:pStyle w:val="BodyText"/>
        <w:spacing w:before="11"/>
      </w:pPr>
    </w:p>
    <w:p>
      <w:pPr>
        <w:pStyle w:val="BodyText"/>
        <w:spacing w:before="1"/>
        <w:ind w:left="833" w:right="163" w:hanging="721"/>
      </w:pPr>
      <w:r>
        <w:rPr/>
        <w:t>Doherty,</w:t>
      </w:r>
      <w:r>
        <w:rPr>
          <w:spacing w:val="-1"/>
        </w:rPr>
        <w:t> </w:t>
      </w:r>
      <w:r>
        <w:rPr/>
        <w:t>T.S.,</w:t>
      </w:r>
      <w:r>
        <w:rPr>
          <w:spacing w:val="-1"/>
        </w:rPr>
        <w:t> </w:t>
      </w:r>
      <w:r>
        <w:rPr/>
        <w:t>Hays,</w:t>
      </w:r>
      <w:r>
        <w:rPr>
          <w:spacing w:val="-1"/>
        </w:rPr>
        <w:t> </w:t>
      </w:r>
      <w:r>
        <w:rPr/>
        <w:t>G.C., and</w:t>
      </w:r>
      <w:r>
        <w:rPr>
          <w:spacing w:val="-1"/>
        </w:rPr>
        <w:t> </w:t>
      </w:r>
      <w:r>
        <w:rPr/>
        <w:t>Driscoll,</w:t>
      </w:r>
      <w:r>
        <w:rPr>
          <w:spacing w:val="-1"/>
        </w:rPr>
        <w:t> </w:t>
      </w:r>
      <w:r>
        <w:rPr/>
        <w:t>D.A.</w:t>
      </w:r>
      <w:r>
        <w:rPr>
          <w:spacing w:val="-1"/>
        </w:rPr>
        <w:t> </w:t>
      </w:r>
      <w:r>
        <w:rPr/>
        <w:t>(2021).</w:t>
      </w:r>
      <w:r>
        <w:rPr>
          <w:spacing w:val="-1"/>
        </w:rPr>
        <w:t> </w:t>
      </w:r>
      <w:r>
        <w:rPr/>
        <w:t>Human disturbance causes widespread disruption</w:t>
      </w:r>
      <w:r>
        <w:rPr>
          <w:spacing w:val="-1"/>
        </w:rPr>
        <w:t> </w:t>
      </w:r>
      <w:r>
        <w:rPr/>
        <w:t>of animal</w:t>
      </w:r>
      <w:r>
        <w:rPr>
          <w:spacing w:val="-7"/>
        </w:rPr>
        <w:t> </w:t>
      </w:r>
      <w:r>
        <w:rPr/>
        <w:t>movement.</w:t>
      </w:r>
      <w:r>
        <w:rPr>
          <w:spacing w:val="-6"/>
        </w:rPr>
        <w:t> </w:t>
      </w:r>
      <w:r>
        <w:rPr>
          <w:i/>
        </w:rPr>
        <w:t>Nature</w:t>
      </w:r>
      <w:r>
        <w:rPr>
          <w:i/>
          <w:spacing w:val="-4"/>
        </w:rPr>
        <w:t> </w:t>
      </w:r>
      <w:r>
        <w:rPr>
          <w:i/>
        </w:rPr>
        <w:t>Ecology</w:t>
      </w:r>
      <w:r>
        <w:rPr>
          <w:i/>
          <w:spacing w:val="-5"/>
        </w:rPr>
        <w:t> </w:t>
      </w:r>
      <w:r>
        <w:rPr>
          <w:i/>
        </w:rPr>
        <w:t>and</w:t>
      </w:r>
      <w:r>
        <w:rPr>
          <w:i/>
          <w:spacing w:val="-6"/>
        </w:rPr>
        <w:t> </w:t>
      </w:r>
      <w:r>
        <w:rPr>
          <w:i/>
        </w:rPr>
        <w:t>Evolution</w:t>
      </w:r>
      <w:r>
        <w:rPr>
          <w:i/>
          <w:spacing w:val="-3"/>
        </w:rPr>
        <w:t> </w:t>
      </w:r>
      <w:r>
        <w:rPr>
          <w:b/>
        </w:rPr>
        <w:t>5</w:t>
      </w:r>
      <w:r>
        <w:rPr/>
        <w:t>(4):513–19.</w:t>
      </w:r>
      <w:r>
        <w:rPr>
          <w:spacing w:val="-4"/>
        </w:rPr>
        <w:t> </w:t>
      </w:r>
      <w:r>
        <w:rPr/>
        <w:t>doi:</w:t>
      </w:r>
      <w:r>
        <w:rPr>
          <w:spacing w:val="-6"/>
        </w:rPr>
        <w:t> </w:t>
      </w:r>
      <w:r>
        <w:rPr/>
        <w:t>10.1038/s41559-020-01380-1.</w:t>
      </w:r>
    </w:p>
    <w:p>
      <w:pPr>
        <w:pStyle w:val="BodyText"/>
        <w:spacing w:before="8"/>
      </w:pPr>
    </w:p>
    <w:p>
      <w:pPr>
        <w:pStyle w:val="BodyText"/>
        <w:ind w:left="833" w:right="163" w:hanging="721"/>
      </w:pPr>
      <w:r>
        <w:rPr/>
        <w:t>Doupé,</w:t>
      </w:r>
      <w:r>
        <w:rPr>
          <w:spacing w:val="-4"/>
        </w:rPr>
        <w:t> </w:t>
      </w:r>
      <w:r>
        <w:rPr/>
        <w:t>R.G.,</w:t>
      </w:r>
      <w:r>
        <w:rPr>
          <w:spacing w:val="-2"/>
        </w:rPr>
        <w:t> </w:t>
      </w:r>
      <w:r>
        <w:rPr/>
        <w:t>Mitchell,</w:t>
      </w:r>
      <w:r>
        <w:rPr>
          <w:spacing w:val="-4"/>
        </w:rPr>
        <w:t> </w:t>
      </w:r>
      <w:r>
        <w:rPr/>
        <w:t>J.,</w:t>
      </w:r>
      <w:r>
        <w:rPr>
          <w:spacing w:val="-2"/>
        </w:rPr>
        <w:t> </w:t>
      </w:r>
      <w:r>
        <w:rPr/>
        <w:t>Knott,</w:t>
      </w:r>
      <w:r>
        <w:rPr>
          <w:spacing w:val="-2"/>
        </w:rPr>
        <w:t> </w:t>
      </w:r>
      <w:r>
        <w:rPr/>
        <w:t>M.J.,</w:t>
      </w:r>
      <w:r>
        <w:rPr>
          <w:spacing w:val="-4"/>
        </w:rPr>
        <w:t> </w:t>
      </w:r>
      <w:r>
        <w:rPr/>
        <w:t>Davis,</w:t>
      </w:r>
      <w:r>
        <w:rPr>
          <w:spacing w:val="-4"/>
        </w:rPr>
        <w:t> </w:t>
      </w:r>
      <w:r>
        <w:rPr/>
        <w:t>A.M.,</w:t>
      </w:r>
      <w:r>
        <w:rPr>
          <w:spacing w:val="-2"/>
        </w:rPr>
        <w:t> </w:t>
      </w:r>
      <w:r>
        <w:rPr/>
        <w:t>and</w:t>
      </w:r>
      <w:r>
        <w:rPr>
          <w:spacing w:val="-2"/>
        </w:rPr>
        <w:t> </w:t>
      </w:r>
      <w:r>
        <w:rPr/>
        <w:t>Lymbery, A.J.</w:t>
      </w:r>
      <w:r>
        <w:rPr>
          <w:spacing w:val="-4"/>
        </w:rPr>
        <w:t> </w:t>
      </w:r>
      <w:r>
        <w:rPr/>
        <w:t>(2010).</w:t>
      </w:r>
      <w:r>
        <w:rPr>
          <w:spacing w:val="-2"/>
        </w:rPr>
        <w:t> </w:t>
      </w:r>
      <w:r>
        <w:rPr/>
        <w:t>Efficacy</w:t>
      </w:r>
      <w:r>
        <w:rPr>
          <w:spacing w:val="-3"/>
        </w:rPr>
        <w:t> </w:t>
      </w:r>
      <w:r>
        <w:rPr/>
        <w:t>of</w:t>
      </w:r>
      <w:r>
        <w:rPr>
          <w:spacing w:val="-4"/>
        </w:rPr>
        <w:t> </w:t>
      </w:r>
      <w:r>
        <w:rPr/>
        <w:t>exclusion</w:t>
      </w:r>
      <w:r>
        <w:rPr>
          <w:spacing w:val="-5"/>
        </w:rPr>
        <w:t> </w:t>
      </w:r>
      <w:r>
        <w:rPr/>
        <w:t>fencing</w:t>
      </w:r>
      <w:r>
        <w:rPr>
          <w:spacing w:val="-4"/>
        </w:rPr>
        <w:t> </w:t>
      </w:r>
      <w:r>
        <w:rPr/>
        <w:t>to protect ephemeral floodplain lagoon habitats from feral pigs (</w:t>
      </w:r>
      <w:r>
        <w:rPr>
          <w:i/>
        </w:rPr>
        <w:t>Sus scrofa</w:t>
      </w:r>
      <w:r>
        <w:rPr/>
        <w:t>). </w:t>
      </w:r>
      <w:r>
        <w:rPr>
          <w:i/>
        </w:rPr>
        <w:t>Wetlands Ecology and</w:t>
      </w:r>
      <w:r>
        <w:rPr>
          <w:i/>
        </w:rPr>
        <w:t> Management </w:t>
      </w:r>
      <w:r>
        <w:rPr>
          <w:b/>
        </w:rPr>
        <w:t>18</w:t>
      </w:r>
      <w:r>
        <w:rPr/>
        <w:t>(1):69–78. doi: 10.1007/s11273-009-9149-3.</w:t>
      </w:r>
    </w:p>
    <w:p>
      <w:pPr>
        <w:pStyle w:val="BodyText"/>
        <w:spacing w:before="12"/>
      </w:pPr>
    </w:p>
    <w:p>
      <w:pPr>
        <w:pStyle w:val="BodyText"/>
        <w:ind w:left="833" w:right="544" w:hanging="721"/>
      </w:pPr>
      <w:r>
        <w:rPr/>
        <w:t>Dowling,</w:t>
      </w:r>
      <w:r>
        <w:rPr>
          <w:spacing w:val="-4"/>
        </w:rPr>
        <w:t> </w:t>
      </w:r>
      <w:r>
        <w:rPr/>
        <w:t>J.M.,</w:t>
      </w:r>
      <w:r>
        <w:rPr>
          <w:spacing w:val="-2"/>
        </w:rPr>
        <w:t> </w:t>
      </w:r>
      <w:r>
        <w:rPr/>
        <w:t>Bower,</w:t>
      </w:r>
      <w:r>
        <w:rPr>
          <w:spacing w:val="-4"/>
        </w:rPr>
        <w:t> </w:t>
      </w:r>
      <w:r>
        <w:rPr/>
        <w:t>D.S.,</w:t>
      </w:r>
      <w:r>
        <w:rPr>
          <w:spacing w:val="-2"/>
        </w:rPr>
        <w:t> </w:t>
      </w:r>
      <w:r>
        <w:rPr/>
        <w:t>Boscarino</w:t>
      </w:r>
      <w:r>
        <w:rPr>
          <w:rFonts w:ascii="Cambria Math" w:hAnsi="Cambria Math"/>
        </w:rPr>
        <w:t>‐</w:t>
      </w:r>
      <w:r>
        <w:rPr/>
        <w:t>Gaetano,</w:t>
      </w:r>
      <w:r>
        <w:rPr>
          <w:spacing w:val="-2"/>
        </w:rPr>
        <w:t> </w:t>
      </w:r>
      <w:r>
        <w:rPr/>
        <w:t>R.,</w:t>
      </w:r>
      <w:r>
        <w:rPr>
          <w:spacing w:val="-4"/>
        </w:rPr>
        <w:t> </w:t>
      </w:r>
      <w:r>
        <w:rPr/>
        <w:t>and</w:t>
      </w:r>
      <w:r>
        <w:rPr>
          <w:spacing w:val="-4"/>
        </w:rPr>
        <w:t> </w:t>
      </w:r>
      <w:r>
        <w:rPr/>
        <w:t>Nordberg,</w:t>
      </w:r>
      <w:r>
        <w:rPr>
          <w:spacing w:val="-2"/>
        </w:rPr>
        <w:t> </w:t>
      </w:r>
      <w:r>
        <w:rPr/>
        <w:t>E.J.</w:t>
      </w:r>
      <w:r>
        <w:rPr>
          <w:spacing w:val="-4"/>
        </w:rPr>
        <w:t> </w:t>
      </w:r>
      <w:r>
        <w:rPr/>
        <w:t>(2024).</w:t>
      </w:r>
      <w:r>
        <w:rPr>
          <w:spacing w:val="-4"/>
        </w:rPr>
        <w:t> </w:t>
      </w:r>
      <w:r>
        <w:rPr/>
        <w:t>The</w:t>
      </w:r>
      <w:r>
        <w:rPr>
          <w:spacing w:val="-4"/>
        </w:rPr>
        <w:t> </w:t>
      </w:r>
      <w:r>
        <w:rPr/>
        <w:t>influence</w:t>
      </w:r>
      <w:r>
        <w:rPr>
          <w:spacing w:val="-2"/>
        </w:rPr>
        <w:t> </w:t>
      </w:r>
      <w:r>
        <w:rPr/>
        <w:t>of</w:t>
      </w:r>
      <w:r>
        <w:rPr>
          <w:spacing w:val="-4"/>
        </w:rPr>
        <w:t> </w:t>
      </w:r>
      <w:r>
        <w:rPr/>
        <w:t>fence design on the movement patterns of eastern long</w:t>
      </w:r>
      <w:r>
        <w:rPr>
          <w:rFonts w:ascii="Cambria Math" w:hAnsi="Cambria Math"/>
        </w:rPr>
        <w:t>‐</w:t>
      </w:r>
      <w:r>
        <w:rPr/>
        <w:t>necked turtles. </w:t>
      </w:r>
      <w:r>
        <w:rPr>
          <w:i/>
        </w:rPr>
        <w:t>The Journal of Wildlife</w:t>
      </w:r>
      <w:r>
        <w:rPr>
          <w:i/>
        </w:rPr>
        <w:t> Management </w:t>
      </w:r>
      <w:r>
        <w:rPr>
          <w:b/>
        </w:rPr>
        <w:t>88</w:t>
      </w:r>
      <w:r>
        <w:rPr/>
        <w:t>(8):e22654. doi: 10.1002/jwmg.22654.</w:t>
      </w:r>
    </w:p>
    <w:p>
      <w:pPr>
        <w:pStyle w:val="BodyText"/>
        <w:spacing w:before="9"/>
      </w:pPr>
    </w:p>
    <w:p>
      <w:pPr>
        <w:pStyle w:val="BodyText"/>
        <w:ind w:left="833" w:right="163" w:hanging="721"/>
      </w:pPr>
      <w:r>
        <w:rPr/>
        <w:t>Drufke,</w:t>
      </w:r>
      <w:r>
        <w:rPr>
          <w:spacing w:val="-3"/>
        </w:rPr>
        <w:t> </w:t>
      </w:r>
      <w:r>
        <w:rPr/>
        <w:t>N.K.</w:t>
      </w:r>
      <w:r>
        <w:rPr>
          <w:spacing w:val="-3"/>
        </w:rPr>
        <w:t> </w:t>
      </w:r>
      <w:r>
        <w:rPr/>
        <w:t>(2000).</w:t>
      </w:r>
      <w:r>
        <w:rPr>
          <w:spacing w:val="-1"/>
        </w:rPr>
        <w:t> </w:t>
      </w:r>
      <w:r>
        <w:rPr/>
        <w:t>‘The</w:t>
      </w:r>
      <w:r>
        <w:rPr>
          <w:spacing w:val="-2"/>
        </w:rPr>
        <w:t> </w:t>
      </w:r>
      <w:r>
        <w:rPr/>
        <w:t>use</w:t>
      </w:r>
      <w:r>
        <w:rPr>
          <w:spacing w:val="-3"/>
        </w:rPr>
        <w:t> </w:t>
      </w:r>
      <w:r>
        <w:rPr/>
        <w:t>of</w:t>
      </w:r>
      <w:r>
        <w:rPr>
          <w:spacing w:val="-3"/>
        </w:rPr>
        <w:t> </w:t>
      </w:r>
      <w:r>
        <w:rPr/>
        <w:t>llamas</w:t>
      </w:r>
      <w:r>
        <w:rPr>
          <w:spacing w:val="-2"/>
        </w:rPr>
        <w:t> </w:t>
      </w:r>
      <w:r>
        <w:rPr/>
        <w:t>to</w:t>
      </w:r>
      <w:r>
        <w:rPr>
          <w:spacing w:val="-2"/>
        </w:rPr>
        <w:t> </w:t>
      </w:r>
      <w:r>
        <w:rPr/>
        <w:t>protect</w:t>
      </w:r>
      <w:r>
        <w:rPr>
          <w:spacing w:val="-1"/>
        </w:rPr>
        <w:t> </w:t>
      </w:r>
      <w:r>
        <w:rPr/>
        <w:t>goats,</w:t>
      </w:r>
      <w:r>
        <w:rPr>
          <w:spacing w:val="-3"/>
        </w:rPr>
        <w:t> </w:t>
      </w:r>
      <w:r>
        <w:rPr/>
        <w:t>cattle,</w:t>
      </w:r>
      <w:r>
        <w:rPr>
          <w:spacing w:val="-1"/>
        </w:rPr>
        <w:t> </w:t>
      </w:r>
      <w:r>
        <w:rPr/>
        <w:t>and</w:t>
      </w:r>
      <w:r>
        <w:rPr>
          <w:spacing w:val="-3"/>
        </w:rPr>
        <w:t> </w:t>
      </w:r>
      <w:r>
        <w:rPr/>
        <w:t>poultry</w:t>
      </w:r>
      <w:r>
        <w:rPr>
          <w:spacing w:val="-2"/>
        </w:rPr>
        <w:t> </w:t>
      </w:r>
      <w:r>
        <w:rPr/>
        <w:t>from</w:t>
      </w:r>
      <w:r>
        <w:rPr>
          <w:spacing w:val="-3"/>
        </w:rPr>
        <w:t> </w:t>
      </w:r>
      <w:r>
        <w:rPr/>
        <w:t>canid</w:t>
      </w:r>
      <w:r>
        <w:rPr>
          <w:spacing w:val="-2"/>
        </w:rPr>
        <w:t> </w:t>
      </w:r>
      <w:r>
        <w:rPr/>
        <w:t>predators.</w:t>
      </w:r>
      <w:r>
        <w:rPr>
          <w:spacing w:val="-1"/>
        </w:rPr>
        <w:t> </w:t>
      </w:r>
      <w:r>
        <w:rPr/>
        <w:t>Master</w:t>
      </w:r>
      <w:r>
        <w:rPr>
          <w:spacing w:val="-3"/>
        </w:rPr>
        <w:t> </w:t>
      </w:r>
      <w:r>
        <w:rPr/>
        <w:t>of Science, Iowa State University.</w:t>
      </w:r>
    </w:p>
    <w:p>
      <w:pPr>
        <w:pStyle w:val="BodyText"/>
        <w:spacing w:before="11"/>
      </w:pPr>
    </w:p>
    <w:p>
      <w:pPr>
        <w:pStyle w:val="BodyText"/>
        <w:ind w:left="833" w:right="232" w:hanging="721"/>
      </w:pPr>
      <w:r>
        <w:rPr/>
        <w:t>Dumbrell,</w:t>
      </w:r>
      <w:r>
        <w:rPr>
          <w:spacing w:val="-4"/>
        </w:rPr>
        <w:t> </w:t>
      </w:r>
      <w:r>
        <w:rPr/>
        <w:t>N.P.,</w:t>
      </w:r>
      <w:r>
        <w:rPr>
          <w:spacing w:val="-2"/>
        </w:rPr>
        <w:t> </w:t>
      </w:r>
      <w:r>
        <w:rPr/>
        <w:t>Adamson, D.,</w:t>
      </w:r>
      <w:r>
        <w:rPr>
          <w:spacing w:val="-4"/>
        </w:rPr>
        <w:t> </w:t>
      </w:r>
      <w:r>
        <w:rPr/>
        <w:t>and</w:t>
      </w:r>
      <w:r>
        <w:rPr>
          <w:spacing w:val="-2"/>
        </w:rPr>
        <w:t> </w:t>
      </w:r>
      <w:r>
        <w:rPr/>
        <w:t>Wheeler,</w:t>
      </w:r>
      <w:r>
        <w:rPr>
          <w:spacing w:val="-1"/>
        </w:rPr>
        <w:t> </w:t>
      </w:r>
      <w:r>
        <w:rPr/>
        <w:t>S.A.</w:t>
      </w:r>
      <w:r>
        <w:rPr>
          <w:spacing w:val="-4"/>
        </w:rPr>
        <w:t> </w:t>
      </w:r>
      <w:r>
        <w:rPr/>
        <w:t>(2020).</w:t>
      </w:r>
      <w:r>
        <w:rPr>
          <w:spacing w:val="-4"/>
        </w:rPr>
        <w:t> </w:t>
      </w:r>
      <w:r>
        <w:rPr/>
        <w:t>Is</w:t>
      </w:r>
      <w:r>
        <w:rPr>
          <w:spacing w:val="-3"/>
        </w:rPr>
        <w:t> </w:t>
      </w:r>
      <w:r>
        <w:rPr/>
        <w:t>social</w:t>
      </w:r>
      <w:r>
        <w:rPr>
          <w:spacing w:val="-3"/>
        </w:rPr>
        <w:t> </w:t>
      </w:r>
      <w:r>
        <w:rPr/>
        <w:t>licence</w:t>
      </w:r>
      <w:r>
        <w:rPr>
          <w:spacing w:val="-2"/>
        </w:rPr>
        <w:t> </w:t>
      </w:r>
      <w:r>
        <w:rPr/>
        <w:t>a</w:t>
      </w:r>
      <w:r>
        <w:rPr>
          <w:spacing w:val="-4"/>
        </w:rPr>
        <w:t> </w:t>
      </w:r>
      <w:r>
        <w:rPr/>
        <w:t>response</w:t>
      </w:r>
      <w:r>
        <w:rPr>
          <w:spacing w:val="-4"/>
        </w:rPr>
        <w:t> </w:t>
      </w:r>
      <w:r>
        <w:rPr/>
        <w:t>to</w:t>
      </w:r>
      <w:r>
        <w:rPr>
          <w:spacing w:val="-2"/>
        </w:rPr>
        <w:t> </w:t>
      </w:r>
      <w:r>
        <w:rPr/>
        <w:t>government</w:t>
      </w:r>
      <w:r>
        <w:rPr>
          <w:spacing w:val="-2"/>
        </w:rPr>
        <w:t> </w:t>
      </w:r>
      <w:r>
        <w:rPr/>
        <w:t>and market failures? evidence from the literature. </w:t>
      </w:r>
      <w:r>
        <w:rPr>
          <w:i/>
        </w:rPr>
        <w:t>Resources Policy </w:t>
      </w:r>
      <w:r>
        <w:rPr>
          <w:b/>
        </w:rPr>
        <w:t>69</w:t>
      </w:r>
      <w:r>
        <w:rPr/>
        <w:t>:101827.</w:t>
      </w:r>
    </w:p>
    <w:p>
      <w:pPr>
        <w:pStyle w:val="BodyText"/>
        <w:spacing w:before="8"/>
      </w:pPr>
    </w:p>
    <w:p>
      <w:pPr>
        <w:pStyle w:val="BodyText"/>
        <w:spacing w:before="1"/>
        <w:ind w:left="833" w:right="232" w:hanging="721"/>
      </w:pPr>
      <w:r>
        <w:rPr/>
        <w:t>Dumbrell,</w:t>
      </w:r>
      <w:r>
        <w:rPr>
          <w:spacing w:val="-4"/>
        </w:rPr>
        <w:t> </w:t>
      </w:r>
      <w:r>
        <w:rPr/>
        <w:t>N.P.,</w:t>
      </w:r>
      <w:r>
        <w:rPr>
          <w:spacing w:val="-2"/>
        </w:rPr>
        <w:t> </w:t>
      </w:r>
      <w:r>
        <w:rPr/>
        <w:t>Adamson, D.,</w:t>
      </w:r>
      <w:r>
        <w:rPr>
          <w:spacing w:val="-4"/>
        </w:rPr>
        <w:t> </w:t>
      </w:r>
      <w:r>
        <w:rPr/>
        <w:t>Zuo,</w:t>
      </w:r>
      <w:r>
        <w:rPr>
          <w:spacing w:val="-2"/>
        </w:rPr>
        <w:t> </w:t>
      </w:r>
      <w:r>
        <w:rPr/>
        <w:t>A.,</w:t>
      </w:r>
      <w:r>
        <w:rPr>
          <w:spacing w:val="-2"/>
        </w:rPr>
        <w:t> </w:t>
      </w:r>
      <w:r>
        <w:rPr/>
        <w:t>and</w:t>
      </w:r>
      <w:r>
        <w:rPr>
          <w:spacing w:val="-4"/>
        </w:rPr>
        <w:t> </w:t>
      </w:r>
      <w:r>
        <w:rPr/>
        <w:t>Wheeler,</w:t>
      </w:r>
      <w:r>
        <w:rPr>
          <w:spacing w:val="-1"/>
        </w:rPr>
        <w:t> </w:t>
      </w:r>
      <w:r>
        <w:rPr/>
        <w:t>S.A.</w:t>
      </w:r>
      <w:r>
        <w:rPr>
          <w:spacing w:val="-4"/>
        </w:rPr>
        <w:t> </w:t>
      </w:r>
      <w:r>
        <w:rPr/>
        <w:t>(2021).</w:t>
      </w:r>
      <w:r>
        <w:rPr>
          <w:spacing w:val="-4"/>
        </w:rPr>
        <w:t> </w:t>
      </w:r>
      <w:r>
        <w:rPr/>
        <w:t>How</w:t>
      </w:r>
      <w:r>
        <w:rPr>
          <w:spacing w:val="-4"/>
        </w:rPr>
        <w:t> </w:t>
      </w:r>
      <w:r>
        <w:rPr/>
        <w:t>do</w:t>
      </w:r>
      <w:r>
        <w:rPr>
          <w:spacing w:val="-4"/>
        </w:rPr>
        <w:t> </w:t>
      </w:r>
      <w:r>
        <w:rPr/>
        <w:t>natural</w:t>
      </w:r>
      <w:r>
        <w:rPr>
          <w:spacing w:val="-3"/>
        </w:rPr>
        <w:t> </w:t>
      </w:r>
      <w:r>
        <w:rPr/>
        <w:t>resource</w:t>
      </w:r>
      <w:r>
        <w:rPr>
          <w:spacing w:val="-4"/>
        </w:rPr>
        <w:t> </w:t>
      </w:r>
      <w:r>
        <w:rPr/>
        <w:t>dependent</w:t>
      </w:r>
      <w:r>
        <w:rPr>
          <w:spacing w:val="-2"/>
        </w:rPr>
        <w:t> </w:t>
      </w:r>
      <w:r>
        <w:rPr/>
        <w:t>firms gain and lose a social licence? </w:t>
      </w:r>
      <w:r>
        <w:rPr>
          <w:i/>
        </w:rPr>
        <w:t>Global Environmental Change </w:t>
      </w:r>
      <w:r>
        <w:rPr>
          <w:b/>
        </w:rPr>
        <w:t>70</w:t>
      </w:r>
      <w:r>
        <w:rPr/>
        <w:t>:102355. doi: </w:t>
      </w:r>
      <w:r>
        <w:rPr>
          <w:spacing w:val="-2"/>
        </w:rPr>
        <w:t>10.1016/j.gloenvcha.2021.102355.</w:t>
      </w:r>
    </w:p>
    <w:p>
      <w:pPr>
        <w:pStyle w:val="BodyText"/>
        <w:spacing w:before="11"/>
      </w:pPr>
    </w:p>
    <w:p>
      <w:pPr>
        <w:pStyle w:val="BodyText"/>
        <w:ind w:left="833" w:right="163" w:hanging="721"/>
      </w:pPr>
      <w:r>
        <w:rPr/>
        <w:t>Eason, C.T., Miller, A., MacMorran, D.B., and Murphy, E.C. (2014). Toxicology and ecotoxicology of para- aminopropiophenone</w:t>
      </w:r>
      <w:r>
        <w:rPr>
          <w:spacing w:val="-5"/>
        </w:rPr>
        <w:t> </w:t>
      </w:r>
      <w:r>
        <w:rPr/>
        <w:t>(PAPP)</w:t>
      </w:r>
      <w:r>
        <w:rPr>
          <w:spacing w:val="-3"/>
        </w:rPr>
        <w:t> </w:t>
      </w:r>
      <w:r>
        <w:rPr/>
        <w:t>–</w:t>
      </w:r>
      <w:r>
        <w:rPr>
          <w:spacing w:val="-4"/>
        </w:rPr>
        <w:t> </w:t>
      </w:r>
      <w:r>
        <w:rPr/>
        <w:t>a</w:t>
      </w:r>
      <w:r>
        <w:rPr>
          <w:spacing w:val="-2"/>
        </w:rPr>
        <w:t> </w:t>
      </w:r>
      <w:r>
        <w:rPr/>
        <w:t>new</w:t>
      </w:r>
      <w:r>
        <w:rPr>
          <w:spacing w:val="-1"/>
        </w:rPr>
        <w:t> </w:t>
      </w:r>
      <w:r>
        <w:rPr/>
        <w:t>predator</w:t>
      </w:r>
      <w:r>
        <w:rPr>
          <w:spacing w:val="-3"/>
        </w:rPr>
        <w:t> </w:t>
      </w:r>
      <w:r>
        <w:rPr/>
        <w:t>control</w:t>
      </w:r>
      <w:r>
        <w:rPr>
          <w:spacing w:val="-3"/>
        </w:rPr>
        <w:t> </w:t>
      </w:r>
      <w:r>
        <w:rPr/>
        <w:t>tool</w:t>
      </w:r>
      <w:r>
        <w:rPr>
          <w:spacing w:val="-5"/>
        </w:rPr>
        <w:t> </w:t>
      </w:r>
      <w:r>
        <w:rPr/>
        <w:t>for</w:t>
      </w:r>
      <w:r>
        <w:rPr>
          <w:spacing w:val="-3"/>
        </w:rPr>
        <w:t> </w:t>
      </w:r>
      <w:r>
        <w:rPr/>
        <w:t>stoats</w:t>
      </w:r>
      <w:r>
        <w:rPr>
          <w:spacing w:val="-3"/>
        </w:rPr>
        <w:t> </w:t>
      </w:r>
      <w:r>
        <w:rPr/>
        <w:t>and</w:t>
      </w:r>
      <w:r>
        <w:rPr>
          <w:spacing w:val="-4"/>
        </w:rPr>
        <w:t> </w:t>
      </w:r>
      <w:r>
        <w:rPr/>
        <w:t>feral</w:t>
      </w:r>
      <w:r>
        <w:rPr>
          <w:spacing w:val="-5"/>
        </w:rPr>
        <w:t> </w:t>
      </w:r>
      <w:r>
        <w:rPr/>
        <w:t>cats</w:t>
      </w:r>
      <w:r>
        <w:rPr>
          <w:spacing w:val="-3"/>
        </w:rPr>
        <w:t> </w:t>
      </w:r>
      <w:r>
        <w:rPr/>
        <w:t>in New</w:t>
      </w:r>
      <w:r>
        <w:rPr>
          <w:spacing w:val="-3"/>
        </w:rPr>
        <w:t> </w:t>
      </w:r>
      <w:r>
        <w:rPr/>
        <w:t>Zealand. </w:t>
      </w:r>
      <w:r>
        <w:rPr>
          <w:i/>
        </w:rPr>
        <w:t>New Zealand Journal of Ecology </w:t>
      </w:r>
      <w:r>
        <w:rPr>
          <w:b/>
        </w:rPr>
        <w:t>38</w:t>
      </w:r>
      <w:r>
        <w:rPr/>
        <w:t>(2).</w:t>
      </w:r>
    </w:p>
    <w:p>
      <w:pPr>
        <w:pStyle w:val="BodyText"/>
        <w:spacing w:before="9"/>
      </w:pPr>
    </w:p>
    <w:p>
      <w:pPr>
        <w:pStyle w:val="BodyText"/>
        <w:ind w:left="833" w:right="163" w:hanging="721"/>
      </w:pPr>
      <w:r>
        <w:rPr/>
        <w:t>Eason, C.T., Gooneratne, R., Wright, G.R., Pierce, R., and Frampton, C.M. (1993). The fate of sodium monofluoroacetate</w:t>
      </w:r>
      <w:r>
        <w:rPr>
          <w:spacing w:val="-5"/>
        </w:rPr>
        <w:t> </w:t>
      </w:r>
      <w:r>
        <w:rPr/>
        <w:t>(1080)</w:t>
      </w:r>
      <w:r>
        <w:rPr>
          <w:spacing w:val="-4"/>
        </w:rPr>
        <w:t> </w:t>
      </w:r>
      <w:r>
        <w:rPr/>
        <w:t>in</w:t>
      </w:r>
      <w:r>
        <w:rPr>
          <w:spacing w:val="-4"/>
        </w:rPr>
        <w:t> </w:t>
      </w:r>
      <w:r>
        <w:rPr/>
        <w:t>water,</w:t>
      </w:r>
      <w:r>
        <w:rPr>
          <w:spacing w:val="-4"/>
        </w:rPr>
        <w:t> </w:t>
      </w:r>
      <w:r>
        <w:rPr/>
        <w:t>mammals,</w:t>
      </w:r>
      <w:r>
        <w:rPr>
          <w:spacing w:val="-4"/>
        </w:rPr>
        <w:t> </w:t>
      </w:r>
      <w:r>
        <w:rPr/>
        <w:t>and</w:t>
      </w:r>
      <w:r>
        <w:rPr>
          <w:spacing w:val="-3"/>
        </w:rPr>
        <w:t> </w:t>
      </w:r>
      <w:r>
        <w:rPr/>
        <w:t>invertebrates.</w:t>
      </w:r>
      <w:r>
        <w:rPr>
          <w:spacing w:val="-4"/>
        </w:rPr>
        <w:t> </w:t>
      </w:r>
      <w:r>
        <w:rPr/>
        <w:t>Pp.</w:t>
      </w:r>
      <w:r>
        <w:rPr>
          <w:spacing w:val="-4"/>
        </w:rPr>
        <w:t> </w:t>
      </w:r>
      <w:r>
        <w:rPr/>
        <w:t>297–301</w:t>
      </w:r>
      <w:r>
        <w:rPr>
          <w:spacing w:val="-2"/>
        </w:rPr>
        <w:t> </w:t>
      </w:r>
      <w:r>
        <w:rPr/>
        <w:t>in.</w:t>
      </w:r>
      <w:r>
        <w:rPr>
          <w:spacing w:val="-2"/>
        </w:rPr>
        <w:t> </w:t>
      </w:r>
      <w:r>
        <w:rPr/>
        <w:t>Rotorua:</w:t>
      </w:r>
      <w:r>
        <w:rPr>
          <w:spacing w:val="-4"/>
        </w:rPr>
        <w:t> </w:t>
      </w:r>
      <w:r>
        <w:rPr/>
        <w:t>New Zealand Plant Protection Society.</w:t>
      </w:r>
    </w:p>
    <w:p>
      <w:pPr>
        <w:pStyle w:val="BodyText"/>
        <w:spacing w:before="11"/>
      </w:pPr>
    </w:p>
    <w:p>
      <w:pPr>
        <w:pStyle w:val="BodyText"/>
        <w:spacing w:before="1"/>
        <w:ind w:left="833" w:right="364" w:hanging="721"/>
      </w:pPr>
      <w:r>
        <w:rPr/>
        <w:t>Eason,</w:t>
      </w:r>
      <w:r>
        <w:rPr>
          <w:spacing w:val="-2"/>
        </w:rPr>
        <w:t> </w:t>
      </w:r>
      <w:r>
        <w:rPr/>
        <w:t>C.T.,</w:t>
      </w:r>
      <w:r>
        <w:rPr>
          <w:spacing w:val="-1"/>
        </w:rPr>
        <w:t> </w:t>
      </w:r>
      <w:r>
        <w:rPr/>
        <w:t>Ross,</w:t>
      </w:r>
      <w:r>
        <w:rPr>
          <w:spacing w:val="-4"/>
        </w:rPr>
        <w:t> </w:t>
      </w:r>
      <w:r>
        <w:rPr/>
        <w:t>J.,</w:t>
      </w:r>
      <w:r>
        <w:rPr>
          <w:spacing w:val="-4"/>
        </w:rPr>
        <w:t> </w:t>
      </w:r>
      <w:r>
        <w:rPr/>
        <w:t>and</w:t>
      </w:r>
      <w:r>
        <w:rPr>
          <w:spacing w:val="-2"/>
        </w:rPr>
        <w:t> </w:t>
      </w:r>
      <w:r>
        <w:rPr/>
        <w:t>Miller,</w:t>
      </w:r>
      <w:r>
        <w:rPr>
          <w:spacing w:val="-1"/>
        </w:rPr>
        <w:t> </w:t>
      </w:r>
      <w:r>
        <w:rPr/>
        <w:t>A.</w:t>
      </w:r>
      <w:r>
        <w:rPr>
          <w:spacing w:val="-4"/>
        </w:rPr>
        <w:t> </w:t>
      </w:r>
      <w:r>
        <w:rPr/>
        <w:t>(2012).</w:t>
      </w:r>
      <w:r>
        <w:rPr>
          <w:spacing w:val="-1"/>
        </w:rPr>
        <w:t> </w:t>
      </w:r>
      <w:r>
        <w:rPr/>
        <w:t>Secondary</w:t>
      </w:r>
      <w:r>
        <w:rPr>
          <w:spacing w:val="-3"/>
        </w:rPr>
        <w:t> </w:t>
      </w:r>
      <w:r>
        <w:rPr/>
        <w:t>poisoning</w:t>
      </w:r>
      <w:r>
        <w:rPr>
          <w:spacing w:val="-4"/>
        </w:rPr>
        <w:t> </w:t>
      </w:r>
      <w:r>
        <w:rPr/>
        <w:t>risks</w:t>
      </w:r>
      <w:r>
        <w:rPr>
          <w:spacing w:val="-3"/>
        </w:rPr>
        <w:t> </w:t>
      </w:r>
      <w:r>
        <w:rPr/>
        <w:t>from</w:t>
      </w:r>
      <w:r>
        <w:rPr>
          <w:spacing w:val="-4"/>
        </w:rPr>
        <w:t> </w:t>
      </w:r>
      <w:r>
        <w:rPr/>
        <w:t>1080-poisoned</w:t>
      </w:r>
      <w:r>
        <w:rPr>
          <w:spacing w:val="-5"/>
        </w:rPr>
        <w:t> </w:t>
      </w:r>
      <w:r>
        <w:rPr/>
        <w:t>carcasses</w:t>
      </w:r>
      <w:r>
        <w:rPr>
          <w:spacing w:val="-3"/>
        </w:rPr>
        <w:t> </w:t>
      </w:r>
      <w:r>
        <w:rPr/>
        <w:t>and risk of trophic transfer—a review. </w:t>
      </w:r>
      <w:r>
        <w:rPr>
          <w:i/>
        </w:rPr>
        <w:t>New Zealand Journal of Zoology </w:t>
      </w:r>
      <w:r>
        <w:rPr>
          <w:b/>
        </w:rPr>
        <w:t>40</w:t>
      </w:r>
      <w:r>
        <w:rPr/>
        <w:t>:217–25. doi: </w:t>
      </w:r>
      <w:r>
        <w:rPr>
          <w:spacing w:val="-2"/>
        </w:rPr>
        <w:t>10.1080/03014223.2012.740488.</w:t>
      </w:r>
    </w:p>
    <w:p>
      <w:pPr>
        <w:spacing w:after="0"/>
        <w:sectPr>
          <w:pgSz w:w="11910" w:h="16850"/>
          <w:pgMar w:header="0" w:footer="688" w:top="1060" w:bottom="880" w:left="1020" w:right="780"/>
        </w:sectPr>
      </w:pPr>
    </w:p>
    <w:p>
      <w:pPr>
        <w:pStyle w:val="BodyText"/>
        <w:spacing w:before="71"/>
        <w:ind w:left="833" w:right="544" w:hanging="721"/>
      </w:pPr>
      <w:r>
        <w:rPr/>
        <w:t>Edgar,</w:t>
      </w:r>
      <w:r>
        <w:rPr>
          <w:spacing w:val="-3"/>
        </w:rPr>
        <w:t> </w:t>
      </w:r>
      <w:r>
        <w:rPr/>
        <w:t>J.P.,</w:t>
      </w:r>
      <w:r>
        <w:rPr>
          <w:spacing w:val="-2"/>
        </w:rPr>
        <w:t> </w:t>
      </w:r>
      <w:r>
        <w:rPr/>
        <w:t>Appleby,</w:t>
      </w:r>
      <w:r>
        <w:rPr>
          <w:spacing w:val="-3"/>
        </w:rPr>
        <w:t> </w:t>
      </w:r>
      <w:r>
        <w:rPr/>
        <w:t>R.G.,</w:t>
      </w:r>
      <w:r>
        <w:rPr>
          <w:spacing w:val="-2"/>
        </w:rPr>
        <w:t> </w:t>
      </w:r>
      <w:r>
        <w:rPr/>
        <w:t>and</w:t>
      </w:r>
      <w:r>
        <w:rPr>
          <w:spacing w:val="-3"/>
        </w:rPr>
        <w:t> </w:t>
      </w:r>
      <w:r>
        <w:rPr/>
        <w:t>Jones,</w:t>
      </w:r>
      <w:r>
        <w:rPr>
          <w:spacing w:val="-4"/>
        </w:rPr>
        <w:t> </w:t>
      </w:r>
      <w:r>
        <w:rPr/>
        <w:t>D.N.</w:t>
      </w:r>
      <w:r>
        <w:rPr>
          <w:spacing w:val="-3"/>
        </w:rPr>
        <w:t> </w:t>
      </w:r>
      <w:r>
        <w:rPr/>
        <w:t>(2007).</w:t>
      </w:r>
      <w:r>
        <w:rPr>
          <w:spacing w:val="-2"/>
        </w:rPr>
        <w:t> </w:t>
      </w:r>
      <w:r>
        <w:rPr/>
        <w:t>Efficacy</w:t>
      </w:r>
      <w:r>
        <w:rPr>
          <w:spacing w:val="-3"/>
        </w:rPr>
        <w:t> </w:t>
      </w:r>
      <w:r>
        <w:rPr/>
        <w:t>of</w:t>
      </w:r>
      <w:r>
        <w:rPr>
          <w:spacing w:val="-3"/>
        </w:rPr>
        <w:t> </w:t>
      </w:r>
      <w:r>
        <w:rPr/>
        <w:t>an</w:t>
      </w:r>
      <w:r>
        <w:rPr>
          <w:spacing w:val="-4"/>
        </w:rPr>
        <w:t> </w:t>
      </w:r>
      <w:r>
        <w:rPr/>
        <w:t>ultrasonic</w:t>
      </w:r>
      <w:r>
        <w:rPr>
          <w:spacing w:val="-3"/>
        </w:rPr>
        <w:t> </w:t>
      </w:r>
      <w:r>
        <w:rPr/>
        <w:t>device</w:t>
      </w:r>
      <w:r>
        <w:rPr>
          <w:spacing w:val="-3"/>
        </w:rPr>
        <w:t> </w:t>
      </w:r>
      <w:r>
        <w:rPr/>
        <w:t>as</w:t>
      </w:r>
      <w:r>
        <w:rPr>
          <w:spacing w:val="-3"/>
        </w:rPr>
        <w:t> </w:t>
      </w:r>
      <w:r>
        <w:rPr/>
        <w:t>a</w:t>
      </w:r>
      <w:r>
        <w:rPr>
          <w:spacing w:val="-2"/>
        </w:rPr>
        <w:t> </w:t>
      </w:r>
      <w:r>
        <w:rPr/>
        <w:t>deterrent</w:t>
      </w:r>
      <w:r>
        <w:rPr>
          <w:spacing w:val="-3"/>
        </w:rPr>
        <w:t> </w:t>
      </w:r>
      <w:r>
        <w:rPr/>
        <w:t>to dingoes (</w:t>
      </w:r>
      <w:r>
        <w:rPr>
          <w:i/>
        </w:rPr>
        <w:t>Canis lupus</w:t>
      </w:r>
      <w:r>
        <w:rPr/>
        <w:t>): a preliminary investigation. </w:t>
      </w:r>
      <w:r>
        <w:rPr>
          <w:i/>
        </w:rPr>
        <w:t>Journal of Ethology </w:t>
      </w:r>
      <w:r>
        <w:rPr>
          <w:b/>
        </w:rPr>
        <w:t>25</w:t>
      </w:r>
      <w:r>
        <w:rPr/>
        <w:t>(2):209–2013.</w:t>
      </w:r>
    </w:p>
    <w:p>
      <w:pPr>
        <w:pStyle w:val="BodyText"/>
        <w:spacing w:before="11"/>
      </w:pPr>
    </w:p>
    <w:p>
      <w:pPr>
        <w:pStyle w:val="BodyText"/>
        <w:spacing w:before="1"/>
        <w:ind w:left="833" w:right="364" w:hanging="721"/>
      </w:pPr>
      <w:r>
        <w:rPr/>
        <w:t>van Eeden, L.M., Crowther, M.S., Dickman, C.R., Macdonald, D.W., Ripple, W.J., Ritchie, E.G., and Newsome,</w:t>
      </w:r>
      <w:r>
        <w:rPr>
          <w:spacing w:val="-5"/>
        </w:rPr>
        <w:t> </w:t>
      </w:r>
      <w:r>
        <w:rPr/>
        <w:t>T.M.</w:t>
      </w:r>
      <w:r>
        <w:rPr>
          <w:spacing w:val="-3"/>
        </w:rPr>
        <w:t> </w:t>
      </w:r>
      <w:r>
        <w:rPr/>
        <w:t>(2018).</w:t>
      </w:r>
      <w:r>
        <w:rPr>
          <w:spacing w:val="-5"/>
        </w:rPr>
        <w:t> </w:t>
      </w:r>
      <w:r>
        <w:rPr/>
        <w:t>Managing</w:t>
      </w:r>
      <w:r>
        <w:rPr>
          <w:spacing w:val="-6"/>
        </w:rPr>
        <w:t> </w:t>
      </w:r>
      <w:r>
        <w:rPr/>
        <w:t>conflict</w:t>
      </w:r>
      <w:r>
        <w:rPr>
          <w:spacing w:val="-5"/>
        </w:rPr>
        <w:t> </w:t>
      </w:r>
      <w:r>
        <w:rPr/>
        <w:t>between</w:t>
      </w:r>
      <w:r>
        <w:rPr>
          <w:spacing w:val="-4"/>
        </w:rPr>
        <w:t> </w:t>
      </w:r>
      <w:r>
        <w:rPr/>
        <w:t>large</w:t>
      </w:r>
      <w:r>
        <w:rPr>
          <w:spacing w:val="-6"/>
        </w:rPr>
        <w:t> </w:t>
      </w:r>
      <w:r>
        <w:rPr/>
        <w:t>carnivores</w:t>
      </w:r>
      <w:r>
        <w:rPr>
          <w:spacing w:val="-3"/>
        </w:rPr>
        <w:t> </w:t>
      </w:r>
      <w:r>
        <w:rPr/>
        <w:t>and</w:t>
      </w:r>
      <w:r>
        <w:rPr>
          <w:spacing w:val="-3"/>
        </w:rPr>
        <w:t> </w:t>
      </w:r>
      <w:r>
        <w:rPr/>
        <w:t>livestock. </w:t>
      </w:r>
      <w:r>
        <w:rPr>
          <w:i/>
        </w:rPr>
        <w:t>Conservation</w:t>
      </w:r>
      <w:r>
        <w:rPr>
          <w:i/>
        </w:rPr>
        <w:t> Biology </w:t>
      </w:r>
      <w:r>
        <w:rPr>
          <w:b/>
        </w:rPr>
        <w:t>32</w:t>
      </w:r>
      <w:r>
        <w:rPr/>
        <w:t>(1):26–34. doi: 10.1111/cobi.12959.</w:t>
      </w:r>
    </w:p>
    <w:p>
      <w:pPr>
        <w:pStyle w:val="BodyText"/>
        <w:spacing w:before="8"/>
      </w:pPr>
    </w:p>
    <w:p>
      <w:pPr>
        <w:pStyle w:val="BodyText"/>
        <w:ind w:left="833" w:right="163" w:hanging="721"/>
      </w:pPr>
      <w:r>
        <w:rPr/>
        <w:t>van Eeden, L.M., Eklund, A., Miller, J.R.B., López-Bao, J.V., Chapron, G., Cejtin, M.R., Crowther, M.S., Dickman, C.R., Frank, J., Krofel, M., Macdonald, D.W., McManus, J., Meyer, T.K., Middleton, A.D., Newsome,</w:t>
      </w:r>
      <w:r>
        <w:rPr>
          <w:spacing w:val="-4"/>
        </w:rPr>
        <w:t> </w:t>
      </w:r>
      <w:r>
        <w:rPr/>
        <w:t>T.M.,</w:t>
      </w:r>
      <w:r>
        <w:rPr>
          <w:spacing w:val="-4"/>
        </w:rPr>
        <w:t> </w:t>
      </w:r>
      <w:r>
        <w:rPr/>
        <w:t>Ripple,</w:t>
      </w:r>
      <w:r>
        <w:rPr>
          <w:spacing w:val="-2"/>
        </w:rPr>
        <w:t> </w:t>
      </w:r>
      <w:r>
        <w:rPr/>
        <w:t>W.J.,</w:t>
      </w:r>
      <w:r>
        <w:rPr>
          <w:spacing w:val="-4"/>
        </w:rPr>
        <w:t> </w:t>
      </w:r>
      <w:r>
        <w:rPr/>
        <w:t>Ritchie,</w:t>
      </w:r>
      <w:r>
        <w:rPr>
          <w:spacing w:val="-2"/>
        </w:rPr>
        <w:t> </w:t>
      </w:r>
      <w:r>
        <w:rPr/>
        <w:t>E.G.,</w:t>
      </w:r>
      <w:r>
        <w:rPr>
          <w:spacing w:val="-2"/>
        </w:rPr>
        <w:t> </w:t>
      </w:r>
      <w:r>
        <w:rPr/>
        <w:t>Schmitz,</w:t>
      </w:r>
      <w:r>
        <w:rPr>
          <w:spacing w:val="-2"/>
        </w:rPr>
        <w:t> </w:t>
      </w:r>
      <w:r>
        <w:rPr/>
        <w:t>O.J.,</w:t>
      </w:r>
      <w:r>
        <w:rPr>
          <w:spacing w:val="-4"/>
        </w:rPr>
        <w:t> </w:t>
      </w:r>
      <w:r>
        <w:rPr/>
        <w:t>Stoner,</w:t>
      </w:r>
      <w:r>
        <w:rPr>
          <w:spacing w:val="-2"/>
        </w:rPr>
        <w:t> </w:t>
      </w:r>
      <w:r>
        <w:rPr/>
        <w:t>K.J.,</w:t>
      </w:r>
      <w:r>
        <w:rPr>
          <w:spacing w:val="-4"/>
        </w:rPr>
        <w:t> </w:t>
      </w:r>
      <w:r>
        <w:rPr/>
        <w:t>Tourani,</w:t>
      </w:r>
      <w:r>
        <w:rPr>
          <w:spacing w:val="-2"/>
        </w:rPr>
        <w:t> </w:t>
      </w:r>
      <w:r>
        <w:rPr/>
        <w:t>M.,</w:t>
      </w:r>
      <w:r>
        <w:rPr>
          <w:spacing w:val="-4"/>
        </w:rPr>
        <w:t> </w:t>
      </w:r>
      <w:r>
        <w:rPr/>
        <w:t>and</w:t>
      </w:r>
      <w:r>
        <w:rPr>
          <w:spacing w:val="-5"/>
        </w:rPr>
        <w:t> </w:t>
      </w:r>
      <w:r>
        <w:rPr/>
        <w:t>Treves,</w:t>
      </w:r>
      <w:r>
        <w:rPr>
          <w:spacing w:val="-2"/>
        </w:rPr>
        <w:t> </w:t>
      </w:r>
      <w:r>
        <w:rPr/>
        <w:t>A. (2018). Carnivore conservation needs evidence-based livestock protection. </w:t>
      </w:r>
      <w:r>
        <w:rPr>
          <w:i/>
        </w:rPr>
        <w:t>PLOS Biology</w:t>
      </w:r>
      <w:r>
        <w:rPr>
          <w:i/>
        </w:rPr>
        <w:t> </w:t>
      </w:r>
      <w:r>
        <w:rPr>
          <w:b/>
        </w:rPr>
        <w:t>16</w:t>
      </w:r>
      <w:r>
        <w:rPr/>
        <w:t>(9):e2005577. doi: 10.1371/journal.pbio.2005577.</w:t>
      </w:r>
    </w:p>
    <w:p>
      <w:pPr>
        <w:pStyle w:val="BodyText"/>
        <w:spacing w:before="12"/>
      </w:pPr>
    </w:p>
    <w:p>
      <w:pPr>
        <w:pStyle w:val="BodyText"/>
        <w:spacing w:before="1"/>
        <w:ind w:left="833" w:right="163" w:hanging="721"/>
      </w:pPr>
      <w:r>
        <w:rPr/>
        <w:t>Eklund, A., López-Bao, J.V., Tourani, M., Chapron, G., and Frank, J. (2017). Limited evidence on the effectiveness</w:t>
      </w:r>
      <w:r>
        <w:rPr>
          <w:spacing w:val="-5"/>
        </w:rPr>
        <w:t> </w:t>
      </w:r>
      <w:r>
        <w:rPr/>
        <w:t>of</w:t>
      </w:r>
      <w:r>
        <w:rPr>
          <w:spacing w:val="-4"/>
        </w:rPr>
        <w:t> </w:t>
      </w:r>
      <w:r>
        <w:rPr/>
        <w:t>interventions</w:t>
      </w:r>
      <w:r>
        <w:rPr>
          <w:spacing w:val="-5"/>
        </w:rPr>
        <w:t> </w:t>
      </w:r>
      <w:r>
        <w:rPr/>
        <w:t>to</w:t>
      </w:r>
      <w:r>
        <w:rPr>
          <w:spacing w:val="-6"/>
        </w:rPr>
        <w:t> </w:t>
      </w:r>
      <w:r>
        <w:rPr/>
        <w:t>reduce</w:t>
      </w:r>
      <w:r>
        <w:rPr>
          <w:spacing w:val="-5"/>
        </w:rPr>
        <w:t> </w:t>
      </w:r>
      <w:r>
        <w:rPr/>
        <w:t>livestock</w:t>
      </w:r>
      <w:r>
        <w:rPr>
          <w:spacing w:val="-5"/>
        </w:rPr>
        <w:t> </w:t>
      </w:r>
      <w:r>
        <w:rPr/>
        <w:t>predation</w:t>
      </w:r>
      <w:r>
        <w:rPr>
          <w:spacing w:val="-5"/>
        </w:rPr>
        <w:t> </w:t>
      </w:r>
      <w:r>
        <w:rPr/>
        <w:t>by</w:t>
      </w:r>
      <w:r>
        <w:rPr>
          <w:spacing w:val="-3"/>
        </w:rPr>
        <w:t> </w:t>
      </w:r>
      <w:r>
        <w:rPr/>
        <w:t>large</w:t>
      </w:r>
      <w:r>
        <w:rPr>
          <w:spacing w:val="-4"/>
        </w:rPr>
        <w:t> </w:t>
      </w:r>
      <w:r>
        <w:rPr/>
        <w:t>carnivores. </w:t>
      </w:r>
      <w:r>
        <w:rPr>
          <w:i/>
        </w:rPr>
        <w:t>Scientific</w:t>
      </w:r>
      <w:r>
        <w:rPr>
          <w:i/>
          <w:spacing w:val="-5"/>
        </w:rPr>
        <w:t> </w:t>
      </w:r>
      <w:r>
        <w:rPr>
          <w:i/>
        </w:rPr>
        <w:t>Reports</w:t>
      </w:r>
      <w:r>
        <w:rPr>
          <w:i/>
        </w:rPr>
        <w:t> </w:t>
      </w:r>
      <w:r>
        <w:rPr>
          <w:b/>
        </w:rPr>
        <w:t>7</w:t>
      </w:r>
      <w:r>
        <w:rPr/>
        <w:t>(1):2097. doi: 10.1038/s41598-017-02323-w.</w:t>
      </w:r>
    </w:p>
    <w:p>
      <w:pPr>
        <w:pStyle w:val="BodyText"/>
        <w:spacing w:before="9"/>
      </w:pPr>
    </w:p>
    <w:p>
      <w:pPr>
        <w:spacing w:before="0"/>
        <w:ind w:left="833" w:right="381" w:hanging="721"/>
        <w:jc w:val="both"/>
        <w:rPr>
          <w:sz w:val="20"/>
        </w:rPr>
      </w:pPr>
      <w:r>
        <w:rPr>
          <w:sz w:val="20"/>
        </w:rPr>
        <w:t>Eldridge,</w:t>
      </w:r>
      <w:r>
        <w:rPr>
          <w:spacing w:val="-2"/>
          <w:sz w:val="20"/>
        </w:rPr>
        <w:t> </w:t>
      </w:r>
      <w:r>
        <w:rPr>
          <w:sz w:val="20"/>
        </w:rPr>
        <w:t>D.J., and</w:t>
      </w:r>
      <w:r>
        <w:rPr>
          <w:spacing w:val="-2"/>
          <w:sz w:val="20"/>
        </w:rPr>
        <w:t> </w:t>
      </w:r>
      <w:r>
        <w:rPr>
          <w:sz w:val="20"/>
        </w:rPr>
        <w:t>Myers, C.A.</w:t>
      </w:r>
      <w:r>
        <w:rPr>
          <w:spacing w:val="-2"/>
          <w:sz w:val="20"/>
        </w:rPr>
        <w:t> </w:t>
      </w:r>
      <w:r>
        <w:rPr>
          <w:sz w:val="20"/>
        </w:rPr>
        <w:t>(2001).</w:t>
      </w:r>
      <w:r>
        <w:rPr>
          <w:spacing w:val="-2"/>
          <w:sz w:val="20"/>
        </w:rPr>
        <w:t> </w:t>
      </w:r>
      <w:r>
        <w:rPr>
          <w:sz w:val="20"/>
        </w:rPr>
        <w:t>The</w:t>
      </w:r>
      <w:r>
        <w:rPr>
          <w:spacing w:val="-1"/>
          <w:sz w:val="20"/>
        </w:rPr>
        <w:t> </w:t>
      </w:r>
      <w:r>
        <w:rPr>
          <w:sz w:val="20"/>
        </w:rPr>
        <w:t>impact</w:t>
      </w:r>
      <w:r>
        <w:rPr>
          <w:spacing w:val="-2"/>
          <w:sz w:val="20"/>
        </w:rPr>
        <w:t> </w:t>
      </w:r>
      <w:r>
        <w:rPr>
          <w:sz w:val="20"/>
        </w:rPr>
        <w:t>of warrens</w:t>
      </w:r>
      <w:r>
        <w:rPr>
          <w:spacing w:val="-1"/>
          <w:sz w:val="20"/>
        </w:rPr>
        <w:t> </w:t>
      </w:r>
      <w:r>
        <w:rPr>
          <w:sz w:val="20"/>
        </w:rPr>
        <w:t>of</w:t>
      </w:r>
      <w:r>
        <w:rPr>
          <w:spacing w:val="-2"/>
          <w:sz w:val="20"/>
        </w:rPr>
        <w:t> </w:t>
      </w:r>
      <w:r>
        <w:rPr>
          <w:sz w:val="20"/>
        </w:rPr>
        <w:t>the European</w:t>
      </w:r>
      <w:r>
        <w:rPr>
          <w:spacing w:val="-2"/>
          <w:sz w:val="20"/>
        </w:rPr>
        <w:t> </w:t>
      </w:r>
      <w:r>
        <w:rPr>
          <w:sz w:val="20"/>
        </w:rPr>
        <w:t>rabbit (</w:t>
      </w:r>
      <w:r>
        <w:rPr>
          <w:i/>
          <w:sz w:val="20"/>
        </w:rPr>
        <w:t>Oryctolagus</w:t>
      </w:r>
      <w:r>
        <w:rPr>
          <w:i/>
          <w:spacing w:val="-1"/>
          <w:sz w:val="20"/>
        </w:rPr>
        <w:t> </w:t>
      </w:r>
      <w:r>
        <w:rPr>
          <w:i/>
          <w:sz w:val="20"/>
        </w:rPr>
        <w:t>cuniculus</w:t>
      </w:r>
      <w:r>
        <w:rPr>
          <w:i/>
          <w:sz w:val="20"/>
        </w:rPr>
        <w:t> </w:t>
      </w:r>
      <w:r>
        <w:rPr>
          <w:sz w:val="20"/>
        </w:rPr>
        <w:t>l.)</w:t>
      </w:r>
      <w:r>
        <w:rPr>
          <w:spacing w:val="-3"/>
          <w:sz w:val="20"/>
        </w:rPr>
        <w:t> </w:t>
      </w:r>
      <w:r>
        <w:rPr>
          <w:sz w:val="20"/>
        </w:rPr>
        <w:t>on</w:t>
      </w:r>
      <w:r>
        <w:rPr>
          <w:spacing w:val="-5"/>
          <w:sz w:val="20"/>
        </w:rPr>
        <w:t> </w:t>
      </w:r>
      <w:r>
        <w:rPr>
          <w:sz w:val="20"/>
        </w:rPr>
        <w:t>soil</w:t>
      </w:r>
      <w:r>
        <w:rPr>
          <w:spacing w:val="-3"/>
          <w:sz w:val="20"/>
        </w:rPr>
        <w:t> </w:t>
      </w:r>
      <w:r>
        <w:rPr>
          <w:sz w:val="20"/>
        </w:rPr>
        <w:t>and</w:t>
      </w:r>
      <w:r>
        <w:rPr>
          <w:spacing w:val="-4"/>
          <w:sz w:val="20"/>
        </w:rPr>
        <w:t> </w:t>
      </w:r>
      <w:r>
        <w:rPr>
          <w:sz w:val="20"/>
        </w:rPr>
        <w:t>ecological</w:t>
      </w:r>
      <w:r>
        <w:rPr>
          <w:spacing w:val="-3"/>
          <w:sz w:val="20"/>
        </w:rPr>
        <w:t> </w:t>
      </w:r>
      <w:r>
        <w:rPr>
          <w:sz w:val="20"/>
        </w:rPr>
        <w:t>processes</w:t>
      </w:r>
      <w:r>
        <w:rPr>
          <w:spacing w:val="-3"/>
          <w:sz w:val="20"/>
        </w:rPr>
        <w:t> </w:t>
      </w:r>
      <w:r>
        <w:rPr>
          <w:sz w:val="20"/>
        </w:rPr>
        <w:t>in</w:t>
      </w:r>
      <w:r>
        <w:rPr>
          <w:spacing w:val="-4"/>
          <w:sz w:val="20"/>
        </w:rPr>
        <w:t> </w:t>
      </w:r>
      <w:r>
        <w:rPr>
          <w:sz w:val="20"/>
        </w:rPr>
        <w:t>a</w:t>
      </w:r>
      <w:r>
        <w:rPr>
          <w:spacing w:val="-5"/>
          <w:sz w:val="20"/>
        </w:rPr>
        <w:t> </w:t>
      </w:r>
      <w:r>
        <w:rPr>
          <w:sz w:val="20"/>
        </w:rPr>
        <w:t>semi-arid</w:t>
      </w:r>
      <w:r>
        <w:rPr>
          <w:spacing w:val="-2"/>
          <w:sz w:val="20"/>
        </w:rPr>
        <w:t> </w:t>
      </w:r>
      <w:r>
        <w:rPr>
          <w:sz w:val="20"/>
        </w:rPr>
        <w:t>Australian</w:t>
      </w:r>
      <w:r>
        <w:rPr>
          <w:spacing w:val="-4"/>
          <w:sz w:val="20"/>
        </w:rPr>
        <w:t> </w:t>
      </w:r>
      <w:r>
        <w:rPr>
          <w:sz w:val="20"/>
        </w:rPr>
        <w:t>woodland.</w:t>
      </w:r>
      <w:r>
        <w:rPr>
          <w:spacing w:val="-2"/>
          <w:sz w:val="20"/>
        </w:rPr>
        <w:t> </w:t>
      </w:r>
      <w:r>
        <w:rPr>
          <w:i/>
          <w:sz w:val="20"/>
        </w:rPr>
        <w:t>Journal</w:t>
      </w:r>
      <w:r>
        <w:rPr>
          <w:i/>
          <w:spacing w:val="-3"/>
          <w:sz w:val="20"/>
        </w:rPr>
        <w:t> </w:t>
      </w:r>
      <w:r>
        <w:rPr>
          <w:i/>
          <w:sz w:val="20"/>
        </w:rPr>
        <w:t>of</w:t>
      </w:r>
      <w:r>
        <w:rPr>
          <w:i/>
          <w:spacing w:val="-2"/>
          <w:sz w:val="20"/>
        </w:rPr>
        <w:t> </w:t>
      </w:r>
      <w:r>
        <w:rPr>
          <w:i/>
          <w:sz w:val="20"/>
        </w:rPr>
        <w:t>Arid</w:t>
      </w:r>
      <w:r>
        <w:rPr>
          <w:i/>
          <w:spacing w:val="-2"/>
          <w:sz w:val="20"/>
        </w:rPr>
        <w:t> </w:t>
      </w:r>
      <w:r>
        <w:rPr>
          <w:i/>
          <w:sz w:val="20"/>
        </w:rPr>
        <w:t>Environments</w:t>
      </w:r>
      <w:r>
        <w:rPr>
          <w:i/>
          <w:sz w:val="20"/>
        </w:rPr>
        <w:t> </w:t>
      </w:r>
      <w:r>
        <w:rPr>
          <w:b/>
          <w:sz w:val="20"/>
        </w:rPr>
        <w:t>47</w:t>
      </w:r>
      <w:r>
        <w:rPr>
          <w:sz w:val="20"/>
        </w:rPr>
        <w:t>(3):325–37. doi: 10.1006/jare.2000.0685.</w:t>
      </w:r>
    </w:p>
    <w:p>
      <w:pPr>
        <w:pStyle w:val="BodyText"/>
        <w:spacing w:before="11"/>
      </w:pPr>
    </w:p>
    <w:p>
      <w:pPr>
        <w:spacing w:before="0"/>
        <w:ind w:left="833" w:right="544" w:hanging="721"/>
        <w:jc w:val="left"/>
        <w:rPr>
          <w:sz w:val="20"/>
        </w:rPr>
      </w:pPr>
      <w:r>
        <w:rPr>
          <w:sz w:val="20"/>
        </w:rPr>
        <w:t>Eldridge,</w:t>
      </w:r>
      <w:r>
        <w:rPr>
          <w:spacing w:val="-4"/>
          <w:sz w:val="20"/>
        </w:rPr>
        <w:t> </w:t>
      </w:r>
      <w:r>
        <w:rPr>
          <w:sz w:val="20"/>
        </w:rPr>
        <w:t>D.J.,</w:t>
      </w:r>
      <w:r>
        <w:rPr>
          <w:spacing w:val="-2"/>
          <w:sz w:val="20"/>
        </w:rPr>
        <w:t> </w:t>
      </w:r>
      <w:r>
        <w:rPr>
          <w:sz w:val="20"/>
        </w:rPr>
        <w:t>Costantinides,</w:t>
      </w:r>
      <w:r>
        <w:rPr>
          <w:spacing w:val="-4"/>
          <w:sz w:val="20"/>
        </w:rPr>
        <w:t> </w:t>
      </w:r>
      <w:r>
        <w:rPr>
          <w:sz w:val="20"/>
        </w:rPr>
        <w:t>C.,</w:t>
      </w:r>
      <w:r>
        <w:rPr>
          <w:spacing w:val="-4"/>
          <w:sz w:val="20"/>
        </w:rPr>
        <w:t> </w:t>
      </w:r>
      <w:r>
        <w:rPr>
          <w:sz w:val="20"/>
        </w:rPr>
        <w:t>and</w:t>
      </w:r>
      <w:r>
        <w:rPr>
          <w:spacing w:val="-4"/>
          <w:sz w:val="20"/>
        </w:rPr>
        <w:t> </w:t>
      </w:r>
      <w:r>
        <w:rPr>
          <w:sz w:val="20"/>
        </w:rPr>
        <w:t>Vine,</w:t>
      </w:r>
      <w:r>
        <w:rPr>
          <w:spacing w:val="-2"/>
          <w:sz w:val="20"/>
        </w:rPr>
        <w:t> </w:t>
      </w:r>
      <w:r>
        <w:rPr>
          <w:sz w:val="20"/>
        </w:rPr>
        <w:t>A.</w:t>
      </w:r>
      <w:r>
        <w:rPr>
          <w:spacing w:val="-4"/>
          <w:sz w:val="20"/>
        </w:rPr>
        <w:t> </w:t>
      </w:r>
      <w:r>
        <w:rPr>
          <w:sz w:val="20"/>
        </w:rPr>
        <w:t>(2014).</w:t>
      </w:r>
      <w:r>
        <w:rPr>
          <w:spacing w:val="-2"/>
          <w:sz w:val="20"/>
        </w:rPr>
        <w:t> </w:t>
      </w:r>
      <w:r>
        <w:rPr>
          <w:sz w:val="20"/>
        </w:rPr>
        <w:t>A</w:t>
      </w:r>
      <w:r>
        <w:rPr>
          <w:spacing w:val="-4"/>
          <w:sz w:val="20"/>
        </w:rPr>
        <w:t> </w:t>
      </w:r>
      <w:r>
        <w:rPr>
          <w:sz w:val="20"/>
        </w:rPr>
        <w:t>ripping</w:t>
      </w:r>
      <w:r>
        <w:rPr>
          <w:spacing w:val="-4"/>
          <w:sz w:val="20"/>
        </w:rPr>
        <w:t> </w:t>
      </w:r>
      <w:r>
        <w:rPr>
          <w:sz w:val="20"/>
        </w:rPr>
        <w:t>yarn:</w:t>
      </w:r>
      <w:r>
        <w:rPr>
          <w:spacing w:val="-1"/>
          <w:sz w:val="20"/>
        </w:rPr>
        <w:t> </w:t>
      </w:r>
      <w:r>
        <w:rPr>
          <w:sz w:val="20"/>
        </w:rPr>
        <w:t>the</w:t>
      </w:r>
      <w:r>
        <w:rPr>
          <w:spacing w:val="-2"/>
          <w:sz w:val="20"/>
        </w:rPr>
        <w:t> </w:t>
      </w:r>
      <w:r>
        <w:rPr>
          <w:sz w:val="20"/>
        </w:rPr>
        <w:t>effect</w:t>
      </w:r>
      <w:r>
        <w:rPr>
          <w:spacing w:val="-4"/>
          <w:sz w:val="20"/>
        </w:rPr>
        <w:t> </w:t>
      </w:r>
      <w:r>
        <w:rPr>
          <w:sz w:val="20"/>
        </w:rPr>
        <w:t>of</w:t>
      </w:r>
      <w:r>
        <w:rPr>
          <w:spacing w:val="-2"/>
          <w:sz w:val="20"/>
        </w:rPr>
        <w:t> </w:t>
      </w:r>
      <w:r>
        <w:rPr>
          <w:sz w:val="20"/>
        </w:rPr>
        <w:t>rabbit</w:t>
      </w:r>
      <w:r>
        <w:rPr>
          <w:spacing w:val="-2"/>
          <w:sz w:val="20"/>
        </w:rPr>
        <w:t> </w:t>
      </w:r>
      <w:r>
        <w:rPr>
          <w:sz w:val="20"/>
        </w:rPr>
        <w:t>warren</w:t>
      </w:r>
      <w:r>
        <w:rPr>
          <w:spacing w:val="-2"/>
          <w:sz w:val="20"/>
        </w:rPr>
        <w:t> </w:t>
      </w:r>
      <w:r>
        <w:rPr>
          <w:sz w:val="20"/>
        </w:rPr>
        <w:t>ripping</w:t>
      </w:r>
      <w:r>
        <w:rPr>
          <w:spacing w:val="-4"/>
          <w:sz w:val="20"/>
        </w:rPr>
        <w:t> </w:t>
      </w:r>
      <w:r>
        <w:rPr>
          <w:sz w:val="20"/>
        </w:rPr>
        <w:t>on plants and soil. Pp. 253–54 in </w:t>
      </w:r>
      <w:r>
        <w:rPr>
          <w:i/>
          <w:sz w:val="20"/>
        </w:rPr>
        <w:t>Proceedings of the Australia Rangelands Society Biennial</w:t>
      </w:r>
      <w:r>
        <w:rPr>
          <w:i/>
          <w:sz w:val="20"/>
        </w:rPr>
        <w:t> Conference</w:t>
      </w:r>
      <w:r>
        <w:rPr>
          <w:sz w:val="20"/>
        </w:rPr>
        <w:t>. Australian Rangelands Society, Australia.</w:t>
      </w:r>
    </w:p>
    <w:p>
      <w:pPr>
        <w:pStyle w:val="BodyText"/>
        <w:spacing w:before="9"/>
      </w:pPr>
    </w:p>
    <w:p>
      <w:pPr>
        <w:pStyle w:val="BodyText"/>
        <w:ind w:left="112"/>
      </w:pPr>
      <w:r>
        <w:rPr/>
        <w:t>Eldridge,</w:t>
      </w:r>
      <w:r>
        <w:rPr>
          <w:spacing w:val="-5"/>
        </w:rPr>
        <w:t> </w:t>
      </w:r>
      <w:r>
        <w:rPr/>
        <w:t>S.R.,</w:t>
      </w:r>
      <w:r>
        <w:rPr>
          <w:spacing w:val="-5"/>
        </w:rPr>
        <w:t> </w:t>
      </w:r>
      <w:r>
        <w:rPr/>
        <w:t>Berman,</w:t>
      </w:r>
      <w:r>
        <w:rPr>
          <w:spacing w:val="-4"/>
        </w:rPr>
        <w:t> </w:t>
      </w:r>
      <w:r>
        <w:rPr/>
        <w:t>D.M.,</w:t>
      </w:r>
      <w:r>
        <w:rPr>
          <w:spacing w:val="-7"/>
        </w:rPr>
        <w:t> </w:t>
      </w:r>
      <w:r>
        <w:rPr/>
        <w:t>and</w:t>
      </w:r>
      <w:r>
        <w:rPr>
          <w:spacing w:val="-5"/>
        </w:rPr>
        <w:t> </w:t>
      </w:r>
      <w:r>
        <w:rPr/>
        <w:t>Walsh,</w:t>
      </w:r>
      <w:r>
        <w:rPr>
          <w:spacing w:val="-5"/>
        </w:rPr>
        <w:t> </w:t>
      </w:r>
      <w:r>
        <w:rPr/>
        <w:t>B.</w:t>
      </w:r>
      <w:r>
        <w:rPr>
          <w:spacing w:val="-7"/>
        </w:rPr>
        <w:t> </w:t>
      </w:r>
      <w:r>
        <w:rPr/>
        <w:t>(2000).</w:t>
      </w:r>
      <w:r>
        <w:rPr>
          <w:spacing w:val="-6"/>
        </w:rPr>
        <w:t> </w:t>
      </w:r>
      <w:r>
        <w:rPr/>
        <w:t>Field</w:t>
      </w:r>
      <w:r>
        <w:rPr>
          <w:spacing w:val="-7"/>
        </w:rPr>
        <w:t> </w:t>
      </w:r>
      <w:r>
        <w:rPr/>
        <w:t>evaluation</w:t>
      </w:r>
      <w:r>
        <w:rPr>
          <w:spacing w:val="-6"/>
        </w:rPr>
        <w:t> </w:t>
      </w:r>
      <w:r>
        <w:rPr/>
        <w:t>of</w:t>
      </w:r>
      <w:r>
        <w:rPr>
          <w:spacing w:val="-5"/>
        </w:rPr>
        <w:t> </w:t>
      </w:r>
      <w:r>
        <w:rPr/>
        <w:t>four</w:t>
      </w:r>
      <w:r>
        <w:rPr>
          <w:spacing w:val="-6"/>
        </w:rPr>
        <w:t> </w:t>
      </w:r>
      <w:r>
        <w:rPr/>
        <w:t>1080</w:t>
      </w:r>
      <w:r>
        <w:rPr>
          <w:spacing w:val="-5"/>
        </w:rPr>
        <w:t> </w:t>
      </w:r>
      <w:r>
        <w:rPr/>
        <w:t>baits</w:t>
      </w:r>
      <w:r>
        <w:rPr>
          <w:spacing w:val="-5"/>
        </w:rPr>
        <w:t> </w:t>
      </w:r>
      <w:r>
        <w:rPr/>
        <w:t>for</w:t>
      </w:r>
      <w:r>
        <w:rPr>
          <w:spacing w:val="-6"/>
        </w:rPr>
        <w:t> </w:t>
      </w:r>
      <w:r>
        <w:rPr/>
        <w:t>dingo</w:t>
      </w:r>
      <w:r>
        <w:rPr>
          <w:spacing w:val="-6"/>
        </w:rPr>
        <w:t> </w:t>
      </w:r>
      <w:r>
        <w:rPr>
          <w:spacing w:val="-2"/>
        </w:rPr>
        <w:t>control.</w:t>
      </w:r>
    </w:p>
    <w:p>
      <w:pPr>
        <w:spacing w:before="1"/>
        <w:ind w:left="833" w:right="0" w:firstLine="0"/>
        <w:jc w:val="left"/>
        <w:rPr>
          <w:sz w:val="20"/>
        </w:rPr>
      </w:pPr>
      <w:r>
        <w:rPr>
          <w:i/>
          <w:sz w:val="20"/>
        </w:rPr>
        <w:t>Wildlife</w:t>
      </w:r>
      <w:r>
        <w:rPr>
          <w:i/>
          <w:spacing w:val="-12"/>
          <w:sz w:val="20"/>
        </w:rPr>
        <w:t> </w:t>
      </w:r>
      <w:r>
        <w:rPr>
          <w:i/>
          <w:sz w:val="20"/>
        </w:rPr>
        <w:t>Research</w:t>
      </w:r>
      <w:r>
        <w:rPr>
          <w:i/>
          <w:spacing w:val="-8"/>
          <w:sz w:val="20"/>
        </w:rPr>
        <w:t> </w:t>
      </w:r>
      <w:r>
        <w:rPr>
          <w:b/>
          <w:spacing w:val="-2"/>
          <w:sz w:val="20"/>
        </w:rPr>
        <w:t>27</w:t>
      </w:r>
      <w:r>
        <w:rPr>
          <w:spacing w:val="-2"/>
          <w:sz w:val="20"/>
        </w:rPr>
        <w:t>(5):495–500.</w:t>
      </w:r>
    </w:p>
    <w:p>
      <w:pPr>
        <w:pStyle w:val="BodyText"/>
        <w:spacing w:before="10"/>
      </w:pPr>
    </w:p>
    <w:p>
      <w:pPr>
        <w:pStyle w:val="BodyText"/>
        <w:ind w:left="833" w:right="232" w:hanging="721"/>
      </w:pPr>
      <w:r>
        <w:rPr/>
        <w:t>Ens,</w:t>
      </w:r>
      <w:r>
        <w:rPr>
          <w:spacing w:val="-2"/>
        </w:rPr>
        <w:t> </w:t>
      </w:r>
      <w:r>
        <w:rPr/>
        <w:t>E.J.,</w:t>
      </w:r>
      <w:r>
        <w:rPr>
          <w:spacing w:val="-4"/>
        </w:rPr>
        <w:t> </w:t>
      </w:r>
      <w:r>
        <w:rPr/>
        <w:t>Daniels,</w:t>
      </w:r>
      <w:r>
        <w:rPr>
          <w:spacing w:val="-4"/>
        </w:rPr>
        <w:t> </w:t>
      </w:r>
      <w:r>
        <w:rPr/>
        <w:t>C.,</w:t>
      </w:r>
      <w:r>
        <w:rPr>
          <w:spacing w:val="-4"/>
        </w:rPr>
        <w:t> </w:t>
      </w:r>
      <w:r>
        <w:rPr/>
        <w:t>Nelson,</w:t>
      </w:r>
      <w:r>
        <w:rPr>
          <w:spacing w:val="-2"/>
        </w:rPr>
        <w:t> </w:t>
      </w:r>
      <w:r>
        <w:rPr/>
        <w:t>E.,</w:t>
      </w:r>
      <w:r>
        <w:rPr>
          <w:spacing w:val="-4"/>
        </w:rPr>
        <w:t> </w:t>
      </w:r>
      <w:r>
        <w:rPr/>
        <w:t>Roy,</w:t>
      </w:r>
      <w:r>
        <w:rPr>
          <w:spacing w:val="-4"/>
        </w:rPr>
        <w:t> </w:t>
      </w:r>
      <w:r>
        <w:rPr/>
        <w:t>J.,</w:t>
      </w:r>
      <w:r>
        <w:rPr>
          <w:spacing w:val="-4"/>
        </w:rPr>
        <w:t> </w:t>
      </w:r>
      <w:r>
        <w:rPr/>
        <w:t>and</w:t>
      </w:r>
      <w:r>
        <w:rPr>
          <w:spacing w:val="-4"/>
        </w:rPr>
        <w:t> </w:t>
      </w:r>
      <w:r>
        <w:rPr/>
        <w:t>Dixon,</w:t>
      </w:r>
      <w:r>
        <w:rPr>
          <w:spacing w:val="-2"/>
        </w:rPr>
        <w:t> </w:t>
      </w:r>
      <w:r>
        <w:rPr/>
        <w:t>P.</w:t>
      </w:r>
      <w:r>
        <w:rPr>
          <w:spacing w:val="-4"/>
        </w:rPr>
        <w:t> </w:t>
      </w:r>
      <w:r>
        <w:rPr/>
        <w:t>(2016).</w:t>
      </w:r>
      <w:r>
        <w:rPr>
          <w:spacing w:val="-4"/>
        </w:rPr>
        <w:t> </w:t>
      </w:r>
      <w:r>
        <w:rPr/>
        <w:t>Creating</w:t>
      </w:r>
      <w:r>
        <w:rPr>
          <w:spacing w:val="-3"/>
        </w:rPr>
        <w:t> </w:t>
      </w:r>
      <w:r>
        <w:rPr/>
        <w:t>multi-functional</w:t>
      </w:r>
      <w:r>
        <w:rPr>
          <w:spacing w:val="-3"/>
        </w:rPr>
        <w:t> </w:t>
      </w:r>
      <w:r>
        <w:rPr/>
        <w:t>landscapes:</w:t>
      </w:r>
      <w:r>
        <w:rPr>
          <w:spacing w:val="-2"/>
        </w:rPr>
        <w:t> </w:t>
      </w:r>
      <w:r>
        <w:rPr/>
        <w:t>using exclusion fences to frame feral ungulate management preferences in remote aboriginal-owned northern Australia. </w:t>
      </w:r>
      <w:r>
        <w:rPr>
          <w:i/>
        </w:rPr>
        <w:t>Biological Conservation</w:t>
      </w:r>
      <w:r>
        <w:rPr/>
        <w:t>.</w:t>
      </w:r>
    </w:p>
    <w:p>
      <w:pPr>
        <w:pStyle w:val="BodyText"/>
        <w:spacing w:before="9"/>
      </w:pPr>
    </w:p>
    <w:p>
      <w:pPr>
        <w:pStyle w:val="BodyText"/>
        <w:ind w:left="833" w:right="367" w:hanging="721"/>
      </w:pPr>
      <w:r>
        <w:rPr/>
        <w:t>Environmental</w:t>
      </w:r>
      <w:r>
        <w:rPr>
          <w:spacing w:val="-6"/>
        </w:rPr>
        <w:t> </w:t>
      </w:r>
      <w:r>
        <w:rPr/>
        <w:t>Risk</w:t>
      </w:r>
      <w:r>
        <w:rPr>
          <w:spacing w:val="-4"/>
        </w:rPr>
        <w:t> </w:t>
      </w:r>
      <w:r>
        <w:rPr/>
        <w:t>Management</w:t>
      </w:r>
      <w:r>
        <w:rPr>
          <w:spacing w:val="-5"/>
        </w:rPr>
        <w:t> </w:t>
      </w:r>
      <w:r>
        <w:rPr/>
        <w:t>Authority.</w:t>
      </w:r>
      <w:r>
        <w:rPr>
          <w:spacing w:val="-5"/>
        </w:rPr>
        <w:t> </w:t>
      </w:r>
      <w:r>
        <w:rPr/>
        <w:t>(2007).</w:t>
      </w:r>
      <w:r>
        <w:rPr>
          <w:spacing w:val="-5"/>
        </w:rPr>
        <w:t> </w:t>
      </w:r>
      <w:r>
        <w:rPr/>
        <w:t>The</w:t>
      </w:r>
      <w:r>
        <w:rPr>
          <w:spacing w:val="-5"/>
        </w:rPr>
        <w:t> </w:t>
      </w:r>
      <w:r>
        <w:rPr/>
        <w:t>reassessment</w:t>
      </w:r>
      <w:r>
        <w:rPr>
          <w:spacing w:val="-3"/>
        </w:rPr>
        <w:t> </w:t>
      </w:r>
      <w:r>
        <w:rPr/>
        <w:t>of</w:t>
      </w:r>
      <w:r>
        <w:rPr>
          <w:spacing w:val="-5"/>
        </w:rPr>
        <w:t> </w:t>
      </w:r>
      <w:r>
        <w:rPr/>
        <w:t>1080. Department</w:t>
      </w:r>
      <w:r>
        <w:rPr>
          <w:spacing w:val="-3"/>
        </w:rPr>
        <w:t> </w:t>
      </w:r>
      <w:r>
        <w:rPr/>
        <w:t>of</w:t>
      </w:r>
      <w:r>
        <w:rPr>
          <w:spacing w:val="-5"/>
        </w:rPr>
        <w:t> </w:t>
      </w:r>
      <w:r>
        <w:rPr/>
        <w:t>Conservation, New Zealand. </w:t>
      </w:r>
      <w:hyperlink r:id="rId92">
        <w:r>
          <w:rPr>
            <w:color w:val="0000FF"/>
            <w:u w:val="single" w:color="0000FF"/>
          </w:rPr>
          <w:t>https://www.doc.govt.nz/about-us/statutory-and-advisory-bodies/nz-conservation-</w:t>
        </w:r>
      </w:hyperlink>
      <w:r>
        <w:rPr>
          <w:color w:val="0000FF"/>
          <w:u w:val="none"/>
        </w:rPr>
        <w:t> </w:t>
      </w:r>
      <w:hyperlink r:id="rId92">
        <w:r>
          <w:rPr>
            <w:color w:val="0000FF"/>
            <w:spacing w:val="-2"/>
            <w:u w:val="single" w:color="0000FF"/>
          </w:rPr>
          <w:t>authority/submissions/1080-reassessment/</w:t>
        </w:r>
      </w:hyperlink>
    </w:p>
    <w:p>
      <w:pPr>
        <w:pStyle w:val="BodyText"/>
        <w:spacing w:before="11"/>
      </w:pPr>
    </w:p>
    <w:p>
      <w:pPr>
        <w:pStyle w:val="BodyText"/>
        <w:spacing w:before="1"/>
        <w:ind w:left="833" w:right="163" w:hanging="721"/>
      </w:pPr>
      <w:r>
        <w:rPr/>
        <w:t>von</w:t>
      </w:r>
      <w:r>
        <w:rPr>
          <w:spacing w:val="-5"/>
        </w:rPr>
        <w:t> </w:t>
      </w:r>
      <w:r>
        <w:rPr/>
        <w:t>Esson,</w:t>
      </w:r>
      <w:r>
        <w:rPr>
          <w:spacing w:val="-2"/>
        </w:rPr>
        <w:t> </w:t>
      </w:r>
      <w:r>
        <w:rPr/>
        <w:t>E.,</w:t>
      </w:r>
      <w:r>
        <w:rPr>
          <w:spacing w:val="-2"/>
        </w:rPr>
        <w:t> </w:t>
      </w:r>
      <w:r>
        <w:rPr/>
        <w:t>and</w:t>
      </w:r>
      <w:r>
        <w:rPr>
          <w:spacing w:val="-4"/>
        </w:rPr>
        <w:t> </w:t>
      </w:r>
      <w:r>
        <w:rPr/>
        <w:t>Redmalm,</w:t>
      </w:r>
      <w:r>
        <w:rPr>
          <w:spacing w:val="-4"/>
        </w:rPr>
        <w:t> </w:t>
      </w:r>
      <w:r>
        <w:rPr/>
        <w:t>D.</w:t>
      </w:r>
      <w:r>
        <w:rPr>
          <w:spacing w:val="-4"/>
        </w:rPr>
        <w:t> </w:t>
      </w:r>
      <w:r>
        <w:rPr/>
        <w:t>(2023).</w:t>
      </w:r>
      <w:r>
        <w:rPr>
          <w:spacing w:val="-1"/>
        </w:rPr>
        <w:t> </w:t>
      </w:r>
      <w:r>
        <w:rPr/>
        <w:t>Social</w:t>
      </w:r>
      <w:r>
        <w:rPr>
          <w:spacing w:val="-3"/>
        </w:rPr>
        <w:t> </w:t>
      </w:r>
      <w:r>
        <w:rPr/>
        <w:t>licence</w:t>
      </w:r>
      <w:r>
        <w:rPr>
          <w:spacing w:val="-2"/>
        </w:rPr>
        <w:t> </w:t>
      </w:r>
      <w:r>
        <w:rPr/>
        <w:t>to</w:t>
      </w:r>
      <w:r>
        <w:rPr>
          <w:spacing w:val="-5"/>
        </w:rPr>
        <w:t> </w:t>
      </w:r>
      <w:r>
        <w:rPr/>
        <w:t>cull:</w:t>
      </w:r>
      <w:r>
        <w:rPr>
          <w:spacing w:val="-2"/>
        </w:rPr>
        <w:t> </w:t>
      </w:r>
      <w:r>
        <w:rPr/>
        <w:t>examining</w:t>
      </w:r>
      <w:r>
        <w:rPr>
          <w:spacing w:val="-5"/>
        </w:rPr>
        <w:t> </w:t>
      </w:r>
      <w:r>
        <w:rPr/>
        <w:t>scepticism</w:t>
      </w:r>
      <w:r>
        <w:rPr>
          <w:spacing w:val="-4"/>
        </w:rPr>
        <w:t> </w:t>
      </w:r>
      <w:r>
        <w:rPr/>
        <w:t>toward</w:t>
      </w:r>
      <w:r>
        <w:rPr>
          <w:spacing w:val="-4"/>
        </w:rPr>
        <w:t> </w:t>
      </w:r>
      <w:r>
        <w:rPr/>
        <w:t>lethal</w:t>
      </w:r>
      <w:r>
        <w:rPr>
          <w:spacing w:val="-5"/>
        </w:rPr>
        <w:t> </w:t>
      </w:r>
      <w:r>
        <w:rPr/>
        <w:t>wildlife removal in cities. </w:t>
      </w:r>
      <w:r>
        <w:rPr>
          <w:i/>
        </w:rPr>
        <w:t>People and Nature </w:t>
      </w:r>
      <w:r>
        <w:rPr>
          <w:b/>
        </w:rPr>
        <w:t>5</w:t>
      </w:r>
      <w:r>
        <w:rPr/>
        <w:t>(4):1353–63.</w:t>
      </w:r>
    </w:p>
    <w:p>
      <w:pPr>
        <w:pStyle w:val="BodyText"/>
        <w:spacing w:before="8"/>
      </w:pPr>
    </w:p>
    <w:p>
      <w:pPr>
        <w:pStyle w:val="BodyText"/>
        <w:ind w:left="833" w:right="232" w:hanging="721"/>
      </w:pPr>
      <w:r>
        <w:rPr/>
        <w:t>European</w:t>
      </w:r>
      <w:r>
        <w:rPr>
          <w:spacing w:val="-2"/>
        </w:rPr>
        <w:t> </w:t>
      </w:r>
      <w:r>
        <w:rPr/>
        <w:t>Food</w:t>
      </w:r>
      <w:r>
        <w:rPr>
          <w:spacing w:val="-4"/>
        </w:rPr>
        <w:t> </w:t>
      </w:r>
      <w:r>
        <w:rPr/>
        <w:t>Safety</w:t>
      </w:r>
      <w:r>
        <w:rPr>
          <w:spacing w:val="-1"/>
        </w:rPr>
        <w:t> </w:t>
      </w:r>
      <w:r>
        <w:rPr/>
        <w:t>Authority</w:t>
      </w:r>
      <w:r>
        <w:rPr>
          <w:spacing w:val="-3"/>
        </w:rPr>
        <w:t> </w:t>
      </w:r>
      <w:r>
        <w:rPr/>
        <w:t>(EFSA), et</w:t>
      </w:r>
      <w:r>
        <w:rPr>
          <w:spacing w:val="-4"/>
        </w:rPr>
        <w:t> </w:t>
      </w:r>
      <w:r>
        <w:rPr/>
        <w:t>al.</w:t>
      </w:r>
      <w:r>
        <w:rPr>
          <w:spacing w:val="-4"/>
        </w:rPr>
        <w:t> </w:t>
      </w:r>
      <w:r>
        <w:rPr/>
        <w:t>(2020).</w:t>
      </w:r>
      <w:r>
        <w:rPr>
          <w:spacing w:val="-1"/>
        </w:rPr>
        <w:t> </w:t>
      </w:r>
      <w:r>
        <w:rPr/>
        <w:t>Peer</w:t>
      </w:r>
      <w:r>
        <w:rPr>
          <w:spacing w:val="-3"/>
        </w:rPr>
        <w:t> </w:t>
      </w:r>
      <w:r>
        <w:rPr/>
        <w:t>review</w:t>
      </w:r>
      <w:r>
        <w:rPr>
          <w:spacing w:val="-2"/>
        </w:rPr>
        <w:t> </w:t>
      </w:r>
      <w:r>
        <w:rPr/>
        <w:t>of</w:t>
      </w:r>
      <w:r>
        <w:rPr>
          <w:spacing w:val="-4"/>
        </w:rPr>
        <w:t> </w:t>
      </w:r>
      <w:r>
        <w:rPr/>
        <w:t>the</w:t>
      </w:r>
      <w:r>
        <w:rPr>
          <w:spacing w:val="-4"/>
        </w:rPr>
        <w:t> </w:t>
      </w:r>
      <w:r>
        <w:rPr/>
        <w:t>pesticide</w:t>
      </w:r>
      <w:r>
        <w:rPr>
          <w:spacing w:val="-4"/>
        </w:rPr>
        <w:t> </w:t>
      </w:r>
      <w:r>
        <w:rPr/>
        <w:t>risk</w:t>
      </w:r>
      <w:r>
        <w:rPr>
          <w:spacing w:val="-3"/>
        </w:rPr>
        <w:t> </w:t>
      </w:r>
      <w:r>
        <w:rPr/>
        <w:t>assessment</w:t>
      </w:r>
      <w:r>
        <w:rPr>
          <w:spacing w:val="-4"/>
        </w:rPr>
        <w:t> </w:t>
      </w:r>
      <w:r>
        <w:rPr/>
        <w:t>of</w:t>
      </w:r>
      <w:r>
        <w:rPr>
          <w:spacing w:val="-4"/>
        </w:rPr>
        <w:t> </w:t>
      </w:r>
      <w:r>
        <w:rPr/>
        <w:t>the active substance chloropicrin. </w:t>
      </w:r>
      <w:r>
        <w:rPr>
          <w:i/>
        </w:rPr>
        <w:t>EFSA Journal </w:t>
      </w:r>
      <w:r>
        <w:rPr>
          <w:b/>
        </w:rPr>
        <w:t>18</w:t>
      </w:r>
      <w:r>
        <w:rPr/>
        <w:t>(3). doi: 10.2903/j.efsa.2020.6028.</w:t>
      </w:r>
    </w:p>
    <w:p>
      <w:pPr>
        <w:pStyle w:val="BodyText"/>
        <w:spacing w:before="11"/>
      </w:pPr>
    </w:p>
    <w:p>
      <w:pPr>
        <w:pStyle w:val="BodyText"/>
        <w:ind w:left="833" w:right="163" w:hanging="721"/>
      </w:pPr>
      <w:r>
        <w:rPr/>
        <w:t>Extoxnet.</w:t>
      </w:r>
      <w:r>
        <w:rPr>
          <w:spacing w:val="-4"/>
        </w:rPr>
        <w:t> </w:t>
      </w:r>
      <w:r>
        <w:rPr/>
        <w:t>(1996).</w:t>
      </w:r>
      <w:r>
        <w:rPr>
          <w:spacing w:val="-6"/>
        </w:rPr>
        <w:t> </w:t>
      </w:r>
      <w:r>
        <w:rPr/>
        <w:t>National</w:t>
      </w:r>
      <w:r>
        <w:rPr>
          <w:spacing w:val="-3"/>
        </w:rPr>
        <w:t> </w:t>
      </w:r>
      <w:r>
        <w:rPr/>
        <w:t>Pesticide</w:t>
      </w:r>
      <w:r>
        <w:rPr>
          <w:spacing w:val="-5"/>
        </w:rPr>
        <w:t> </w:t>
      </w:r>
      <w:r>
        <w:rPr/>
        <w:t>Information</w:t>
      </w:r>
      <w:r>
        <w:rPr>
          <w:spacing w:val="-3"/>
        </w:rPr>
        <w:t> </w:t>
      </w:r>
      <w:r>
        <w:rPr/>
        <w:t>Centre</w:t>
      </w:r>
      <w:r>
        <w:rPr>
          <w:spacing w:val="-6"/>
        </w:rPr>
        <w:t> </w:t>
      </w:r>
      <w:r>
        <w:rPr/>
        <w:t>(NPIC)</w:t>
      </w:r>
      <w:r>
        <w:rPr>
          <w:spacing w:val="-5"/>
        </w:rPr>
        <w:t> </w:t>
      </w:r>
      <w:r>
        <w:rPr/>
        <w:t>-chloropicrin</w:t>
      </w:r>
      <w:r>
        <w:rPr>
          <w:spacing w:val="-4"/>
        </w:rPr>
        <w:t> </w:t>
      </w:r>
      <w:r>
        <w:rPr/>
        <w:t>profile. </w:t>
      </w:r>
      <w:r>
        <w:rPr>
          <w:spacing w:val="-2"/>
        </w:rPr>
        <w:t>https</w:t>
      </w:r>
      <w:hyperlink r:id="rId93">
        <w:r>
          <w:rPr>
            <w:spacing w:val="-2"/>
          </w:rPr>
          <w:t>://www.npic.orst.edu/factsheets/sfgen.html.</w:t>
        </w:r>
      </w:hyperlink>
    </w:p>
    <w:p>
      <w:pPr>
        <w:pStyle w:val="BodyText"/>
        <w:spacing w:before="11"/>
      </w:pPr>
    </w:p>
    <w:p>
      <w:pPr>
        <w:spacing w:before="0"/>
        <w:ind w:left="833" w:right="163" w:hanging="721"/>
        <w:jc w:val="left"/>
        <w:rPr>
          <w:sz w:val="20"/>
        </w:rPr>
      </w:pPr>
      <w:r>
        <w:rPr>
          <w:sz w:val="20"/>
        </w:rPr>
        <w:t>Fairbridge,</w:t>
      </w:r>
      <w:r>
        <w:rPr>
          <w:spacing w:val="-2"/>
          <w:sz w:val="20"/>
        </w:rPr>
        <w:t> </w:t>
      </w:r>
      <w:r>
        <w:rPr>
          <w:sz w:val="20"/>
        </w:rPr>
        <w:t>D.,</w:t>
      </w:r>
      <w:r>
        <w:rPr>
          <w:spacing w:val="-4"/>
          <w:sz w:val="20"/>
        </w:rPr>
        <w:t> </w:t>
      </w:r>
      <w:r>
        <w:rPr>
          <w:sz w:val="20"/>
        </w:rPr>
        <w:t>and</w:t>
      </w:r>
      <w:r>
        <w:rPr>
          <w:spacing w:val="-3"/>
          <w:sz w:val="20"/>
        </w:rPr>
        <w:t> </w:t>
      </w:r>
      <w:r>
        <w:rPr>
          <w:sz w:val="20"/>
        </w:rPr>
        <w:t>Marks,</w:t>
      </w:r>
      <w:r>
        <w:rPr>
          <w:spacing w:val="-2"/>
          <w:sz w:val="20"/>
        </w:rPr>
        <w:t> </w:t>
      </w:r>
      <w:r>
        <w:rPr>
          <w:sz w:val="20"/>
        </w:rPr>
        <w:t>C.A.</w:t>
      </w:r>
      <w:r>
        <w:rPr>
          <w:spacing w:val="-4"/>
          <w:sz w:val="20"/>
        </w:rPr>
        <w:t> </w:t>
      </w:r>
      <w:r>
        <w:rPr>
          <w:sz w:val="20"/>
        </w:rPr>
        <w:t>(2005). </w:t>
      </w:r>
      <w:r>
        <w:rPr>
          <w:i/>
          <w:sz w:val="20"/>
        </w:rPr>
        <w:t>Evaluation</w:t>
      </w:r>
      <w:r>
        <w:rPr>
          <w:i/>
          <w:spacing w:val="-4"/>
          <w:sz w:val="20"/>
        </w:rPr>
        <w:t> </w:t>
      </w:r>
      <w:r>
        <w:rPr>
          <w:i/>
          <w:sz w:val="20"/>
        </w:rPr>
        <w:t>of</w:t>
      </w:r>
      <w:r>
        <w:rPr>
          <w:i/>
          <w:spacing w:val="-2"/>
          <w:sz w:val="20"/>
        </w:rPr>
        <w:t> </w:t>
      </w:r>
      <w:r>
        <w:rPr>
          <w:i/>
          <w:sz w:val="20"/>
        </w:rPr>
        <w:t>the</w:t>
      </w:r>
      <w:r>
        <w:rPr>
          <w:i/>
          <w:spacing w:val="-5"/>
          <w:sz w:val="20"/>
        </w:rPr>
        <w:t> </w:t>
      </w:r>
      <w:r>
        <w:rPr>
          <w:i/>
          <w:sz w:val="20"/>
        </w:rPr>
        <w:t>2002-03</w:t>
      </w:r>
      <w:r>
        <w:rPr>
          <w:i/>
          <w:spacing w:val="-4"/>
          <w:sz w:val="20"/>
        </w:rPr>
        <w:t> </w:t>
      </w:r>
      <w:r>
        <w:rPr>
          <w:i/>
          <w:sz w:val="20"/>
        </w:rPr>
        <w:t>Victorian</w:t>
      </w:r>
      <w:r>
        <w:rPr>
          <w:i/>
          <w:spacing w:val="-4"/>
          <w:sz w:val="20"/>
        </w:rPr>
        <w:t> </w:t>
      </w:r>
      <w:r>
        <w:rPr>
          <w:i/>
          <w:sz w:val="20"/>
        </w:rPr>
        <w:t>fox</w:t>
      </w:r>
      <w:r>
        <w:rPr>
          <w:i/>
          <w:spacing w:val="-3"/>
          <w:sz w:val="20"/>
        </w:rPr>
        <w:t> </w:t>
      </w:r>
      <w:r>
        <w:rPr>
          <w:i/>
          <w:sz w:val="20"/>
        </w:rPr>
        <w:t>bounty</w:t>
      </w:r>
      <w:r>
        <w:rPr>
          <w:i/>
          <w:spacing w:val="-3"/>
          <w:sz w:val="20"/>
        </w:rPr>
        <w:t> </w:t>
      </w:r>
      <w:r>
        <w:rPr>
          <w:i/>
          <w:sz w:val="20"/>
        </w:rPr>
        <w:t>trial</w:t>
      </w:r>
      <w:r>
        <w:rPr>
          <w:sz w:val="20"/>
        </w:rPr>
        <w:t>.</w:t>
      </w:r>
      <w:r>
        <w:rPr>
          <w:spacing w:val="-2"/>
          <w:sz w:val="20"/>
        </w:rPr>
        <w:t> </w:t>
      </w:r>
      <w:r>
        <w:rPr>
          <w:sz w:val="20"/>
        </w:rPr>
        <w:t>Vertebrate</w:t>
      </w:r>
      <w:r>
        <w:rPr>
          <w:spacing w:val="-2"/>
          <w:sz w:val="20"/>
        </w:rPr>
        <w:t> </w:t>
      </w:r>
      <w:r>
        <w:rPr>
          <w:sz w:val="20"/>
        </w:rPr>
        <w:t>Pest Research Unit, Department of Primary Industries, Victoria.</w:t>
      </w:r>
    </w:p>
    <w:p>
      <w:pPr>
        <w:pStyle w:val="BodyText"/>
        <w:spacing w:before="9"/>
      </w:pPr>
    </w:p>
    <w:p>
      <w:pPr>
        <w:pStyle w:val="BodyText"/>
        <w:ind w:left="833" w:right="544" w:hanging="721"/>
      </w:pPr>
      <w:r>
        <w:rPr/>
        <w:t>Fenner,</w:t>
      </w:r>
      <w:r>
        <w:rPr>
          <w:spacing w:val="-2"/>
        </w:rPr>
        <w:t> </w:t>
      </w:r>
      <w:r>
        <w:rPr/>
        <w:t>S.,</w:t>
      </w:r>
      <w:r>
        <w:rPr>
          <w:spacing w:val="-2"/>
        </w:rPr>
        <w:t> </w:t>
      </w:r>
      <w:r>
        <w:rPr/>
        <w:t>Körtner,</w:t>
      </w:r>
      <w:r>
        <w:rPr>
          <w:spacing w:val="-4"/>
        </w:rPr>
        <w:t> </w:t>
      </w:r>
      <w:r>
        <w:rPr/>
        <w:t>G.,</w:t>
      </w:r>
      <w:r>
        <w:rPr>
          <w:spacing w:val="-2"/>
        </w:rPr>
        <w:t> </w:t>
      </w:r>
      <w:r>
        <w:rPr/>
        <w:t>and</w:t>
      </w:r>
      <w:r>
        <w:rPr>
          <w:spacing w:val="-4"/>
        </w:rPr>
        <w:t> </w:t>
      </w:r>
      <w:r>
        <w:rPr/>
        <w:t>Vernes,</w:t>
      </w:r>
      <w:r>
        <w:rPr>
          <w:spacing w:val="-4"/>
        </w:rPr>
        <w:t> </w:t>
      </w:r>
      <w:r>
        <w:rPr/>
        <w:t>K.</w:t>
      </w:r>
      <w:r>
        <w:rPr>
          <w:spacing w:val="-4"/>
        </w:rPr>
        <w:t> </w:t>
      </w:r>
      <w:r>
        <w:rPr/>
        <w:t>(2009).</w:t>
      </w:r>
      <w:r>
        <w:rPr>
          <w:spacing w:val="-2"/>
        </w:rPr>
        <w:t> </w:t>
      </w:r>
      <w:r>
        <w:rPr/>
        <w:t>Aerial</w:t>
      </w:r>
      <w:r>
        <w:rPr>
          <w:spacing w:val="-3"/>
        </w:rPr>
        <w:t> </w:t>
      </w:r>
      <w:r>
        <w:rPr/>
        <w:t>baiting</w:t>
      </w:r>
      <w:r>
        <w:rPr>
          <w:spacing w:val="-4"/>
        </w:rPr>
        <w:t> </w:t>
      </w:r>
      <w:r>
        <w:rPr/>
        <w:t>with</w:t>
      </w:r>
      <w:r>
        <w:rPr>
          <w:spacing w:val="-5"/>
        </w:rPr>
        <w:t> </w:t>
      </w:r>
      <w:r>
        <w:rPr/>
        <w:t>1080</w:t>
      </w:r>
      <w:r>
        <w:rPr>
          <w:spacing w:val="-2"/>
        </w:rPr>
        <w:t> </w:t>
      </w:r>
      <w:r>
        <w:rPr/>
        <w:t>to</w:t>
      </w:r>
      <w:r>
        <w:rPr>
          <w:spacing w:val="-5"/>
        </w:rPr>
        <w:t> </w:t>
      </w:r>
      <w:r>
        <w:rPr/>
        <w:t>control</w:t>
      </w:r>
      <w:r>
        <w:rPr>
          <w:spacing w:val="-1"/>
        </w:rPr>
        <w:t> </w:t>
      </w:r>
      <w:r>
        <w:rPr/>
        <w:t>wild</w:t>
      </w:r>
      <w:r>
        <w:rPr>
          <w:spacing w:val="-4"/>
        </w:rPr>
        <w:t> </w:t>
      </w:r>
      <w:r>
        <w:rPr/>
        <w:t>dogs</w:t>
      </w:r>
      <w:r>
        <w:rPr>
          <w:spacing w:val="-3"/>
        </w:rPr>
        <w:t> </w:t>
      </w:r>
      <w:r>
        <w:rPr/>
        <w:t>does</w:t>
      </w:r>
      <w:r>
        <w:rPr>
          <w:spacing w:val="-3"/>
        </w:rPr>
        <w:t> </w:t>
      </w:r>
      <w:r>
        <w:rPr/>
        <w:t>not</w:t>
      </w:r>
      <w:r>
        <w:rPr>
          <w:spacing w:val="-2"/>
        </w:rPr>
        <w:t> </w:t>
      </w:r>
      <w:r>
        <w:rPr/>
        <w:t>affect the populations of two common small mammal species. </w:t>
      </w:r>
      <w:r>
        <w:rPr>
          <w:i/>
        </w:rPr>
        <w:t>Wildlife Research </w:t>
      </w:r>
      <w:r>
        <w:rPr>
          <w:b/>
        </w:rPr>
        <w:t>36</w:t>
      </w:r>
      <w:r>
        <w:rPr/>
        <w:t>(6):528. doi: </w:t>
      </w:r>
      <w:r>
        <w:rPr>
          <w:spacing w:val="-2"/>
        </w:rPr>
        <w:t>10.1071/WR08134.</w:t>
      </w:r>
    </w:p>
    <w:p>
      <w:pPr>
        <w:pStyle w:val="BodyText"/>
        <w:spacing w:before="11"/>
      </w:pPr>
    </w:p>
    <w:p>
      <w:pPr>
        <w:spacing w:before="0"/>
        <w:ind w:left="833" w:right="232" w:hanging="721"/>
        <w:jc w:val="left"/>
        <w:rPr>
          <w:sz w:val="20"/>
        </w:rPr>
      </w:pPr>
      <w:r>
        <w:rPr>
          <w:sz w:val="20"/>
        </w:rPr>
        <w:t>Ferris,</w:t>
      </w:r>
      <w:r>
        <w:rPr>
          <w:spacing w:val="-3"/>
          <w:sz w:val="20"/>
        </w:rPr>
        <w:t> </w:t>
      </w:r>
      <w:r>
        <w:rPr>
          <w:sz w:val="20"/>
        </w:rPr>
        <w:t>B.</w:t>
      </w:r>
      <w:r>
        <w:rPr>
          <w:spacing w:val="-3"/>
          <w:sz w:val="20"/>
        </w:rPr>
        <w:t> </w:t>
      </w:r>
      <w:r>
        <w:rPr>
          <w:sz w:val="20"/>
        </w:rPr>
        <w:t>(2010).</w:t>
      </w:r>
      <w:r>
        <w:rPr>
          <w:spacing w:val="-3"/>
          <w:sz w:val="20"/>
        </w:rPr>
        <w:t> </w:t>
      </w:r>
      <w:r>
        <w:rPr>
          <w:sz w:val="20"/>
        </w:rPr>
        <w:t>The</w:t>
      </w:r>
      <w:r>
        <w:rPr>
          <w:spacing w:val="-4"/>
          <w:sz w:val="20"/>
        </w:rPr>
        <w:t> </w:t>
      </w:r>
      <w:r>
        <w:rPr>
          <w:sz w:val="20"/>
        </w:rPr>
        <w:t>2008 -</w:t>
      </w:r>
      <w:r>
        <w:rPr>
          <w:spacing w:val="-2"/>
          <w:sz w:val="20"/>
        </w:rPr>
        <w:t> </w:t>
      </w:r>
      <w:r>
        <w:rPr>
          <w:sz w:val="20"/>
        </w:rPr>
        <w:t>2009</w:t>
      </w:r>
      <w:r>
        <w:rPr>
          <w:spacing w:val="-1"/>
          <w:sz w:val="20"/>
        </w:rPr>
        <w:t> </w:t>
      </w:r>
      <w:r>
        <w:rPr>
          <w:sz w:val="20"/>
        </w:rPr>
        <w:t>aerial</w:t>
      </w:r>
      <w:r>
        <w:rPr>
          <w:spacing w:val="-2"/>
          <w:sz w:val="20"/>
        </w:rPr>
        <w:t> </w:t>
      </w:r>
      <w:r>
        <w:rPr>
          <w:sz w:val="20"/>
        </w:rPr>
        <w:t>feral</w:t>
      </w:r>
      <w:r>
        <w:rPr>
          <w:spacing w:val="-4"/>
          <w:sz w:val="20"/>
        </w:rPr>
        <w:t> </w:t>
      </w:r>
      <w:r>
        <w:rPr>
          <w:sz w:val="20"/>
        </w:rPr>
        <w:t>pig</w:t>
      </w:r>
      <w:r>
        <w:rPr>
          <w:spacing w:val="-1"/>
          <w:sz w:val="20"/>
        </w:rPr>
        <w:t> </w:t>
      </w:r>
      <w:r>
        <w:rPr>
          <w:sz w:val="20"/>
        </w:rPr>
        <w:t>and</w:t>
      </w:r>
      <w:r>
        <w:rPr>
          <w:spacing w:val="-1"/>
          <w:sz w:val="20"/>
        </w:rPr>
        <w:t> </w:t>
      </w:r>
      <w:r>
        <w:rPr>
          <w:sz w:val="20"/>
        </w:rPr>
        <w:t>feral</w:t>
      </w:r>
      <w:r>
        <w:rPr>
          <w:spacing w:val="-4"/>
          <w:sz w:val="20"/>
        </w:rPr>
        <w:t> </w:t>
      </w:r>
      <w:r>
        <w:rPr>
          <w:sz w:val="20"/>
        </w:rPr>
        <w:t>goat</w:t>
      </w:r>
      <w:r>
        <w:rPr>
          <w:spacing w:val="-3"/>
          <w:sz w:val="20"/>
        </w:rPr>
        <w:t> </w:t>
      </w:r>
      <w:r>
        <w:rPr>
          <w:sz w:val="20"/>
        </w:rPr>
        <w:t>shooting</w:t>
      </w:r>
      <w:r>
        <w:rPr>
          <w:spacing w:val="-3"/>
          <w:sz w:val="20"/>
        </w:rPr>
        <w:t> </w:t>
      </w:r>
      <w:r>
        <w:rPr>
          <w:sz w:val="20"/>
        </w:rPr>
        <w:t>program:</w:t>
      </w:r>
      <w:r>
        <w:rPr>
          <w:spacing w:val="-1"/>
          <w:sz w:val="20"/>
        </w:rPr>
        <w:t> </w:t>
      </w:r>
      <w:r>
        <w:rPr>
          <w:sz w:val="20"/>
        </w:rPr>
        <w:t>a</w:t>
      </w:r>
      <w:r>
        <w:rPr>
          <w:spacing w:val="-4"/>
          <w:sz w:val="20"/>
        </w:rPr>
        <w:t> </w:t>
      </w:r>
      <w:r>
        <w:rPr>
          <w:sz w:val="20"/>
        </w:rPr>
        <w:t>case</w:t>
      </w:r>
      <w:r>
        <w:rPr>
          <w:spacing w:val="-3"/>
          <w:sz w:val="20"/>
        </w:rPr>
        <w:t> </w:t>
      </w:r>
      <w:r>
        <w:rPr>
          <w:sz w:val="20"/>
        </w:rPr>
        <w:t>study in</w:t>
      </w:r>
      <w:r>
        <w:rPr>
          <w:spacing w:val="-1"/>
          <w:sz w:val="20"/>
        </w:rPr>
        <w:t> </w:t>
      </w:r>
      <w:r>
        <w:rPr>
          <w:sz w:val="20"/>
        </w:rPr>
        <w:t>northern New South Wales, Australia. </w:t>
      </w:r>
      <w:r>
        <w:rPr>
          <w:i/>
          <w:sz w:val="20"/>
        </w:rPr>
        <w:t>Proceedings of the Vertebrate Pest Conference </w:t>
      </w:r>
      <w:r>
        <w:rPr>
          <w:sz w:val="20"/>
        </w:rPr>
        <w:t>24. doi: </w:t>
      </w:r>
      <w:r>
        <w:rPr>
          <w:spacing w:val="-2"/>
          <w:sz w:val="20"/>
        </w:rPr>
        <w:t>10.5070/V424110611.</w:t>
      </w:r>
    </w:p>
    <w:p>
      <w:pPr>
        <w:pStyle w:val="BodyText"/>
        <w:spacing w:before="9"/>
      </w:pPr>
    </w:p>
    <w:p>
      <w:pPr>
        <w:pStyle w:val="BodyText"/>
        <w:ind w:left="833" w:right="163" w:hanging="721"/>
      </w:pPr>
      <w:r>
        <w:rPr/>
        <w:t>Finne,</w:t>
      </w:r>
      <w:r>
        <w:rPr>
          <w:spacing w:val="-4"/>
        </w:rPr>
        <w:t> </w:t>
      </w:r>
      <w:r>
        <w:rPr/>
        <w:t>M.H.,</w:t>
      </w:r>
      <w:r>
        <w:rPr>
          <w:spacing w:val="-2"/>
        </w:rPr>
        <w:t> </w:t>
      </w:r>
      <w:r>
        <w:rPr/>
        <w:t>Kristiansen,</w:t>
      </w:r>
      <w:r>
        <w:rPr>
          <w:spacing w:val="-2"/>
        </w:rPr>
        <w:t> </w:t>
      </w:r>
      <w:r>
        <w:rPr/>
        <w:t>P.,</w:t>
      </w:r>
      <w:r>
        <w:rPr>
          <w:spacing w:val="-4"/>
        </w:rPr>
        <w:t> </w:t>
      </w:r>
      <w:r>
        <w:rPr/>
        <w:t>Rolstad,</w:t>
      </w:r>
      <w:r>
        <w:rPr>
          <w:spacing w:val="-4"/>
        </w:rPr>
        <w:t> </w:t>
      </w:r>
      <w:r>
        <w:rPr/>
        <w:t>J.,</w:t>
      </w:r>
      <w:r>
        <w:rPr>
          <w:spacing w:val="-2"/>
        </w:rPr>
        <w:t> </w:t>
      </w:r>
      <w:r>
        <w:rPr/>
        <w:t>and</w:t>
      </w:r>
      <w:r>
        <w:rPr>
          <w:spacing w:val="-2"/>
        </w:rPr>
        <w:t> </w:t>
      </w:r>
      <w:r>
        <w:rPr/>
        <w:t>Wegge,</w:t>
      </w:r>
      <w:r>
        <w:rPr>
          <w:spacing w:val="-4"/>
        </w:rPr>
        <w:t> </w:t>
      </w:r>
      <w:r>
        <w:rPr/>
        <w:t>P.</w:t>
      </w:r>
      <w:r>
        <w:rPr>
          <w:spacing w:val="-4"/>
        </w:rPr>
        <w:t> </w:t>
      </w:r>
      <w:r>
        <w:rPr/>
        <w:t>(2019).</w:t>
      </w:r>
      <w:r>
        <w:rPr>
          <w:spacing w:val="-2"/>
        </w:rPr>
        <w:t> </w:t>
      </w:r>
      <w:r>
        <w:rPr/>
        <w:t>Diversionary</w:t>
      </w:r>
      <w:r>
        <w:rPr>
          <w:spacing w:val="-2"/>
        </w:rPr>
        <w:t> </w:t>
      </w:r>
      <w:r>
        <w:rPr/>
        <w:t>feeding</w:t>
      </w:r>
      <w:r>
        <w:rPr>
          <w:spacing w:val="-5"/>
        </w:rPr>
        <w:t> </w:t>
      </w:r>
      <w:r>
        <w:rPr/>
        <w:t>of</w:t>
      </w:r>
      <w:r>
        <w:rPr>
          <w:spacing w:val="-2"/>
        </w:rPr>
        <w:t> </w:t>
      </w:r>
      <w:r>
        <w:rPr/>
        <w:t>red</w:t>
      </w:r>
      <w:r>
        <w:rPr>
          <w:spacing w:val="-5"/>
        </w:rPr>
        <w:t> </w:t>
      </w:r>
      <w:r>
        <w:rPr/>
        <w:t>fox</w:t>
      </w:r>
      <w:r>
        <w:rPr>
          <w:spacing w:val="-3"/>
        </w:rPr>
        <w:t> </w:t>
      </w:r>
      <w:r>
        <w:rPr/>
        <w:t>in</w:t>
      </w:r>
      <w:r>
        <w:rPr>
          <w:spacing w:val="-4"/>
        </w:rPr>
        <w:t> </w:t>
      </w:r>
      <w:r>
        <w:rPr/>
        <w:t>spring increased productivity of forest grouse in southeast Norway. </w:t>
      </w:r>
      <w:r>
        <w:rPr>
          <w:i/>
        </w:rPr>
        <w:t>Wildlife Biology </w:t>
      </w:r>
      <w:r>
        <w:rPr>
          <w:b/>
        </w:rPr>
        <w:t>2019</w:t>
      </w:r>
      <w:r>
        <w:rPr/>
        <w:t>(1): 1-12. doi: </w:t>
      </w:r>
      <w:r>
        <w:rPr>
          <w:spacing w:val="-2"/>
        </w:rPr>
        <w:t>10.2981/wlb.00492.</w:t>
      </w:r>
    </w:p>
    <w:p>
      <w:pPr>
        <w:pStyle w:val="BodyText"/>
        <w:spacing w:before="11"/>
      </w:pPr>
    </w:p>
    <w:p>
      <w:pPr>
        <w:pStyle w:val="BodyText"/>
        <w:ind w:left="833" w:right="232" w:hanging="721"/>
      </w:pPr>
      <w:r>
        <w:rPr/>
        <w:t>Fisher,</w:t>
      </w:r>
      <w:r>
        <w:rPr>
          <w:spacing w:val="-4"/>
        </w:rPr>
        <w:t> </w:t>
      </w:r>
      <w:r>
        <w:rPr/>
        <w:t>P.,</w:t>
      </w:r>
      <w:r>
        <w:rPr>
          <w:spacing w:val="-4"/>
        </w:rPr>
        <w:t> </w:t>
      </w:r>
      <w:r>
        <w:rPr/>
        <w:t>Brown,</w:t>
      </w:r>
      <w:r>
        <w:rPr>
          <w:spacing w:val="-2"/>
        </w:rPr>
        <w:t> </w:t>
      </w:r>
      <w:r>
        <w:rPr/>
        <w:t>S.,</w:t>
      </w:r>
      <w:r>
        <w:rPr>
          <w:spacing w:val="-2"/>
        </w:rPr>
        <w:t> </w:t>
      </w:r>
      <w:r>
        <w:rPr/>
        <w:t>and</w:t>
      </w:r>
      <w:r>
        <w:rPr>
          <w:spacing w:val="-2"/>
        </w:rPr>
        <w:t> </w:t>
      </w:r>
      <w:r>
        <w:rPr/>
        <w:t>Arrow,</w:t>
      </w:r>
      <w:r>
        <w:rPr>
          <w:spacing w:val="-4"/>
        </w:rPr>
        <w:t> </w:t>
      </w:r>
      <w:r>
        <w:rPr/>
        <w:t>J.</w:t>
      </w:r>
      <w:r>
        <w:rPr>
          <w:spacing w:val="-4"/>
        </w:rPr>
        <w:t> </w:t>
      </w:r>
      <w:r>
        <w:rPr/>
        <w:t>(2015).</w:t>
      </w:r>
      <w:r>
        <w:rPr>
          <w:spacing w:val="-2"/>
        </w:rPr>
        <w:t> </w:t>
      </w:r>
      <w:r>
        <w:rPr/>
        <w:t>Pindone</w:t>
      </w:r>
      <w:r>
        <w:rPr>
          <w:spacing w:val="-5"/>
        </w:rPr>
        <w:t> </w:t>
      </w:r>
      <w:r>
        <w:rPr/>
        <w:t>residues</w:t>
      </w:r>
      <w:r>
        <w:rPr>
          <w:spacing w:val="-3"/>
        </w:rPr>
        <w:t> </w:t>
      </w:r>
      <w:r>
        <w:rPr/>
        <w:t>in</w:t>
      </w:r>
      <w:r>
        <w:rPr>
          <w:spacing w:val="-4"/>
        </w:rPr>
        <w:t> </w:t>
      </w:r>
      <w:r>
        <w:rPr/>
        <w:t>rabbit</w:t>
      </w:r>
      <w:r>
        <w:rPr>
          <w:spacing w:val="-4"/>
        </w:rPr>
        <w:t> </w:t>
      </w:r>
      <w:r>
        <w:rPr/>
        <w:t>tissues:</w:t>
      </w:r>
      <w:r>
        <w:rPr>
          <w:spacing w:val="-4"/>
        </w:rPr>
        <w:t> </w:t>
      </w:r>
      <w:r>
        <w:rPr/>
        <w:t>implications</w:t>
      </w:r>
      <w:r>
        <w:rPr>
          <w:spacing w:val="-3"/>
        </w:rPr>
        <w:t> </w:t>
      </w:r>
      <w:r>
        <w:rPr/>
        <w:t>for</w:t>
      </w:r>
      <w:r>
        <w:rPr>
          <w:spacing w:val="-4"/>
        </w:rPr>
        <w:t> </w:t>
      </w:r>
      <w:r>
        <w:rPr/>
        <w:t>secondary hazard and risk to non-target wildlife. </w:t>
      </w:r>
      <w:r>
        <w:rPr>
          <w:i/>
        </w:rPr>
        <w:t>Wildlife Research </w:t>
      </w:r>
      <w:r>
        <w:rPr>
          <w:b/>
        </w:rPr>
        <w:t>42</w:t>
      </w:r>
      <w:r>
        <w:rPr/>
        <w:t>(4):362. doi: 10.1071/WR15019.</w:t>
      </w:r>
    </w:p>
    <w:p>
      <w:pPr>
        <w:spacing w:after="0"/>
        <w:sectPr>
          <w:pgSz w:w="11910" w:h="16850"/>
          <w:pgMar w:header="0" w:footer="688" w:top="1060" w:bottom="880" w:left="1020" w:right="780"/>
        </w:sectPr>
      </w:pPr>
    </w:p>
    <w:p>
      <w:pPr>
        <w:spacing w:before="71"/>
        <w:ind w:left="833" w:right="364" w:hanging="721"/>
        <w:jc w:val="left"/>
        <w:rPr>
          <w:sz w:val="20"/>
        </w:rPr>
      </w:pPr>
      <w:r>
        <w:rPr>
          <w:sz w:val="20"/>
        </w:rPr>
        <w:t>Fitzgerald,</w:t>
      </w:r>
      <w:r>
        <w:rPr>
          <w:spacing w:val="-5"/>
          <w:sz w:val="20"/>
        </w:rPr>
        <w:t> </w:t>
      </w:r>
      <w:r>
        <w:rPr>
          <w:sz w:val="20"/>
        </w:rPr>
        <w:t>G.,</w:t>
      </w:r>
      <w:r>
        <w:rPr>
          <w:spacing w:val="-3"/>
          <w:sz w:val="20"/>
        </w:rPr>
        <w:t> </w:t>
      </w:r>
      <w:r>
        <w:rPr>
          <w:sz w:val="20"/>
        </w:rPr>
        <w:t>and</w:t>
      </w:r>
      <w:r>
        <w:rPr>
          <w:spacing w:val="-5"/>
          <w:sz w:val="20"/>
        </w:rPr>
        <w:t> </w:t>
      </w:r>
      <w:r>
        <w:rPr>
          <w:sz w:val="20"/>
        </w:rPr>
        <w:t>Wilkinson,</w:t>
      </w:r>
      <w:r>
        <w:rPr>
          <w:spacing w:val="-5"/>
          <w:sz w:val="20"/>
        </w:rPr>
        <w:t> </w:t>
      </w:r>
      <w:r>
        <w:rPr>
          <w:sz w:val="20"/>
        </w:rPr>
        <w:t>R.</w:t>
      </w:r>
      <w:r>
        <w:rPr>
          <w:spacing w:val="-5"/>
          <w:sz w:val="20"/>
        </w:rPr>
        <w:t> </w:t>
      </w:r>
      <w:r>
        <w:rPr>
          <w:sz w:val="20"/>
        </w:rPr>
        <w:t>(2009). </w:t>
      </w:r>
      <w:r>
        <w:rPr>
          <w:i/>
          <w:sz w:val="20"/>
        </w:rPr>
        <w:t>Assessing</w:t>
      </w:r>
      <w:r>
        <w:rPr>
          <w:i/>
          <w:spacing w:val="-4"/>
          <w:sz w:val="20"/>
        </w:rPr>
        <w:t> </w:t>
      </w:r>
      <w:r>
        <w:rPr>
          <w:i/>
          <w:sz w:val="20"/>
        </w:rPr>
        <w:t>the</w:t>
      </w:r>
      <w:r>
        <w:rPr>
          <w:i/>
          <w:spacing w:val="-3"/>
          <w:sz w:val="20"/>
        </w:rPr>
        <w:t> </w:t>
      </w:r>
      <w:r>
        <w:rPr>
          <w:i/>
          <w:sz w:val="20"/>
        </w:rPr>
        <w:t>social</w:t>
      </w:r>
      <w:r>
        <w:rPr>
          <w:i/>
          <w:spacing w:val="-4"/>
          <w:sz w:val="20"/>
        </w:rPr>
        <w:t> </w:t>
      </w:r>
      <w:r>
        <w:rPr>
          <w:i/>
          <w:sz w:val="20"/>
        </w:rPr>
        <w:t>impacts</w:t>
      </w:r>
      <w:r>
        <w:rPr>
          <w:i/>
          <w:spacing w:val="-4"/>
          <w:sz w:val="20"/>
        </w:rPr>
        <w:t> </w:t>
      </w:r>
      <w:r>
        <w:rPr>
          <w:i/>
          <w:sz w:val="20"/>
        </w:rPr>
        <w:t>of</w:t>
      </w:r>
      <w:r>
        <w:rPr>
          <w:i/>
          <w:spacing w:val="-3"/>
          <w:sz w:val="20"/>
        </w:rPr>
        <w:t> </w:t>
      </w:r>
      <w:r>
        <w:rPr>
          <w:i/>
          <w:sz w:val="20"/>
        </w:rPr>
        <w:t>invasive</w:t>
      </w:r>
      <w:r>
        <w:rPr>
          <w:i/>
          <w:spacing w:val="-1"/>
          <w:sz w:val="20"/>
        </w:rPr>
        <w:t> </w:t>
      </w:r>
      <w:r>
        <w:rPr>
          <w:i/>
          <w:sz w:val="20"/>
        </w:rPr>
        <w:t>animals</w:t>
      </w:r>
      <w:r>
        <w:rPr>
          <w:i/>
          <w:spacing w:val="-4"/>
          <w:sz w:val="20"/>
        </w:rPr>
        <w:t> </w:t>
      </w:r>
      <w:r>
        <w:rPr>
          <w:i/>
          <w:sz w:val="20"/>
        </w:rPr>
        <w:t>in Australia</w:t>
      </w:r>
      <w:r>
        <w:rPr>
          <w:sz w:val="20"/>
        </w:rPr>
        <w:t>.</w:t>
      </w:r>
      <w:r>
        <w:rPr>
          <w:spacing w:val="-5"/>
          <w:sz w:val="20"/>
        </w:rPr>
        <w:t> </w:t>
      </w:r>
      <w:r>
        <w:rPr>
          <w:i/>
          <w:sz w:val="20"/>
        </w:rPr>
        <w:t>A</w:t>
      </w:r>
      <w:r>
        <w:rPr>
          <w:i/>
          <w:sz w:val="20"/>
        </w:rPr>
        <w:t> report produced for the Invasive Animals Cooperative Research Centre</w:t>
      </w:r>
      <w:r>
        <w:rPr>
          <w:sz w:val="20"/>
        </w:rPr>
        <w:t>. Invasive Animals Cooperative Research Centre, Canberra.</w:t>
      </w:r>
    </w:p>
    <w:p>
      <w:pPr>
        <w:pStyle w:val="BodyText"/>
        <w:spacing w:before="12"/>
      </w:pPr>
    </w:p>
    <w:p>
      <w:pPr>
        <w:pStyle w:val="BodyText"/>
        <w:ind w:left="833" w:right="163" w:hanging="721"/>
      </w:pPr>
      <w:r>
        <w:rPr/>
        <w:t>Fleming,</w:t>
      </w:r>
      <w:r>
        <w:rPr>
          <w:spacing w:val="-3"/>
        </w:rPr>
        <w:t> </w:t>
      </w:r>
      <w:r>
        <w:rPr/>
        <w:t>P.,</w:t>
      </w:r>
      <w:r>
        <w:rPr>
          <w:spacing w:val="-3"/>
        </w:rPr>
        <w:t> </w:t>
      </w:r>
      <w:r>
        <w:rPr/>
        <w:t>Dundas,</w:t>
      </w:r>
      <w:r>
        <w:rPr>
          <w:spacing w:val="-1"/>
        </w:rPr>
        <w:t> </w:t>
      </w:r>
      <w:r>
        <w:rPr/>
        <w:t>S.,</w:t>
      </w:r>
      <w:r>
        <w:rPr>
          <w:spacing w:val="-1"/>
        </w:rPr>
        <w:t> </w:t>
      </w:r>
      <w:r>
        <w:rPr/>
        <w:t>Lau,</w:t>
      </w:r>
      <w:r>
        <w:rPr>
          <w:spacing w:val="-3"/>
        </w:rPr>
        <w:t> </w:t>
      </w:r>
      <w:r>
        <w:rPr/>
        <w:t>Y.,</w:t>
      </w:r>
      <w:r>
        <w:rPr>
          <w:spacing w:val="-3"/>
        </w:rPr>
        <w:t> </w:t>
      </w:r>
      <w:r>
        <w:rPr/>
        <w:t>and</w:t>
      </w:r>
      <w:r>
        <w:rPr>
          <w:spacing w:val="-3"/>
        </w:rPr>
        <w:t> </w:t>
      </w:r>
      <w:r>
        <w:rPr/>
        <w:t>Pluske,</w:t>
      </w:r>
      <w:r>
        <w:rPr>
          <w:spacing w:val="-3"/>
        </w:rPr>
        <w:t> </w:t>
      </w:r>
      <w:r>
        <w:rPr/>
        <w:t>J.</w:t>
      </w:r>
      <w:r>
        <w:rPr>
          <w:spacing w:val="-3"/>
        </w:rPr>
        <w:t> </w:t>
      </w:r>
      <w:r>
        <w:rPr/>
        <w:t>(2016).</w:t>
      </w:r>
      <w:r>
        <w:rPr>
          <w:spacing w:val="-3"/>
        </w:rPr>
        <w:t> </w:t>
      </w:r>
      <w:r>
        <w:rPr/>
        <w:t>Predation</w:t>
      </w:r>
      <w:r>
        <w:rPr>
          <w:spacing w:val="-2"/>
        </w:rPr>
        <w:t> </w:t>
      </w:r>
      <w:r>
        <w:rPr/>
        <w:t>by</w:t>
      </w:r>
      <w:r>
        <w:rPr>
          <w:spacing w:val="-2"/>
        </w:rPr>
        <w:t> </w:t>
      </w:r>
      <w:r>
        <w:rPr/>
        <w:t>red</w:t>
      </w:r>
      <w:r>
        <w:rPr>
          <w:spacing w:val="-4"/>
        </w:rPr>
        <w:t> </w:t>
      </w:r>
      <w:r>
        <w:rPr/>
        <w:t>foxes</w:t>
      </w:r>
      <w:r>
        <w:rPr>
          <w:spacing w:val="-2"/>
        </w:rPr>
        <w:t> </w:t>
      </w:r>
      <w:r>
        <w:rPr/>
        <w:t>(</w:t>
      </w:r>
      <w:r>
        <w:rPr>
          <w:i/>
        </w:rPr>
        <w:t>Vulpes</w:t>
      </w:r>
      <w:r>
        <w:rPr>
          <w:i/>
          <w:spacing w:val="-2"/>
        </w:rPr>
        <w:t> </w:t>
      </w:r>
      <w:r>
        <w:rPr>
          <w:i/>
        </w:rPr>
        <w:t>vulpes</w:t>
      </w:r>
      <w:r>
        <w:rPr/>
        <w:t>)</w:t>
      </w:r>
      <w:r>
        <w:rPr>
          <w:spacing w:val="-2"/>
        </w:rPr>
        <w:t> </w:t>
      </w:r>
      <w:r>
        <w:rPr/>
        <w:t>at</w:t>
      </w:r>
      <w:r>
        <w:rPr>
          <w:spacing w:val="-3"/>
        </w:rPr>
        <w:t> </w:t>
      </w:r>
      <w:r>
        <w:rPr/>
        <w:t>an</w:t>
      </w:r>
      <w:r>
        <w:rPr>
          <w:spacing w:val="-3"/>
        </w:rPr>
        <w:t> </w:t>
      </w:r>
      <w:r>
        <w:rPr/>
        <w:t>outdoor piggery. </w:t>
      </w:r>
      <w:r>
        <w:rPr>
          <w:i/>
        </w:rPr>
        <w:t>Animals </w:t>
      </w:r>
      <w:r>
        <w:rPr>
          <w:b/>
        </w:rPr>
        <w:t>6</w:t>
      </w:r>
      <w:r>
        <w:rPr/>
        <w:t>(10):60. doi: 10.3390/ani6100060.</w:t>
      </w:r>
    </w:p>
    <w:p>
      <w:pPr>
        <w:pStyle w:val="BodyText"/>
        <w:spacing w:before="8"/>
      </w:pPr>
    </w:p>
    <w:p>
      <w:pPr>
        <w:pStyle w:val="BodyText"/>
        <w:ind w:left="833" w:right="163" w:hanging="721"/>
      </w:pPr>
      <w:r>
        <w:rPr/>
        <w:t>Fleming,</w:t>
      </w:r>
      <w:r>
        <w:rPr>
          <w:spacing w:val="-4"/>
        </w:rPr>
        <w:t> </w:t>
      </w:r>
      <w:r>
        <w:rPr/>
        <w:t>P.J.S.</w:t>
      </w:r>
      <w:r>
        <w:rPr>
          <w:spacing w:val="-4"/>
        </w:rPr>
        <w:t> </w:t>
      </w:r>
      <w:r>
        <w:rPr/>
        <w:t>(1997).</w:t>
      </w:r>
      <w:r>
        <w:rPr>
          <w:spacing w:val="-1"/>
        </w:rPr>
        <w:t> </w:t>
      </w:r>
      <w:r>
        <w:rPr/>
        <w:t>Uptake</w:t>
      </w:r>
      <w:r>
        <w:rPr>
          <w:spacing w:val="-4"/>
        </w:rPr>
        <w:t> </w:t>
      </w:r>
      <w:r>
        <w:rPr/>
        <w:t>of</w:t>
      </w:r>
      <w:r>
        <w:rPr>
          <w:spacing w:val="-2"/>
        </w:rPr>
        <w:t> </w:t>
      </w:r>
      <w:r>
        <w:rPr/>
        <w:t>baits</w:t>
      </w:r>
      <w:r>
        <w:rPr>
          <w:spacing w:val="-3"/>
        </w:rPr>
        <w:t> </w:t>
      </w:r>
      <w:r>
        <w:rPr/>
        <w:t>by</w:t>
      </w:r>
      <w:r>
        <w:rPr>
          <w:spacing w:val="-3"/>
        </w:rPr>
        <w:t> </w:t>
      </w:r>
      <w:r>
        <w:rPr/>
        <w:t>red</w:t>
      </w:r>
      <w:r>
        <w:rPr>
          <w:spacing w:val="-5"/>
        </w:rPr>
        <w:t> </w:t>
      </w:r>
      <w:r>
        <w:rPr/>
        <w:t>foxes</w:t>
      </w:r>
      <w:r>
        <w:rPr>
          <w:spacing w:val="-3"/>
        </w:rPr>
        <w:t> </w:t>
      </w:r>
      <w:r>
        <w:rPr/>
        <w:t>(vulpes</w:t>
      </w:r>
      <w:r>
        <w:rPr>
          <w:spacing w:val="-3"/>
        </w:rPr>
        <w:t> </w:t>
      </w:r>
      <w:r>
        <w:rPr/>
        <w:t>vulpes):</w:t>
      </w:r>
      <w:r>
        <w:rPr>
          <w:spacing w:val="-4"/>
        </w:rPr>
        <w:t> </w:t>
      </w:r>
      <w:r>
        <w:rPr/>
        <w:t>implications</w:t>
      </w:r>
      <w:r>
        <w:rPr>
          <w:spacing w:val="-3"/>
        </w:rPr>
        <w:t> </w:t>
      </w:r>
      <w:r>
        <w:rPr/>
        <w:t>for</w:t>
      </w:r>
      <w:r>
        <w:rPr>
          <w:spacing w:val="-4"/>
        </w:rPr>
        <w:t> </w:t>
      </w:r>
      <w:r>
        <w:rPr/>
        <w:t>rabies</w:t>
      </w:r>
      <w:r>
        <w:rPr>
          <w:spacing w:val="-3"/>
        </w:rPr>
        <w:t> </w:t>
      </w:r>
      <w:r>
        <w:rPr/>
        <w:t>contingency planning in Australia. </w:t>
      </w:r>
      <w:r>
        <w:rPr>
          <w:i/>
        </w:rPr>
        <w:t>Wildlife Research </w:t>
      </w:r>
      <w:r>
        <w:rPr>
          <w:b/>
        </w:rPr>
        <w:t>24</w:t>
      </w:r>
      <w:r>
        <w:rPr/>
        <w:t>(3):335. doi: 10.1071/WR95016.</w:t>
      </w:r>
    </w:p>
    <w:p>
      <w:pPr>
        <w:pStyle w:val="BodyText"/>
        <w:spacing w:before="11"/>
      </w:pPr>
    </w:p>
    <w:p>
      <w:pPr>
        <w:pStyle w:val="BodyText"/>
        <w:ind w:left="833" w:right="163" w:hanging="721"/>
      </w:pPr>
      <w:r>
        <w:rPr/>
        <w:t>Fleming, P.J.S., Allen, B.L., Allen, L.R., Ballard, G.A., Bengsen, A., Gentle, M., McLeod, L., Meek, P., and Saunders,</w:t>
      </w:r>
      <w:r>
        <w:rPr>
          <w:spacing w:val="-4"/>
        </w:rPr>
        <w:t> </w:t>
      </w:r>
      <w:r>
        <w:rPr/>
        <w:t>G.</w:t>
      </w:r>
      <w:r>
        <w:rPr>
          <w:spacing w:val="-4"/>
        </w:rPr>
        <w:t> </w:t>
      </w:r>
      <w:r>
        <w:rPr/>
        <w:t>(2014).</w:t>
      </w:r>
      <w:r>
        <w:rPr>
          <w:spacing w:val="-1"/>
        </w:rPr>
        <w:t> </w:t>
      </w:r>
      <w:r>
        <w:rPr/>
        <w:t>Management</w:t>
      </w:r>
      <w:r>
        <w:rPr>
          <w:spacing w:val="-4"/>
        </w:rPr>
        <w:t> </w:t>
      </w:r>
      <w:r>
        <w:rPr/>
        <w:t>of</w:t>
      </w:r>
      <w:r>
        <w:rPr>
          <w:spacing w:val="-4"/>
        </w:rPr>
        <w:t> </w:t>
      </w:r>
      <w:r>
        <w:rPr/>
        <w:t>wild</w:t>
      </w:r>
      <w:r>
        <w:rPr>
          <w:spacing w:val="-2"/>
        </w:rPr>
        <w:t> </w:t>
      </w:r>
      <w:r>
        <w:rPr/>
        <w:t>canids</w:t>
      </w:r>
      <w:r>
        <w:rPr>
          <w:spacing w:val="-3"/>
        </w:rPr>
        <w:t> </w:t>
      </w:r>
      <w:r>
        <w:rPr/>
        <w:t>in Australia:</w:t>
      </w:r>
      <w:r>
        <w:rPr>
          <w:spacing w:val="-2"/>
        </w:rPr>
        <w:t> </w:t>
      </w:r>
      <w:r>
        <w:rPr/>
        <w:t>free-ranging</w:t>
      </w:r>
      <w:r>
        <w:rPr>
          <w:spacing w:val="-5"/>
        </w:rPr>
        <w:t> </w:t>
      </w:r>
      <w:r>
        <w:rPr/>
        <w:t>dogs</w:t>
      </w:r>
      <w:r>
        <w:rPr>
          <w:spacing w:val="-3"/>
        </w:rPr>
        <w:t> </w:t>
      </w:r>
      <w:r>
        <w:rPr/>
        <w:t>and</w:t>
      </w:r>
      <w:r>
        <w:rPr>
          <w:spacing w:val="-5"/>
        </w:rPr>
        <w:t> </w:t>
      </w:r>
      <w:r>
        <w:rPr/>
        <w:t>red</w:t>
      </w:r>
      <w:r>
        <w:rPr>
          <w:spacing w:val="-3"/>
        </w:rPr>
        <w:t> </w:t>
      </w:r>
      <w:r>
        <w:rPr/>
        <w:t>foxes.</w:t>
      </w:r>
      <w:r>
        <w:rPr>
          <w:spacing w:val="-2"/>
        </w:rPr>
        <w:t> </w:t>
      </w:r>
      <w:r>
        <w:rPr/>
        <w:t>Pp. 107–52 in </w:t>
      </w:r>
      <w:r>
        <w:rPr>
          <w:i/>
        </w:rPr>
        <w:t>Carnivores of Australia</w:t>
      </w:r>
      <w:r>
        <w:rPr/>
        <w:t>.</w:t>
      </w:r>
    </w:p>
    <w:p>
      <w:pPr>
        <w:pStyle w:val="BodyText"/>
        <w:spacing w:before="11"/>
      </w:pPr>
    </w:p>
    <w:p>
      <w:pPr>
        <w:pStyle w:val="BodyText"/>
        <w:spacing w:before="1"/>
        <w:ind w:left="833" w:right="364" w:hanging="721"/>
      </w:pPr>
      <w:r>
        <w:rPr/>
        <w:t>Fleming,</w:t>
      </w:r>
      <w:r>
        <w:rPr>
          <w:spacing w:val="-4"/>
        </w:rPr>
        <w:t> </w:t>
      </w:r>
      <w:r>
        <w:rPr/>
        <w:t>P.J.S.,</w:t>
      </w:r>
      <w:r>
        <w:rPr>
          <w:spacing w:val="-2"/>
        </w:rPr>
        <w:t> </w:t>
      </w:r>
      <w:r>
        <w:rPr/>
        <w:t>Allen,</w:t>
      </w:r>
      <w:r>
        <w:rPr>
          <w:spacing w:val="-4"/>
        </w:rPr>
        <w:t> </w:t>
      </w:r>
      <w:r>
        <w:rPr/>
        <w:t>L.R.,</w:t>
      </w:r>
      <w:r>
        <w:rPr>
          <w:spacing w:val="-2"/>
        </w:rPr>
        <w:t> </w:t>
      </w:r>
      <w:r>
        <w:rPr/>
        <w:t>Berghout,</w:t>
      </w:r>
      <w:r>
        <w:rPr>
          <w:spacing w:val="-4"/>
        </w:rPr>
        <w:t> </w:t>
      </w:r>
      <w:r>
        <w:rPr/>
        <w:t>M.J.,</w:t>
      </w:r>
      <w:r>
        <w:rPr>
          <w:spacing w:val="-2"/>
        </w:rPr>
        <w:t> </w:t>
      </w:r>
      <w:r>
        <w:rPr/>
        <w:t>Meek,</w:t>
      </w:r>
      <w:r>
        <w:rPr>
          <w:spacing w:val="-4"/>
        </w:rPr>
        <w:t> </w:t>
      </w:r>
      <w:r>
        <w:rPr/>
        <w:t>P.D.,</w:t>
      </w:r>
      <w:r>
        <w:rPr>
          <w:spacing w:val="-4"/>
        </w:rPr>
        <w:t> </w:t>
      </w:r>
      <w:r>
        <w:rPr/>
        <w:t>Pavlov,</w:t>
      </w:r>
      <w:r>
        <w:rPr>
          <w:spacing w:val="-2"/>
        </w:rPr>
        <w:t> </w:t>
      </w:r>
      <w:r>
        <w:rPr/>
        <w:t>P.M.,</w:t>
      </w:r>
      <w:r>
        <w:rPr>
          <w:spacing w:val="-2"/>
        </w:rPr>
        <w:t> </w:t>
      </w:r>
      <w:r>
        <w:rPr/>
        <w:t>Stevens,</w:t>
      </w:r>
      <w:r>
        <w:rPr>
          <w:spacing w:val="-2"/>
        </w:rPr>
        <w:t> </w:t>
      </w:r>
      <w:r>
        <w:rPr/>
        <w:t>P.,</w:t>
      </w:r>
      <w:r>
        <w:rPr>
          <w:spacing w:val="-4"/>
        </w:rPr>
        <w:t> </w:t>
      </w:r>
      <w:r>
        <w:rPr/>
        <w:t>Strong,</w:t>
      </w:r>
      <w:r>
        <w:rPr>
          <w:spacing w:val="-2"/>
        </w:rPr>
        <w:t> </w:t>
      </w:r>
      <w:r>
        <w:rPr/>
        <w:t>K.,</w:t>
      </w:r>
      <w:r>
        <w:rPr>
          <w:spacing w:val="-4"/>
        </w:rPr>
        <w:t> </w:t>
      </w:r>
      <w:r>
        <w:rPr/>
        <w:t>Thompson, J.A., and Thomson, P.C. (1998). The performance of wild-canid traps in Australia: efficiency, selectivity and trap-related injuries. </w:t>
      </w:r>
      <w:r>
        <w:rPr>
          <w:i/>
        </w:rPr>
        <w:t>Wildlife Research </w:t>
      </w:r>
      <w:r>
        <w:rPr>
          <w:b/>
        </w:rPr>
        <w:t>25</w:t>
      </w:r>
      <w:r>
        <w:rPr/>
        <w:t>(3):327–38. doi: </w:t>
      </w:r>
      <w:hyperlink r:id="rId94">
        <w:r>
          <w:rPr>
            <w:spacing w:val="-2"/>
          </w:rPr>
          <w:t>http://dx.doi.org/10.1071/WR95066.</w:t>
        </w:r>
      </w:hyperlink>
    </w:p>
    <w:p>
      <w:pPr>
        <w:pStyle w:val="BodyText"/>
        <w:spacing w:before="9"/>
      </w:pPr>
    </w:p>
    <w:p>
      <w:pPr>
        <w:pStyle w:val="BodyText"/>
        <w:ind w:left="833" w:right="544" w:hanging="721"/>
      </w:pPr>
      <w:r>
        <w:rPr/>
        <w:t>Fleming,</w:t>
      </w:r>
      <w:r>
        <w:rPr>
          <w:spacing w:val="-3"/>
        </w:rPr>
        <w:t> </w:t>
      </w:r>
      <w:r>
        <w:rPr/>
        <w:t>P.J.S.,</w:t>
      </w:r>
      <w:r>
        <w:rPr>
          <w:spacing w:val="-1"/>
        </w:rPr>
        <w:t> </w:t>
      </w:r>
      <w:r>
        <w:rPr/>
        <w:t>Choquenot,</w:t>
      </w:r>
      <w:r>
        <w:rPr>
          <w:spacing w:val="-3"/>
        </w:rPr>
        <w:t> </w:t>
      </w:r>
      <w:r>
        <w:rPr/>
        <w:t>D.,</w:t>
      </w:r>
      <w:r>
        <w:rPr>
          <w:spacing w:val="-3"/>
        </w:rPr>
        <w:t> </w:t>
      </w:r>
      <w:r>
        <w:rPr/>
        <w:t>and</w:t>
      </w:r>
      <w:r>
        <w:rPr>
          <w:spacing w:val="-2"/>
        </w:rPr>
        <w:t> </w:t>
      </w:r>
      <w:r>
        <w:rPr/>
        <w:t>Mason,</w:t>
      </w:r>
      <w:r>
        <w:rPr>
          <w:spacing w:val="-1"/>
        </w:rPr>
        <w:t> </w:t>
      </w:r>
      <w:r>
        <w:rPr/>
        <w:t>R.J.</w:t>
      </w:r>
      <w:r>
        <w:rPr>
          <w:spacing w:val="-3"/>
        </w:rPr>
        <w:t> </w:t>
      </w:r>
      <w:r>
        <w:rPr/>
        <w:t>(2000).</w:t>
      </w:r>
      <w:r>
        <w:rPr>
          <w:spacing w:val="-3"/>
        </w:rPr>
        <w:t> </w:t>
      </w:r>
      <w:r>
        <w:rPr/>
        <w:t>Aerial</w:t>
      </w:r>
      <w:r>
        <w:rPr>
          <w:spacing w:val="-2"/>
        </w:rPr>
        <w:t> </w:t>
      </w:r>
      <w:r>
        <w:rPr/>
        <w:t>baiting</w:t>
      </w:r>
      <w:r>
        <w:rPr>
          <w:spacing w:val="-4"/>
        </w:rPr>
        <w:t> </w:t>
      </w:r>
      <w:r>
        <w:rPr/>
        <w:t>of</w:t>
      </w:r>
      <w:r>
        <w:rPr>
          <w:spacing w:val="-3"/>
        </w:rPr>
        <w:t> </w:t>
      </w:r>
      <w:r>
        <w:rPr/>
        <w:t>feral</w:t>
      </w:r>
      <w:r>
        <w:rPr>
          <w:spacing w:val="-4"/>
        </w:rPr>
        <w:t> </w:t>
      </w:r>
      <w:r>
        <w:rPr/>
        <w:t>pigs (</w:t>
      </w:r>
      <w:r>
        <w:rPr>
          <w:i/>
        </w:rPr>
        <w:t>Sus</w:t>
      </w:r>
      <w:r>
        <w:rPr>
          <w:i/>
          <w:spacing w:val="-2"/>
        </w:rPr>
        <w:t> </w:t>
      </w:r>
      <w:r>
        <w:rPr>
          <w:i/>
        </w:rPr>
        <w:t>scrofa</w:t>
      </w:r>
      <w:r>
        <w:rPr/>
        <w:t>)</w:t>
      </w:r>
      <w:r>
        <w:rPr>
          <w:spacing w:val="-2"/>
        </w:rPr>
        <w:t> </w:t>
      </w:r>
      <w:r>
        <w:rPr/>
        <w:t>for</w:t>
      </w:r>
      <w:r>
        <w:rPr>
          <w:spacing w:val="-2"/>
        </w:rPr>
        <w:t> </w:t>
      </w:r>
      <w:r>
        <w:rPr/>
        <w:t>the control of exotic disease in the semi-arid rangelands of New South Wales. </w:t>
      </w:r>
      <w:r>
        <w:rPr>
          <w:i/>
        </w:rPr>
        <w:t>Wildlife Research</w:t>
      </w:r>
      <w:r>
        <w:rPr>
          <w:i/>
        </w:rPr>
        <w:t> </w:t>
      </w:r>
      <w:r>
        <w:rPr>
          <w:b/>
          <w:spacing w:val="-2"/>
        </w:rPr>
        <w:t>27</w:t>
      </w:r>
      <w:r>
        <w:rPr>
          <w:spacing w:val="-2"/>
        </w:rPr>
        <w:t>(5):531–37.</w:t>
      </w:r>
    </w:p>
    <w:p>
      <w:pPr>
        <w:pStyle w:val="BodyText"/>
        <w:spacing w:before="9"/>
      </w:pPr>
    </w:p>
    <w:p>
      <w:pPr>
        <w:spacing w:before="0"/>
        <w:ind w:left="833" w:right="163" w:hanging="721"/>
        <w:jc w:val="left"/>
        <w:rPr>
          <w:sz w:val="20"/>
        </w:rPr>
      </w:pPr>
      <w:r>
        <w:rPr>
          <w:sz w:val="20"/>
        </w:rPr>
        <w:t>Fleming,</w:t>
      </w:r>
      <w:r>
        <w:rPr>
          <w:spacing w:val="-4"/>
          <w:sz w:val="20"/>
        </w:rPr>
        <w:t> </w:t>
      </w:r>
      <w:r>
        <w:rPr>
          <w:sz w:val="20"/>
        </w:rPr>
        <w:t>P.J.S.,</w:t>
      </w:r>
      <w:r>
        <w:rPr>
          <w:spacing w:val="-2"/>
          <w:sz w:val="20"/>
        </w:rPr>
        <w:t> </w:t>
      </w:r>
      <w:r>
        <w:rPr>
          <w:sz w:val="20"/>
        </w:rPr>
        <w:t>Corbett,</w:t>
      </w:r>
      <w:r>
        <w:rPr>
          <w:spacing w:val="-4"/>
          <w:sz w:val="20"/>
        </w:rPr>
        <w:t> </w:t>
      </w:r>
      <w:r>
        <w:rPr>
          <w:sz w:val="20"/>
        </w:rPr>
        <w:t>L.,</w:t>
      </w:r>
      <w:r>
        <w:rPr>
          <w:spacing w:val="-4"/>
          <w:sz w:val="20"/>
        </w:rPr>
        <w:t> </w:t>
      </w:r>
      <w:r>
        <w:rPr>
          <w:sz w:val="20"/>
        </w:rPr>
        <w:t>Harden,</w:t>
      </w:r>
      <w:r>
        <w:rPr>
          <w:spacing w:val="-4"/>
          <w:sz w:val="20"/>
        </w:rPr>
        <w:t> </w:t>
      </w:r>
      <w:r>
        <w:rPr>
          <w:sz w:val="20"/>
        </w:rPr>
        <w:t>R.,</w:t>
      </w:r>
      <w:r>
        <w:rPr>
          <w:spacing w:val="-2"/>
          <w:sz w:val="20"/>
        </w:rPr>
        <w:t> </w:t>
      </w:r>
      <w:r>
        <w:rPr>
          <w:sz w:val="20"/>
        </w:rPr>
        <w:t>Thomson,</w:t>
      </w:r>
      <w:r>
        <w:rPr>
          <w:spacing w:val="-2"/>
          <w:sz w:val="20"/>
        </w:rPr>
        <w:t> </w:t>
      </w:r>
      <w:r>
        <w:rPr>
          <w:sz w:val="20"/>
        </w:rPr>
        <w:t>P.,</w:t>
      </w:r>
      <w:r>
        <w:rPr>
          <w:spacing w:val="-2"/>
          <w:sz w:val="20"/>
        </w:rPr>
        <w:t> </w:t>
      </w:r>
      <w:r>
        <w:rPr>
          <w:sz w:val="20"/>
        </w:rPr>
        <w:t>and</w:t>
      </w:r>
      <w:r>
        <w:rPr>
          <w:spacing w:val="-2"/>
          <w:sz w:val="20"/>
        </w:rPr>
        <w:t> </w:t>
      </w:r>
      <w:r>
        <w:rPr>
          <w:sz w:val="20"/>
        </w:rPr>
        <w:t>Bomford,</w:t>
      </w:r>
      <w:r>
        <w:rPr>
          <w:spacing w:val="-2"/>
          <w:sz w:val="20"/>
        </w:rPr>
        <w:t> </w:t>
      </w:r>
      <w:r>
        <w:rPr>
          <w:sz w:val="20"/>
        </w:rPr>
        <w:t>M.</w:t>
      </w:r>
      <w:r>
        <w:rPr>
          <w:spacing w:val="-4"/>
          <w:sz w:val="20"/>
        </w:rPr>
        <w:t> </w:t>
      </w:r>
      <w:r>
        <w:rPr>
          <w:sz w:val="20"/>
        </w:rPr>
        <w:t>(2001). </w:t>
      </w:r>
      <w:r>
        <w:rPr>
          <w:i/>
          <w:sz w:val="20"/>
        </w:rPr>
        <w:t>Managing</w:t>
      </w:r>
      <w:r>
        <w:rPr>
          <w:i/>
          <w:spacing w:val="-4"/>
          <w:sz w:val="20"/>
        </w:rPr>
        <w:t> </w:t>
      </w:r>
      <w:r>
        <w:rPr>
          <w:i/>
          <w:sz w:val="20"/>
        </w:rPr>
        <w:t>the</w:t>
      </w:r>
      <w:r>
        <w:rPr>
          <w:i/>
          <w:spacing w:val="-4"/>
          <w:sz w:val="20"/>
        </w:rPr>
        <w:t> </w:t>
      </w:r>
      <w:r>
        <w:rPr>
          <w:i/>
          <w:sz w:val="20"/>
        </w:rPr>
        <w:t>impacts</w:t>
      </w:r>
      <w:r>
        <w:rPr>
          <w:i/>
          <w:spacing w:val="-3"/>
          <w:sz w:val="20"/>
        </w:rPr>
        <w:t> </w:t>
      </w:r>
      <w:r>
        <w:rPr>
          <w:i/>
          <w:sz w:val="20"/>
        </w:rPr>
        <w:t>of</w:t>
      </w:r>
      <w:r>
        <w:rPr>
          <w:i/>
          <w:sz w:val="20"/>
        </w:rPr>
        <w:t> dingoes and other wild dogs</w:t>
      </w:r>
      <w:r>
        <w:rPr>
          <w:sz w:val="20"/>
        </w:rPr>
        <w:t>. Canberra: Bureau of Rural Sciences.</w:t>
      </w:r>
    </w:p>
    <w:p>
      <w:pPr>
        <w:pStyle w:val="BodyText"/>
        <w:spacing w:before="11"/>
      </w:pPr>
    </w:p>
    <w:p>
      <w:pPr>
        <w:pStyle w:val="BodyText"/>
        <w:ind w:left="833" w:right="163" w:hanging="721"/>
      </w:pPr>
      <w:r>
        <w:rPr/>
        <w:t>Fleming,</w:t>
      </w:r>
      <w:r>
        <w:rPr>
          <w:spacing w:val="-3"/>
        </w:rPr>
        <w:t> </w:t>
      </w:r>
      <w:r>
        <w:rPr/>
        <w:t>P.J.S.</w:t>
      </w:r>
      <w:r>
        <w:rPr>
          <w:spacing w:val="-3"/>
        </w:rPr>
        <w:t> </w:t>
      </w:r>
      <w:r>
        <w:rPr/>
        <w:t>(1996).</w:t>
      </w:r>
      <w:r>
        <w:rPr>
          <w:spacing w:val="-3"/>
        </w:rPr>
        <w:t> </w:t>
      </w:r>
      <w:r>
        <w:rPr/>
        <w:t>Ground-placed</w:t>
      </w:r>
      <w:r>
        <w:rPr>
          <w:spacing w:val="-1"/>
        </w:rPr>
        <w:t> </w:t>
      </w:r>
      <w:r>
        <w:rPr/>
        <w:t>baits</w:t>
      </w:r>
      <w:r>
        <w:rPr>
          <w:spacing w:val="-2"/>
        </w:rPr>
        <w:t> </w:t>
      </w:r>
      <w:r>
        <w:rPr/>
        <w:t>for</w:t>
      </w:r>
      <w:r>
        <w:rPr>
          <w:spacing w:val="-2"/>
        </w:rPr>
        <w:t> </w:t>
      </w:r>
      <w:r>
        <w:rPr/>
        <w:t>the</w:t>
      </w:r>
      <w:r>
        <w:rPr>
          <w:spacing w:val="-4"/>
        </w:rPr>
        <w:t> </w:t>
      </w:r>
      <w:r>
        <w:rPr/>
        <w:t>control</w:t>
      </w:r>
      <w:r>
        <w:rPr>
          <w:spacing w:val="-2"/>
        </w:rPr>
        <w:t> </w:t>
      </w:r>
      <w:r>
        <w:rPr/>
        <w:t>of</w:t>
      </w:r>
      <w:r>
        <w:rPr>
          <w:spacing w:val="-3"/>
        </w:rPr>
        <w:t> </w:t>
      </w:r>
      <w:r>
        <w:rPr/>
        <w:t>wild</w:t>
      </w:r>
      <w:r>
        <w:rPr>
          <w:spacing w:val="-3"/>
        </w:rPr>
        <w:t> </w:t>
      </w:r>
      <w:r>
        <w:rPr/>
        <w:t>dogs:</w:t>
      </w:r>
      <w:r>
        <w:rPr>
          <w:spacing w:val="-3"/>
        </w:rPr>
        <w:t> </w:t>
      </w:r>
      <w:r>
        <w:rPr/>
        <w:t>evaluation</w:t>
      </w:r>
      <w:r>
        <w:rPr>
          <w:spacing w:val="-3"/>
        </w:rPr>
        <w:t> </w:t>
      </w:r>
      <w:r>
        <w:rPr/>
        <w:t>of</w:t>
      </w:r>
      <w:r>
        <w:rPr>
          <w:spacing w:val="-1"/>
        </w:rPr>
        <w:t> </w:t>
      </w:r>
      <w:r>
        <w:rPr/>
        <w:t>a</w:t>
      </w:r>
      <w:r>
        <w:rPr>
          <w:spacing w:val="-3"/>
        </w:rPr>
        <w:t> </w:t>
      </w:r>
      <w:r>
        <w:rPr/>
        <w:t>replacement-baiting strategy in north-eastern New South Wales. </w:t>
      </w:r>
      <w:r>
        <w:rPr>
          <w:i/>
        </w:rPr>
        <w:t>Wildlife Research </w:t>
      </w:r>
      <w:r>
        <w:rPr>
          <w:b/>
        </w:rPr>
        <w:t>23</w:t>
      </w:r>
      <w:r>
        <w:rPr/>
        <w:t>:729–40.</w:t>
      </w:r>
    </w:p>
    <w:p>
      <w:pPr>
        <w:pStyle w:val="BodyText"/>
        <w:spacing w:before="11"/>
      </w:pPr>
    </w:p>
    <w:p>
      <w:pPr>
        <w:spacing w:before="0"/>
        <w:ind w:left="833" w:right="544" w:hanging="721"/>
        <w:jc w:val="left"/>
        <w:rPr>
          <w:sz w:val="20"/>
        </w:rPr>
      </w:pPr>
      <w:r>
        <w:rPr>
          <w:sz w:val="20"/>
        </w:rPr>
        <w:t>Fleming,</w:t>
      </w:r>
      <w:r>
        <w:rPr>
          <w:spacing w:val="-4"/>
          <w:sz w:val="20"/>
        </w:rPr>
        <w:t> </w:t>
      </w:r>
      <w:r>
        <w:rPr>
          <w:sz w:val="20"/>
        </w:rPr>
        <w:t>P.J.S.,</w:t>
      </w:r>
      <w:r>
        <w:rPr>
          <w:spacing w:val="-2"/>
          <w:sz w:val="20"/>
        </w:rPr>
        <w:t> </w:t>
      </w:r>
      <w:r>
        <w:rPr>
          <w:sz w:val="20"/>
        </w:rPr>
        <w:t>and</w:t>
      </w:r>
      <w:r>
        <w:rPr>
          <w:spacing w:val="-2"/>
          <w:sz w:val="20"/>
        </w:rPr>
        <w:t> </w:t>
      </w:r>
      <w:r>
        <w:rPr>
          <w:sz w:val="20"/>
        </w:rPr>
        <w:t>Ballard,</w:t>
      </w:r>
      <w:r>
        <w:rPr>
          <w:spacing w:val="-4"/>
          <w:sz w:val="20"/>
        </w:rPr>
        <w:t> </w:t>
      </w:r>
      <w:r>
        <w:rPr>
          <w:sz w:val="20"/>
        </w:rPr>
        <w:t>G.</w:t>
      </w:r>
      <w:r>
        <w:rPr>
          <w:spacing w:val="-4"/>
          <w:sz w:val="20"/>
        </w:rPr>
        <w:t> </w:t>
      </w:r>
      <w:r>
        <w:rPr>
          <w:sz w:val="20"/>
        </w:rPr>
        <w:t>(2014). </w:t>
      </w:r>
      <w:r>
        <w:rPr>
          <w:i/>
          <w:sz w:val="20"/>
        </w:rPr>
        <w:t>An</w:t>
      </w:r>
      <w:r>
        <w:rPr>
          <w:i/>
          <w:spacing w:val="-2"/>
          <w:sz w:val="20"/>
        </w:rPr>
        <w:t> </w:t>
      </w:r>
      <w:r>
        <w:rPr>
          <w:i/>
          <w:sz w:val="20"/>
        </w:rPr>
        <w:t>investigation</w:t>
      </w:r>
      <w:r>
        <w:rPr>
          <w:i/>
          <w:spacing w:val="-5"/>
          <w:sz w:val="20"/>
        </w:rPr>
        <w:t> </w:t>
      </w:r>
      <w:r>
        <w:rPr>
          <w:i/>
          <w:sz w:val="20"/>
        </w:rPr>
        <w:t>of</w:t>
      </w:r>
      <w:r>
        <w:rPr>
          <w:i/>
          <w:spacing w:val="-2"/>
          <w:sz w:val="20"/>
        </w:rPr>
        <w:t> </w:t>
      </w:r>
      <w:r>
        <w:rPr>
          <w:i/>
          <w:sz w:val="20"/>
        </w:rPr>
        <w:t>aerial</w:t>
      </w:r>
      <w:r>
        <w:rPr>
          <w:i/>
          <w:spacing w:val="-3"/>
          <w:sz w:val="20"/>
        </w:rPr>
        <w:t> </w:t>
      </w:r>
      <w:r>
        <w:rPr>
          <w:i/>
          <w:sz w:val="20"/>
        </w:rPr>
        <w:t>baiting</w:t>
      </w:r>
      <w:r>
        <w:rPr>
          <w:i/>
          <w:spacing w:val="-5"/>
          <w:sz w:val="20"/>
        </w:rPr>
        <w:t> </w:t>
      </w:r>
      <w:r>
        <w:rPr>
          <w:i/>
          <w:sz w:val="20"/>
        </w:rPr>
        <w:t>rates</w:t>
      </w:r>
      <w:r>
        <w:rPr>
          <w:i/>
          <w:spacing w:val="-3"/>
          <w:sz w:val="20"/>
        </w:rPr>
        <w:t> </w:t>
      </w:r>
      <w:r>
        <w:rPr>
          <w:i/>
          <w:sz w:val="20"/>
        </w:rPr>
        <w:t>for</w:t>
      </w:r>
      <w:r>
        <w:rPr>
          <w:i/>
          <w:spacing w:val="-1"/>
          <w:sz w:val="20"/>
        </w:rPr>
        <w:t> </w:t>
      </w:r>
      <w:r>
        <w:rPr>
          <w:i/>
          <w:sz w:val="20"/>
        </w:rPr>
        <w:t>strategic</w:t>
      </w:r>
      <w:r>
        <w:rPr>
          <w:i/>
          <w:spacing w:val="-3"/>
          <w:sz w:val="20"/>
        </w:rPr>
        <w:t> </w:t>
      </w:r>
      <w:r>
        <w:rPr>
          <w:i/>
          <w:sz w:val="20"/>
        </w:rPr>
        <w:t>control</w:t>
      </w:r>
      <w:r>
        <w:rPr>
          <w:i/>
          <w:spacing w:val="-3"/>
          <w:sz w:val="20"/>
        </w:rPr>
        <w:t> </w:t>
      </w:r>
      <w:r>
        <w:rPr>
          <w:i/>
          <w:sz w:val="20"/>
        </w:rPr>
        <w:t>of</w:t>
      </w:r>
      <w:r>
        <w:rPr>
          <w:i/>
          <w:spacing w:val="-4"/>
          <w:sz w:val="20"/>
        </w:rPr>
        <w:t> </w:t>
      </w:r>
      <w:r>
        <w:rPr>
          <w:i/>
          <w:sz w:val="20"/>
        </w:rPr>
        <w:t>wild</w:t>
      </w:r>
      <w:r>
        <w:rPr>
          <w:i/>
          <w:sz w:val="20"/>
        </w:rPr>
        <w:t> dogs: final report to biosecurity NSW, local land services and the Australian pesticides and veterinary medicines authority. </w:t>
      </w:r>
      <w:r>
        <w:rPr>
          <w:sz w:val="20"/>
        </w:rPr>
        <w:t>New South Wales Department of Primary Industries.</w:t>
      </w:r>
    </w:p>
    <w:p>
      <w:pPr>
        <w:pStyle w:val="BodyText"/>
        <w:spacing w:before="9"/>
      </w:pPr>
    </w:p>
    <w:p>
      <w:pPr>
        <w:pStyle w:val="BodyText"/>
        <w:ind w:left="833" w:right="232" w:hanging="721"/>
      </w:pPr>
      <w:r>
        <w:rPr/>
        <w:t>Fleming,</w:t>
      </w:r>
      <w:r>
        <w:rPr>
          <w:spacing w:val="-4"/>
        </w:rPr>
        <w:t> </w:t>
      </w:r>
      <w:r>
        <w:rPr/>
        <w:t>P.J.S.,</w:t>
      </w:r>
      <w:r>
        <w:rPr>
          <w:spacing w:val="-2"/>
        </w:rPr>
        <w:t> </w:t>
      </w:r>
      <w:r>
        <w:rPr/>
        <w:t>and</w:t>
      </w:r>
      <w:r>
        <w:rPr>
          <w:spacing w:val="-2"/>
        </w:rPr>
        <w:t> </w:t>
      </w:r>
      <w:r>
        <w:rPr/>
        <w:t>Ballard,</w:t>
      </w:r>
      <w:r>
        <w:rPr>
          <w:spacing w:val="-4"/>
        </w:rPr>
        <w:t> </w:t>
      </w:r>
      <w:r>
        <w:rPr/>
        <w:t>G.</w:t>
      </w:r>
      <w:r>
        <w:rPr>
          <w:spacing w:val="-4"/>
        </w:rPr>
        <w:t> </w:t>
      </w:r>
      <w:r>
        <w:rPr/>
        <w:t>(2019).</w:t>
      </w:r>
      <w:r>
        <w:rPr>
          <w:spacing w:val="-2"/>
        </w:rPr>
        <w:t> </w:t>
      </w:r>
      <w:r>
        <w:rPr/>
        <w:t>Yes,</w:t>
      </w:r>
      <w:r>
        <w:rPr>
          <w:spacing w:val="-4"/>
        </w:rPr>
        <w:t> </w:t>
      </w:r>
      <w:r>
        <w:rPr/>
        <w:t>killing</w:t>
      </w:r>
      <w:r>
        <w:rPr>
          <w:spacing w:val="-2"/>
        </w:rPr>
        <w:t> </w:t>
      </w:r>
      <w:r>
        <w:rPr/>
        <w:t>is</w:t>
      </w:r>
      <w:r>
        <w:rPr>
          <w:spacing w:val="-2"/>
        </w:rPr>
        <w:t> </w:t>
      </w:r>
      <w:r>
        <w:rPr/>
        <w:t>sometimes</w:t>
      </w:r>
      <w:r>
        <w:rPr>
          <w:spacing w:val="-3"/>
        </w:rPr>
        <w:t> </w:t>
      </w:r>
      <w:r>
        <w:rPr/>
        <w:t>essential</w:t>
      </w:r>
      <w:r>
        <w:rPr>
          <w:spacing w:val="-5"/>
        </w:rPr>
        <w:t> </w:t>
      </w:r>
      <w:r>
        <w:rPr/>
        <w:t>for</w:t>
      </w:r>
      <w:r>
        <w:rPr>
          <w:spacing w:val="-4"/>
        </w:rPr>
        <w:t> </w:t>
      </w:r>
      <w:r>
        <w:rPr/>
        <w:t>conservation. </w:t>
      </w:r>
      <w:r>
        <w:rPr>
          <w:i/>
        </w:rPr>
        <w:t>Australian</w:t>
      </w:r>
      <w:r>
        <w:rPr>
          <w:i/>
        </w:rPr>
        <w:t> Zoologist </w:t>
      </w:r>
      <w:r>
        <w:rPr>
          <w:b/>
        </w:rPr>
        <w:t>40</w:t>
      </w:r>
      <w:r>
        <w:rPr/>
        <w:t>:5–12.</w:t>
      </w:r>
    </w:p>
    <w:p>
      <w:pPr>
        <w:pStyle w:val="BodyText"/>
        <w:spacing w:before="11"/>
      </w:pPr>
    </w:p>
    <w:p>
      <w:pPr>
        <w:pStyle w:val="BodyText"/>
        <w:ind w:left="833" w:right="364" w:hanging="721"/>
      </w:pPr>
      <w:r>
        <w:rPr/>
        <w:t>Fleming,</w:t>
      </w:r>
      <w:r>
        <w:rPr>
          <w:spacing w:val="-4"/>
        </w:rPr>
        <w:t> </w:t>
      </w:r>
      <w:r>
        <w:rPr/>
        <w:t>P.J.S.,</w:t>
      </w:r>
      <w:r>
        <w:rPr>
          <w:spacing w:val="-2"/>
        </w:rPr>
        <w:t> </w:t>
      </w:r>
      <w:r>
        <w:rPr/>
        <w:t>Meek,</w:t>
      </w:r>
      <w:r>
        <w:rPr>
          <w:spacing w:val="-2"/>
        </w:rPr>
        <w:t> </w:t>
      </w:r>
      <w:r>
        <w:rPr/>
        <w:t>P.D.,</w:t>
      </w:r>
      <w:r>
        <w:rPr>
          <w:spacing w:val="-4"/>
        </w:rPr>
        <w:t> </w:t>
      </w:r>
      <w:r>
        <w:rPr/>
        <w:t>and</w:t>
      </w:r>
      <w:r>
        <w:rPr>
          <w:spacing w:val="-4"/>
        </w:rPr>
        <w:t> </w:t>
      </w:r>
      <w:r>
        <w:rPr/>
        <w:t>Allen,</w:t>
      </w:r>
      <w:r>
        <w:rPr>
          <w:spacing w:val="-2"/>
        </w:rPr>
        <w:t> </w:t>
      </w:r>
      <w:r>
        <w:rPr/>
        <w:t>L.R.</w:t>
      </w:r>
      <w:r>
        <w:rPr>
          <w:spacing w:val="-4"/>
        </w:rPr>
        <w:t> </w:t>
      </w:r>
      <w:r>
        <w:rPr/>
        <w:t>(1988).</w:t>
      </w:r>
      <w:r>
        <w:rPr>
          <w:spacing w:val="-1"/>
        </w:rPr>
        <w:t> </w:t>
      </w:r>
      <w:r>
        <w:rPr/>
        <w:t>The</w:t>
      </w:r>
      <w:r>
        <w:rPr>
          <w:spacing w:val="-4"/>
        </w:rPr>
        <w:t> </w:t>
      </w:r>
      <w:r>
        <w:rPr/>
        <w:t>performance</w:t>
      </w:r>
      <w:r>
        <w:rPr>
          <w:spacing w:val="-4"/>
        </w:rPr>
        <w:t> </w:t>
      </w:r>
      <w:r>
        <w:rPr/>
        <w:t>of</w:t>
      </w:r>
      <w:r>
        <w:rPr>
          <w:spacing w:val="-2"/>
        </w:rPr>
        <w:t> </w:t>
      </w:r>
      <w:r>
        <w:rPr/>
        <w:t>wild-canid</w:t>
      </w:r>
      <w:r>
        <w:rPr>
          <w:spacing w:val="-4"/>
        </w:rPr>
        <w:t> </w:t>
      </w:r>
      <w:r>
        <w:rPr/>
        <w:t>traps</w:t>
      </w:r>
      <w:r>
        <w:rPr>
          <w:spacing w:val="-3"/>
        </w:rPr>
        <w:t> </w:t>
      </w:r>
      <w:r>
        <w:rPr/>
        <w:t>in</w:t>
      </w:r>
      <w:r>
        <w:rPr>
          <w:spacing w:val="-1"/>
        </w:rPr>
        <w:t> </w:t>
      </w:r>
      <w:r>
        <w:rPr/>
        <w:t>Australia: efficiency, selectivity and trap-related injuries. </w:t>
      </w:r>
      <w:r>
        <w:rPr>
          <w:i/>
        </w:rPr>
        <w:t>Wildlife Research </w:t>
      </w:r>
      <w:r>
        <w:rPr>
          <w:b/>
        </w:rPr>
        <w:t>25</w:t>
      </w:r>
      <w:r>
        <w:rPr/>
        <w:t>:327–38.</w:t>
      </w:r>
    </w:p>
    <w:p>
      <w:pPr>
        <w:pStyle w:val="BodyText"/>
        <w:spacing w:before="8"/>
      </w:pPr>
    </w:p>
    <w:p>
      <w:pPr>
        <w:pStyle w:val="BodyText"/>
        <w:spacing w:before="1"/>
        <w:ind w:left="833" w:right="163" w:hanging="721"/>
      </w:pPr>
      <w:r>
        <w:rPr/>
        <w:t>Fleming,</w:t>
      </w:r>
      <w:r>
        <w:rPr>
          <w:spacing w:val="-3"/>
        </w:rPr>
        <w:t> </w:t>
      </w:r>
      <w:r>
        <w:rPr/>
        <w:t>P.J.S.,</w:t>
      </w:r>
      <w:r>
        <w:rPr>
          <w:spacing w:val="-2"/>
        </w:rPr>
        <w:t> </w:t>
      </w:r>
      <w:r>
        <w:rPr/>
        <w:t>and</w:t>
      </w:r>
      <w:r>
        <w:rPr>
          <w:spacing w:val="-2"/>
        </w:rPr>
        <w:t> </w:t>
      </w:r>
      <w:r>
        <w:rPr/>
        <w:t>Parker,</w:t>
      </w:r>
      <w:r>
        <w:rPr>
          <w:spacing w:val="-3"/>
        </w:rPr>
        <w:t> </w:t>
      </w:r>
      <w:r>
        <w:rPr/>
        <w:t>R.W.</w:t>
      </w:r>
      <w:r>
        <w:rPr>
          <w:spacing w:val="-1"/>
        </w:rPr>
        <w:t> </w:t>
      </w:r>
      <w:r>
        <w:rPr/>
        <w:t>(1991).</w:t>
      </w:r>
      <w:r>
        <w:rPr>
          <w:spacing w:val="-3"/>
        </w:rPr>
        <w:t> </w:t>
      </w:r>
      <w:r>
        <w:rPr/>
        <w:t>Temporal</w:t>
      </w:r>
      <w:r>
        <w:rPr>
          <w:spacing w:val="-4"/>
        </w:rPr>
        <w:t> </w:t>
      </w:r>
      <w:r>
        <w:rPr/>
        <w:t>decline</w:t>
      </w:r>
      <w:r>
        <w:rPr>
          <w:spacing w:val="-2"/>
        </w:rPr>
        <w:t> </w:t>
      </w:r>
      <w:r>
        <w:rPr/>
        <w:t>of</w:t>
      </w:r>
      <w:r>
        <w:rPr>
          <w:spacing w:val="-2"/>
        </w:rPr>
        <w:t> </w:t>
      </w:r>
      <w:r>
        <w:rPr/>
        <w:t>1080</w:t>
      </w:r>
      <w:r>
        <w:rPr>
          <w:spacing w:val="-3"/>
        </w:rPr>
        <w:t> </w:t>
      </w:r>
      <w:r>
        <w:rPr/>
        <w:t>within</w:t>
      </w:r>
      <w:r>
        <w:rPr>
          <w:spacing w:val="-3"/>
        </w:rPr>
        <w:t> </w:t>
      </w:r>
      <w:r>
        <w:rPr/>
        <w:t>meat</w:t>
      </w:r>
      <w:r>
        <w:rPr>
          <w:spacing w:val="-2"/>
        </w:rPr>
        <w:t> </w:t>
      </w:r>
      <w:r>
        <w:rPr/>
        <w:t>baits</w:t>
      </w:r>
      <w:r>
        <w:rPr>
          <w:spacing w:val="-3"/>
        </w:rPr>
        <w:t> </w:t>
      </w:r>
      <w:r>
        <w:rPr/>
        <w:t>used</w:t>
      </w:r>
      <w:r>
        <w:rPr>
          <w:spacing w:val="-3"/>
        </w:rPr>
        <w:t> </w:t>
      </w:r>
      <w:r>
        <w:rPr/>
        <w:t>for</w:t>
      </w:r>
      <w:r>
        <w:rPr>
          <w:spacing w:val="-3"/>
        </w:rPr>
        <w:t> </w:t>
      </w:r>
      <w:r>
        <w:rPr/>
        <w:t>control</w:t>
      </w:r>
      <w:r>
        <w:rPr>
          <w:spacing w:val="-3"/>
        </w:rPr>
        <w:t> </w:t>
      </w:r>
      <w:r>
        <w:rPr/>
        <w:t>of</w:t>
      </w:r>
      <w:r>
        <w:rPr>
          <w:spacing w:val="-3"/>
        </w:rPr>
        <w:t> </w:t>
      </w:r>
      <w:r>
        <w:rPr/>
        <w:t>wild dogs in New South Wales. </w:t>
      </w:r>
      <w:r>
        <w:rPr>
          <w:i/>
        </w:rPr>
        <w:t>Wildlife Research </w:t>
      </w:r>
      <w:r>
        <w:rPr>
          <w:b/>
        </w:rPr>
        <w:t>18</w:t>
      </w:r>
      <w:r>
        <w:rPr/>
        <w:t>(6):729. doi: 10.1071/WR9910729.</w:t>
      </w:r>
    </w:p>
    <w:p>
      <w:pPr>
        <w:pStyle w:val="BodyText"/>
        <w:spacing w:before="10"/>
      </w:pPr>
    </w:p>
    <w:p>
      <w:pPr>
        <w:pStyle w:val="BodyText"/>
        <w:spacing w:before="1"/>
        <w:ind w:left="833" w:right="163" w:hanging="721"/>
      </w:pPr>
      <w:r>
        <w:rPr/>
        <w:t>Fleming,</w:t>
      </w:r>
      <w:r>
        <w:rPr>
          <w:spacing w:val="-3"/>
        </w:rPr>
        <w:t> </w:t>
      </w:r>
      <w:r>
        <w:rPr/>
        <w:t>P.J.S.,</w:t>
      </w:r>
      <w:r>
        <w:rPr>
          <w:spacing w:val="-3"/>
        </w:rPr>
        <w:t> </w:t>
      </w:r>
      <w:r>
        <w:rPr/>
        <w:t>Thompson,</w:t>
      </w:r>
      <w:r>
        <w:rPr>
          <w:spacing w:val="-3"/>
        </w:rPr>
        <w:t> </w:t>
      </w:r>
      <w:r>
        <w:rPr/>
        <w:t>J.A,</w:t>
      </w:r>
      <w:r>
        <w:rPr>
          <w:spacing w:val="-3"/>
        </w:rPr>
        <w:t> </w:t>
      </w:r>
      <w:r>
        <w:rPr/>
        <w:t>and</w:t>
      </w:r>
      <w:r>
        <w:rPr>
          <w:spacing w:val="-4"/>
        </w:rPr>
        <w:t> </w:t>
      </w:r>
      <w:r>
        <w:rPr/>
        <w:t>Nicol,</w:t>
      </w:r>
      <w:r>
        <w:rPr>
          <w:spacing w:val="-3"/>
        </w:rPr>
        <w:t> </w:t>
      </w:r>
      <w:r>
        <w:rPr/>
        <w:t>H.I.</w:t>
      </w:r>
      <w:r>
        <w:rPr>
          <w:spacing w:val="-1"/>
        </w:rPr>
        <w:t> </w:t>
      </w:r>
      <w:r>
        <w:rPr/>
        <w:t>(1996).</w:t>
      </w:r>
      <w:r>
        <w:rPr>
          <w:spacing w:val="-3"/>
        </w:rPr>
        <w:t> </w:t>
      </w:r>
      <w:r>
        <w:rPr/>
        <w:t>Indices</w:t>
      </w:r>
      <w:r>
        <w:rPr>
          <w:spacing w:val="-2"/>
        </w:rPr>
        <w:t> </w:t>
      </w:r>
      <w:r>
        <w:rPr/>
        <w:t>for</w:t>
      </w:r>
      <w:r>
        <w:rPr>
          <w:spacing w:val="-2"/>
        </w:rPr>
        <w:t> </w:t>
      </w:r>
      <w:r>
        <w:rPr/>
        <w:t>measuring</w:t>
      </w:r>
      <w:r>
        <w:rPr>
          <w:spacing w:val="-4"/>
        </w:rPr>
        <w:t> </w:t>
      </w:r>
      <w:r>
        <w:rPr/>
        <w:t>the</w:t>
      </w:r>
      <w:r>
        <w:rPr>
          <w:spacing w:val="-2"/>
        </w:rPr>
        <w:t> </w:t>
      </w:r>
      <w:r>
        <w:rPr/>
        <w:t>efficacy</w:t>
      </w:r>
      <w:r>
        <w:rPr>
          <w:spacing w:val="-2"/>
        </w:rPr>
        <w:t> </w:t>
      </w:r>
      <w:r>
        <w:rPr/>
        <w:t>of</w:t>
      </w:r>
      <w:r>
        <w:rPr>
          <w:spacing w:val="-1"/>
        </w:rPr>
        <w:t> </w:t>
      </w:r>
      <w:r>
        <w:rPr/>
        <w:t>aerial</w:t>
      </w:r>
      <w:r>
        <w:rPr>
          <w:spacing w:val="-2"/>
        </w:rPr>
        <w:t> </w:t>
      </w:r>
      <w:r>
        <w:rPr/>
        <w:t>baiting</w:t>
      </w:r>
      <w:r>
        <w:rPr>
          <w:spacing w:val="-4"/>
        </w:rPr>
        <w:t> </w:t>
      </w:r>
      <w:r>
        <w:rPr/>
        <w:t>for wild dog control in north-eastern New South Wales. </w:t>
      </w:r>
      <w:r>
        <w:rPr>
          <w:i/>
        </w:rPr>
        <w:t>Wildlife Research </w:t>
      </w:r>
      <w:r>
        <w:rPr>
          <w:b/>
        </w:rPr>
        <w:t>23</w:t>
      </w:r>
      <w:r>
        <w:rPr/>
        <w:t>(6):665–74.</w:t>
      </w:r>
    </w:p>
    <w:p>
      <w:pPr>
        <w:pStyle w:val="BodyText"/>
        <w:spacing w:before="10"/>
      </w:pPr>
    </w:p>
    <w:p>
      <w:pPr>
        <w:spacing w:before="0"/>
        <w:ind w:left="833" w:right="163" w:hanging="721"/>
        <w:jc w:val="left"/>
        <w:rPr>
          <w:sz w:val="20"/>
        </w:rPr>
      </w:pPr>
      <w:r>
        <w:rPr>
          <w:sz w:val="20"/>
        </w:rPr>
        <w:t>Fox, C. (2013). Coyotes, compassion conservation and coexistence. Pp. 119–24 in </w:t>
      </w:r>
      <w:r>
        <w:rPr>
          <w:i/>
          <w:sz w:val="20"/>
        </w:rPr>
        <w:t>Ignoring nature no more:</w:t>
      </w:r>
      <w:r>
        <w:rPr>
          <w:i/>
          <w:sz w:val="20"/>
        </w:rPr>
        <w:t> the</w:t>
      </w:r>
      <w:r>
        <w:rPr>
          <w:i/>
          <w:spacing w:val="-5"/>
          <w:sz w:val="20"/>
        </w:rPr>
        <w:t> </w:t>
      </w:r>
      <w:r>
        <w:rPr>
          <w:i/>
          <w:sz w:val="20"/>
        </w:rPr>
        <w:t>case</w:t>
      </w:r>
      <w:r>
        <w:rPr>
          <w:i/>
          <w:spacing w:val="-4"/>
          <w:sz w:val="20"/>
        </w:rPr>
        <w:t> </w:t>
      </w:r>
      <w:r>
        <w:rPr>
          <w:i/>
          <w:sz w:val="20"/>
        </w:rPr>
        <w:t>for</w:t>
      </w:r>
      <w:r>
        <w:rPr>
          <w:i/>
          <w:spacing w:val="-4"/>
          <w:sz w:val="20"/>
        </w:rPr>
        <w:t> </w:t>
      </w:r>
      <w:r>
        <w:rPr>
          <w:i/>
          <w:sz w:val="20"/>
        </w:rPr>
        <w:t>compassionate</w:t>
      </w:r>
      <w:r>
        <w:rPr>
          <w:i/>
          <w:spacing w:val="-2"/>
          <w:sz w:val="20"/>
        </w:rPr>
        <w:t> </w:t>
      </w:r>
      <w:r>
        <w:rPr>
          <w:i/>
          <w:sz w:val="20"/>
        </w:rPr>
        <w:t>conservation.</w:t>
      </w:r>
      <w:r>
        <w:rPr>
          <w:sz w:val="20"/>
        </w:rPr>
        <w:t>,</w:t>
      </w:r>
      <w:r>
        <w:rPr>
          <w:spacing w:val="-4"/>
          <w:sz w:val="20"/>
        </w:rPr>
        <w:t> </w:t>
      </w:r>
      <w:r>
        <w:rPr>
          <w:sz w:val="20"/>
        </w:rPr>
        <w:t>edited</w:t>
      </w:r>
      <w:r>
        <w:rPr>
          <w:spacing w:val="-3"/>
          <w:sz w:val="20"/>
        </w:rPr>
        <w:t> </w:t>
      </w:r>
      <w:r>
        <w:rPr>
          <w:sz w:val="20"/>
        </w:rPr>
        <w:t>by</w:t>
      </w:r>
      <w:r>
        <w:rPr>
          <w:spacing w:val="-3"/>
          <w:sz w:val="20"/>
        </w:rPr>
        <w:t> </w:t>
      </w:r>
      <w:r>
        <w:rPr>
          <w:sz w:val="20"/>
        </w:rPr>
        <w:t>M.</w:t>
      </w:r>
      <w:r>
        <w:rPr>
          <w:spacing w:val="-2"/>
          <w:sz w:val="20"/>
        </w:rPr>
        <w:t> </w:t>
      </w:r>
      <w:r>
        <w:rPr>
          <w:sz w:val="20"/>
        </w:rPr>
        <w:t>Bekoff.</w:t>
      </w:r>
      <w:r>
        <w:rPr>
          <w:spacing w:val="-4"/>
          <w:sz w:val="20"/>
        </w:rPr>
        <w:t> </w:t>
      </w:r>
      <w:r>
        <w:rPr>
          <w:sz w:val="20"/>
        </w:rPr>
        <w:t>London:</w:t>
      </w:r>
      <w:r>
        <w:rPr>
          <w:spacing w:val="-4"/>
          <w:sz w:val="20"/>
        </w:rPr>
        <w:t> </w:t>
      </w:r>
      <w:r>
        <w:rPr>
          <w:sz w:val="20"/>
        </w:rPr>
        <w:t>University</w:t>
      </w:r>
      <w:r>
        <w:rPr>
          <w:spacing w:val="-1"/>
          <w:sz w:val="20"/>
        </w:rPr>
        <w:t> </w:t>
      </w:r>
      <w:r>
        <w:rPr>
          <w:sz w:val="20"/>
        </w:rPr>
        <w:t>of</w:t>
      </w:r>
      <w:r>
        <w:rPr>
          <w:spacing w:val="-4"/>
          <w:sz w:val="20"/>
        </w:rPr>
        <w:t> </w:t>
      </w:r>
      <w:r>
        <w:rPr>
          <w:sz w:val="20"/>
        </w:rPr>
        <w:t>Chicago</w:t>
      </w:r>
      <w:r>
        <w:rPr>
          <w:spacing w:val="-2"/>
          <w:sz w:val="20"/>
        </w:rPr>
        <w:t> </w:t>
      </w:r>
      <w:r>
        <w:rPr>
          <w:sz w:val="20"/>
        </w:rPr>
        <w:t>Press.</w:t>
      </w:r>
    </w:p>
    <w:p>
      <w:pPr>
        <w:pStyle w:val="BodyText"/>
        <w:spacing w:before="9"/>
      </w:pPr>
    </w:p>
    <w:p>
      <w:pPr>
        <w:pStyle w:val="BodyText"/>
        <w:ind w:left="833" w:right="364" w:hanging="721"/>
      </w:pPr>
      <w:r>
        <w:rPr/>
        <w:t>Francis,</w:t>
      </w:r>
      <w:r>
        <w:rPr>
          <w:spacing w:val="-5"/>
        </w:rPr>
        <w:t> </w:t>
      </w:r>
      <w:r>
        <w:rPr/>
        <w:t>L.,</w:t>
      </w:r>
      <w:r>
        <w:rPr>
          <w:spacing w:val="-3"/>
        </w:rPr>
        <w:t> </w:t>
      </w:r>
      <w:r>
        <w:rPr/>
        <w:t>Robley,</w:t>
      </w:r>
      <w:r>
        <w:rPr>
          <w:spacing w:val="-3"/>
        </w:rPr>
        <w:t> </w:t>
      </w:r>
      <w:r>
        <w:rPr/>
        <w:t>A.,</w:t>
      </w:r>
      <w:r>
        <w:rPr>
          <w:spacing w:val="-5"/>
        </w:rPr>
        <w:t> </w:t>
      </w:r>
      <w:r>
        <w:rPr/>
        <w:t>and</w:t>
      </w:r>
      <w:r>
        <w:rPr>
          <w:spacing w:val="-3"/>
        </w:rPr>
        <w:t> </w:t>
      </w:r>
      <w:r>
        <w:rPr/>
        <w:t>Hradsky,</w:t>
      </w:r>
      <w:r>
        <w:rPr>
          <w:spacing w:val="-5"/>
        </w:rPr>
        <w:t> </w:t>
      </w:r>
      <w:r>
        <w:rPr/>
        <w:t>B.</w:t>
      </w:r>
      <w:r>
        <w:rPr>
          <w:spacing w:val="-1"/>
        </w:rPr>
        <w:t> </w:t>
      </w:r>
      <w:r>
        <w:rPr/>
        <w:t>(2020).</w:t>
      </w:r>
      <w:r>
        <w:rPr>
          <w:spacing w:val="-3"/>
        </w:rPr>
        <w:t> </w:t>
      </w:r>
      <w:r>
        <w:rPr/>
        <w:t>Evaluating</w:t>
      </w:r>
      <w:r>
        <w:rPr>
          <w:spacing w:val="-3"/>
        </w:rPr>
        <w:t> </w:t>
      </w:r>
      <w:r>
        <w:rPr/>
        <w:t>fox</w:t>
      </w:r>
      <w:r>
        <w:rPr>
          <w:spacing w:val="-4"/>
        </w:rPr>
        <w:t> </w:t>
      </w:r>
      <w:r>
        <w:rPr/>
        <w:t>management</w:t>
      </w:r>
      <w:r>
        <w:rPr>
          <w:spacing w:val="-5"/>
        </w:rPr>
        <w:t> </w:t>
      </w:r>
      <w:r>
        <w:rPr/>
        <w:t>strategies</w:t>
      </w:r>
      <w:r>
        <w:rPr>
          <w:spacing w:val="-4"/>
        </w:rPr>
        <w:t> </w:t>
      </w:r>
      <w:r>
        <w:rPr/>
        <w:t>using</w:t>
      </w:r>
      <w:r>
        <w:rPr>
          <w:spacing w:val="-4"/>
        </w:rPr>
        <w:t> </w:t>
      </w:r>
      <w:r>
        <w:rPr/>
        <w:t>a</w:t>
      </w:r>
      <w:r>
        <w:rPr>
          <w:spacing w:val="-5"/>
        </w:rPr>
        <w:t> </w:t>
      </w:r>
      <w:r>
        <w:rPr/>
        <w:t>spatially explicit population. Technical Report Series No. 304. Arthur Rylah Institute for Environmental Research, Department of Environment, Land, Water and Planning, Heidelberg, Victoria.</w:t>
      </w:r>
    </w:p>
    <w:p>
      <w:pPr>
        <w:pStyle w:val="BodyText"/>
        <w:spacing w:before="12"/>
      </w:pPr>
    </w:p>
    <w:p>
      <w:pPr>
        <w:pStyle w:val="BodyText"/>
        <w:ind w:left="112"/>
      </w:pPr>
      <w:r>
        <w:rPr/>
        <w:t>Franklin,</w:t>
      </w:r>
      <w:r>
        <w:rPr>
          <w:spacing w:val="-8"/>
        </w:rPr>
        <w:t> </w:t>
      </w:r>
      <w:r>
        <w:rPr/>
        <w:t>W.L.,</w:t>
      </w:r>
      <w:r>
        <w:rPr>
          <w:spacing w:val="-6"/>
        </w:rPr>
        <w:t> </w:t>
      </w:r>
      <w:r>
        <w:rPr/>
        <w:t>and</w:t>
      </w:r>
      <w:r>
        <w:rPr>
          <w:spacing w:val="-6"/>
        </w:rPr>
        <w:t> </w:t>
      </w:r>
      <w:r>
        <w:rPr/>
        <w:t>Powell,</w:t>
      </w:r>
      <w:r>
        <w:rPr>
          <w:spacing w:val="-6"/>
        </w:rPr>
        <w:t> </w:t>
      </w:r>
      <w:r>
        <w:rPr/>
        <w:t>K.J.</w:t>
      </w:r>
      <w:r>
        <w:rPr>
          <w:spacing w:val="-8"/>
        </w:rPr>
        <w:t> </w:t>
      </w:r>
      <w:r>
        <w:rPr/>
        <w:t>(1993).</w:t>
      </w:r>
      <w:r>
        <w:rPr>
          <w:spacing w:val="-4"/>
        </w:rPr>
        <w:t> </w:t>
      </w:r>
      <w:r>
        <w:rPr>
          <w:i/>
        </w:rPr>
        <w:t>Guard</w:t>
      </w:r>
      <w:r>
        <w:rPr>
          <w:i/>
          <w:spacing w:val="-8"/>
        </w:rPr>
        <w:t> </w:t>
      </w:r>
      <w:r>
        <w:rPr>
          <w:i/>
        </w:rPr>
        <w:t>llamas.</w:t>
      </w:r>
      <w:r>
        <w:rPr>
          <w:i/>
          <w:spacing w:val="-7"/>
        </w:rPr>
        <w:t> </w:t>
      </w:r>
      <w:r>
        <w:rPr/>
        <w:t>Iowa</w:t>
      </w:r>
      <w:r>
        <w:rPr>
          <w:spacing w:val="-6"/>
        </w:rPr>
        <w:t> </w:t>
      </w:r>
      <w:r>
        <w:rPr/>
        <w:t>State</w:t>
      </w:r>
      <w:r>
        <w:rPr>
          <w:spacing w:val="-8"/>
        </w:rPr>
        <w:t> </w:t>
      </w:r>
      <w:r>
        <w:rPr/>
        <w:t>University,</w:t>
      </w:r>
      <w:r>
        <w:rPr>
          <w:spacing w:val="-6"/>
        </w:rPr>
        <w:t> </w:t>
      </w:r>
      <w:r>
        <w:rPr>
          <w:spacing w:val="-2"/>
        </w:rPr>
        <w:t>Ames.</w:t>
      </w:r>
    </w:p>
    <w:p>
      <w:pPr>
        <w:pStyle w:val="BodyText"/>
        <w:spacing w:before="10"/>
      </w:pPr>
    </w:p>
    <w:p>
      <w:pPr>
        <w:spacing w:before="0"/>
        <w:ind w:left="833" w:right="163" w:hanging="721"/>
        <w:jc w:val="left"/>
        <w:rPr>
          <w:sz w:val="20"/>
        </w:rPr>
      </w:pPr>
      <w:r>
        <w:rPr>
          <w:sz w:val="20"/>
        </w:rPr>
        <w:t>Gad,</w:t>
      </w:r>
      <w:r>
        <w:rPr>
          <w:spacing w:val="-4"/>
          <w:sz w:val="20"/>
        </w:rPr>
        <w:t> </w:t>
      </w:r>
      <w:r>
        <w:rPr>
          <w:sz w:val="20"/>
        </w:rPr>
        <w:t>S.</w:t>
      </w:r>
      <w:r>
        <w:rPr>
          <w:spacing w:val="-4"/>
          <w:sz w:val="20"/>
        </w:rPr>
        <w:t> </w:t>
      </w:r>
      <w:r>
        <w:rPr>
          <w:sz w:val="20"/>
        </w:rPr>
        <w:t>C.</w:t>
      </w:r>
      <w:r>
        <w:rPr>
          <w:spacing w:val="-4"/>
          <w:sz w:val="20"/>
        </w:rPr>
        <w:t> </w:t>
      </w:r>
      <w:r>
        <w:rPr>
          <w:sz w:val="20"/>
        </w:rPr>
        <w:t>(2024).</w:t>
      </w:r>
      <w:r>
        <w:rPr>
          <w:spacing w:val="-1"/>
          <w:sz w:val="20"/>
        </w:rPr>
        <w:t> </w:t>
      </w:r>
      <w:r>
        <w:rPr>
          <w:sz w:val="20"/>
        </w:rPr>
        <w:t>Sodium</w:t>
      </w:r>
      <w:r>
        <w:rPr>
          <w:spacing w:val="-1"/>
          <w:sz w:val="20"/>
        </w:rPr>
        <w:t> </w:t>
      </w:r>
      <w:r>
        <w:rPr>
          <w:sz w:val="20"/>
        </w:rPr>
        <w:t>Nitrite.</w:t>
      </w:r>
      <w:r>
        <w:rPr>
          <w:spacing w:val="-2"/>
          <w:sz w:val="20"/>
        </w:rPr>
        <w:t> </w:t>
      </w:r>
      <w:r>
        <w:rPr>
          <w:sz w:val="20"/>
        </w:rPr>
        <w:t>Pp.</w:t>
      </w:r>
      <w:r>
        <w:rPr>
          <w:spacing w:val="-2"/>
          <w:sz w:val="20"/>
        </w:rPr>
        <w:t> </w:t>
      </w:r>
      <w:r>
        <w:rPr>
          <w:sz w:val="20"/>
        </w:rPr>
        <w:t>613–18</w:t>
      </w:r>
      <w:r>
        <w:rPr>
          <w:spacing w:val="-2"/>
          <w:sz w:val="20"/>
        </w:rPr>
        <w:t> </w:t>
      </w:r>
      <w:r>
        <w:rPr>
          <w:sz w:val="20"/>
        </w:rPr>
        <w:t>in</w:t>
      </w:r>
      <w:r>
        <w:rPr>
          <w:spacing w:val="-2"/>
          <w:sz w:val="20"/>
        </w:rPr>
        <w:t> </w:t>
      </w:r>
      <w:r>
        <w:rPr>
          <w:i/>
          <w:sz w:val="20"/>
        </w:rPr>
        <w:t>Encyclopedia</w:t>
      </w:r>
      <w:r>
        <w:rPr>
          <w:i/>
          <w:spacing w:val="-2"/>
          <w:sz w:val="20"/>
        </w:rPr>
        <w:t> </w:t>
      </w:r>
      <w:r>
        <w:rPr>
          <w:i/>
          <w:sz w:val="20"/>
        </w:rPr>
        <w:t>of</w:t>
      </w:r>
      <w:r>
        <w:rPr>
          <w:i/>
          <w:spacing w:val="-4"/>
          <w:sz w:val="20"/>
        </w:rPr>
        <w:t> </w:t>
      </w:r>
      <w:r>
        <w:rPr>
          <w:i/>
          <w:sz w:val="20"/>
        </w:rPr>
        <w:t>Toxicology</w:t>
      </w:r>
      <w:r>
        <w:rPr>
          <w:i/>
          <w:spacing w:val="-3"/>
          <w:sz w:val="20"/>
        </w:rPr>
        <w:t> </w:t>
      </w:r>
      <w:r>
        <w:rPr>
          <w:i/>
          <w:sz w:val="20"/>
        </w:rPr>
        <w:t>(Fourth</w:t>
      </w:r>
      <w:r>
        <w:rPr>
          <w:i/>
          <w:spacing w:val="-5"/>
          <w:sz w:val="20"/>
        </w:rPr>
        <w:t> </w:t>
      </w:r>
      <w:r>
        <w:rPr>
          <w:i/>
          <w:sz w:val="20"/>
        </w:rPr>
        <w:t>Edition)</w:t>
      </w:r>
      <w:r>
        <w:rPr>
          <w:sz w:val="20"/>
        </w:rPr>
        <w:t>,</w:t>
      </w:r>
      <w:r>
        <w:rPr>
          <w:spacing w:val="-2"/>
          <w:sz w:val="20"/>
        </w:rPr>
        <w:t> </w:t>
      </w:r>
      <w:r>
        <w:rPr>
          <w:sz w:val="20"/>
        </w:rPr>
        <w:t>edited</w:t>
      </w:r>
      <w:r>
        <w:rPr>
          <w:spacing w:val="-2"/>
          <w:sz w:val="20"/>
        </w:rPr>
        <w:t> </w:t>
      </w:r>
      <w:r>
        <w:rPr>
          <w:sz w:val="20"/>
        </w:rPr>
        <w:t>by</w:t>
      </w:r>
      <w:r>
        <w:rPr>
          <w:spacing w:val="-3"/>
          <w:sz w:val="20"/>
        </w:rPr>
        <w:t> </w:t>
      </w:r>
      <w:r>
        <w:rPr>
          <w:sz w:val="20"/>
        </w:rPr>
        <w:t>P. Wexler. Oxford: Academic Press.</w:t>
      </w:r>
    </w:p>
    <w:p>
      <w:pPr>
        <w:pStyle w:val="BodyText"/>
        <w:spacing w:before="8"/>
      </w:pPr>
    </w:p>
    <w:p>
      <w:pPr>
        <w:pStyle w:val="BodyText"/>
        <w:spacing w:before="1"/>
        <w:ind w:left="112"/>
      </w:pPr>
      <w:r>
        <w:rPr/>
        <w:t>Gangwal,</w:t>
      </w:r>
      <w:r>
        <w:rPr>
          <w:spacing w:val="-6"/>
        </w:rPr>
        <w:t> </w:t>
      </w:r>
      <w:r>
        <w:rPr/>
        <w:t>A.,</w:t>
      </w:r>
      <w:r>
        <w:rPr>
          <w:spacing w:val="-5"/>
        </w:rPr>
        <w:t> </w:t>
      </w:r>
      <w:r>
        <w:rPr/>
        <w:t>Ansari,</w:t>
      </w:r>
      <w:r>
        <w:rPr>
          <w:spacing w:val="-7"/>
        </w:rPr>
        <w:t> </w:t>
      </w:r>
      <w:r>
        <w:rPr/>
        <w:t>A.,</w:t>
      </w:r>
      <w:r>
        <w:rPr>
          <w:spacing w:val="-7"/>
        </w:rPr>
        <w:t> </w:t>
      </w:r>
      <w:r>
        <w:rPr/>
        <w:t>Ahmad,</w:t>
      </w:r>
      <w:r>
        <w:rPr>
          <w:spacing w:val="-6"/>
        </w:rPr>
        <w:t> </w:t>
      </w:r>
      <w:r>
        <w:rPr/>
        <w:t>I.,</w:t>
      </w:r>
      <w:r>
        <w:rPr>
          <w:spacing w:val="-5"/>
        </w:rPr>
        <w:t> </w:t>
      </w:r>
      <w:r>
        <w:rPr/>
        <w:t>Azad,</w:t>
      </w:r>
      <w:r>
        <w:rPr>
          <w:spacing w:val="-5"/>
        </w:rPr>
        <w:t> </w:t>
      </w:r>
      <w:r>
        <w:rPr/>
        <w:t>A.K.,</w:t>
      </w:r>
      <w:r>
        <w:rPr>
          <w:spacing w:val="-6"/>
        </w:rPr>
        <w:t> </w:t>
      </w:r>
      <w:r>
        <w:rPr/>
        <w:t>Kumarasamy,</w:t>
      </w:r>
      <w:r>
        <w:rPr>
          <w:spacing w:val="-7"/>
        </w:rPr>
        <w:t> </w:t>
      </w:r>
      <w:r>
        <w:rPr/>
        <w:t>V.,</w:t>
      </w:r>
      <w:r>
        <w:rPr>
          <w:spacing w:val="-7"/>
        </w:rPr>
        <w:t> </w:t>
      </w:r>
      <w:r>
        <w:rPr/>
        <w:t>Subramaniyan,</w:t>
      </w:r>
      <w:r>
        <w:rPr>
          <w:spacing w:val="-4"/>
        </w:rPr>
        <w:t> </w:t>
      </w:r>
      <w:r>
        <w:rPr/>
        <w:t>V.,</w:t>
      </w:r>
      <w:r>
        <w:rPr>
          <w:spacing w:val="-7"/>
        </w:rPr>
        <w:t> </w:t>
      </w:r>
      <w:r>
        <w:rPr/>
        <w:t>and</w:t>
      </w:r>
      <w:r>
        <w:rPr>
          <w:spacing w:val="-6"/>
        </w:rPr>
        <w:t> </w:t>
      </w:r>
      <w:r>
        <w:rPr/>
        <w:t>Wong,</w:t>
      </w:r>
      <w:r>
        <w:rPr>
          <w:spacing w:val="-5"/>
        </w:rPr>
        <w:t> </w:t>
      </w:r>
      <w:r>
        <w:rPr/>
        <w:t>L.S.</w:t>
      </w:r>
      <w:r>
        <w:rPr>
          <w:spacing w:val="-7"/>
        </w:rPr>
        <w:t> </w:t>
      </w:r>
      <w:r>
        <w:rPr>
          <w:spacing w:val="-2"/>
        </w:rPr>
        <w:t>(2024).</w:t>
      </w:r>
    </w:p>
    <w:p>
      <w:pPr>
        <w:pStyle w:val="BodyText"/>
        <w:ind w:left="833" w:right="427"/>
      </w:pPr>
      <w:r>
        <w:rPr/>
        <w:t>Generative</w:t>
      </w:r>
      <w:r>
        <w:rPr>
          <w:spacing w:val="-5"/>
        </w:rPr>
        <w:t> </w:t>
      </w:r>
      <w:r>
        <w:rPr/>
        <w:t>artificial</w:t>
      </w:r>
      <w:r>
        <w:rPr>
          <w:spacing w:val="-4"/>
        </w:rPr>
        <w:t> </w:t>
      </w:r>
      <w:r>
        <w:rPr/>
        <w:t>intelligence</w:t>
      </w:r>
      <w:r>
        <w:rPr>
          <w:spacing w:val="-5"/>
        </w:rPr>
        <w:t> </w:t>
      </w:r>
      <w:r>
        <w:rPr/>
        <w:t>in</w:t>
      </w:r>
      <w:r>
        <w:rPr>
          <w:spacing w:val="-3"/>
        </w:rPr>
        <w:t> </w:t>
      </w:r>
      <w:r>
        <w:rPr/>
        <w:t>drug</w:t>
      </w:r>
      <w:r>
        <w:rPr>
          <w:spacing w:val="-3"/>
        </w:rPr>
        <w:t> </w:t>
      </w:r>
      <w:r>
        <w:rPr/>
        <w:t>discovery:</w:t>
      </w:r>
      <w:r>
        <w:rPr>
          <w:spacing w:val="-5"/>
        </w:rPr>
        <w:t> </w:t>
      </w:r>
      <w:r>
        <w:rPr/>
        <w:t>basic</w:t>
      </w:r>
      <w:r>
        <w:rPr>
          <w:spacing w:val="-4"/>
        </w:rPr>
        <w:t> </w:t>
      </w:r>
      <w:r>
        <w:rPr/>
        <w:t>framework,</w:t>
      </w:r>
      <w:r>
        <w:rPr>
          <w:spacing w:val="-5"/>
        </w:rPr>
        <w:t> </w:t>
      </w:r>
      <w:r>
        <w:rPr/>
        <w:t>recent</w:t>
      </w:r>
      <w:r>
        <w:rPr>
          <w:spacing w:val="-5"/>
        </w:rPr>
        <w:t> </w:t>
      </w:r>
      <w:r>
        <w:rPr/>
        <w:t>advances,</w:t>
      </w:r>
      <w:r>
        <w:rPr>
          <w:spacing w:val="-5"/>
        </w:rPr>
        <w:t> </w:t>
      </w:r>
      <w:r>
        <w:rPr/>
        <w:t>challenges, and opportunities. </w:t>
      </w:r>
      <w:r>
        <w:rPr>
          <w:i/>
        </w:rPr>
        <w:t>Frontiers in Pharmacology </w:t>
      </w:r>
      <w:r>
        <w:rPr>
          <w:b/>
        </w:rPr>
        <w:t>15</w:t>
      </w:r>
      <w:r>
        <w:rPr/>
        <w:t>. doi: 10.3389/fphar.2024.1331062.</w:t>
      </w:r>
    </w:p>
    <w:p>
      <w:pPr>
        <w:spacing w:after="0"/>
        <w:sectPr>
          <w:pgSz w:w="11910" w:h="16850"/>
          <w:pgMar w:header="0" w:footer="688" w:top="1060" w:bottom="880" w:left="1020" w:right="780"/>
        </w:sectPr>
      </w:pPr>
    </w:p>
    <w:p>
      <w:pPr>
        <w:pStyle w:val="BodyText"/>
        <w:spacing w:before="71"/>
        <w:ind w:left="833" w:right="364" w:hanging="721"/>
      </w:pPr>
      <w:r>
        <w:rPr/>
        <w:t>Garabedian, J. E., and Kilgo, J.C. (2024). Rapid recovery of invasive wild pig (</w:t>
      </w:r>
      <w:r>
        <w:rPr>
          <w:i/>
        </w:rPr>
        <w:t>Sus scrofa</w:t>
      </w:r>
      <w:r>
        <w:rPr/>
        <w:t>) populations following</w:t>
      </w:r>
      <w:r>
        <w:rPr>
          <w:spacing w:val="-5"/>
        </w:rPr>
        <w:t> </w:t>
      </w:r>
      <w:r>
        <w:rPr/>
        <w:t>density</w:t>
      </w:r>
      <w:r>
        <w:rPr>
          <w:spacing w:val="-6"/>
        </w:rPr>
        <w:t> </w:t>
      </w:r>
      <w:r>
        <w:rPr/>
        <w:t>reduction.</w:t>
      </w:r>
      <w:r>
        <w:rPr>
          <w:spacing w:val="-2"/>
        </w:rPr>
        <w:t> </w:t>
      </w:r>
      <w:r>
        <w:rPr>
          <w:i/>
        </w:rPr>
        <w:t>Biological</w:t>
      </w:r>
      <w:r>
        <w:rPr>
          <w:i/>
          <w:spacing w:val="-7"/>
        </w:rPr>
        <w:t> </w:t>
      </w:r>
      <w:r>
        <w:rPr>
          <w:i/>
        </w:rPr>
        <w:t>Invasions</w:t>
      </w:r>
      <w:r>
        <w:rPr>
          <w:i/>
          <w:spacing w:val="-2"/>
        </w:rPr>
        <w:t> </w:t>
      </w:r>
      <w:r>
        <w:rPr>
          <w:b/>
        </w:rPr>
        <w:t>26</w:t>
      </w:r>
      <w:r>
        <w:rPr/>
        <w:t>(4):1075–89.</w:t>
      </w:r>
      <w:r>
        <w:rPr>
          <w:spacing w:val="-6"/>
        </w:rPr>
        <w:t> </w:t>
      </w:r>
      <w:r>
        <w:rPr/>
        <w:t>doi:</w:t>
      </w:r>
      <w:r>
        <w:rPr>
          <w:spacing w:val="-5"/>
        </w:rPr>
        <w:t> </w:t>
      </w:r>
      <w:r>
        <w:rPr/>
        <w:t>10.1007/s10530-023-03230-0.</w:t>
      </w:r>
    </w:p>
    <w:p>
      <w:pPr>
        <w:pStyle w:val="BodyText"/>
        <w:spacing w:before="11"/>
      </w:pPr>
    </w:p>
    <w:p>
      <w:pPr>
        <w:pStyle w:val="BodyText"/>
        <w:spacing w:before="1"/>
        <w:ind w:left="833" w:right="369" w:hanging="721"/>
        <w:jc w:val="both"/>
      </w:pPr>
      <w:r>
        <w:rPr/>
        <w:t>Gaskamp,</w:t>
      </w:r>
      <w:r>
        <w:rPr>
          <w:spacing w:val="-4"/>
        </w:rPr>
        <w:t> </w:t>
      </w:r>
      <w:r>
        <w:rPr/>
        <w:t>J.A.,</w:t>
      </w:r>
      <w:r>
        <w:rPr>
          <w:spacing w:val="-4"/>
        </w:rPr>
        <w:t> </w:t>
      </w:r>
      <w:r>
        <w:rPr/>
        <w:t>Gee,</w:t>
      </w:r>
      <w:r>
        <w:rPr>
          <w:spacing w:val="-2"/>
        </w:rPr>
        <w:t> </w:t>
      </w:r>
      <w:r>
        <w:rPr/>
        <w:t>K.L.,</w:t>
      </w:r>
      <w:r>
        <w:rPr>
          <w:spacing w:val="-2"/>
        </w:rPr>
        <w:t> </w:t>
      </w:r>
      <w:r>
        <w:rPr/>
        <w:t>Campbell,</w:t>
      </w:r>
      <w:r>
        <w:rPr>
          <w:spacing w:val="-4"/>
        </w:rPr>
        <w:t> </w:t>
      </w:r>
      <w:r>
        <w:rPr/>
        <w:t>T.A.,</w:t>
      </w:r>
      <w:r>
        <w:rPr>
          <w:spacing w:val="-2"/>
        </w:rPr>
        <w:t> </w:t>
      </w:r>
      <w:r>
        <w:rPr/>
        <w:t>Silvy,</w:t>
      </w:r>
      <w:r>
        <w:rPr>
          <w:spacing w:val="-4"/>
        </w:rPr>
        <w:t> </w:t>
      </w:r>
      <w:r>
        <w:rPr/>
        <w:t>N.J.,</w:t>
      </w:r>
      <w:r>
        <w:rPr>
          <w:spacing w:val="-2"/>
        </w:rPr>
        <w:t> </w:t>
      </w:r>
      <w:r>
        <w:rPr/>
        <w:t>and</w:t>
      </w:r>
      <w:r>
        <w:rPr>
          <w:spacing w:val="-2"/>
        </w:rPr>
        <w:t> </w:t>
      </w:r>
      <w:r>
        <w:rPr/>
        <w:t>Webb,</w:t>
      </w:r>
      <w:r>
        <w:rPr>
          <w:spacing w:val="-2"/>
        </w:rPr>
        <w:t> </w:t>
      </w:r>
      <w:r>
        <w:rPr/>
        <w:t>S.L.</w:t>
      </w:r>
      <w:r>
        <w:rPr>
          <w:spacing w:val="-2"/>
        </w:rPr>
        <w:t> </w:t>
      </w:r>
      <w:r>
        <w:rPr/>
        <w:t>(2021).</w:t>
      </w:r>
      <w:r>
        <w:rPr>
          <w:spacing w:val="-4"/>
        </w:rPr>
        <w:t> </w:t>
      </w:r>
      <w:r>
        <w:rPr/>
        <w:t>Effectiveness</w:t>
      </w:r>
      <w:r>
        <w:rPr>
          <w:spacing w:val="-3"/>
        </w:rPr>
        <w:t> </w:t>
      </w:r>
      <w:r>
        <w:rPr/>
        <w:t>and</w:t>
      </w:r>
      <w:r>
        <w:rPr>
          <w:spacing w:val="-5"/>
        </w:rPr>
        <w:t> </w:t>
      </w:r>
      <w:r>
        <w:rPr/>
        <w:t>efficiency</w:t>
      </w:r>
      <w:r>
        <w:rPr>
          <w:spacing w:val="-3"/>
        </w:rPr>
        <w:t> </w:t>
      </w:r>
      <w:r>
        <w:rPr/>
        <w:t>of corral</w:t>
      </w:r>
      <w:r>
        <w:rPr>
          <w:spacing w:val="-4"/>
        </w:rPr>
        <w:t> </w:t>
      </w:r>
      <w:r>
        <w:rPr/>
        <w:t>traps,</w:t>
      </w:r>
      <w:r>
        <w:rPr>
          <w:spacing w:val="-3"/>
        </w:rPr>
        <w:t> </w:t>
      </w:r>
      <w:r>
        <w:rPr/>
        <w:t>drop</w:t>
      </w:r>
      <w:r>
        <w:rPr>
          <w:spacing w:val="-4"/>
        </w:rPr>
        <w:t> </w:t>
      </w:r>
      <w:r>
        <w:rPr/>
        <w:t>nets</w:t>
      </w:r>
      <w:r>
        <w:rPr>
          <w:spacing w:val="-2"/>
        </w:rPr>
        <w:t> </w:t>
      </w:r>
      <w:r>
        <w:rPr/>
        <w:t>and</w:t>
      </w:r>
      <w:r>
        <w:rPr>
          <w:spacing w:val="-1"/>
        </w:rPr>
        <w:t> </w:t>
      </w:r>
      <w:r>
        <w:rPr/>
        <w:t>suspended</w:t>
      </w:r>
      <w:r>
        <w:rPr>
          <w:spacing w:val="-3"/>
        </w:rPr>
        <w:t> </w:t>
      </w:r>
      <w:r>
        <w:rPr/>
        <w:t>traps</w:t>
      </w:r>
      <w:r>
        <w:rPr>
          <w:spacing w:val="-2"/>
        </w:rPr>
        <w:t> </w:t>
      </w:r>
      <w:r>
        <w:rPr/>
        <w:t>for</w:t>
      </w:r>
      <w:r>
        <w:rPr>
          <w:spacing w:val="-2"/>
        </w:rPr>
        <w:t> </w:t>
      </w:r>
      <w:r>
        <w:rPr/>
        <w:t>capturing</w:t>
      </w:r>
      <w:r>
        <w:rPr>
          <w:spacing w:val="-4"/>
        </w:rPr>
        <w:t> </w:t>
      </w:r>
      <w:r>
        <w:rPr/>
        <w:t>wild</w:t>
      </w:r>
      <w:r>
        <w:rPr>
          <w:spacing w:val="-1"/>
        </w:rPr>
        <w:t> </w:t>
      </w:r>
      <w:r>
        <w:rPr/>
        <w:t>pigs</w:t>
      </w:r>
      <w:r>
        <w:rPr>
          <w:spacing w:val="-2"/>
        </w:rPr>
        <w:t> </w:t>
      </w:r>
      <w:r>
        <w:rPr/>
        <w:t>(</w:t>
      </w:r>
      <w:r>
        <w:rPr>
          <w:i/>
        </w:rPr>
        <w:t>Sus</w:t>
      </w:r>
      <w:r>
        <w:rPr>
          <w:i/>
          <w:spacing w:val="-2"/>
        </w:rPr>
        <w:t> </w:t>
      </w:r>
      <w:r>
        <w:rPr>
          <w:i/>
        </w:rPr>
        <w:t>scrofa</w:t>
      </w:r>
      <w:r>
        <w:rPr/>
        <w:t>). </w:t>
      </w:r>
      <w:r>
        <w:rPr>
          <w:i/>
        </w:rPr>
        <w:t>Animals</w:t>
      </w:r>
      <w:r>
        <w:rPr>
          <w:i/>
          <w:spacing w:val="-1"/>
        </w:rPr>
        <w:t> </w:t>
      </w:r>
      <w:r>
        <w:rPr>
          <w:b/>
        </w:rPr>
        <w:t>11</w:t>
      </w:r>
      <w:r>
        <w:rPr/>
        <w:t>(6):1565. doi: 10.3390/ani11061565.</w:t>
      </w:r>
    </w:p>
    <w:p>
      <w:pPr>
        <w:pStyle w:val="BodyText"/>
        <w:spacing w:before="8"/>
      </w:pPr>
    </w:p>
    <w:p>
      <w:pPr>
        <w:spacing w:before="0"/>
        <w:ind w:left="833" w:right="440" w:hanging="721"/>
        <w:jc w:val="both"/>
        <w:rPr>
          <w:sz w:val="20"/>
        </w:rPr>
      </w:pPr>
      <w:r>
        <w:rPr>
          <w:sz w:val="20"/>
        </w:rPr>
        <w:t>Geisser,</w:t>
      </w:r>
      <w:r>
        <w:rPr>
          <w:spacing w:val="-3"/>
          <w:sz w:val="20"/>
        </w:rPr>
        <w:t> </w:t>
      </w:r>
      <w:r>
        <w:rPr>
          <w:sz w:val="20"/>
        </w:rPr>
        <w:t>H.,</w:t>
      </w:r>
      <w:r>
        <w:rPr>
          <w:spacing w:val="-3"/>
          <w:sz w:val="20"/>
        </w:rPr>
        <w:t> </w:t>
      </w:r>
      <w:r>
        <w:rPr>
          <w:sz w:val="20"/>
        </w:rPr>
        <w:t>and</w:t>
      </w:r>
      <w:r>
        <w:rPr>
          <w:spacing w:val="-4"/>
          <w:sz w:val="20"/>
        </w:rPr>
        <w:t> </w:t>
      </w:r>
      <w:r>
        <w:rPr>
          <w:sz w:val="20"/>
        </w:rPr>
        <w:t>Reyer,</w:t>
      </w:r>
      <w:r>
        <w:rPr>
          <w:spacing w:val="-3"/>
          <w:sz w:val="20"/>
        </w:rPr>
        <w:t> </w:t>
      </w:r>
      <w:r>
        <w:rPr>
          <w:sz w:val="20"/>
        </w:rPr>
        <w:t>H.U.</w:t>
      </w:r>
      <w:r>
        <w:rPr>
          <w:spacing w:val="-3"/>
          <w:sz w:val="20"/>
        </w:rPr>
        <w:t> </w:t>
      </w:r>
      <w:r>
        <w:rPr>
          <w:sz w:val="20"/>
        </w:rPr>
        <w:t>(2004).</w:t>
      </w:r>
      <w:r>
        <w:rPr>
          <w:spacing w:val="-3"/>
          <w:sz w:val="20"/>
        </w:rPr>
        <w:t> </w:t>
      </w:r>
      <w:r>
        <w:rPr>
          <w:sz w:val="20"/>
        </w:rPr>
        <w:t>Efficacy</w:t>
      </w:r>
      <w:r>
        <w:rPr>
          <w:spacing w:val="-2"/>
          <w:sz w:val="20"/>
        </w:rPr>
        <w:t> </w:t>
      </w:r>
      <w:r>
        <w:rPr>
          <w:sz w:val="20"/>
        </w:rPr>
        <w:t>of</w:t>
      </w:r>
      <w:r>
        <w:rPr>
          <w:spacing w:val="-1"/>
          <w:sz w:val="20"/>
        </w:rPr>
        <w:t> </w:t>
      </w:r>
      <w:r>
        <w:rPr>
          <w:sz w:val="20"/>
        </w:rPr>
        <w:t>hunting,</w:t>
      </w:r>
      <w:r>
        <w:rPr>
          <w:spacing w:val="-3"/>
          <w:sz w:val="20"/>
        </w:rPr>
        <w:t> </w:t>
      </w:r>
      <w:r>
        <w:rPr>
          <w:sz w:val="20"/>
        </w:rPr>
        <w:t>feeding</w:t>
      </w:r>
      <w:r>
        <w:rPr>
          <w:spacing w:val="-1"/>
          <w:sz w:val="20"/>
        </w:rPr>
        <w:t> </w:t>
      </w:r>
      <w:r>
        <w:rPr>
          <w:sz w:val="20"/>
        </w:rPr>
        <w:t>and</w:t>
      </w:r>
      <w:r>
        <w:rPr>
          <w:spacing w:val="-3"/>
          <w:sz w:val="20"/>
        </w:rPr>
        <w:t> </w:t>
      </w:r>
      <w:r>
        <w:rPr>
          <w:sz w:val="20"/>
        </w:rPr>
        <w:t>fencing</w:t>
      </w:r>
      <w:r>
        <w:rPr>
          <w:spacing w:val="-3"/>
          <w:sz w:val="20"/>
        </w:rPr>
        <w:t> </w:t>
      </w:r>
      <w:r>
        <w:rPr>
          <w:sz w:val="20"/>
        </w:rPr>
        <w:t>to</w:t>
      </w:r>
      <w:r>
        <w:rPr>
          <w:spacing w:val="-3"/>
          <w:sz w:val="20"/>
        </w:rPr>
        <w:t> </w:t>
      </w:r>
      <w:r>
        <w:rPr>
          <w:sz w:val="20"/>
        </w:rPr>
        <w:t>reduce</w:t>
      </w:r>
      <w:r>
        <w:rPr>
          <w:spacing w:val="-3"/>
          <w:sz w:val="20"/>
        </w:rPr>
        <w:t> </w:t>
      </w:r>
      <w:r>
        <w:rPr>
          <w:sz w:val="20"/>
        </w:rPr>
        <w:t>crop</w:t>
      </w:r>
      <w:r>
        <w:rPr>
          <w:spacing w:val="-2"/>
          <w:sz w:val="20"/>
        </w:rPr>
        <w:t> </w:t>
      </w:r>
      <w:r>
        <w:rPr>
          <w:sz w:val="20"/>
        </w:rPr>
        <w:t>damage</w:t>
      </w:r>
      <w:r>
        <w:rPr>
          <w:spacing w:val="-3"/>
          <w:sz w:val="20"/>
        </w:rPr>
        <w:t> </w:t>
      </w:r>
      <w:r>
        <w:rPr>
          <w:sz w:val="20"/>
        </w:rPr>
        <w:t>by</w:t>
      </w:r>
      <w:r>
        <w:rPr>
          <w:spacing w:val="-2"/>
          <w:sz w:val="20"/>
        </w:rPr>
        <w:t> </w:t>
      </w:r>
      <w:r>
        <w:rPr>
          <w:sz w:val="20"/>
        </w:rPr>
        <w:t>wild boars. </w:t>
      </w:r>
      <w:r>
        <w:rPr>
          <w:i/>
          <w:sz w:val="20"/>
        </w:rPr>
        <w:t>Journal of Wildlife Management </w:t>
      </w:r>
      <w:r>
        <w:rPr>
          <w:b/>
          <w:sz w:val="20"/>
        </w:rPr>
        <w:t>68</w:t>
      </w:r>
      <w:r>
        <w:rPr>
          <w:sz w:val="20"/>
        </w:rPr>
        <w:t>(4):939–46.</w:t>
      </w:r>
    </w:p>
    <w:p>
      <w:pPr>
        <w:pStyle w:val="BodyText"/>
        <w:spacing w:before="11"/>
      </w:pPr>
    </w:p>
    <w:p>
      <w:pPr>
        <w:pStyle w:val="BodyText"/>
        <w:ind w:left="833" w:right="163" w:hanging="721"/>
      </w:pPr>
      <w:r>
        <w:rPr/>
        <w:t>Gentle,</w:t>
      </w:r>
      <w:r>
        <w:rPr>
          <w:spacing w:val="-4"/>
        </w:rPr>
        <w:t> </w:t>
      </w:r>
      <w:r>
        <w:rPr/>
        <w:t>M.</w:t>
      </w:r>
      <w:r>
        <w:rPr>
          <w:spacing w:val="-2"/>
        </w:rPr>
        <w:t> </w:t>
      </w:r>
      <w:r>
        <w:rPr/>
        <w:t>(2005).</w:t>
      </w:r>
      <w:r>
        <w:rPr>
          <w:spacing w:val="-4"/>
        </w:rPr>
        <w:t> </w:t>
      </w:r>
      <w:r>
        <w:rPr/>
        <w:t>‘Factors</w:t>
      </w:r>
      <w:r>
        <w:rPr>
          <w:spacing w:val="-2"/>
        </w:rPr>
        <w:t> </w:t>
      </w:r>
      <w:r>
        <w:rPr/>
        <w:t>affecting</w:t>
      </w:r>
      <w:r>
        <w:rPr>
          <w:spacing w:val="-5"/>
        </w:rPr>
        <w:t> </w:t>
      </w:r>
      <w:r>
        <w:rPr/>
        <w:t>the</w:t>
      </w:r>
      <w:r>
        <w:rPr>
          <w:spacing w:val="-3"/>
        </w:rPr>
        <w:t> </w:t>
      </w:r>
      <w:r>
        <w:rPr/>
        <w:t>efficiency</w:t>
      </w:r>
      <w:r>
        <w:rPr>
          <w:spacing w:val="-3"/>
        </w:rPr>
        <w:t> </w:t>
      </w:r>
      <w:r>
        <w:rPr/>
        <w:t>of</w:t>
      </w:r>
      <w:r>
        <w:rPr>
          <w:spacing w:val="-2"/>
        </w:rPr>
        <w:t> </w:t>
      </w:r>
      <w:r>
        <w:rPr/>
        <w:t>fox</w:t>
      </w:r>
      <w:r>
        <w:rPr>
          <w:spacing w:val="-3"/>
        </w:rPr>
        <w:t> </w:t>
      </w:r>
      <w:r>
        <w:rPr/>
        <w:t>(</w:t>
      </w:r>
      <w:r>
        <w:rPr>
          <w:i/>
        </w:rPr>
        <w:t>vulpes</w:t>
      </w:r>
      <w:r>
        <w:rPr>
          <w:i/>
          <w:spacing w:val="-3"/>
        </w:rPr>
        <w:t> </w:t>
      </w:r>
      <w:r>
        <w:rPr>
          <w:i/>
        </w:rPr>
        <w:t>vulpes</w:t>
      </w:r>
      <w:r>
        <w:rPr/>
        <w:t>)</w:t>
      </w:r>
      <w:r>
        <w:rPr>
          <w:spacing w:val="-3"/>
        </w:rPr>
        <w:t> </w:t>
      </w:r>
      <w:r>
        <w:rPr/>
        <w:t>baiting</w:t>
      </w:r>
      <w:r>
        <w:rPr>
          <w:spacing w:val="-3"/>
        </w:rPr>
        <w:t> </w:t>
      </w:r>
      <w:r>
        <w:rPr/>
        <w:t>practices</w:t>
      </w:r>
      <w:r>
        <w:rPr>
          <w:spacing w:val="-3"/>
        </w:rPr>
        <w:t> </w:t>
      </w:r>
      <w:r>
        <w:rPr/>
        <w:t>on</w:t>
      </w:r>
      <w:r>
        <w:rPr>
          <w:spacing w:val="-3"/>
        </w:rPr>
        <w:t> </w:t>
      </w:r>
      <w:r>
        <w:rPr/>
        <w:t>the</w:t>
      </w:r>
      <w:r>
        <w:rPr>
          <w:spacing w:val="-5"/>
        </w:rPr>
        <w:t> </w:t>
      </w:r>
      <w:r>
        <w:rPr/>
        <w:t>central tablelands of New South Wales’. PhD Thesis, University of Sydney.</w:t>
      </w:r>
    </w:p>
    <w:p>
      <w:pPr>
        <w:pStyle w:val="BodyText"/>
        <w:spacing w:before="11"/>
      </w:pPr>
    </w:p>
    <w:p>
      <w:pPr>
        <w:spacing w:before="0"/>
        <w:ind w:left="833" w:right="544" w:hanging="721"/>
        <w:jc w:val="left"/>
        <w:rPr>
          <w:sz w:val="20"/>
        </w:rPr>
      </w:pPr>
      <w:r>
        <w:rPr>
          <w:sz w:val="20"/>
        </w:rPr>
        <w:t>Gentle,</w:t>
      </w:r>
      <w:r>
        <w:rPr>
          <w:spacing w:val="-4"/>
          <w:sz w:val="20"/>
        </w:rPr>
        <w:t> </w:t>
      </w:r>
      <w:r>
        <w:rPr>
          <w:sz w:val="20"/>
        </w:rPr>
        <w:t>M.</w:t>
      </w:r>
      <w:r>
        <w:rPr>
          <w:spacing w:val="-2"/>
          <w:sz w:val="20"/>
        </w:rPr>
        <w:t> </w:t>
      </w:r>
      <w:r>
        <w:rPr>
          <w:sz w:val="20"/>
        </w:rPr>
        <w:t>(2006).</w:t>
      </w:r>
      <w:r>
        <w:rPr>
          <w:spacing w:val="-2"/>
          <w:sz w:val="20"/>
        </w:rPr>
        <w:t> </w:t>
      </w:r>
      <w:r>
        <w:rPr>
          <w:i/>
          <w:sz w:val="20"/>
        </w:rPr>
        <w:t>Red</w:t>
      </w:r>
      <w:r>
        <w:rPr>
          <w:i/>
          <w:spacing w:val="-4"/>
          <w:sz w:val="20"/>
        </w:rPr>
        <w:t> </w:t>
      </w:r>
      <w:r>
        <w:rPr>
          <w:i/>
          <w:sz w:val="20"/>
        </w:rPr>
        <w:t>fox</w:t>
      </w:r>
      <w:r>
        <w:rPr>
          <w:i/>
          <w:spacing w:val="-1"/>
          <w:sz w:val="20"/>
        </w:rPr>
        <w:t> </w:t>
      </w:r>
      <w:r>
        <w:rPr>
          <w:i/>
          <w:sz w:val="20"/>
        </w:rPr>
        <w:t>pest</w:t>
      </w:r>
      <w:r>
        <w:rPr>
          <w:i/>
          <w:spacing w:val="-4"/>
          <w:sz w:val="20"/>
        </w:rPr>
        <w:t> </w:t>
      </w:r>
      <w:r>
        <w:rPr>
          <w:i/>
          <w:sz w:val="20"/>
        </w:rPr>
        <w:t>status</w:t>
      </w:r>
      <w:r>
        <w:rPr>
          <w:i/>
          <w:spacing w:val="-3"/>
          <w:sz w:val="20"/>
        </w:rPr>
        <w:t> </w:t>
      </w:r>
      <w:r>
        <w:rPr>
          <w:i/>
          <w:sz w:val="20"/>
        </w:rPr>
        <w:t>review</w:t>
      </w:r>
      <w:r>
        <w:rPr>
          <w:sz w:val="20"/>
        </w:rPr>
        <w:t>.</w:t>
      </w:r>
      <w:r>
        <w:rPr>
          <w:spacing w:val="-4"/>
          <w:sz w:val="20"/>
        </w:rPr>
        <w:t> </w:t>
      </w:r>
      <w:r>
        <w:rPr>
          <w:sz w:val="20"/>
        </w:rPr>
        <w:t>Queensland:</w:t>
      </w:r>
      <w:r>
        <w:rPr>
          <w:spacing w:val="-4"/>
          <w:sz w:val="20"/>
        </w:rPr>
        <w:t> </w:t>
      </w:r>
      <w:r>
        <w:rPr>
          <w:sz w:val="20"/>
        </w:rPr>
        <w:t>Land</w:t>
      </w:r>
      <w:r>
        <w:rPr>
          <w:spacing w:val="-2"/>
          <w:sz w:val="20"/>
        </w:rPr>
        <w:t> </w:t>
      </w:r>
      <w:r>
        <w:rPr>
          <w:sz w:val="20"/>
        </w:rPr>
        <w:t>Protection</w:t>
      </w:r>
      <w:r>
        <w:rPr>
          <w:spacing w:val="-4"/>
          <w:sz w:val="20"/>
        </w:rPr>
        <w:t> </w:t>
      </w:r>
      <w:r>
        <w:rPr>
          <w:sz w:val="20"/>
        </w:rPr>
        <w:t>Department</w:t>
      </w:r>
      <w:r>
        <w:rPr>
          <w:spacing w:val="-2"/>
          <w:sz w:val="20"/>
        </w:rPr>
        <w:t> </w:t>
      </w:r>
      <w:r>
        <w:rPr>
          <w:sz w:val="20"/>
        </w:rPr>
        <w:t>of</w:t>
      </w:r>
      <w:r>
        <w:rPr>
          <w:spacing w:val="-4"/>
          <w:sz w:val="20"/>
        </w:rPr>
        <w:t> </w:t>
      </w:r>
      <w:r>
        <w:rPr>
          <w:sz w:val="20"/>
        </w:rPr>
        <w:t>Natural Resources and Water.</w:t>
      </w:r>
    </w:p>
    <w:p>
      <w:pPr>
        <w:pStyle w:val="BodyText"/>
        <w:spacing w:before="8"/>
      </w:pPr>
    </w:p>
    <w:p>
      <w:pPr>
        <w:spacing w:before="1"/>
        <w:ind w:left="833" w:right="232" w:hanging="721"/>
        <w:jc w:val="left"/>
        <w:rPr>
          <w:sz w:val="20"/>
        </w:rPr>
      </w:pPr>
      <w:r>
        <w:rPr>
          <w:sz w:val="20"/>
        </w:rPr>
        <w:t>Gentle, M., Elsworth, P., and Parker, B. (2005). Sodium fluoroacetate residue in feral pig (</w:t>
      </w:r>
      <w:r>
        <w:rPr>
          <w:i/>
          <w:sz w:val="20"/>
        </w:rPr>
        <w:t>Sus scrofa</w:t>
      </w:r>
      <w:r>
        <w:rPr>
          <w:sz w:val="20"/>
        </w:rPr>
        <w:t>) carcasses</w:t>
      </w:r>
      <w:r>
        <w:rPr>
          <w:spacing w:val="-1"/>
          <w:sz w:val="20"/>
        </w:rPr>
        <w:t> </w:t>
      </w:r>
      <w:r>
        <w:rPr>
          <w:sz w:val="20"/>
        </w:rPr>
        <w:t>-</w:t>
      </w:r>
      <w:r>
        <w:rPr>
          <w:spacing w:val="-2"/>
          <w:sz w:val="20"/>
        </w:rPr>
        <w:t> </w:t>
      </w:r>
      <w:r>
        <w:rPr>
          <w:sz w:val="20"/>
        </w:rPr>
        <w:t>is</w:t>
      </w:r>
      <w:r>
        <w:rPr>
          <w:spacing w:val="-2"/>
          <w:sz w:val="20"/>
        </w:rPr>
        <w:t> </w:t>
      </w:r>
      <w:r>
        <w:rPr>
          <w:sz w:val="20"/>
        </w:rPr>
        <w:t>it</w:t>
      </w:r>
      <w:r>
        <w:rPr>
          <w:spacing w:val="-3"/>
          <w:sz w:val="20"/>
        </w:rPr>
        <w:t> </w:t>
      </w:r>
      <w:r>
        <w:rPr>
          <w:sz w:val="20"/>
        </w:rPr>
        <w:t>a</w:t>
      </w:r>
      <w:r>
        <w:rPr>
          <w:spacing w:val="-4"/>
          <w:sz w:val="20"/>
        </w:rPr>
        <w:t> </w:t>
      </w:r>
      <w:r>
        <w:rPr>
          <w:sz w:val="20"/>
        </w:rPr>
        <w:t>significant</w:t>
      </w:r>
      <w:r>
        <w:rPr>
          <w:spacing w:val="-3"/>
          <w:sz w:val="20"/>
        </w:rPr>
        <w:t> </w:t>
      </w:r>
      <w:r>
        <w:rPr>
          <w:sz w:val="20"/>
        </w:rPr>
        <w:t>secondary</w:t>
      </w:r>
      <w:r>
        <w:rPr>
          <w:spacing w:val="-2"/>
          <w:sz w:val="20"/>
        </w:rPr>
        <w:t> </w:t>
      </w:r>
      <w:r>
        <w:rPr>
          <w:sz w:val="20"/>
        </w:rPr>
        <w:t>poisoning</w:t>
      </w:r>
      <w:r>
        <w:rPr>
          <w:spacing w:val="-3"/>
          <w:sz w:val="20"/>
        </w:rPr>
        <w:t> </w:t>
      </w:r>
      <w:r>
        <w:rPr>
          <w:sz w:val="20"/>
        </w:rPr>
        <w:t>hazard?</w:t>
      </w:r>
      <w:r>
        <w:rPr>
          <w:spacing w:val="-3"/>
          <w:sz w:val="20"/>
        </w:rPr>
        <w:t> </w:t>
      </w:r>
      <w:r>
        <w:rPr>
          <w:sz w:val="20"/>
        </w:rPr>
        <w:t>Pp.</w:t>
      </w:r>
      <w:r>
        <w:rPr>
          <w:spacing w:val="-3"/>
          <w:sz w:val="20"/>
        </w:rPr>
        <w:t> </w:t>
      </w:r>
      <w:r>
        <w:rPr>
          <w:sz w:val="20"/>
        </w:rPr>
        <w:t>143–47</w:t>
      </w:r>
      <w:r>
        <w:rPr>
          <w:spacing w:val="-1"/>
          <w:sz w:val="20"/>
        </w:rPr>
        <w:t> </w:t>
      </w:r>
      <w:r>
        <w:rPr>
          <w:sz w:val="20"/>
        </w:rPr>
        <w:t>in,</w:t>
      </w:r>
      <w:r>
        <w:rPr>
          <w:spacing w:val="-1"/>
          <w:sz w:val="20"/>
        </w:rPr>
        <w:t> </w:t>
      </w:r>
      <w:r>
        <w:rPr>
          <w:i/>
          <w:sz w:val="20"/>
        </w:rPr>
        <w:t>Proceedings</w:t>
      </w:r>
      <w:r>
        <w:rPr>
          <w:i/>
          <w:spacing w:val="-2"/>
          <w:sz w:val="20"/>
        </w:rPr>
        <w:t> </w:t>
      </w:r>
      <w:r>
        <w:rPr>
          <w:i/>
          <w:sz w:val="20"/>
        </w:rPr>
        <w:t>of</w:t>
      </w:r>
      <w:r>
        <w:rPr>
          <w:i/>
          <w:spacing w:val="-3"/>
          <w:sz w:val="20"/>
        </w:rPr>
        <w:t> </w:t>
      </w:r>
      <w:r>
        <w:rPr>
          <w:i/>
          <w:sz w:val="20"/>
        </w:rPr>
        <w:t>the</w:t>
      </w:r>
      <w:r>
        <w:rPr>
          <w:i/>
          <w:spacing w:val="-3"/>
          <w:sz w:val="20"/>
        </w:rPr>
        <w:t> </w:t>
      </w:r>
      <w:r>
        <w:rPr>
          <w:i/>
          <w:sz w:val="20"/>
        </w:rPr>
        <w:t>13th</w:t>
      </w:r>
      <w:r>
        <w:rPr>
          <w:i/>
          <w:sz w:val="20"/>
        </w:rPr>
        <w:t> Australasian Vertebrate Pest Conference</w:t>
      </w:r>
      <w:r>
        <w:rPr>
          <w:sz w:val="20"/>
        </w:rPr>
        <w:t>.</w:t>
      </w:r>
    </w:p>
    <w:p>
      <w:pPr>
        <w:pStyle w:val="BodyText"/>
        <w:spacing w:before="11"/>
      </w:pPr>
    </w:p>
    <w:p>
      <w:pPr>
        <w:pStyle w:val="BodyText"/>
        <w:ind w:left="833" w:right="163" w:hanging="721"/>
      </w:pPr>
      <w:r>
        <w:rPr/>
        <w:t>Gentle,</w:t>
      </w:r>
      <w:r>
        <w:rPr>
          <w:spacing w:val="-4"/>
        </w:rPr>
        <w:t> </w:t>
      </w:r>
      <w:r>
        <w:rPr/>
        <w:t>M.,</w:t>
      </w:r>
      <w:r>
        <w:rPr>
          <w:spacing w:val="-4"/>
        </w:rPr>
        <w:t> </w:t>
      </w:r>
      <w:r>
        <w:rPr/>
        <w:t>Wilson,</w:t>
      </w:r>
      <w:r>
        <w:rPr>
          <w:spacing w:val="-4"/>
        </w:rPr>
        <w:t> </w:t>
      </w:r>
      <w:r>
        <w:rPr/>
        <w:t>C.,</w:t>
      </w:r>
      <w:r>
        <w:rPr>
          <w:spacing w:val="-4"/>
        </w:rPr>
        <w:t> </w:t>
      </w:r>
      <w:r>
        <w:rPr/>
        <w:t>and</w:t>
      </w:r>
      <w:r>
        <w:rPr>
          <w:spacing w:val="-2"/>
        </w:rPr>
        <w:t> </w:t>
      </w:r>
      <w:r>
        <w:rPr/>
        <w:t>Cuskelly,</w:t>
      </w:r>
      <w:r>
        <w:rPr>
          <w:spacing w:val="-4"/>
        </w:rPr>
        <w:t> </w:t>
      </w:r>
      <w:r>
        <w:rPr/>
        <w:t>J.</w:t>
      </w:r>
      <w:r>
        <w:rPr>
          <w:spacing w:val="-4"/>
        </w:rPr>
        <w:t> </w:t>
      </w:r>
      <w:r>
        <w:rPr/>
        <w:t>(2022).</w:t>
      </w:r>
      <w:r>
        <w:rPr>
          <w:spacing w:val="-4"/>
        </w:rPr>
        <w:t> </w:t>
      </w:r>
      <w:r>
        <w:rPr/>
        <w:t>Feral</w:t>
      </w:r>
      <w:r>
        <w:rPr>
          <w:spacing w:val="-3"/>
        </w:rPr>
        <w:t> </w:t>
      </w:r>
      <w:r>
        <w:rPr/>
        <w:t>pig</w:t>
      </w:r>
      <w:r>
        <w:rPr>
          <w:spacing w:val="-4"/>
        </w:rPr>
        <w:t> </w:t>
      </w:r>
      <w:r>
        <w:rPr/>
        <w:t>management</w:t>
      </w:r>
      <w:r>
        <w:rPr>
          <w:spacing w:val="-2"/>
        </w:rPr>
        <w:t> </w:t>
      </w:r>
      <w:r>
        <w:rPr/>
        <w:t>in Australia:</w:t>
      </w:r>
      <w:r>
        <w:rPr>
          <w:spacing w:val="-2"/>
        </w:rPr>
        <w:t> </w:t>
      </w:r>
      <w:r>
        <w:rPr/>
        <w:t>implications</w:t>
      </w:r>
      <w:r>
        <w:rPr>
          <w:spacing w:val="-3"/>
        </w:rPr>
        <w:t> </w:t>
      </w:r>
      <w:r>
        <w:rPr/>
        <w:t>for</w:t>
      </w:r>
      <w:r>
        <w:rPr>
          <w:spacing w:val="-3"/>
        </w:rPr>
        <w:t> </w:t>
      </w:r>
      <w:r>
        <w:rPr/>
        <w:t>disease control. </w:t>
      </w:r>
      <w:r>
        <w:rPr>
          <w:i/>
        </w:rPr>
        <w:t>Australian Veterinary Journal </w:t>
      </w:r>
      <w:r>
        <w:rPr>
          <w:b/>
        </w:rPr>
        <w:t>100</w:t>
      </w:r>
      <w:r>
        <w:rPr/>
        <w:t>(10):492–95. doi: 10.1111/avj.13198.</w:t>
      </w:r>
    </w:p>
    <w:p>
      <w:pPr>
        <w:pStyle w:val="BodyText"/>
        <w:spacing w:before="11"/>
      </w:pPr>
    </w:p>
    <w:p>
      <w:pPr>
        <w:pStyle w:val="BodyText"/>
        <w:ind w:left="833" w:right="387" w:hanging="721"/>
        <w:jc w:val="both"/>
      </w:pPr>
      <w:r>
        <w:rPr/>
        <w:t>Gentle,</w:t>
      </w:r>
      <w:r>
        <w:rPr>
          <w:spacing w:val="-3"/>
        </w:rPr>
        <w:t> </w:t>
      </w:r>
      <w:r>
        <w:rPr/>
        <w:t>M.,</w:t>
      </w:r>
      <w:r>
        <w:rPr>
          <w:spacing w:val="-3"/>
        </w:rPr>
        <w:t> </w:t>
      </w:r>
      <w:r>
        <w:rPr/>
        <w:t>and</w:t>
      </w:r>
      <w:r>
        <w:rPr>
          <w:spacing w:val="-3"/>
        </w:rPr>
        <w:t> </w:t>
      </w:r>
      <w:r>
        <w:rPr/>
        <w:t>Cother,</w:t>
      </w:r>
      <w:r>
        <w:rPr>
          <w:spacing w:val="-1"/>
        </w:rPr>
        <w:t> </w:t>
      </w:r>
      <w:r>
        <w:rPr/>
        <w:t>E.</w:t>
      </w:r>
      <w:r>
        <w:rPr>
          <w:spacing w:val="-3"/>
        </w:rPr>
        <w:t> </w:t>
      </w:r>
      <w:r>
        <w:rPr/>
        <w:t>(2014).</w:t>
      </w:r>
      <w:r>
        <w:rPr>
          <w:spacing w:val="-1"/>
        </w:rPr>
        <w:t> </w:t>
      </w:r>
      <w:r>
        <w:rPr/>
        <w:t>Biodegradation</w:t>
      </w:r>
      <w:r>
        <w:rPr>
          <w:spacing w:val="-2"/>
        </w:rPr>
        <w:t> </w:t>
      </w:r>
      <w:r>
        <w:rPr/>
        <w:t>of</w:t>
      </w:r>
      <w:r>
        <w:rPr>
          <w:spacing w:val="-3"/>
        </w:rPr>
        <w:t> </w:t>
      </w:r>
      <w:r>
        <w:rPr/>
        <w:t>1080:</w:t>
      </w:r>
      <w:r>
        <w:rPr>
          <w:spacing w:val="-1"/>
        </w:rPr>
        <w:t> </w:t>
      </w:r>
      <w:r>
        <w:rPr/>
        <w:t>testing</w:t>
      </w:r>
      <w:r>
        <w:rPr>
          <w:spacing w:val="-4"/>
        </w:rPr>
        <w:t> </w:t>
      </w:r>
      <w:r>
        <w:rPr/>
        <w:t>soils</w:t>
      </w:r>
      <w:r>
        <w:rPr>
          <w:spacing w:val="-2"/>
        </w:rPr>
        <w:t> </w:t>
      </w:r>
      <w:r>
        <w:rPr/>
        <w:t>in</w:t>
      </w:r>
      <w:r>
        <w:rPr>
          <w:spacing w:val="-3"/>
        </w:rPr>
        <w:t> </w:t>
      </w:r>
      <w:r>
        <w:rPr/>
        <w:t>south-eastern</w:t>
      </w:r>
      <w:r>
        <w:rPr>
          <w:spacing w:val="-2"/>
        </w:rPr>
        <w:t> </w:t>
      </w:r>
      <w:r>
        <w:rPr/>
        <w:t>Australia</w:t>
      </w:r>
      <w:r>
        <w:rPr>
          <w:spacing w:val="-2"/>
        </w:rPr>
        <w:t> </w:t>
      </w:r>
      <w:r>
        <w:rPr/>
        <w:t>for</w:t>
      </w:r>
      <w:r>
        <w:rPr>
          <w:spacing w:val="-3"/>
        </w:rPr>
        <w:t> </w:t>
      </w:r>
      <w:r>
        <w:rPr/>
        <w:t>sodium fluoroacetate-degrading micro-organisms. </w:t>
      </w:r>
      <w:r>
        <w:rPr>
          <w:i/>
        </w:rPr>
        <w:t>Ecological Management &amp; Restoration </w:t>
      </w:r>
      <w:r>
        <w:rPr>
          <w:b/>
        </w:rPr>
        <w:t>15</w:t>
      </w:r>
      <w:r>
        <w:rPr/>
        <w:t>(1):52–57.</w:t>
      </w:r>
    </w:p>
    <w:p>
      <w:pPr>
        <w:pStyle w:val="BodyText"/>
        <w:spacing w:before="9"/>
      </w:pPr>
    </w:p>
    <w:p>
      <w:pPr>
        <w:pStyle w:val="BodyText"/>
        <w:ind w:left="112"/>
      </w:pPr>
      <w:r>
        <w:rPr/>
        <w:t>Gentle,</w:t>
      </w:r>
      <w:r>
        <w:rPr>
          <w:spacing w:val="-8"/>
        </w:rPr>
        <w:t> </w:t>
      </w:r>
      <w:r>
        <w:rPr/>
        <w:t>M.,</w:t>
      </w:r>
      <w:r>
        <w:rPr>
          <w:spacing w:val="-8"/>
        </w:rPr>
        <w:t> </w:t>
      </w:r>
      <w:r>
        <w:rPr/>
        <w:t>and</w:t>
      </w:r>
      <w:r>
        <w:rPr>
          <w:spacing w:val="-6"/>
        </w:rPr>
        <w:t> </w:t>
      </w:r>
      <w:r>
        <w:rPr/>
        <w:t>Pople,</w:t>
      </w:r>
      <w:r>
        <w:rPr>
          <w:spacing w:val="-5"/>
        </w:rPr>
        <w:t> </w:t>
      </w:r>
      <w:r>
        <w:rPr/>
        <w:t>A.</w:t>
      </w:r>
      <w:r>
        <w:rPr>
          <w:spacing w:val="-8"/>
        </w:rPr>
        <w:t> </w:t>
      </w:r>
      <w:r>
        <w:rPr/>
        <w:t>(2013).</w:t>
      </w:r>
      <w:r>
        <w:rPr>
          <w:spacing w:val="-6"/>
        </w:rPr>
        <w:t> </w:t>
      </w:r>
      <w:r>
        <w:rPr/>
        <w:t>Effectiveness</w:t>
      </w:r>
      <w:r>
        <w:rPr>
          <w:spacing w:val="-7"/>
        </w:rPr>
        <w:t> </w:t>
      </w:r>
      <w:r>
        <w:rPr/>
        <w:t>of</w:t>
      </w:r>
      <w:r>
        <w:rPr>
          <w:spacing w:val="-7"/>
        </w:rPr>
        <w:t> </w:t>
      </w:r>
      <w:r>
        <w:rPr/>
        <w:t>commercial</w:t>
      </w:r>
      <w:r>
        <w:rPr>
          <w:spacing w:val="-7"/>
        </w:rPr>
        <w:t> </w:t>
      </w:r>
      <w:r>
        <w:rPr/>
        <w:t>harvesting</w:t>
      </w:r>
      <w:r>
        <w:rPr>
          <w:spacing w:val="-8"/>
        </w:rPr>
        <w:t> </w:t>
      </w:r>
      <w:r>
        <w:rPr/>
        <w:t>in</w:t>
      </w:r>
      <w:r>
        <w:rPr>
          <w:spacing w:val="-7"/>
        </w:rPr>
        <w:t> </w:t>
      </w:r>
      <w:r>
        <w:rPr/>
        <w:t>controlling</w:t>
      </w:r>
      <w:r>
        <w:rPr>
          <w:spacing w:val="-6"/>
        </w:rPr>
        <w:t> </w:t>
      </w:r>
      <w:r>
        <w:rPr/>
        <w:t>feral-pig</w:t>
      </w:r>
      <w:r>
        <w:rPr>
          <w:spacing w:val="-8"/>
        </w:rPr>
        <w:t> </w:t>
      </w:r>
      <w:r>
        <w:rPr>
          <w:spacing w:val="-2"/>
        </w:rPr>
        <w:t>populations.</w:t>
      </w:r>
    </w:p>
    <w:p>
      <w:pPr>
        <w:spacing w:before="0"/>
        <w:ind w:left="833" w:right="0" w:firstLine="0"/>
        <w:jc w:val="left"/>
        <w:rPr>
          <w:sz w:val="20"/>
        </w:rPr>
      </w:pPr>
      <w:r>
        <w:rPr>
          <w:i/>
          <w:sz w:val="20"/>
        </w:rPr>
        <w:t>Wildlife</w:t>
      </w:r>
      <w:r>
        <w:rPr>
          <w:i/>
          <w:spacing w:val="-10"/>
          <w:sz w:val="20"/>
        </w:rPr>
        <w:t> </w:t>
      </w:r>
      <w:r>
        <w:rPr>
          <w:i/>
          <w:sz w:val="20"/>
        </w:rPr>
        <w:t>Research</w:t>
      </w:r>
      <w:r>
        <w:rPr>
          <w:i/>
          <w:spacing w:val="-8"/>
          <w:sz w:val="20"/>
        </w:rPr>
        <w:t> </w:t>
      </w:r>
      <w:r>
        <w:rPr>
          <w:b/>
          <w:sz w:val="20"/>
        </w:rPr>
        <w:t>40</w:t>
      </w:r>
      <w:r>
        <w:rPr>
          <w:sz w:val="20"/>
        </w:rPr>
        <w:t>(6):459–69.</w:t>
      </w:r>
      <w:r>
        <w:rPr>
          <w:spacing w:val="-10"/>
          <w:sz w:val="20"/>
        </w:rPr>
        <w:t> </w:t>
      </w:r>
      <w:r>
        <w:rPr>
          <w:sz w:val="20"/>
        </w:rPr>
        <w:t>doi:</w:t>
      </w:r>
      <w:r>
        <w:rPr>
          <w:spacing w:val="-7"/>
          <w:sz w:val="20"/>
        </w:rPr>
        <w:t> </w:t>
      </w:r>
      <w:r>
        <w:rPr>
          <w:spacing w:val="-2"/>
          <w:sz w:val="20"/>
        </w:rPr>
        <w:t>10.1071/WR13100.</w:t>
      </w:r>
    </w:p>
    <w:p>
      <w:pPr>
        <w:pStyle w:val="BodyText"/>
        <w:spacing w:before="10"/>
      </w:pPr>
    </w:p>
    <w:p>
      <w:pPr>
        <w:pStyle w:val="BodyText"/>
        <w:spacing w:before="1"/>
        <w:ind w:left="833" w:right="163" w:hanging="721"/>
      </w:pPr>
      <w:r>
        <w:rPr/>
        <w:t>Gentle,</w:t>
      </w:r>
      <w:r>
        <w:rPr>
          <w:spacing w:val="-3"/>
        </w:rPr>
        <w:t> </w:t>
      </w:r>
      <w:r>
        <w:rPr/>
        <w:t>M.,</w:t>
      </w:r>
      <w:r>
        <w:rPr>
          <w:spacing w:val="-3"/>
        </w:rPr>
        <w:t> </w:t>
      </w:r>
      <w:r>
        <w:rPr/>
        <w:t>Speed,</w:t>
      </w:r>
      <w:r>
        <w:rPr>
          <w:spacing w:val="-3"/>
        </w:rPr>
        <w:t> </w:t>
      </w:r>
      <w:r>
        <w:rPr/>
        <w:t>J.,</w:t>
      </w:r>
      <w:r>
        <w:rPr>
          <w:spacing w:val="-1"/>
        </w:rPr>
        <w:t> </w:t>
      </w:r>
      <w:r>
        <w:rPr/>
        <w:t>Allen,</w:t>
      </w:r>
      <w:r>
        <w:rPr>
          <w:spacing w:val="-3"/>
        </w:rPr>
        <w:t> </w:t>
      </w:r>
      <w:r>
        <w:rPr/>
        <w:t>B.L.,</w:t>
      </w:r>
      <w:r>
        <w:rPr>
          <w:spacing w:val="-3"/>
        </w:rPr>
        <w:t> </w:t>
      </w:r>
      <w:r>
        <w:rPr/>
        <w:t>Harris,</w:t>
      </w:r>
      <w:r>
        <w:rPr>
          <w:spacing w:val="-1"/>
        </w:rPr>
        <w:t> </w:t>
      </w:r>
      <w:r>
        <w:rPr/>
        <w:t>S.,</w:t>
      </w:r>
      <w:r>
        <w:rPr>
          <w:spacing w:val="-1"/>
        </w:rPr>
        <w:t> </w:t>
      </w:r>
      <w:r>
        <w:rPr/>
        <w:t>Haapakoski,</w:t>
      </w:r>
      <w:r>
        <w:rPr>
          <w:spacing w:val="-3"/>
        </w:rPr>
        <w:t> </w:t>
      </w:r>
      <w:r>
        <w:rPr/>
        <w:t>H.,</w:t>
      </w:r>
      <w:r>
        <w:rPr>
          <w:spacing w:val="-3"/>
        </w:rPr>
        <w:t> </w:t>
      </w:r>
      <w:r>
        <w:rPr/>
        <w:t>and</w:t>
      </w:r>
      <w:r>
        <w:rPr>
          <w:spacing w:val="-2"/>
        </w:rPr>
        <w:t> </w:t>
      </w:r>
      <w:r>
        <w:rPr/>
        <w:t>Bell,</w:t>
      </w:r>
      <w:r>
        <w:rPr>
          <w:spacing w:val="-1"/>
        </w:rPr>
        <w:t> </w:t>
      </w:r>
      <w:r>
        <w:rPr/>
        <w:t>K.</w:t>
      </w:r>
      <w:r>
        <w:rPr>
          <w:spacing w:val="-1"/>
        </w:rPr>
        <w:t> </w:t>
      </w:r>
      <w:r>
        <w:rPr/>
        <w:t>(2017). The</w:t>
      </w:r>
      <w:r>
        <w:rPr>
          <w:spacing w:val="-4"/>
        </w:rPr>
        <w:t> </w:t>
      </w:r>
      <w:r>
        <w:rPr/>
        <w:t>longevity</w:t>
      </w:r>
      <w:r>
        <w:rPr>
          <w:spacing w:val="-2"/>
        </w:rPr>
        <w:t> </w:t>
      </w:r>
      <w:r>
        <w:rPr/>
        <w:t>of</w:t>
      </w:r>
      <w:r>
        <w:rPr>
          <w:spacing w:val="-1"/>
        </w:rPr>
        <w:t> </w:t>
      </w:r>
      <w:r>
        <w:rPr/>
        <w:t>para- aminopropiophenone (PAPP) wild dog baits and the implications for effective and safe baiting campaigns. </w:t>
      </w:r>
      <w:r>
        <w:rPr>
          <w:i/>
        </w:rPr>
        <w:t>Environmental Science and Pollution Research </w:t>
      </w:r>
      <w:r>
        <w:rPr>
          <w:b/>
        </w:rPr>
        <w:t>24</w:t>
      </w:r>
      <w:r>
        <w:rPr/>
        <w:t>:12338–46.</w:t>
      </w:r>
    </w:p>
    <w:p>
      <w:pPr>
        <w:pStyle w:val="BodyText"/>
        <w:spacing w:before="9"/>
      </w:pPr>
    </w:p>
    <w:p>
      <w:pPr>
        <w:pStyle w:val="BodyText"/>
        <w:ind w:left="833" w:right="364" w:hanging="721"/>
      </w:pPr>
      <w:r>
        <w:rPr/>
        <w:t>Gigliotti,</w:t>
      </w:r>
      <w:r>
        <w:rPr>
          <w:spacing w:val="-5"/>
        </w:rPr>
        <w:t> </w:t>
      </w:r>
      <w:r>
        <w:rPr/>
        <w:t>F.,</w:t>
      </w:r>
      <w:r>
        <w:rPr>
          <w:spacing w:val="-2"/>
        </w:rPr>
        <w:t> </w:t>
      </w:r>
      <w:r>
        <w:rPr/>
        <w:t>Marks,</w:t>
      </w:r>
      <w:r>
        <w:rPr>
          <w:spacing w:val="-5"/>
        </w:rPr>
        <w:t> </w:t>
      </w:r>
      <w:r>
        <w:rPr/>
        <w:t>C.A.,</w:t>
      </w:r>
      <w:r>
        <w:rPr>
          <w:spacing w:val="-5"/>
        </w:rPr>
        <w:t> </w:t>
      </w:r>
      <w:r>
        <w:rPr/>
        <w:t>and</w:t>
      </w:r>
      <w:r>
        <w:rPr>
          <w:spacing w:val="-5"/>
        </w:rPr>
        <w:t> </w:t>
      </w:r>
      <w:r>
        <w:rPr/>
        <w:t>Busana,</w:t>
      </w:r>
      <w:r>
        <w:rPr>
          <w:spacing w:val="-5"/>
        </w:rPr>
        <w:t> </w:t>
      </w:r>
      <w:r>
        <w:rPr/>
        <w:t>F.</w:t>
      </w:r>
      <w:r>
        <w:rPr>
          <w:spacing w:val="-5"/>
        </w:rPr>
        <w:t> </w:t>
      </w:r>
      <w:r>
        <w:rPr/>
        <w:t>(2009).</w:t>
      </w:r>
      <w:r>
        <w:rPr>
          <w:spacing w:val="-5"/>
        </w:rPr>
        <w:t> </w:t>
      </w:r>
      <w:r>
        <w:rPr/>
        <w:t>Performance</w:t>
      </w:r>
      <w:r>
        <w:rPr>
          <w:spacing w:val="-3"/>
        </w:rPr>
        <w:t> </w:t>
      </w:r>
      <w:r>
        <w:rPr/>
        <w:t>and</w:t>
      </w:r>
      <w:r>
        <w:rPr>
          <w:spacing w:val="-3"/>
        </w:rPr>
        <w:t> </w:t>
      </w:r>
      <w:r>
        <w:rPr/>
        <w:t>humaneness</w:t>
      </w:r>
      <w:r>
        <w:rPr>
          <w:spacing w:val="-4"/>
        </w:rPr>
        <w:t> </w:t>
      </w:r>
      <w:r>
        <w:rPr/>
        <w:t>of</w:t>
      </w:r>
      <w:r>
        <w:rPr>
          <w:spacing w:val="-3"/>
        </w:rPr>
        <w:t> </w:t>
      </w:r>
      <w:r>
        <w:rPr/>
        <w:t>chloropicrin,</w:t>
      </w:r>
      <w:r>
        <w:rPr>
          <w:spacing w:val="-3"/>
        </w:rPr>
        <w:t> </w:t>
      </w:r>
      <w:r>
        <w:rPr/>
        <w:t>phosphine and carbon monoxide as rabbit-warren fumigants. </w:t>
      </w:r>
      <w:r>
        <w:rPr>
          <w:i/>
        </w:rPr>
        <w:t>Wildlife Research </w:t>
      </w:r>
      <w:r>
        <w:rPr>
          <w:b/>
        </w:rPr>
        <w:t>36</w:t>
      </w:r>
      <w:r>
        <w:rPr/>
        <w:t>:333–41.</w:t>
      </w:r>
    </w:p>
    <w:p>
      <w:pPr>
        <w:pStyle w:val="BodyText"/>
        <w:spacing w:before="11"/>
      </w:pPr>
    </w:p>
    <w:p>
      <w:pPr>
        <w:pStyle w:val="BodyText"/>
        <w:ind w:left="833" w:right="232" w:hanging="721"/>
      </w:pPr>
      <w:r>
        <w:rPr/>
        <w:t>Gil-Fernández,</w:t>
      </w:r>
      <w:r>
        <w:rPr>
          <w:spacing w:val="-1"/>
        </w:rPr>
        <w:t> </w:t>
      </w:r>
      <w:r>
        <w:rPr/>
        <w:t>M.,</w:t>
      </w:r>
      <w:r>
        <w:rPr>
          <w:spacing w:val="-3"/>
        </w:rPr>
        <w:t> </w:t>
      </w:r>
      <w:r>
        <w:rPr/>
        <w:t>Harcourt,</w:t>
      </w:r>
      <w:r>
        <w:rPr>
          <w:spacing w:val="-3"/>
        </w:rPr>
        <w:t> </w:t>
      </w:r>
      <w:r>
        <w:rPr/>
        <w:t>R.,</w:t>
      </w:r>
      <w:r>
        <w:rPr>
          <w:spacing w:val="-3"/>
        </w:rPr>
        <w:t> </w:t>
      </w:r>
      <w:r>
        <w:rPr/>
        <w:t>Towerton,</w:t>
      </w:r>
      <w:r>
        <w:rPr>
          <w:spacing w:val="-3"/>
        </w:rPr>
        <w:t> </w:t>
      </w:r>
      <w:r>
        <w:rPr/>
        <w:t>A.,</w:t>
      </w:r>
      <w:r>
        <w:rPr>
          <w:spacing w:val="-3"/>
        </w:rPr>
        <w:t> </w:t>
      </w:r>
      <w:r>
        <w:rPr/>
        <w:t>Newsome,</w:t>
      </w:r>
      <w:r>
        <w:rPr>
          <w:spacing w:val="-3"/>
        </w:rPr>
        <w:t> </w:t>
      </w:r>
      <w:r>
        <w:rPr/>
        <w:t>T.,</w:t>
      </w:r>
      <w:r>
        <w:rPr>
          <w:spacing w:val="-1"/>
        </w:rPr>
        <w:t> </w:t>
      </w:r>
      <w:r>
        <w:rPr/>
        <w:t>Milner,</w:t>
      </w:r>
      <w:r>
        <w:rPr>
          <w:spacing w:val="-3"/>
        </w:rPr>
        <w:t> </w:t>
      </w:r>
      <w:r>
        <w:rPr/>
        <w:t>H.A.,</w:t>
      </w:r>
      <w:r>
        <w:rPr>
          <w:spacing w:val="-1"/>
        </w:rPr>
        <w:t> </w:t>
      </w:r>
      <w:r>
        <w:rPr/>
        <w:t>Sriram,</w:t>
      </w:r>
      <w:r>
        <w:rPr>
          <w:spacing w:val="-3"/>
        </w:rPr>
        <w:t> </w:t>
      </w:r>
      <w:r>
        <w:rPr/>
        <w:t>S.,</w:t>
      </w:r>
      <w:r>
        <w:rPr>
          <w:spacing w:val="-3"/>
        </w:rPr>
        <w:t> </w:t>
      </w:r>
      <w:r>
        <w:rPr/>
        <w:t>Gray,</w:t>
      </w:r>
      <w:r>
        <w:rPr>
          <w:spacing w:val="-3"/>
        </w:rPr>
        <w:t> </w:t>
      </w:r>
      <w:r>
        <w:rPr/>
        <w:t>N.,</w:t>
      </w:r>
      <w:r>
        <w:rPr>
          <w:spacing w:val="-1"/>
        </w:rPr>
        <w:t> </w:t>
      </w:r>
      <w:r>
        <w:rPr/>
        <w:t>Escobar- Lasso, S., González-Cardoso, V.H., and Carthey, A. (2021). The canid pest ejector challenge: controlling urban foxes while keeping domestic dogs safe. </w:t>
      </w:r>
      <w:r>
        <w:rPr>
          <w:i/>
        </w:rPr>
        <w:t>Wildlife Research </w:t>
      </w:r>
      <w:r>
        <w:rPr>
          <w:b/>
        </w:rPr>
        <w:t>48</w:t>
      </w:r>
      <w:r>
        <w:rPr/>
        <w:t>(4):314–22. doi: </w:t>
      </w:r>
      <w:r>
        <w:rPr>
          <w:spacing w:val="-2"/>
        </w:rPr>
        <w:t>10.1071/WR20078.</w:t>
      </w:r>
    </w:p>
    <w:p>
      <w:pPr>
        <w:pStyle w:val="BodyText"/>
        <w:spacing w:before="9"/>
      </w:pPr>
    </w:p>
    <w:p>
      <w:pPr>
        <w:pStyle w:val="BodyText"/>
        <w:ind w:left="833" w:right="364" w:hanging="721"/>
      </w:pPr>
      <w:r>
        <w:rPr/>
        <w:t>Gingold,</w:t>
      </w:r>
      <w:r>
        <w:rPr>
          <w:spacing w:val="-2"/>
        </w:rPr>
        <w:t> </w:t>
      </w:r>
      <w:r>
        <w:rPr/>
        <w:t>G.,</w:t>
      </w:r>
      <w:r>
        <w:rPr>
          <w:spacing w:val="-4"/>
        </w:rPr>
        <w:t> </w:t>
      </w:r>
      <w:r>
        <w:rPr/>
        <w:t>Yom</w:t>
      </w:r>
      <w:r>
        <w:rPr>
          <w:rFonts w:ascii="Cambria Math" w:hAnsi="Cambria Math"/>
        </w:rPr>
        <w:t>‐</w:t>
      </w:r>
      <w:r>
        <w:rPr/>
        <w:t>Tov,</w:t>
      </w:r>
      <w:r>
        <w:rPr>
          <w:spacing w:val="-2"/>
        </w:rPr>
        <w:t> </w:t>
      </w:r>
      <w:r>
        <w:rPr/>
        <w:t>Y.,</w:t>
      </w:r>
      <w:r>
        <w:rPr>
          <w:spacing w:val="-2"/>
        </w:rPr>
        <w:t> </w:t>
      </w:r>
      <w:r>
        <w:rPr/>
        <w:t>Kronfeld</w:t>
      </w:r>
      <w:r>
        <w:rPr>
          <w:rFonts w:ascii="Cambria Math" w:hAnsi="Cambria Math"/>
        </w:rPr>
        <w:t>‐</w:t>
      </w:r>
      <w:r>
        <w:rPr/>
        <w:t>Schor,</w:t>
      </w:r>
      <w:r>
        <w:rPr>
          <w:spacing w:val="-4"/>
        </w:rPr>
        <w:t> </w:t>
      </w:r>
      <w:r>
        <w:rPr/>
        <w:t>N.,</w:t>
      </w:r>
      <w:r>
        <w:rPr>
          <w:spacing w:val="-4"/>
        </w:rPr>
        <w:t> </w:t>
      </w:r>
      <w:r>
        <w:rPr/>
        <w:t>and</w:t>
      </w:r>
      <w:r>
        <w:rPr>
          <w:spacing w:val="-4"/>
        </w:rPr>
        <w:t> </w:t>
      </w:r>
      <w:r>
        <w:rPr/>
        <w:t>Geffen,</w:t>
      </w:r>
      <w:r>
        <w:rPr>
          <w:spacing w:val="-2"/>
        </w:rPr>
        <w:t> </w:t>
      </w:r>
      <w:r>
        <w:rPr/>
        <w:t>E.</w:t>
      </w:r>
      <w:r>
        <w:rPr>
          <w:spacing w:val="-4"/>
        </w:rPr>
        <w:t> </w:t>
      </w:r>
      <w:r>
        <w:rPr/>
        <w:t>(2009).</w:t>
      </w:r>
      <w:r>
        <w:rPr>
          <w:spacing w:val="-1"/>
        </w:rPr>
        <w:t> </w:t>
      </w:r>
      <w:r>
        <w:rPr/>
        <w:t>Effect</w:t>
      </w:r>
      <w:r>
        <w:rPr>
          <w:spacing w:val="-4"/>
        </w:rPr>
        <w:t> </w:t>
      </w:r>
      <w:r>
        <w:rPr/>
        <w:t>of</w:t>
      </w:r>
      <w:r>
        <w:rPr>
          <w:spacing w:val="-2"/>
        </w:rPr>
        <w:t> </w:t>
      </w:r>
      <w:r>
        <w:rPr/>
        <w:t>guard</w:t>
      </w:r>
      <w:r>
        <w:rPr>
          <w:spacing w:val="-4"/>
        </w:rPr>
        <w:t> </w:t>
      </w:r>
      <w:r>
        <w:rPr/>
        <w:t>dogs</w:t>
      </w:r>
      <w:r>
        <w:rPr>
          <w:spacing w:val="-3"/>
        </w:rPr>
        <w:t> </w:t>
      </w:r>
      <w:r>
        <w:rPr/>
        <w:t>on</w:t>
      </w:r>
      <w:r>
        <w:rPr>
          <w:spacing w:val="-5"/>
        </w:rPr>
        <w:t> </w:t>
      </w:r>
      <w:r>
        <w:rPr/>
        <w:t>the behaviour and reproduction of gazelles in cattle enclosures on the Golan heights. </w:t>
      </w:r>
      <w:r>
        <w:rPr>
          <w:i/>
        </w:rPr>
        <w:t>Animal Conservation</w:t>
      </w:r>
      <w:r>
        <w:rPr>
          <w:i/>
        </w:rPr>
        <w:t> </w:t>
      </w:r>
      <w:r>
        <w:rPr>
          <w:b/>
        </w:rPr>
        <w:t>12</w:t>
      </w:r>
      <w:r>
        <w:rPr/>
        <w:t>(2):155–62. doi: 10.1111/j.1469-1795.2009.00235.x.</w:t>
      </w:r>
    </w:p>
    <w:p>
      <w:pPr>
        <w:pStyle w:val="BodyText"/>
        <w:spacing w:before="11"/>
      </w:pPr>
    </w:p>
    <w:p>
      <w:pPr>
        <w:pStyle w:val="BodyText"/>
        <w:spacing w:before="1"/>
        <w:ind w:left="833" w:right="163" w:hanging="721"/>
      </w:pPr>
      <w:r>
        <w:rPr/>
        <w:t>Glen,</w:t>
      </w:r>
      <w:r>
        <w:rPr>
          <w:spacing w:val="-1"/>
        </w:rPr>
        <w:t> </w:t>
      </w:r>
      <w:r>
        <w:rPr/>
        <w:t>A.S.,</w:t>
      </w:r>
      <w:r>
        <w:rPr>
          <w:spacing w:val="-3"/>
        </w:rPr>
        <w:t> </w:t>
      </w:r>
      <w:r>
        <w:rPr/>
        <w:t>and</w:t>
      </w:r>
      <w:r>
        <w:rPr>
          <w:spacing w:val="-2"/>
        </w:rPr>
        <w:t> </w:t>
      </w:r>
      <w:r>
        <w:rPr/>
        <w:t>Dickman,</w:t>
      </w:r>
      <w:r>
        <w:rPr>
          <w:spacing w:val="-3"/>
        </w:rPr>
        <w:t> </w:t>
      </w:r>
      <w:r>
        <w:rPr/>
        <w:t>C.R.</w:t>
      </w:r>
      <w:r>
        <w:rPr>
          <w:spacing w:val="-3"/>
        </w:rPr>
        <w:t> </w:t>
      </w:r>
      <w:r>
        <w:rPr/>
        <w:t>(2003a).</w:t>
      </w:r>
      <w:r>
        <w:rPr>
          <w:spacing w:val="-1"/>
        </w:rPr>
        <w:t> </w:t>
      </w:r>
      <w:r>
        <w:rPr/>
        <w:t>Effects</w:t>
      </w:r>
      <w:r>
        <w:rPr>
          <w:spacing w:val="-2"/>
        </w:rPr>
        <w:t> </w:t>
      </w:r>
      <w:r>
        <w:rPr/>
        <w:t>of</w:t>
      </w:r>
      <w:r>
        <w:rPr>
          <w:spacing w:val="-3"/>
        </w:rPr>
        <w:t> </w:t>
      </w:r>
      <w:r>
        <w:rPr/>
        <w:t>bait-station</w:t>
      </w:r>
      <w:r>
        <w:rPr>
          <w:spacing w:val="-3"/>
        </w:rPr>
        <w:t> </w:t>
      </w:r>
      <w:r>
        <w:rPr/>
        <w:t>design</w:t>
      </w:r>
      <w:r>
        <w:rPr>
          <w:spacing w:val="-2"/>
        </w:rPr>
        <w:t> </w:t>
      </w:r>
      <w:r>
        <w:rPr/>
        <w:t>on</w:t>
      </w:r>
      <w:r>
        <w:rPr>
          <w:spacing w:val="-4"/>
        </w:rPr>
        <w:t> </w:t>
      </w:r>
      <w:r>
        <w:rPr/>
        <w:t>the</w:t>
      </w:r>
      <w:r>
        <w:rPr>
          <w:spacing w:val="-2"/>
        </w:rPr>
        <w:t> </w:t>
      </w:r>
      <w:r>
        <w:rPr/>
        <w:t>uptake</w:t>
      </w:r>
      <w:r>
        <w:rPr>
          <w:spacing w:val="-3"/>
        </w:rPr>
        <w:t> </w:t>
      </w:r>
      <w:r>
        <w:rPr/>
        <w:t>of</w:t>
      </w:r>
      <w:r>
        <w:rPr>
          <w:spacing w:val="-1"/>
        </w:rPr>
        <w:t> </w:t>
      </w:r>
      <w:r>
        <w:rPr/>
        <w:t>baits</w:t>
      </w:r>
      <w:r>
        <w:rPr>
          <w:spacing w:val="-2"/>
        </w:rPr>
        <w:t> </w:t>
      </w:r>
      <w:r>
        <w:rPr/>
        <w:t>by</w:t>
      </w:r>
      <w:r>
        <w:rPr>
          <w:spacing w:val="-2"/>
        </w:rPr>
        <w:t> </w:t>
      </w:r>
      <w:r>
        <w:rPr/>
        <w:t>non-target animals during control programmes for foxes and wild dogs. </w:t>
      </w:r>
      <w:r>
        <w:rPr>
          <w:i/>
        </w:rPr>
        <w:t>Wildlife Research </w:t>
      </w:r>
      <w:r>
        <w:rPr>
          <w:b/>
        </w:rPr>
        <w:t>30</w:t>
      </w:r>
      <w:r>
        <w:rPr/>
        <w:t>(2):147. doi: </w:t>
      </w:r>
      <w:r>
        <w:rPr>
          <w:spacing w:val="-2"/>
        </w:rPr>
        <w:t>10.1071/WR01060.</w:t>
      </w:r>
    </w:p>
    <w:p>
      <w:pPr>
        <w:pStyle w:val="BodyText"/>
        <w:spacing w:before="9"/>
      </w:pPr>
    </w:p>
    <w:p>
      <w:pPr>
        <w:pStyle w:val="BodyText"/>
        <w:ind w:left="833" w:right="544" w:hanging="721"/>
      </w:pPr>
      <w:r>
        <w:rPr/>
        <w:t>Glen,</w:t>
      </w:r>
      <w:r>
        <w:rPr>
          <w:spacing w:val="-2"/>
        </w:rPr>
        <w:t> </w:t>
      </w:r>
      <w:r>
        <w:rPr/>
        <w:t>A.S.,</w:t>
      </w:r>
      <w:r>
        <w:rPr>
          <w:spacing w:val="-4"/>
        </w:rPr>
        <w:t> </w:t>
      </w:r>
      <w:r>
        <w:rPr/>
        <w:t>and</w:t>
      </w:r>
      <w:r>
        <w:rPr>
          <w:spacing w:val="-3"/>
        </w:rPr>
        <w:t> </w:t>
      </w:r>
      <w:r>
        <w:rPr/>
        <w:t>Dickman,</w:t>
      </w:r>
      <w:r>
        <w:rPr>
          <w:spacing w:val="-4"/>
        </w:rPr>
        <w:t> </w:t>
      </w:r>
      <w:r>
        <w:rPr/>
        <w:t>C.R.</w:t>
      </w:r>
      <w:r>
        <w:rPr>
          <w:spacing w:val="-4"/>
        </w:rPr>
        <w:t> </w:t>
      </w:r>
      <w:r>
        <w:rPr/>
        <w:t>(2003b).</w:t>
      </w:r>
      <w:r>
        <w:rPr>
          <w:spacing w:val="-2"/>
        </w:rPr>
        <w:t> </w:t>
      </w:r>
      <w:r>
        <w:rPr/>
        <w:t>Monitoring</w:t>
      </w:r>
      <w:r>
        <w:rPr>
          <w:spacing w:val="-3"/>
        </w:rPr>
        <w:t> </w:t>
      </w:r>
      <w:r>
        <w:rPr/>
        <w:t>bait</w:t>
      </w:r>
      <w:r>
        <w:rPr>
          <w:spacing w:val="-2"/>
        </w:rPr>
        <w:t> </w:t>
      </w:r>
      <w:r>
        <w:rPr/>
        <w:t>removal</w:t>
      </w:r>
      <w:r>
        <w:rPr>
          <w:spacing w:val="-5"/>
        </w:rPr>
        <w:t> </w:t>
      </w:r>
      <w:r>
        <w:rPr/>
        <w:t>in</w:t>
      </w:r>
      <w:r>
        <w:rPr>
          <w:spacing w:val="-4"/>
        </w:rPr>
        <w:t> </w:t>
      </w:r>
      <w:r>
        <w:rPr/>
        <w:t>vertebrate</w:t>
      </w:r>
      <w:r>
        <w:rPr>
          <w:spacing w:val="-5"/>
        </w:rPr>
        <w:t> </w:t>
      </w:r>
      <w:r>
        <w:rPr/>
        <w:t>pest</w:t>
      </w:r>
      <w:r>
        <w:rPr>
          <w:spacing w:val="-2"/>
        </w:rPr>
        <w:t> </w:t>
      </w:r>
      <w:r>
        <w:rPr/>
        <w:t>control:</w:t>
      </w:r>
      <w:r>
        <w:rPr>
          <w:spacing w:val="-2"/>
        </w:rPr>
        <w:t> </w:t>
      </w:r>
      <w:r>
        <w:rPr/>
        <w:t>a</w:t>
      </w:r>
      <w:r>
        <w:rPr>
          <w:spacing w:val="-4"/>
        </w:rPr>
        <w:t> </w:t>
      </w:r>
      <w:r>
        <w:rPr/>
        <w:t>comparison using track identification and remote photography. </w:t>
      </w:r>
      <w:r>
        <w:rPr>
          <w:i/>
        </w:rPr>
        <w:t>Wildlife Research </w:t>
      </w:r>
      <w:r>
        <w:rPr>
          <w:b/>
        </w:rPr>
        <w:t>30</w:t>
      </w:r>
      <w:r>
        <w:rPr/>
        <w:t>(1):29. doi: </w:t>
      </w:r>
      <w:r>
        <w:rPr>
          <w:spacing w:val="-2"/>
        </w:rPr>
        <w:t>10.1071/WR01059.</w:t>
      </w:r>
    </w:p>
    <w:p>
      <w:pPr>
        <w:pStyle w:val="BodyText"/>
        <w:spacing w:before="11"/>
      </w:pPr>
    </w:p>
    <w:p>
      <w:pPr>
        <w:pStyle w:val="BodyText"/>
        <w:ind w:left="833" w:right="364" w:hanging="721"/>
      </w:pPr>
      <w:r>
        <w:rPr/>
        <w:t>Glen, A.S., Dickman, C.R., Soulé, M.E., and Mackey, B.G. (2007). Evaluating the role of the dingo as a trophic</w:t>
      </w:r>
      <w:r>
        <w:rPr>
          <w:spacing w:val="-4"/>
        </w:rPr>
        <w:t> </w:t>
      </w:r>
      <w:r>
        <w:rPr/>
        <w:t>regulator</w:t>
      </w:r>
      <w:r>
        <w:rPr>
          <w:spacing w:val="-3"/>
        </w:rPr>
        <w:t> </w:t>
      </w:r>
      <w:r>
        <w:rPr/>
        <w:t>in</w:t>
      </w:r>
      <w:r>
        <w:rPr>
          <w:spacing w:val="-3"/>
        </w:rPr>
        <w:t> </w:t>
      </w:r>
      <w:r>
        <w:rPr/>
        <w:t>Australian</w:t>
      </w:r>
      <w:r>
        <w:rPr>
          <w:spacing w:val="-5"/>
        </w:rPr>
        <w:t> </w:t>
      </w:r>
      <w:r>
        <w:rPr/>
        <w:t>ecosystems.</w:t>
      </w:r>
      <w:r>
        <w:rPr>
          <w:spacing w:val="-3"/>
        </w:rPr>
        <w:t> </w:t>
      </w:r>
      <w:r>
        <w:rPr>
          <w:i/>
        </w:rPr>
        <w:t>Austral</w:t>
      </w:r>
      <w:r>
        <w:rPr>
          <w:i/>
          <w:spacing w:val="-7"/>
        </w:rPr>
        <w:t> </w:t>
      </w:r>
      <w:r>
        <w:rPr>
          <w:i/>
        </w:rPr>
        <w:t>Ecology</w:t>
      </w:r>
      <w:r>
        <w:rPr>
          <w:i/>
          <w:spacing w:val="-4"/>
        </w:rPr>
        <w:t> </w:t>
      </w:r>
      <w:r>
        <w:rPr>
          <w:b/>
        </w:rPr>
        <w:t>32</w:t>
      </w:r>
      <w:r>
        <w:rPr/>
        <w:t>(5):492–501.</w:t>
      </w:r>
      <w:r>
        <w:rPr>
          <w:spacing w:val="-6"/>
        </w:rPr>
        <w:t> </w:t>
      </w:r>
      <w:r>
        <w:rPr/>
        <w:t>doi:</w:t>
      </w:r>
      <w:r>
        <w:rPr>
          <w:spacing w:val="-4"/>
        </w:rPr>
        <w:t> </w:t>
      </w:r>
      <w:r>
        <w:rPr/>
        <w:t>10.1111/j.1442- </w:t>
      </w:r>
      <w:r>
        <w:rPr>
          <w:spacing w:val="-2"/>
        </w:rPr>
        <w:t>9993.2007.01721.x.</w:t>
      </w:r>
    </w:p>
    <w:p>
      <w:pPr>
        <w:pStyle w:val="BodyText"/>
        <w:spacing w:before="9"/>
      </w:pPr>
    </w:p>
    <w:p>
      <w:pPr>
        <w:pStyle w:val="BodyText"/>
        <w:ind w:left="833" w:right="369" w:hanging="721"/>
        <w:jc w:val="both"/>
      </w:pPr>
      <w:r>
        <w:rPr/>
        <w:t>Glen,</w:t>
      </w:r>
      <w:r>
        <w:rPr>
          <w:spacing w:val="-2"/>
        </w:rPr>
        <w:t> </w:t>
      </w:r>
      <w:r>
        <w:rPr/>
        <w:t>A.S.,</w:t>
      </w:r>
      <w:r>
        <w:rPr>
          <w:spacing w:val="-4"/>
        </w:rPr>
        <w:t> </w:t>
      </w:r>
      <w:r>
        <w:rPr/>
        <w:t>Gentle,</w:t>
      </w:r>
      <w:r>
        <w:rPr>
          <w:spacing w:val="-4"/>
        </w:rPr>
        <w:t> </w:t>
      </w:r>
      <w:r>
        <w:rPr/>
        <w:t>M.N.,</w:t>
      </w:r>
      <w:r>
        <w:rPr>
          <w:spacing w:val="-2"/>
        </w:rPr>
        <w:t> </w:t>
      </w:r>
      <w:r>
        <w:rPr/>
        <w:t>and</w:t>
      </w:r>
      <w:r>
        <w:rPr>
          <w:spacing w:val="-5"/>
        </w:rPr>
        <w:t> </w:t>
      </w:r>
      <w:r>
        <w:rPr/>
        <w:t>Dickman,</w:t>
      </w:r>
      <w:r>
        <w:rPr>
          <w:spacing w:val="-2"/>
        </w:rPr>
        <w:t> </w:t>
      </w:r>
      <w:r>
        <w:rPr/>
        <w:t>C.R.</w:t>
      </w:r>
      <w:r>
        <w:rPr>
          <w:spacing w:val="-4"/>
        </w:rPr>
        <w:t> </w:t>
      </w:r>
      <w:r>
        <w:rPr/>
        <w:t>(2007).</w:t>
      </w:r>
      <w:r>
        <w:rPr>
          <w:spacing w:val="-1"/>
        </w:rPr>
        <w:t> </w:t>
      </w:r>
      <w:r>
        <w:rPr/>
        <w:t>Non</w:t>
      </w:r>
      <w:r>
        <w:rPr>
          <w:rFonts w:ascii="Cambria Math" w:hAnsi="Cambria Math"/>
        </w:rPr>
        <w:t>‐</w:t>
      </w:r>
      <w:r>
        <w:rPr/>
        <w:t>target</w:t>
      </w:r>
      <w:r>
        <w:rPr>
          <w:spacing w:val="-4"/>
        </w:rPr>
        <w:t> </w:t>
      </w:r>
      <w:r>
        <w:rPr/>
        <w:t>impacts</w:t>
      </w:r>
      <w:r>
        <w:rPr>
          <w:spacing w:val="-3"/>
        </w:rPr>
        <w:t> </w:t>
      </w:r>
      <w:r>
        <w:rPr/>
        <w:t>of</w:t>
      </w:r>
      <w:r>
        <w:rPr>
          <w:spacing w:val="-4"/>
        </w:rPr>
        <w:t> </w:t>
      </w:r>
      <w:r>
        <w:rPr/>
        <w:t>poison</w:t>
      </w:r>
      <w:r>
        <w:rPr>
          <w:spacing w:val="-4"/>
        </w:rPr>
        <w:t> </w:t>
      </w:r>
      <w:r>
        <w:rPr/>
        <w:t>baiting</w:t>
      </w:r>
      <w:r>
        <w:rPr>
          <w:spacing w:val="-5"/>
        </w:rPr>
        <w:t> </w:t>
      </w:r>
      <w:r>
        <w:rPr/>
        <w:t>for</w:t>
      </w:r>
      <w:r>
        <w:rPr>
          <w:spacing w:val="-4"/>
        </w:rPr>
        <w:t> </w:t>
      </w:r>
      <w:r>
        <w:rPr/>
        <w:t>predator</w:t>
      </w:r>
      <w:r>
        <w:rPr>
          <w:spacing w:val="-3"/>
        </w:rPr>
        <w:t> </w:t>
      </w:r>
      <w:r>
        <w:rPr/>
        <w:t>control in Australia. </w:t>
      </w:r>
      <w:r>
        <w:rPr>
          <w:i/>
        </w:rPr>
        <w:t>Mammal Review </w:t>
      </w:r>
      <w:r>
        <w:rPr>
          <w:b/>
        </w:rPr>
        <w:t>37</w:t>
      </w:r>
      <w:r>
        <w:rPr/>
        <w:t>(3):191–205. doi: 10.1111/j.1365-2907.2007.00108.x.</w:t>
      </w:r>
    </w:p>
    <w:p>
      <w:pPr>
        <w:spacing w:after="0"/>
        <w:jc w:val="both"/>
        <w:sectPr>
          <w:pgSz w:w="11910" w:h="16850"/>
          <w:pgMar w:header="0" w:footer="688" w:top="1060" w:bottom="880" w:left="1020" w:right="780"/>
        </w:sectPr>
      </w:pPr>
    </w:p>
    <w:p>
      <w:pPr>
        <w:pStyle w:val="BodyText"/>
        <w:spacing w:before="71"/>
        <w:ind w:left="833" w:right="364" w:hanging="721"/>
      </w:pPr>
      <w:r>
        <w:rPr/>
        <w:t>Green, W., and Rohan, M. (2012). Opposition to aerial 1080 poisoning for control of invasive mammals in New</w:t>
      </w:r>
      <w:r>
        <w:rPr>
          <w:spacing w:val="-4"/>
        </w:rPr>
        <w:t> </w:t>
      </w:r>
      <w:r>
        <w:rPr/>
        <w:t>Zealand:</w:t>
      </w:r>
      <w:r>
        <w:rPr>
          <w:spacing w:val="-4"/>
        </w:rPr>
        <w:t> </w:t>
      </w:r>
      <w:r>
        <w:rPr/>
        <w:t>risk</w:t>
      </w:r>
      <w:r>
        <w:rPr>
          <w:spacing w:val="-3"/>
        </w:rPr>
        <w:t> </w:t>
      </w:r>
      <w:r>
        <w:rPr/>
        <w:t>perceptions</w:t>
      </w:r>
      <w:r>
        <w:rPr>
          <w:spacing w:val="-3"/>
        </w:rPr>
        <w:t> </w:t>
      </w:r>
      <w:r>
        <w:rPr/>
        <w:t>and</w:t>
      </w:r>
      <w:r>
        <w:rPr>
          <w:spacing w:val="-4"/>
        </w:rPr>
        <w:t> </w:t>
      </w:r>
      <w:r>
        <w:rPr/>
        <w:t>agency</w:t>
      </w:r>
      <w:r>
        <w:rPr>
          <w:spacing w:val="-3"/>
        </w:rPr>
        <w:t> </w:t>
      </w:r>
      <w:r>
        <w:rPr/>
        <w:t>responses. </w:t>
      </w:r>
      <w:r>
        <w:rPr>
          <w:i/>
        </w:rPr>
        <w:t>Journal</w:t>
      </w:r>
      <w:r>
        <w:rPr>
          <w:i/>
          <w:spacing w:val="-3"/>
        </w:rPr>
        <w:t> </w:t>
      </w:r>
      <w:r>
        <w:rPr>
          <w:i/>
        </w:rPr>
        <w:t>of</w:t>
      </w:r>
      <w:r>
        <w:rPr>
          <w:i/>
          <w:spacing w:val="-4"/>
        </w:rPr>
        <w:t> </w:t>
      </w:r>
      <w:r>
        <w:rPr>
          <w:i/>
        </w:rPr>
        <w:t>the</w:t>
      </w:r>
      <w:r>
        <w:rPr>
          <w:i/>
          <w:spacing w:val="-5"/>
        </w:rPr>
        <w:t> </w:t>
      </w:r>
      <w:r>
        <w:rPr>
          <w:i/>
        </w:rPr>
        <w:t>Royal</w:t>
      </w:r>
      <w:r>
        <w:rPr>
          <w:i/>
          <w:spacing w:val="-3"/>
        </w:rPr>
        <w:t> </w:t>
      </w:r>
      <w:r>
        <w:rPr>
          <w:i/>
        </w:rPr>
        <w:t>Society</w:t>
      </w:r>
      <w:r>
        <w:rPr>
          <w:i/>
          <w:spacing w:val="-3"/>
        </w:rPr>
        <w:t> </w:t>
      </w:r>
      <w:r>
        <w:rPr>
          <w:i/>
        </w:rPr>
        <w:t>of</w:t>
      </w:r>
      <w:r>
        <w:rPr>
          <w:i/>
          <w:spacing w:val="-4"/>
        </w:rPr>
        <w:t> </w:t>
      </w:r>
      <w:r>
        <w:rPr>
          <w:i/>
        </w:rPr>
        <w:t>New</w:t>
      </w:r>
      <w:r>
        <w:rPr>
          <w:i/>
          <w:spacing w:val="-4"/>
        </w:rPr>
        <w:t> </w:t>
      </w:r>
      <w:r>
        <w:rPr>
          <w:i/>
        </w:rPr>
        <w:t>Zealand</w:t>
      </w:r>
      <w:r>
        <w:rPr>
          <w:i/>
        </w:rPr>
        <w:t> </w:t>
      </w:r>
      <w:r>
        <w:rPr>
          <w:b/>
        </w:rPr>
        <w:t>42</w:t>
      </w:r>
      <w:r>
        <w:rPr/>
        <w:t>(3):185–213. doi: 10.1080/03036758.2011.556130.</w:t>
      </w:r>
    </w:p>
    <w:p>
      <w:pPr>
        <w:pStyle w:val="BodyText"/>
        <w:spacing w:before="12"/>
      </w:pPr>
    </w:p>
    <w:p>
      <w:pPr>
        <w:pStyle w:val="BodyText"/>
        <w:ind w:left="833" w:right="232" w:hanging="721"/>
      </w:pPr>
      <w:r>
        <w:rPr/>
        <w:t>Greentree,</w:t>
      </w:r>
      <w:r>
        <w:rPr>
          <w:spacing w:val="-1"/>
        </w:rPr>
        <w:t> </w:t>
      </w:r>
      <w:r>
        <w:rPr/>
        <w:t>C.,</w:t>
      </w:r>
      <w:r>
        <w:rPr>
          <w:spacing w:val="-1"/>
        </w:rPr>
        <w:t> </w:t>
      </w:r>
      <w:r>
        <w:rPr/>
        <w:t>Saunders,</w:t>
      </w:r>
      <w:r>
        <w:rPr>
          <w:spacing w:val="-3"/>
        </w:rPr>
        <w:t> </w:t>
      </w:r>
      <w:r>
        <w:rPr/>
        <w:t>G.,</w:t>
      </w:r>
      <w:r>
        <w:rPr>
          <w:spacing w:val="-3"/>
        </w:rPr>
        <w:t> </w:t>
      </w:r>
      <w:r>
        <w:rPr/>
        <w:t>McLeod,</w:t>
      </w:r>
      <w:r>
        <w:rPr>
          <w:spacing w:val="-1"/>
        </w:rPr>
        <w:t> </w:t>
      </w:r>
      <w:r>
        <w:rPr/>
        <w:t>L.,</w:t>
      </w:r>
      <w:r>
        <w:rPr>
          <w:spacing w:val="-3"/>
        </w:rPr>
        <w:t> </w:t>
      </w:r>
      <w:r>
        <w:rPr/>
        <w:t>and</w:t>
      </w:r>
      <w:r>
        <w:rPr>
          <w:spacing w:val="-4"/>
        </w:rPr>
        <w:t> </w:t>
      </w:r>
      <w:r>
        <w:rPr/>
        <w:t>Hone,</w:t>
      </w:r>
      <w:r>
        <w:rPr>
          <w:spacing w:val="-3"/>
        </w:rPr>
        <w:t> </w:t>
      </w:r>
      <w:r>
        <w:rPr/>
        <w:t>J.</w:t>
      </w:r>
      <w:r>
        <w:rPr>
          <w:spacing w:val="-1"/>
        </w:rPr>
        <w:t> </w:t>
      </w:r>
      <w:r>
        <w:rPr/>
        <w:t>(2000).</w:t>
      </w:r>
      <w:r>
        <w:rPr>
          <w:spacing w:val="-1"/>
        </w:rPr>
        <w:t> </w:t>
      </w:r>
      <w:r>
        <w:rPr/>
        <w:t>Lamb</w:t>
      </w:r>
      <w:r>
        <w:rPr>
          <w:spacing w:val="-3"/>
        </w:rPr>
        <w:t> </w:t>
      </w:r>
      <w:r>
        <w:rPr/>
        <w:t>predation</w:t>
      </w:r>
      <w:r>
        <w:rPr>
          <w:spacing w:val="-3"/>
        </w:rPr>
        <w:t> </w:t>
      </w:r>
      <w:r>
        <w:rPr/>
        <w:t>and</w:t>
      </w:r>
      <w:r>
        <w:rPr>
          <w:spacing w:val="-3"/>
        </w:rPr>
        <w:t> </w:t>
      </w:r>
      <w:r>
        <w:rPr/>
        <w:t>fox</w:t>
      </w:r>
      <w:r>
        <w:rPr>
          <w:spacing w:val="-2"/>
        </w:rPr>
        <w:t> </w:t>
      </w:r>
      <w:r>
        <w:rPr/>
        <w:t>control</w:t>
      </w:r>
      <w:r>
        <w:rPr>
          <w:spacing w:val="-2"/>
        </w:rPr>
        <w:t> </w:t>
      </w:r>
      <w:r>
        <w:rPr/>
        <w:t>in</w:t>
      </w:r>
      <w:r>
        <w:rPr>
          <w:spacing w:val="-3"/>
        </w:rPr>
        <w:t> </w:t>
      </w:r>
      <w:r>
        <w:rPr/>
        <w:t>south- eastern Australia. </w:t>
      </w:r>
      <w:r>
        <w:rPr>
          <w:i/>
        </w:rPr>
        <w:t>Journal of Applied Ecology </w:t>
      </w:r>
      <w:r>
        <w:rPr/>
        <w:t>37(6):935–43.</w:t>
      </w:r>
    </w:p>
    <w:p>
      <w:pPr>
        <w:pStyle w:val="BodyText"/>
        <w:spacing w:before="8"/>
      </w:pPr>
    </w:p>
    <w:p>
      <w:pPr>
        <w:pStyle w:val="BodyText"/>
        <w:ind w:left="833" w:right="163" w:hanging="721"/>
      </w:pPr>
      <w:r>
        <w:rPr/>
        <w:t>Grunwald,</w:t>
      </w:r>
      <w:r>
        <w:rPr>
          <w:spacing w:val="-3"/>
        </w:rPr>
        <w:t> </w:t>
      </w:r>
      <w:r>
        <w:rPr/>
        <w:t>H.A.,</w:t>
      </w:r>
      <w:r>
        <w:rPr>
          <w:spacing w:val="-3"/>
        </w:rPr>
        <w:t> </w:t>
      </w:r>
      <w:r>
        <w:rPr/>
        <w:t>Gantz,</w:t>
      </w:r>
      <w:r>
        <w:rPr>
          <w:spacing w:val="-1"/>
        </w:rPr>
        <w:t> </w:t>
      </w:r>
      <w:r>
        <w:rPr/>
        <w:t>V.M.,</w:t>
      </w:r>
      <w:r>
        <w:rPr>
          <w:spacing w:val="-3"/>
        </w:rPr>
        <w:t> </w:t>
      </w:r>
      <w:r>
        <w:rPr/>
        <w:t>Poplawski,</w:t>
      </w:r>
      <w:r>
        <w:rPr>
          <w:spacing w:val="-3"/>
        </w:rPr>
        <w:t> </w:t>
      </w:r>
      <w:r>
        <w:rPr/>
        <w:t>G.,</w:t>
      </w:r>
      <w:r>
        <w:rPr>
          <w:spacing w:val="-3"/>
        </w:rPr>
        <w:t> </w:t>
      </w:r>
      <w:r>
        <w:rPr/>
        <w:t>Xu,</w:t>
      </w:r>
      <w:r>
        <w:rPr>
          <w:spacing w:val="-1"/>
        </w:rPr>
        <w:t> </w:t>
      </w:r>
      <w:r>
        <w:rPr/>
        <w:t>X.S.,</w:t>
      </w:r>
      <w:r>
        <w:rPr>
          <w:spacing w:val="-3"/>
        </w:rPr>
        <w:t> </w:t>
      </w:r>
      <w:r>
        <w:rPr/>
        <w:t>Bier,</w:t>
      </w:r>
      <w:r>
        <w:rPr>
          <w:spacing w:val="-3"/>
        </w:rPr>
        <w:t> </w:t>
      </w:r>
      <w:r>
        <w:rPr/>
        <w:t>E.,</w:t>
      </w:r>
      <w:r>
        <w:rPr>
          <w:spacing w:val="-3"/>
        </w:rPr>
        <w:t> </w:t>
      </w:r>
      <w:r>
        <w:rPr/>
        <w:t>and</w:t>
      </w:r>
      <w:r>
        <w:rPr>
          <w:spacing w:val="-4"/>
        </w:rPr>
        <w:t> </w:t>
      </w:r>
      <w:r>
        <w:rPr/>
        <w:t>Cooper,</w:t>
      </w:r>
      <w:r>
        <w:rPr>
          <w:spacing w:val="-3"/>
        </w:rPr>
        <w:t> </w:t>
      </w:r>
      <w:r>
        <w:rPr/>
        <w:t>K.L.</w:t>
      </w:r>
      <w:r>
        <w:rPr>
          <w:spacing w:val="-1"/>
        </w:rPr>
        <w:t> </w:t>
      </w:r>
      <w:r>
        <w:rPr/>
        <w:t>(2019).</w:t>
      </w:r>
      <w:r>
        <w:rPr>
          <w:spacing w:val="-1"/>
        </w:rPr>
        <w:t> </w:t>
      </w:r>
      <w:r>
        <w:rPr/>
        <w:t>Super-mendelian inheritance mediated by crispr case in the female mouse germline. </w:t>
      </w:r>
      <w:r>
        <w:rPr>
          <w:i/>
        </w:rPr>
        <w:t>Nature </w:t>
      </w:r>
      <w:r>
        <w:rPr>
          <w:b/>
        </w:rPr>
        <w:t>566</w:t>
      </w:r>
      <w:r>
        <w:rPr/>
        <w:t>:105–9.</w:t>
      </w:r>
    </w:p>
    <w:p>
      <w:pPr>
        <w:pStyle w:val="BodyText"/>
        <w:spacing w:before="11"/>
      </w:pPr>
    </w:p>
    <w:p>
      <w:pPr>
        <w:pStyle w:val="BodyText"/>
        <w:ind w:left="112"/>
      </w:pPr>
      <w:r>
        <w:rPr/>
        <w:t>Haber,</w:t>
      </w:r>
      <w:r>
        <w:rPr>
          <w:spacing w:val="-10"/>
        </w:rPr>
        <w:t> </w:t>
      </w:r>
      <w:r>
        <w:rPr/>
        <w:t>C.</w:t>
      </w:r>
      <w:r>
        <w:rPr>
          <w:spacing w:val="-9"/>
        </w:rPr>
        <w:t> </w:t>
      </w:r>
      <w:r>
        <w:rPr/>
        <w:t>(1996).</w:t>
      </w:r>
      <w:r>
        <w:rPr>
          <w:spacing w:val="-8"/>
        </w:rPr>
        <w:t> </w:t>
      </w:r>
      <w:r>
        <w:rPr/>
        <w:t>Biological;</w:t>
      </w:r>
      <w:r>
        <w:rPr>
          <w:spacing w:val="-9"/>
        </w:rPr>
        <w:t> </w:t>
      </w:r>
      <w:r>
        <w:rPr/>
        <w:t>conservation,</w:t>
      </w:r>
      <w:r>
        <w:rPr>
          <w:spacing w:val="-9"/>
        </w:rPr>
        <w:t> </w:t>
      </w:r>
      <w:r>
        <w:rPr/>
        <w:t>and</w:t>
      </w:r>
      <w:r>
        <w:rPr>
          <w:spacing w:val="-9"/>
        </w:rPr>
        <w:t> </w:t>
      </w:r>
      <w:r>
        <w:rPr/>
        <w:t>ethical</w:t>
      </w:r>
      <w:r>
        <w:rPr>
          <w:spacing w:val="-9"/>
        </w:rPr>
        <w:t> </w:t>
      </w:r>
      <w:r>
        <w:rPr/>
        <w:t>implications</w:t>
      </w:r>
      <w:r>
        <w:rPr>
          <w:spacing w:val="-8"/>
        </w:rPr>
        <w:t> </w:t>
      </w:r>
      <w:r>
        <w:rPr/>
        <w:t>of</w:t>
      </w:r>
      <w:r>
        <w:rPr>
          <w:spacing w:val="-8"/>
        </w:rPr>
        <w:t> </w:t>
      </w:r>
      <w:r>
        <w:rPr/>
        <w:t>exploiting</w:t>
      </w:r>
      <w:r>
        <w:rPr>
          <w:spacing w:val="-8"/>
        </w:rPr>
        <w:t> </w:t>
      </w:r>
      <w:r>
        <w:rPr/>
        <w:t>and</w:t>
      </w:r>
      <w:r>
        <w:rPr>
          <w:spacing w:val="-9"/>
        </w:rPr>
        <w:t> </w:t>
      </w:r>
      <w:r>
        <w:rPr/>
        <w:t>controlling</w:t>
      </w:r>
      <w:r>
        <w:rPr>
          <w:spacing w:val="-8"/>
        </w:rPr>
        <w:t> </w:t>
      </w:r>
      <w:r>
        <w:rPr>
          <w:spacing w:val="-2"/>
        </w:rPr>
        <w:t>wolves.</w:t>
      </w:r>
    </w:p>
    <w:p>
      <w:pPr>
        <w:spacing w:before="1"/>
        <w:ind w:left="833" w:right="0" w:firstLine="0"/>
        <w:jc w:val="left"/>
        <w:rPr>
          <w:sz w:val="20"/>
        </w:rPr>
      </w:pPr>
      <w:r>
        <w:rPr>
          <w:i/>
          <w:sz w:val="20"/>
        </w:rPr>
        <w:t>Conservation</w:t>
      </w:r>
      <w:r>
        <w:rPr>
          <w:i/>
          <w:spacing w:val="-12"/>
          <w:sz w:val="20"/>
        </w:rPr>
        <w:t> </w:t>
      </w:r>
      <w:r>
        <w:rPr>
          <w:i/>
          <w:sz w:val="20"/>
        </w:rPr>
        <w:t>Biology</w:t>
      </w:r>
      <w:r>
        <w:rPr>
          <w:i/>
          <w:spacing w:val="-10"/>
          <w:sz w:val="20"/>
        </w:rPr>
        <w:t> </w:t>
      </w:r>
      <w:r>
        <w:rPr>
          <w:spacing w:val="-2"/>
          <w:sz w:val="20"/>
        </w:rPr>
        <w:t>10(4).</w:t>
      </w:r>
    </w:p>
    <w:p>
      <w:pPr>
        <w:pStyle w:val="BodyText"/>
        <w:spacing w:before="10"/>
      </w:pPr>
    </w:p>
    <w:p>
      <w:pPr>
        <w:spacing w:before="0"/>
        <w:ind w:left="833" w:right="163" w:hanging="721"/>
        <w:jc w:val="left"/>
        <w:rPr>
          <w:sz w:val="20"/>
        </w:rPr>
      </w:pPr>
      <w:r>
        <w:rPr>
          <w:sz w:val="20"/>
        </w:rPr>
        <w:t>Hafi,</w:t>
      </w:r>
      <w:r>
        <w:rPr>
          <w:spacing w:val="-2"/>
          <w:sz w:val="20"/>
        </w:rPr>
        <w:t> </w:t>
      </w:r>
      <w:r>
        <w:rPr>
          <w:sz w:val="20"/>
        </w:rPr>
        <w:t>A.,</w:t>
      </w:r>
      <w:r>
        <w:rPr>
          <w:spacing w:val="-2"/>
          <w:sz w:val="20"/>
        </w:rPr>
        <w:t> </w:t>
      </w:r>
      <w:r>
        <w:rPr>
          <w:sz w:val="20"/>
        </w:rPr>
        <w:t>Arthur,</w:t>
      </w:r>
      <w:r>
        <w:rPr>
          <w:spacing w:val="-3"/>
          <w:sz w:val="20"/>
        </w:rPr>
        <w:t> </w:t>
      </w:r>
      <w:r>
        <w:rPr>
          <w:sz w:val="20"/>
        </w:rPr>
        <w:t>T.,</w:t>
      </w:r>
      <w:r>
        <w:rPr>
          <w:spacing w:val="-2"/>
          <w:sz w:val="20"/>
        </w:rPr>
        <w:t> </w:t>
      </w:r>
      <w:r>
        <w:rPr>
          <w:sz w:val="20"/>
        </w:rPr>
        <w:t>Medina,</w:t>
      </w:r>
      <w:r>
        <w:rPr>
          <w:spacing w:val="-2"/>
          <w:sz w:val="20"/>
        </w:rPr>
        <w:t> </w:t>
      </w:r>
      <w:r>
        <w:rPr>
          <w:sz w:val="20"/>
        </w:rPr>
        <w:t>M.,</w:t>
      </w:r>
      <w:r>
        <w:rPr>
          <w:spacing w:val="-2"/>
          <w:sz w:val="20"/>
        </w:rPr>
        <w:t> </w:t>
      </w:r>
      <w:r>
        <w:rPr>
          <w:sz w:val="20"/>
        </w:rPr>
        <w:t>Warnakula,</w:t>
      </w:r>
      <w:r>
        <w:rPr>
          <w:spacing w:val="-3"/>
          <w:sz w:val="20"/>
        </w:rPr>
        <w:t> </w:t>
      </w:r>
      <w:r>
        <w:rPr>
          <w:sz w:val="20"/>
        </w:rPr>
        <w:t>C.,</w:t>
      </w:r>
      <w:r>
        <w:rPr>
          <w:spacing w:val="-2"/>
          <w:sz w:val="20"/>
        </w:rPr>
        <w:t> </w:t>
      </w:r>
      <w:r>
        <w:rPr>
          <w:sz w:val="20"/>
        </w:rPr>
        <w:t>Addai,</w:t>
      </w:r>
      <w:r>
        <w:rPr>
          <w:spacing w:val="-2"/>
          <w:sz w:val="20"/>
        </w:rPr>
        <w:t> </w:t>
      </w:r>
      <w:r>
        <w:rPr>
          <w:sz w:val="20"/>
        </w:rPr>
        <w:t>D.,</w:t>
      </w:r>
      <w:r>
        <w:rPr>
          <w:spacing w:val="-3"/>
          <w:sz w:val="20"/>
        </w:rPr>
        <w:t> </w:t>
      </w:r>
      <w:r>
        <w:rPr>
          <w:sz w:val="20"/>
        </w:rPr>
        <w:t>and</w:t>
      </w:r>
      <w:r>
        <w:rPr>
          <w:spacing w:val="-3"/>
          <w:sz w:val="20"/>
        </w:rPr>
        <w:t> </w:t>
      </w:r>
      <w:r>
        <w:rPr>
          <w:sz w:val="20"/>
        </w:rPr>
        <w:t>Stenekes,</w:t>
      </w:r>
      <w:r>
        <w:rPr>
          <w:spacing w:val="-3"/>
          <w:sz w:val="20"/>
        </w:rPr>
        <w:t> </w:t>
      </w:r>
      <w:r>
        <w:rPr>
          <w:sz w:val="20"/>
        </w:rPr>
        <w:t>N.</w:t>
      </w:r>
      <w:r>
        <w:rPr>
          <w:spacing w:val="-3"/>
          <w:sz w:val="20"/>
        </w:rPr>
        <w:t> </w:t>
      </w:r>
      <w:r>
        <w:rPr>
          <w:sz w:val="20"/>
        </w:rPr>
        <w:t>(2023).</w:t>
      </w:r>
      <w:r>
        <w:rPr>
          <w:spacing w:val="-2"/>
          <w:sz w:val="20"/>
        </w:rPr>
        <w:t> </w:t>
      </w:r>
      <w:r>
        <w:rPr>
          <w:i/>
          <w:sz w:val="20"/>
        </w:rPr>
        <w:t>Cost</w:t>
      </w:r>
      <w:r>
        <w:rPr>
          <w:i/>
          <w:spacing w:val="-3"/>
          <w:sz w:val="20"/>
        </w:rPr>
        <w:t> </w:t>
      </w:r>
      <w:r>
        <w:rPr>
          <w:i/>
          <w:sz w:val="20"/>
        </w:rPr>
        <w:t>of</w:t>
      </w:r>
      <w:r>
        <w:rPr>
          <w:i/>
          <w:spacing w:val="-2"/>
          <w:sz w:val="20"/>
        </w:rPr>
        <w:t> </w:t>
      </w:r>
      <w:r>
        <w:rPr>
          <w:i/>
          <w:sz w:val="20"/>
        </w:rPr>
        <w:t>established</w:t>
      </w:r>
      <w:r>
        <w:rPr>
          <w:i/>
          <w:spacing w:val="-4"/>
          <w:sz w:val="20"/>
        </w:rPr>
        <w:t> </w:t>
      </w:r>
      <w:r>
        <w:rPr>
          <w:i/>
          <w:sz w:val="20"/>
        </w:rPr>
        <w:t>pest</w:t>
      </w:r>
      <w:r>
        <w:rPr>
          <w:i/>
          <w:sz w:val="20"/>
        </w:rPr>
        <w:t> animals and weeds to Australian agricultural producers</w:t>
      </w:r>
      <w:r>
        <w:rPr>
          <w:sz w:val="20"/>
        </w:rPr>
        <w:t>. Australian Bureau of Agricultural Resource Economics and Sciences (ABARES), Canberra.</w:t>
      </w:r>
    </w:p>
    <w:p>
      <w:pPr>
        <w:pStyle w:val="BodyText"/>
        <w:spacing w:before="9"/>
      </w:pPr>
    </w:p>
    <w:p>
      <w:pPr>
        <w:spacing w:before="1"/>
        <w:ind w:left="833" w:right="163" w:hanging="721"/>
        <w:jc w:val="left"/>
        <w:rPr>
          <w:sz w:val="20"/>
        </w:rPr>
      </w:pPr>
      <w:r>
        <w:rPr>
          <w:sz w:val="20"/>
        </w:rPr>
        <w:t>Hallett,</w:t>
      </w:r>
      <w:r>
        <w:rPr>
          <w:spacing w:val="-2"/>
          <w:sz w:val="20"/>
        </w:rPr>
        <w:t> </w:t>
      </w:r>
      <w:r>
        <w:rPr>
          <w:sz w:val="20"/>
        </w:rPr>
        <w:t>C.</w:t>
      </w:r>
      <w:r>
        <w:rPr>
          <w:spacing w:val="-4"/>
          <w:sz w:val="20"/>
        </w:rPr>
        <w:t> </w:t>
      </w:r>
      <w:r>
        <w:rPr>
          <w:sz w:val="20"/>
        </w:rPr>
        <w:t>(2002).</w:t>
      </w:r>
      <w:r>
        <w:rPr>
          <w:spacing w:val="-1"/>
          <w:sz w:val="20"/>
        </w:rPr>
        <w:t> </w:t>
      </w:r>
      <w:r>
        <w:rPr>
          <w:i/>
          <w:sz w:val="20"/>
        </w:rPr>
        <w:t>Wild</w:t>
      </w:r>
      <w:r>
        <w:rPr>
          <w:i/>
          <w:spacing w:val="-2"/>
          <w:sz w:val="20"/>
        </w:rPr>
        <w:t> </w:t>
      </w:r>
      <w:r>
        <w:rPr>
          <w:i/>
          <w:sz w:val="20"/>
        </w:rPr>
        <w:t>dog</w:t>
      </w:r>
      <w:r>
        <w:rPr>
          <w:i/>
          <w:spacing w:val="-2"/>
          <w:sz w:val="20"/>
        </w:rPr>
        <w:t> </w:t>
      </w:r>
      <w:r>
        <w:rPr>
          <w:i/>
          <w:sz w:val="20"/>
        </w:rPr>
        <w:t>exclusion</w:t>
      </w:r>
      <w:r>
        <w:rPr>
          <w:i/>
          <w:spacing w:val="-4"/>
          <w:sz w:val="20"/>
        </w:rPr>
        <w:t> </w:t>
      </w:r>
      <w:r>
        <w:rPr>
          <w:i/>
          <w:sz w:val="20"/>
        </w:rPr>
        <w:t>fencing</w:t>
      </w:r>
      <w:r>
        <w:rPr>
          <w:i/>
          <w:spacing w:val="-2"/>
          <w:sz w:val="20"/>
        </w:rPr>
        <w:t> </w:t>
      </w:r>
      <w:r>
        <w:rPr>
          <w:i/>
          <w:sz w:val="20"/>
        </w:rPr>
        <w:t>audit</w:t>
      </w:r>
      <w:r>
        <w:rPr>
          <w:i/>
          <w:spacing w:val="-2"/>
          <w:sz w:val="20"/>
        </w:rPr>
        <w:t> </w:t>
      </w:r>
      <w:r>
        <w:rPr>
          <w:i/>
          <w:sz w:val="20"/>
        </w:rPr>
        <w:t>for</w:t>
      </w:r>
      <w:r>
        <w:rPr>
          <w:i/>
          <w:spacing w:val="-1"/>
          <w:sz w:val="20"/>
        </w:rPr>
        <w:t> </w:t>
      </w:r>
      <w:r>
        <w:rPr>
          <w:i/>
          <w:sz w:val="20"/>
        </w:rPr>
        <w:t>the</w:t>
      </w:r>
      <w:r>
        <w:rPr>
          <w:i/>
          <w:spacing w:val="-1"/>
          <w:sz w:val="20"/>
        </w:rPr>
        <w:t> </w:t>
      </w:r>
      <w:r>
        <w:rPr>
          <w:i/>
          <w:sz w:val="20"/>
        </w:rPr>
        <w:t>northeast</w:t>
      </w:r>
      <w:r>
        <w:rPr>
          <w:i/>
          <w:spacing w:val="-3"/>
          <w:sz w:val="20"/>
        </w:rPr>
        <w:t> </w:t>
      </w:r>
      <w:r>
        <w:rPr>
          <w:i/>
          <w:sz w:val="20"/>
        </w:rPr>
        <w:t>region</w:t>
      </w:r>
      <w:r>
        <w:rPr>
          <w:i/>
          <w:spacing w:val="-3"/>
          <w:sz w:val="20"/>
        </w:rPr>
        <w:t> </w:t>
      </w:r>
      <w:r>
        <w:rPr>
          <w:i/>
          <w:sz w:val="20"/>
        </w:rPr>
        <w:t>of</w:t>
      </w:r>
      <w:r>
        <w:rPr>
          <w:i/>
          <w:spacing w:val="-1"/>
          <w:sz w:val="20"/>
        </w:rPr>
        <w:t> </w:t>
      </w:r>
      <w:r>
        <w:rPr>
          <w:i/>
          <w:sz w:val="20"/>
        </w:rPr>
        <w:t>Victoria.</w:t>
      </w:r>
      <w:r>
        <w:rPr>
          <w:i/>
          <w:spacing w:val="-4"/>
          <w:sz w:val="20"/>
        </w:rPr>
        <w:t> </w:t>
      </w:r>
      <w:r>
        <w:rPr>
          <w:sz w:val="20"/>
        </w:rPr>
        <w:t>Department</w:t>
      </w:r>
      <w:r>
        <w:rPr>
          <w:spacing w:val="-4"/>
          <w:sz w:val="20"/>
        </w:rPr>
        <w:t> </w:t>
      </w:r>
      <w:r>
        <w:rPr>
          <w:sz w:val="20"/>
        </w:rPr>
        <w:t>of</w:t>
      </w:r>
      <w:r>
        <w:rPr>
          <w:spacing w:val="-2"/>
          <w:sz w:val="20"/>
        </w:rPr>
        <w:t> </w:t>
      </w:r>
      <w:r>
        <w:rPr>
          <w:sz w:val="20"/>
        </w:rPr>
        <w:t>Natural Resources and Environment, unpublished report.</w:t>
      </w:r>
    </w:p>
    <w:p>
      <w:pPr>
        <w:pStyle w:val="BodyText"/>
        <w:spacing w:before="10"/>
      </w:pPr>
    </w:p>
    <w:p>
      <w:pPr>
        <w:pStyle w:val="BodyText"/>
        <w:ind w:left="833" w:right="232" w:hanging="721"/>
      </w:pPr>
      <w:r>
        <w:rPr/>
        <w:t>Hamnett, P.W., Saltré, F., Page, B., Tarran, M., Korcz, M., Fielder, K., Andrews, L., and Bradshaw, C.J.A. (2023).</w:t>
      </w:r>
      <w:r>
        <w:rPr>
          <w:spacing w:val="-2"/>
        </w:rPr>
        <w:t> </w:t>
      </w:r>
      <w:r>
        <w:rPr/>
        <w:t>Stochastic</w:t>
      </w:r>
      <w:r>
        <w:rPr>
          <w:spacing w:val="-3"/>
        </w:rPr>
        <w:t> </w:t>
      </w:r>
      <w:r>
        <w:rPr/>
        <w:t>population</w:t>
      </w:r>
      <w:r>
        <w:rPr>
          <w:spacing w:val="-5"/>
        </w:rPr>
        <w:t> </w:t>
      </w:r>
      <w:r>
        <w:rPr/>
        <w:t>models</w:t>
      </w:r>
      <w:r>
        <w:rPr>
          <w:spacing w:val="-3"/>
        </w:rPr>
        <w:t> </w:t>
      </w:r>
      <w:r>
        <w:rPr/>
        <w:t>to</w:t>
      </w:r>
      <w:r>
        <w:rPr>
          <w:spacing w:val="-3"/>
        </w:rPr>
        <w:t> </w:t>
      </w:r>
      <w:r>
        <w:rPr/>
        <w:t>identify</w:t>
      </w:r>
      <w:r>
        <w:rPr>
          <w:spacing w:val="-3"/>
        </w:rPr>
        <w:t> </w:t>
      </w:r>
      <w:r>
        <w:rPr/>
        <w:t>optimal</w:t>
      </w:r>
      <w:r>
        <w:rPr>
          <w:spacing w:val="-5"/>
        </w:rPr>
        <w:t> </w:t>
      </w:r>
      <w:r>
        <w:rPr/>
        <w:t>and</w:t>
      </w:r>
      <w:r>
        <w:rPr>
          <w:spacing w:val="-5"/>
        </w:rPr>
        <w:t> </w:t>
      </w:r>
      <w:r>
        <w:rPr/>
        <w:t>cost-effective</w:t>
      </w:r>
      <w:r>
        <w:rPr>
          <w:spacing w:val="-2"/>
        </w:rPr>
        <w:t> </w:t>
      </w:r>
      <w:r>
        <w:rPr/>
        <w:t>harvest</w:t>
      </w:r>
      <w:r>
        <w:rPr>
          <w:spacing w:val="-4"/>
        </w:rPr>
        <w:t> </w:t>
      </w:r>
      <w:r>
        <w:rPr/>
        <w:t>strategies</w:t>
      </w:r>
      <w:r>
        <w:rPr>
          <w:spacing w:val="-3"/>
        </w:rPr>
        <w:t> </w:t>
      </w:r>
      <w:r>
        <w:rPr/>
        <w:t>for</w:t>
      </w:r>
      <w:r>
        <w:rPr>
          <w:spacing w:val="-3"/>
        </w:rPr>
        <w:t> </w:t>
      </w:r>
      <w:r>
        <w:rPr/>
        <w:t>feral pig eradication. doi: 10.1101/2023.03.08.531659.</w:t>
      </w:r>
    </w:p>
    <w:p>
      <w:pPr>
        <w:pStyle w:val="BodyText"/>
        <w:spacing w:before="9"/>
      </w:pPr>
    </w:p>
    <w:p>
      <w:pPr>
        <w:pStyle w:val="BodyText"/>
        <w:ind w:left="833" w:right="163" w:hanging="721"/>
      </w:pPr>
      <w:r>
        <w:rPr/>
        <w:t>Hampton,</w:t>
      </w:r>
      <w:r>
        <w:rPr>
          <w:spacing w:val="-4"/>
        </w:rPr>
        <w:t> </w:t>
      </w:r>
      <w:r>
        <w:rPr/>
        <w:t>J.O.,</w:t>
      </w:r>
      <w:r>
        <w:rPr>
          <w:spacing w:val="-2"/>
        </w:rPr>
        <w:t> </w:t>
      </w:r>
      <w:r>
        <w:rPr/>
        <w:t>Cobb,</w:t>
      </w:r>
      <w:r>
        <w:rPr>
          <w:spacing w:val="-2"/>
        </w:rPr>
        <w:t> </w:t>
      </w:r>
      <w:r>
        <w:rPr/>
        <w:t>M.L.,</w:t>
      </w:r>
      <w:r>
        <w:rPr>
          <w:spacing w:val="-2"/>
        </w:rPr>
        <w:t> </w:t>
      </w:r>
      <w:r>
        <w:rPr/>
        <w:t>Toop,</w:t>
      </w:r>
      <w:r>
        <w:rPr>
          <w:spacing w:val="-2"/>
        </w:rPr>
        <w:t> </w:t>
      </w:r>
      <w:r>
        <w:rPr/>
        <w:t>S.D.,</w:t>
      </w:r>
      <w:r>
        <w:rPr>
          <w:spacing w:val="-4"/>
        </w:rPr>
        <w:t> </w:t>
      </w:r>
      <w:r>
        <w:rPr/>
        <w:t>Flesch,</w:t>
      </w:r>
      <w:r>
        <w:rPr>
          <w:spacing w:val="-4"/>
        </w:rPr>
        <w:t> </w:t>
      </w:r>
      <w:r>
        <w:rPr/>
        <w:t>J.S.,</w:t>
      </w:r>
      <w:r>
        <w:rPr>
          <w:spacing w:val="-2"/>
        </w:rPr>
        <w:t> </w:t>
      </w:r>
      <w:r>
        <w:rPr/>
        <w:t>and</w:t>
      </w:r>
      <w:r>
        <w:rPr>
          <w:spacing w:val="-5"/>
        </w:rPr>
        <w:t> </w:t>
      </w:r>
      <w:r>
        <w:rPr/>
        <w:t>Hyndman,</w:t>
      </w:r>
      <w:r>
        <w:rPr>
          <w:spacing w:val="-4"/>
        </w:rPr>
        <w:t> </w:t>
      </w:r>
      <w:r>
        <w:rPr/>
        <w:t>T.H.</w:t>
      </w:r>
      <w:r>
        <w:rPr>
          <w:spacing w:val="-4"/>
        </w:rPr>
        <w:t> </w:t>
      </w:r>
      <w:r>
        <w:rPr/>
        <w:t>(2023).</w:t>
      </w:r>
      <w:r>
        <w:rPr>
          <w:spacing w:val="-1"/>
        </w:rPr>
        <w:t> </w:t>
      </w:r>
      <w:r>
        <w:rPr/>
        <w:t>Elevated</w:t>
      </w:r>
      <w:r>
        <w:rPr>
          <w:spacing w:val="-3"/>
        </w:rPr>
        <w:t> </w:t>
      </w:r>
      <w:r>
        <w:rPr/>
        <w:t>lead</w:t>
      </w:r>
      <w:r>
        <w:rPr>
          <w:spacing w:val="-3"/>
        </w:rPr>
        <w:t> </w:t>
      </w:r>
      <w:r>
        <w:rPr/>
        <w:t>exposure</w:t>
      </w:r>
      <w:r>
        <w:rPr>
          <w:spacing w:val="-2"/>
        </w:rPr>
        <w:t> </w:t>
      </w:r>
      <w:r>
        <w:rPr/>
        <w:t>in Australian hunting dogs during a deer hunting season. </w:t>
      </w:r>
      <w:r>
        <w:rPr>
          <w:i/>
        </w:rPr>
        <w:t>Environmental Pollution </w:t>
      </w:r>
      <w:r>
        <w:rPr>
          <w:b/>
        </w:rPr>
        <w:t>323</w:t>
      </w:r>
      <w:r>
        <w:rPr/>
        <w:t>:121317. doi: </w:t>
      </w:r>
      <w:r>
        <w:rPr>
          <w:spacing w:val="-2"/>
        </w:rPr>
        <w:t>10.1016/j.envpol.2023.121317.</w:t>
      </w:r>
    </w:p>
    <w:p>
      <w:pPr>
        <w:pStyle w:val="BodyText"/>
        <w:spacing w:before="11"/>
      </w:pPr>
    </w:p>
    <w:p>
      <w:pPr>
        <w:pStyle w:val="BodyText"/>
        <w:spacing w:before="1"/>
        <w:ind w:left="833" w:right="367" w:hanging="721"/>
        <w:jc w:val="both"/>
      </w:pPr>
      <w:r>
        <w:rPr/>
        <w:t>Hampton,</w:t>
      </w:r>
      <w:r>
        <w:rPr>
          <w:spacing w:val="-1"/>
        </w:rPr>
        <w:t> </w:t>
      </w:r>
      <w:r>
        <w:rPr/>
        <w:t>J.O., Eccles,</w:t>
      </w:r>
      <w:r>
        <w:rPr>
          <w:spacing w:val="-1"/>
        </w:rPr>
        <w:t> </w:t>
      </w:r>
      <w:r>
        <w:rPr/>
        <w:t>G., Hunt, R., Bengsen, A.J., Perry,</w:t>
      </w:r>
      <w:r>
        <w:rPr>
          <w:spacing w:val="-1"/>
        </w:rPr>
        <w:t> </w:t>
      </w:r>
      <w:r>
        <w:rPr/>
        <w:t>A.L., Parker,</w:t>
      </w:r>
      <w:r>
        <w:rPr>
          <w:spacing w:val="-1"/>
        </w:rPr>
        <w:t> </w:t>
      </w:r>
      <w:r>
        <w:rPr/>
        <w:t>S.,</w:t>
      </w:r>
      <w:r>
        <w:rPr>
          <w:spacing w:val="-1"/>
        </w:rPr>
        <w:t> </w:t>
      </w:r>
      <w:r>
        <w:rPr/>
        <w:t>Miller, C.J.,</w:t>
      </w:r>
      <w:r>
        <w:rPr>
          <w:spacing w:val="-1"/>
        </w:rPr>
        <w:t> </w:t>
      </w:r>
      <w:r>
        <w:rPr/>
        <w:t>Joslyn, S.K.,</w:t>
      </w:r>
      <w:r>
        <w:rPr>
          <w:spacing w:val="-1"/>
        </w:rPr>
        <w:t> </w:t>
      </w:r>
      <w:r>
        <w:rPr/>
        <w:t>Stokke, S.,</w:t>
      </w:r>
      <w:r>
        <w:rPr>
          <w:spacing w:val="-1"/>
        </w:rPr>
        <w:t> </w:t>
      </w:r>
      <w:r>
        <w:rPr/>
        <w:t>Arnemo,</w:t>
      </w:r>
      <w:r>
        <w:rPr>
          <w:spacing w:val="-3"/>
        </w:rPr>
        <w:t> </w:t>
      </w:r>
      <w:r>
        <w:rPr/>
        <w:t>J.M.,</w:t>
      </w:r>
      <w:r>
        <w:rPr>
          <w:spacing w:val="-3"/>
        </w:rPr>
        <w:t> </w:t>
      </w:r>
      <w:r>
        <w:rPr/>
        <w:t>and</w:t>
      </w:r>
      <w:r>
        <w:rPr>
          <w:spacing w:val="-4"/>
        </w:rPr>
        <w:t> </w:t>
      </w:r>
      <w:r>
        <w:rPr/>
        <w:t>Hart, Q.</w:t>
      </w:r>
      <w:r>
        <w:rPr>
          <w:spacing w:val="-3"/>
        </w:rPr>
        <w:t> </w:t>
      </w:r>
      <w:r>
        <w:rPr/>
        <w:t>(2021).</w:t>
      </w:r>
      <w:r>
        <w:rPr>
          <w:spacing w:val="-1"/>
        </w:rPr>
        <w:t> </w:t>
      </w:r>
      <w:r>
        <w:rPr/>
        <w:t>A</w:t>
      </w:r>
      <w:r>
        <w:rPr>
          <w:spacing w:val="-4"/>
        </w:rPr>
        <w:t> </w:t>
      </w:r>
      <w:r>
        <w:rPr/>
        <w:t>comparison</w:t>
      </w:r>
      <w:r>
        <w:rPr>
          <w:spacing w:val="-2"/>
        </w:rPr>
        <w:t> </w:t>
      </w:r>
      <w:r>
        <w:rPr/>
        <w:t>of</w:t>
      </w:r>
      <w:r>
        <w:rPr>
          <w:spacing w:val="-3"/>
        </w:rPr>
        <w:t> </w:t>
      </w:r>
      <w:r>
        <w:rPr/>
        <w:t>fragmenting</w:t>
      </w:r>
      <w:r>
        <w:rPr>
          <w:spacing w:val="-1"/>
        </w:rPr>
        <w:t> </w:t>
      </w:r>
      <w:r>
        <w:rPr/>
        <w:t>lead-based</w:t>
      </w:r>
      <w:r>
        <w:rPr>
          <w:spacing w:val="-4"/>
        </w:rPr>
        <w:t> </w:t>
      </w:r>
      <w:r>
        <w:rPr/>
        <w:t>and</w:t>
      </w:r>
      <w:r>
        <w:rPr>
          <w:spacing w:val="-4"/>
        </w:rPr>
        <w:t> </w:t>
      </w:r>
      <w:r>
        <w:rPr/>
        <w:t>lead-free</w:t>
      </w:r>
      <w:r>
        <w:rPr>
          <w:spacing w:val="-3"/>
        </w:rPr>
        <w:t> </w:t>
      </w:r>
      <w:r>
        <w:rPr/>
        <w:t>bullets for aerial shooting of wild pigs. </w:t>
      </w:r>
      <w:r>
        <w:rPr>
          <w:i/>
        </w:rPr>
        <w:t>PLoS ONE </w:t>
      </w:r>
      <w:r>
        <w:rPr>
          <w:b/>
        </w:rPr>
        <w:t>16</w:t>
      </w:r>
      <w:r>
        <w:rPr/>
        <w:t>(3):1–15.</w:t>
      </w:r>
    </w:p>
    <w:p>
      <w:pPr>
        <w:pStyle w:val="BodyText"/>
        <w:spacing w:before="8"/>
      </w:pPr>
    </w:p>
    <w:p>
      <w:pPr>
        <w:pStyle w:val="BodyText"/>
        <w:spacing w:before="1"/>
        <w:ind w:left="833" w:right="163" w:hanging="721"/>
      </w:pPr>
      <w:r>
        <w:rPr/>
        <w:t>Hampton,</w:t>
      </w:r>
      <w:r>
        <w:rPr>
          <w:spacing w:val="-3"/>
        </w:rPr>
        <w:t> </w:t>
      </w:r>
      <w:r>
        <w:rPr/>
        <w:t>J.O.,</w:t>
      </w:r>
      <w:r>
        <w:rPr>
          <w:spacing w:val="-1"/>
        </w:rPr>
        <w:t> </w:t>
      </w:r>
      <w:r>
        <w:rPr/>
        <w:t>and</w:t>
      </w:r>
      <w:r>
        <w:rPr>
          <w:spacing w:val="-3"/>
        </w:rPr>
        <w:t> </w:t>
      </w:r>
      <w:r>
        <w:rPr/>
        <w:t>Forsyth,</w:t>
      </w:r>
      <w:r>
        <w:rPr>
          <w:spacing w:val="-3"/>
        </w:rPr>
        <w:t> </w:t>
      </w:r>
      <w:r>
        <w:rPr/>
        <w:t>D.M.</w:t>
      </w:r>
      <w:r>
        <w:rPr>
          <w:spacing w:val="-3"/>
        </w:rPr>
        <w:t> </w:t>
      </w:r>
      <w:r>
        <w:rPr/>
        <w:t>(2016).</w:t>
      </w:r>
      <w:r>
        <w:rPr>
          <w:spacing w:val="-1"/>
        </w:rPr>
        <w:t> </w:t>
      </w:r>
      <w:r>
        <w:rPr/>
        <w:t>An</w:t>
      </w:r>
      <w:r>
        <w:rPr>
          <w:spacing w:val="-3"/>
        </w:rPr>
        <w:t> </w:t>
      </w:r>
      <w:r>
        <w:rPr/>
        <w:t>assessment</w:t>
      </w:r>
      <w:r>
        <w:rPr>
          <w:spacing w:val="-1"/>
        </w:rPr>
        <w:t> </w:t>
      </w:r>
      <w:r>
        <w:rPr/>
        <w:t>of</w:t>
      </w:r>
      <w:r>
        <w:rPr>
          <w:spacing w:val="-3"/>
        </w:rPr>
        <w:t> </w:t>
      </w:r>
      <w:r>
        <w:rPr/>
        <w:t>animal</w:t>
      </w:r>
      <w:r>
        <w:rPr>
          <w:spacing w:val="-4"/>
        </w:rPr>
        <w:t> </w:t>
      </w:r>
      <w:r>
        <w:rPr/>
        <w:t>welfare</w:t>
      </w:r>
      <w:r>
        <w:rPr>
          <w:spacing w:val="-1"/>
        </w:rPr>
        <w:t> </w:t>
      </w:r>
      <w:r>
        <w:rPr/>
        <w:t>for</w:t>
      </w:r>
      <w:r>
        <w:rPr>
          <w:spacing w:val="-2"/>
        </w:rPr>
        <w:t> </w:t>
      </w:r>
      <w:r>
        <w:rPr/>
        <w:t>the</w:t>
      </w:r>
      <w:r>
        <w:rPr>
          <w:spacing w:val="-4"/>
        </w:rPr>
        <w:t> </w:t>
      </w:r>
      <w:r>
        <w:rPr/>
        <w:t>culling</w:t>
      </w:r>
      <w:r>
        <w:rPr>
          <w:spacing w:val="-2"/>
        </w:rPr>
        <w:t> </w:t>
      </w:r>
      <w:r>
        <w:rPr/>
        <w:t>of</w:t>
      </w:r>
      <w:r>
        <w:rPr>
          <w:spacing w:val="-3"/>
        </w:rPr>
        <w:t> </w:t>
      </w:r>
      <w:r>
        <w:rPr/>
        <w:t>peri-urban kangaroos. </w:t>
      </w:r>
      <w:r>
        <w:rPr>
          <w:i/>
        </w:rPr>
        <w:t>Wildlife Research </w:t>
      </w:r>
      <w:r>
        <w:rPr>
          <w:b/>
        </w:rPr>
        <w:t>43</w:t>
      </w:r>
      <w:r>
        <w:rPr/>
        <w:t>(3):261. doi: 10.1071/WR16023.</w:t>
      </w:r>
    </w:p>
    <w:p>
      <w:pPr>
        <w:pStyle w:val="BodyText"/>
        <w:spacing w:before="11"/>
      </w:pPr>
    </w:p>
    <w:p>
      <w:pPr>
        <w:pStyle w:val="BodyText"/>
        <w:ind w:left="833" w:right="544" w:hanging="721"/>
      </w:pPr>
      <w:r>
        <w:rPr/>
        <w:t>Hampton,</w:t>
      </w:r>
      <w:r>
        <w:rPr>
          <w:spacing w:val="-4"/>
        </w:rPr>
        <w:t> </w:t>
      </w:r>
      <w:r>
        <w:rPr/>
        <w:t>J.O.,</w:t>
      </w:r>
      <w:r>
        <w:rPr>
          <w:spacing w:val="-3"/>
        </w:rPr>
        <w:t> </w:t>
      </w:r>
      <w:r>
        <w:rPr/>
        <w:t>Jones,</w:t>
      </w:r>
      <w:r>
        <w:rPr>
          <w:spacing w:val="-3"/>
        </w:rPr>
        <w:t> </w:t>
      </w:r>
      <w:r>
        <w:rPr/>
        <w:t>B.,</w:t>
      </w:r>
      <w:r>
        <w:rPr>
          <w:spacing w:val="-3"/>
        </w:rPr>
        <w:t> </w:t>
      </w:r>
      <w:r>
        <w:rPr/>
        <w:t>and</w:t>
      </w:r>
      <w:r>
        <w:rPr>
          <w:spacing w:val="-3"/>
        </w:rPr>
        <w:t> </w:t>
      </w:r>
      <w:r>
        <w:rPr/>
        <w:t>McGreevy,</w:t>
      </w:r>
      <w:r>
        <w:rPr>
          <w:spacing w:val="-4"/>
        </w:rPr>
        <w:t> </w:t>
      </w:r>
      <w:r>
        <w:rPr/>
        <w:t>P.D.</w:t>
      </w:r>
      <w:r>
        <w:rPr>
          <w:spacing w:val="-4"/>
        </w:rPr>
        <w:t> </w:t>
      </w:r>
      <w:r>
        <w:rPr/>
        <w:t>(2020).</w:t>
      </w:r>
      <w:r>
        <w:rPr>
          <w:spacing w:val="-4"/>
        </w:rPr>
        <w:t> </w:t>
      </w:r>
      <w:r>
        <w:rPr/>
        <w:t>Social</w:t>
      </w:r>
      <w:r>
        <w:rPr>
          <w:spacing w:val="-3"/>
        </w:rPr>
        <w:t> </w:t>
      </w:r>
      <w:r>
        <w:rPr/>
        <w:t>license</w:t>
      </w:r>
      <w:r>
        <w:rPr>
          <w:spacing w:val="-4"/>
        </w:rPr>
        <w:t> </w:t>
      </w:r>
      <w:r>
        <w:rPr/>
        <w:t>and</w:t>
      </w:r>
      <w:r>
        <w:rPr>
          <w:spacing w:val="-3"/>
        </w:rPr>
        <w:t> </w:t>
      </w:r>
      <w:r>
        <w:rPr/>
        <w:t>animal</w:t>
      </w:r>
      <w:r>
        <w:rPr>
          <w:spacing w:val="-3"/>
        </w:rPr>
        <w:t> </w:t>
      </w:r>
      <w:r>
        <w:rPr/>
        <w:t>welfare:</w:t>
      </w:r>
      <w:r>
        <w:rPr>
          <w:spacing w:val="-4"/>
        </w:rPr>
        <w:t> </w:t>
      </w:r>
      <w:r>
        <w:rPr/>
        <w:t>developments from the past decade in Australia. </w:t>
      </w:r>
      <w:r>
        <w:rPr>
          <w:i/>
        </w:rPr>
        <w:t>Animals </w:t>
      </w:r>
      <w:r>
        <w:rPr>
          <w:b/>
        </w:rPr>
        <w:t>10</w:t>
      </w:r>
      <w:r>
        <w:rPr/>
        <w:t>(12):2237. doi: 10.3390/ani10122237.</w:t>
      </w:r>
    </w:p>
    <w:p>
      <w:pPr>
        <w:pStyle w:val="BodyText"/>
        <w:spacing w:before="10"/>
      </w:pPr>
    </w:p>
    <w:p>
      <w:pPr>
        <w:pStyle w:val="BodyText"/>
        <w:spacing w:before="1"/>
        <w:ind w:left="833" w:right="163" w:hanging="721"/>
      </w:pPr>
      <w:r>
        <w:rPr/>
        <w:t>Hampton, J.O., Laidlaw, M., Buenz, E., and Arnemo, J.M. (2018). Heads in the sand: public health and ecological</w:t>
      </w:r>
      <w:r>
        <w:rPr>
          <w:spacing w:val="-5"/>
        </w:rPr>
        <w:t> </w:t>
      </w:r>
      <w:r>
        <w:rPr/>
        <w:t>risks</w:t>
      </w:r>
      <w:r>
        <w:rPr>
          <w:spacing w:val="-3"/>
        </w:rPr>
        <w:t> </w:t>
      </w:r>
      <w:r>
        <w:rPr/>
        <w:t>of</w:t>
      </w:r>
      <w:r>
        <w:rPr>
          <w:spacing w:val="-4"/>
        </w:rPr>
        <w:t> </w:t>
      </w:r>
      <w:r>
        <w:rPr/>
        <w:t>lead-based</w:t>
      </w:r>
      <w:r>
        <w:rPr>
          <w:spacing w:val="-5"/>
        </w:rPr>
        <w:t> </w:t>
      </w:r>
      <w:r>
        <w:rPr/>
        <w:t>bullets</w:t>
      </w:r>
      <w:r>
        <w:rPr>
          <w:spacing w:val="-3"/>
        </w:rPr>
        <w:t> </w:t>
      </w:r>
      <w:r>
        <w:rPr/>
        <w:t>for</w:t>
      </w:r>
      <w:r>
        <w:rPr>
          <w:spacing w:val="-1"/>
        </w:rPr>
        <w:t> </w:t>
      </w:r>
      <w:r>
        <w:rPr/>
        <w:t>wildlife</w:t>
      </w:r>
      <w:r>
        <w:rPr>
          <w:spacing w:val="-2"/>
        </w:rPr>
        <w:t> </w:t>
      </w:r>
      <w:r>
        <w:rPr/>
        <w:t>shooting</w:t>
      </w:r>
      <w:r>
        <w:rPr>
          <w:spacing w:val="-5"/>
        </w:rPr>
        <w:t> </w:t>
      </w:r>
      <w:r>
        <w:rPr/>
        <w:t>in Australia.</w:t>
      </w:r>
      <w:r>
        <w:rPr>
          <w:spacing w:val="-2"/>
        </w:rPr>
        <w:t> </w:t>
      </w:r>
      <w:r>
        <w:rPr>
          <w:i/>
        </w:rPr>
        <w:t>Wildlife</w:t>
      </w:r>
      <w:r>
        <w:rPr>
          <w:i/>
          <w:spacing w:val="-5"/>
        </w:rPr>
        <w:t> </w:t>
      </w:r>
      <w:r>
        <w:rPr>
          <w:i/>
        </w:rPr>
        <w:t>Research</w:t>
      </w:r>
      <w:r>
        <w:rPr>
          <w:i/>
          <w:spacing w:val="-2"/>
        </w:rPr>
        <w:t> </w:t>
      </w:r>
      <w:r>
        <w:rPr>
          <w:b/>
        </w:rPr>
        <w:t>45</w:t>
      </w:r>
      <w:r>
        <w:rPr/>
        <w:t>(4):287–</w:t>
      </w:r>
    </w:p>
    <w:p>
      <w:pPr>
        <w:pStyle w:val="BodyText"/>
        <w:spacing w:line="228" w:lineRule="exact"/>
        <w:ind w:left="833"/>
      </w:pPr>
      <w:r>
        <w:rPr/>
        <w:t>306.</w:t>
      </w:r>
      <w:r>
        <w:rPr>
          <w:spacing w:val="-5"/>
        </w:rPr>
        <w:t> </w:t>
      </w:r>
      <w:r>
        <w:rPr/>
        <w:t>doi:</w:t>
      </w:r>
      <w:r>
        <w:rPr>
          <w:spacing w:val="-6"/>
        </w:rPr>
        <w:t> </w:t>
      </w:r>
      <w:r>
        <w:rPr>
          <w:spacing w:val="-2"/>
        </w:rPr>
        <w:t>10.1071/WR17180.</w:t>
      </w:r>
    </w:p>
    <w:p>
      <w:pPr>
        <w:pStyle w:val="BodyText"/>
        <w:spacing w:before="10"/>
      </w:pPr>
    </w:p>
    <w:p>
      <w:pPr>
        <w:pStyle w:val="BodyText"/>
        <w:ind w:left="833" w:right="163" w:hanging="721"/>
      </w:pPr>
      <w:r>
        <w:rPr/>
        <w:t>Hampton,</w:t>
      </w:r>
      <w:r>
        <w:rPr>
          <w:spacing w:val="-3"/>
        </w:rPr>
        <w:t> </w:t>
      </w:r>
      <w:r>
        <w:rPr/>
        <w:t>J.O.,</w:t>
      </w:r>
      <w:r>
        <w:rPr>
          <w:spacing w:val="-1"/>
        </w:rPr>
        <w:t> </w:t>
      </w:r>
      <w:r>
        <w:rPr/>
        <w:t>Lohr,</w:t>
      </w:r>
      <w:r>
        <w:rPr>
          <w:spacing w:val="-3"/>
        </w:rPr>
        <w:t> </w:t>
      </w:r>
      <w:r>
        <w:rPr/>
        <w:t>M.T., Specht,</w:t>
      </w:r>
      <w:r>
        <w:rPr>
          <w:spacing w:val="-3"/>
        </w:rPr>
        <w:t> </w:t>
      </w:r>
      <w:r>
        <w:rPr/>
        <w:t>A.J.,</w:t>
      </w:r>
      <w:r>
        <w:rPr>
          <w:spacing w:val="-3"/>
        </w:rPr>
        <w:t> </w:t>
      </w:r>
      <w:r>
        <w:rPr/>
        <w:t>Nzabanita,</w:t>
      </w:r>
      <w:r>
        <w:rPr>
          <w:spacing w:val="-3"/>
        </w:rPr>
        <w:t> </w:t>
      </w:r>
      <w:r>
        <w:rPr/>
        <w:t>D.,</w:t>
      </w:r>
      <w:r>
        <w:rPr>
          <w:spacing w:val="-3"/>
        </w:rPr>
        <w:t> </w:t>
      </w:r>
      <w:r>
        <w:rPr/>
        <w:t>Hufschmid,</w:t>
      </w:r>
      <w:r>
        <w:rPr>
          <w:spacing w:val="-3"/>
        </w:rPr>
        <w:t> </w:t>
      </w:r>
      <w:r>
        <w:rPr/>
        <w:t>J.,</w:t>
      </w:r>
      <w:r>
        <w:rPr>
          <w:spacing w:val="-1"/>
        </w:rPr>
        <w:t> </w:t>
      </w:r>
      <w:r>
        <w:rPr/>
        <w:t>Berger,</w:t>
      </w:r>
      <w:r>
        <w:rPr>
          <w:spacing w:val="-3"/>
        </w:rPr>
        <w:t> </w:t>
      </w:r>
      <w:r>
        <w:rPr/>
        <w:t>L.,</w:t>
      </w:r>
      <w:r>
        <w:rPr>
          <w:spacing w:val="-1"/>
        </w:rPr>
        <w:t> </w:t>
      </w:r>
      <w:r>
        <w:rPr/>
        <w:t>McGinnis,</w:t>
      </w:r>
      <w:r>
        <w:rPr>
          <w:spacing w:val="-3"/>
        </w:rPr>
        <w:t> </w:t>
      </w:r>
      <w:r>
        <w:rPr/>
        <w:t>K.,</w:t>
      </w:r>
      <w:r>
        <w:rPr>
          <w:spacing w:val="-3"/>
        </w:rPr>
        <w:t> </w:t>
      </w:r>
      <w:r>
        <w:rPr/>
        <w:t>Melville,</w:t>
      </w:r>
      <w:r>
        <w:rPr>
          <w:spacing w:val="-3"/>
        </w:rPr>
        <w:t> </w:t>
      </w:r>
      <w:r>
        <w:rPr/>
        <w:t>J., Bennett, E., and Pay, J.M. (2023). Lead exposure of mainland Australia’s top avian predator.</w:t>
      </w:r>
    </w:p>
    <w:p>
      <w:pPr>
        <w:spacing w:before="1"/>
        <w:ind w:left="833" w:right="0" w:firstLine="0"/>
        <w:jc w:val="left"/>
        <w:rPr>
          <w:sz w:val="20"/>
        </w:rPr>
      </w:pPr>
      <w:r>
        <w:rPr>
          <w:i/>
          <w:sz w:val="20"/>
        </w:rPr>
        <w:t>Environmental</w:t>
      </w:r>
      <w:r>
        <w:rPr>
          <w:i/>
          <w:spacing w:val="-12"/>
          <w:sz w:val="20"/>
        </w:rPr>
        <w:t> </w:t>
      </w:r>
      <w:r>
        <w:rPr>
          <w:i/>
          <w:sz w:val="20"/>
        </w:rPr>
        <w:t>Pollution</w:t>
      </w:r>
      <w:r>
        <w:rPr>
          <w:i/>
          <w:spacing w:val="-10"/>
          <w:sz w:val="20"/>
        </w:rPr>
        <w:t> </w:t>
      </w:r>
      <w:r>
        <w:rPr>
          <w:b/>
          <w:sz w:val="20"/>
        </w:rPr>
        <w:t>332</w:t>
      </w:r>
      <w:r>
        <w:rPr>
          <w:sz w:val="20"/>
        </w:rPr>
        <w:t>:122004.</w:t>
      </w:r>
      <w:r>
        <w:rPr>
          <w:spacing w:val="-11"/>
          <w:sz w:val="20"/>
        </w:rPr>
        <w:t> </w:t>
      </w:r>
      <w:r>
        <w:rPr>
          <w:sz w:val="20"/>
        </w:rPr>
        <w:t>doi:</w:t>
      </w:r>
      <w:r>
        <w:rPr>
          <w:spacing w:val="-9"/>
          <w:sz w:val="20"/>
        </w:rPr>
        <w:t> </w:t>
      </w:r>
      <w:r>
        <w:rPr>
          <w:spacing w:val="-2"/>
          <w:sz w:val="20"/>
        </w:rPr>
        <w:t>10.1016/j.envpol.2023.122004.</w:t>
      </w:r>
    </w:p>
    <w:p>
      <w:pPr>
        <w:pStyle w:val="BodyText"/>
        <w:spacing w:before="10"/>
      </w:pPr>
    </w:p>
    <w:p>
      <w:pPr>
        <w:pStyle w:val="BodyText"/>
        <w:ind w:left="112"/>
      </w:pPr>
      <w:r>
        <w:rPr/>
        <w:t>Hansen,</w:t>
      </w:r>
      <w:r>
        <w:rPr>
          <w:spacing w:val="-6"/>
        </w:rPr>
        <w:t> </w:t>
      </w:r>
      <w:r>
        <w:rPr/>
        <w:t>I.,</w:t>
      </w:r>
      <w:r>
        <w:rPr>
          <w:spacing w:val="-6"/>
        </w:rPr>
        <w:t> </w:t>
      </w:r>
      <w:r>
        <w:rPr/>
        <w:t>and</w:t>
      </w:r>
      <w:r>
        <w:rPr>
          <w:spacing w:val="-6"/>
        </w:rPr>
        <w:t> </w:t>
      </w:r>
      <w:r>
        <w:rPr/>
        <w:t>Smith,</w:t>
      </w:r>
      <w:r>
        <w:rPr>
          <w:spacing w:val="-8"/>
        </w:rPr>
        <w:t> </w:t>
      </w:r>
      <w:r>
        <w:rPr/>
        <w:t>M.E.</w:t>
      </w:r>
      <w:r>
        <w:rPr>
          <w:spacing w:val="-6"/>
        </w:rPr>
        <w:t> </w:t>
      </w:r>
      <w:r>
        <w:rPr/>
        <w:t>(1999).</w:t>
      </w:r>
      <w:r>
        <w:rPr>
          <w:spacing w:val="-6"/>
        </w:rPr>
        <w:t> </w:t>
      </w:r>
      <w:r>
        <w:rPr/>
        <w:t>Livestock-guarding</w:t>
      </w:r>
      <w:r>
        <w:rPr>
          <w:spacing w:val="-6"/>
        </w:rPr>
        <w:t> </w:t>
      </w:r>
      <w:r>
        <w:rPr/>
        <w:t>dogs</w:t>
      </w:r>
      <w:r>
        <w:rPr>
          <w:spacing w:val="-5"/>
        </w:rPr>
        <w:t> </w:t>
      </w:r>
      <w:r>
        <w:rPr/>
        <w:t>in</w:t>
      </w:r>
      <w:r>
        <w:rPr>
          <w:spacing w:val="-7"/>
        </w:rPr>
        <w:t> </w:t>
      </w:r>
      <w:r>
        <w:rPr/>
        <w:t>Norway</w:t>
      </w:r>
      <w:r>
        <w:rPr>
          <w:spacing w:val="-7"/>
        </w:rPr>
        <w:t> </w:t>
      </w:r>
      <w:r>
        <w:rPr/>
        <w:t>part</w:t>
      </w:r>
      <w:r>
        <w:rPr>
          <w:spacing w:val="-5"/>
        </w:rPr>
        <w:t> </w:t>
      </w:r>
      <w:r>
        <w:rPr/>
        <w:t>II:</w:t>
      </w:r>
      <w:r>
        <w:rPr>
          <w:spacing w:val="-7"/>
        </w:rPr>
        <w:t> </w:t>
      </w:r>
      <w:r>
        <w:rPr/>
        <w:t>different</w:t>
      </w:r>
      <w:r>
        <w:rPr>
          <w:spacing w:val="-8"/>
        </w:rPr>
        <w:t> </w:t>
      </w:r>
      <w:r>
        <w:rPr/>
        <w:t>working</w:t>
      </w:r>
      <w:r>
        <w:rPr>
          <w:spacing w:val="-9"/>
        </w:rPr>
        <w:t> </w:t>
      </w:r>
      <w:r>
        <w:rPr>
          <w:spacing w:val="-2"/>
        </w:rPr>
        <w:t>regimes.</w:t>
      </w:r>
    </w:p>
    <w:p>
      <w:pPr>
        <w:spacing w:before="1"/>
        <w:ind w:left="833" w:right="0" w:firstLine="0"/>
        <w:jc w:val="left"/>
        <w:rPr>
          <w:sz w:val="20"/>
        </w:rPr>
      </w:pPr>
      <w:r>
        <w:rPr>
          <w:i/>
          <w:sz w:val="20"/>
        </w:rPr>
        <w:t>Journal</w:t>
      </w:r>
      <w:r>
        <w:rPr>
          <w:i/>
          <w:spacing w:val="-8"/>
          <w:sz w:val="20"/>
        </w:rPr>
        <w:t> </w:t>
      </w:r>
      <w:r>
        <w:rPr>
          <w:i/>
          <w:sz w:val="20"/>
        </w:rPr>
        <w:t>of</w:t>
      </w:r>
      <w:r>
        <w:rPr>
          <w:i/>
          <w:spacing w:val="-8"/>
          <w:sz w:val="20"/>
        </w:rPr>
        <w:t> </w:t>
      </w:r>
      <w:r>
        <w:rPr>
          <w:i/>
          <w:sz w:val="20"/>
        </w:rPr>
        <w:t>Range</w:t>
      </w:r>
      <w:r>
        <w:rPr>
          <w:i/>
          <w:spacing w:val="-9"/>
          <w:sz w:val="20"/>
        </w:rPr>
        <w:t> </w:t>
      </w:r>
      <w:r>
        <w:rPr>
          <w:i/>
          <w:sz w:val="20"/>
        </w:rPr>
        <w:t>Management</w:t>
      </w:r>
      <w:r>
        <w:rPr>
          <w:i/>
          <w:spacing w:val="-4"/>
          <w:sz w:val="20"/>
        </w:rPr>
        <w:t> </w:t>
      </w:r>
      <w:r>
        <w:rPr>
          <w:b/>
          <w:sz w:val="20"/>
        </w:rPr>
        <w:t>52</w:t>
      </w:r>
      <w:r>
        <w:rPr>
          <w:sz w:val="20"/>
        </w:rPr>
        <w:t>(4):312.</w:t>
      </w:r>
      <w:r>
        <w:rPr>
          <w:spacing w:val="-6"/>
          <w:sz w:val="20"/>
        </w:rPr>
        <w:t> </w:t>
      </w:r>
      <w:r>
        <w:rPr>
          <w:sz w:val="20"/>
        </w:rPr>
        <w:t>doi:</w:t>
      </w:r>
      <w:r>
        <w:rPr>
          <w:spacing w:val="-9"/>
          <w:sz w:val="20"/>
        </w:rPr>
        <w:t> </w:t>
      </w:r>
      <w:r>
        <w:rPr>
          <w:spacing w:val="-2"/>
          <w:sz w:val="20"/>
        </w:rPr>
        <w:t>10.2307/4003539.</w:t>
      </w:r>
    </w:p>
    <w:p>
      <w:pPr>
        <w:pStyle w:val="BodyText"/>
        <w:spacing w:before="8"/>
      </w:pPr>
    </w:p>
    <w:p>
      <w:pPr>
        <w:pStyle w:val="BodyText"/>
        <w:ind w:left="112"/>
      </w:pPr>
      <w:r>
        <w:rPr/>
        <w:t>Hansen</w:t>
      </w:r>
      <w:r>
        <w:rPr>
          <w:spacing w:val="-6"/>
        </w:rPr>
        <w:t> </w:t>
      </w:r>
      <w:r>
        <w:rPr/>
        <w:t>W.K.,</w:t>
      </w:r>
      <w:r>
        <w:rPr>
          <w:spacing w:val="-6"/>
        </w:rPr>
        <w:t> </w:t>
      </w:r>
      <w:r>
        <w:rPr/>
        <w:t>Jordan,</w:t>
      </w:r>
      <w:r>
        <w:rPr>
          <w:spacing w:val="-4"/>
        </w:rPr>
        <w:t> </w:t>
      </w:r>
      <w:r>
        <w:rPr/>
        <w:t>N.R.,</w:t>
      </w:r>
      <w:r>
        <w:rPr>
          <w:spacing w:val="-6"/>
        </w:rPr>
        <w:t> </w:t>
      </w:r>
      <w:r>
        <w:rPr/>
        <w:t>Claase,</w:t>
      </w:r>
      <w:r>
        <w:rPr>
          <w:spacing w:val="-5"/>
        </w:rPr>
        <w:t> </w:t>
      </w:r>
      <w:r>
        <w:rPr/>
        <w:t>M.J.,</w:t>
      </w:r>
      <w:r>
        <w:rPr>
          <w:spacing w:val="-6"/>
        </w:rPr>
        <w:t> </w:t>
      </w:r>
      <w:r>
        <w:rPr/>
        <w:t>Suraci</w:t>
      </w:r>
      <w:r>
        <w:rPr>
          <w:spacing w:val="-7"/>
        </w:rPr>
        <w:t> </w:t>
      </w:r>
      <w:r>
        <w:rPr/>
        <w:t>J.P.,</w:t>
      </w:r>
      <w:r>
        <w:rPr>
          <w:spacing w:val="-4"/>
        </w:rPr>
        <w:t> </w:t>
      </w:r>
      <w:r>
        <w:rPr/>
        <w:t>McNutt,</w:t>
      </w:r>
      <w:r>
        <w:rPr>
          <w:spacing w:val="-6"/>
        </w:rPr>
        <w:t> </w:t>
      </w:r>
      <w:r>
        <w:rPr/>
        <w:t>J.W.,</w:t>
      </w:r>
      <w:r>
        <w:rPr>
          <w:spacing w:val="-6"/>
        </w:rPr>
        <w:t> </w:t>
      </w:r>
      <w:r>
        <w:rPr/>
        <w:t>Dhruv,</w:t>
      </w:r>
      <w:r>
        <w:rPr>
          <w:spacing w:val="-6"/>
        </w:rPr>
        <w:t> </w:t>
      </w:r>
      <w:r>
        <w:rPr/>
        <w:t>A.,</w:t>
      </w:r>
      <w:r>
        <w:rPr>
          <w:spacing w:val="-6"/>
        </w:rPr>
        <w:t> </w:t>
      </w:r>
      <w:r>
        <w:rPr/>
        <w:t>and</w:t>
      </w:r>
      <w:r>
        <w:rPr>
          <w:spacing w:val="-6"/>
        </w:rPr>
        <w:t> </w:t>
      </w:r>
      <w:r>
        <w:rPr/>
        <w:t>Wilmers,</w:t>
      </w:r>
      <w:r>
        <w:rPr>
          <w:spacing w:val="-5"/>
        </w:rPr>
        <w:t> </w:t>
      </w:r>
      <w:r>
        <w:rPr/>
        <w:t>C.C.</w:t>
      </w:r>
      <w:r>
        <w:rPr>
          <w:spacing w:val="-4"/>
        </w:rPr>
        <w:t> </w:t>
      </w:r>
      <w:r>
        <w:rPr>
          <w:spacing w:val="-2"/>
        </w:rPr>
        <w:t>(2024).</w:t>
      </w:r>
    </w:p>
    <w:p>
      <w:pPr>
        <w:pStyle w:val="BodyText"/>
        <w:spacing w:before="1"/>
        <w:ind w:left="833" w:right="1038"/>
      </w:pPr>
      <w:r>
        <w:rPr/>
        <w:t>Experimental</w:t>
      </w:r>
      <w:r>
        <w:rPr>
          <w:spacing w:val="-4"/>
        </w:rPr>
        <w:t> </w:t>
      </w:r>
      <w:r>
        <w:rPr/>
        <w:t>modification</w:t>
      </w:r>
      <w:r>
        <w:rPr>
          <w:spacing w:val="-4"/>
        </w:rPr>
        <w:t> </w:t>
      </w:r>
      <w:r>
        <w:rPr/>
        <w:t>of</w:t>
      </w:r>
      <w:r>
        <w:rPr>
          <w:spacing w:val="-5"/>
        </w:rPr>
        <w:t> </w:t>
      </w:r>
      <w:r>
        <w:rPr/>
        <w:t>African</w:t>
      </w:r>
      <w:r>
        <w:rPr>
          <w:spacing w:val="-6"/>
        </w:rPr>
        <w:t> </w:t>
      </w:r>
      <w:r>
        <w:rPr/>
        <w:t>wild</w:t>
      </w:r>
      <w:r>
        <w:rPr>
          <w:spacing w:val="-5"/>
        </w:rPr>
        <w:t> </w:t>
      </w:r>
      <w:r>
        <w:rPr/>
        <w:t>dog</w:t>
      </w:r>
      <w:r>
        <w:rPr>
          <w:spacing w:val="-4"/>
        </w:rPr>
        <w:t> </w:t>
      </w:r>
      <w:r>
        <w:rPr/>
        <w:t>movement</w:t>
      </w:r>
      <w:r>
        <w:rPr>
          <w:spacing w:val="-5"/>
        </w:rPr>
        <w:t> </w:t>
      </w:r>
      <w:r>
        <w:rPr/>
        <w:t>and behaviour</w:t>
      </w:r>
      <w:r>
        <w:rPr>
          <w:spacing w:val="-2"/>
        </w:rPr>
        <w:t> </w:t>
      </w:r>
      <w:r>
        <w:rPr/>
        <w:t>using</w:t>
      </w:r>
      <w:r>
        <w:rPr>
          <w:spacing w:val="-5"/>
        </w:rPr>
        <w:t> </w:t>
      </w:r>
      <w:r>
        <w:rPr/>
        <w:t>translocated conspecific scent. </w:t>
      </w:r>
      <w:r>
        <w:rPr>
          <w:i/>
        </w:rPr>
        <w:t>Biological Conservation </w:t>
      </w:r>
      <w:r>
        <w:rPr>
          <w:b/>
        </w:rPr>
        <w:t>294</w:t>
      </w:r>
      <w:r>
        <w:rPr/>
        <w:t>. Available at: </w:t>
      </w:r>
      <w:hyperlink r:id="rId95">
        <w:r>
          <w:rPr>
            <w:color w:val="0000FF"/>
            <w:spacing w:val="-2"/>
            <w:u w:val="single" w:color="0000FF"/>
          </w:rPr>
          <w:t>https://doi.org/10.1016/j.biocon.2024.110645</w:t>
        </w:r>
      </w:hyperlink>
    </w:p>
    <w:p>
      <w:pPr>
        <w:pStyle w:val="BodyText"/>
        <w:spacing w:before="11"/>
      </w:pPr>
    </w:p>
    <w:p>
      <w:pPr>
        <w:pStyle w:val="BodyText"/>
        <w:ind w:left="833" w:right="544" w:hanging="721"/>
      </w:pPr>
      <w:r>
        <w:rPr/>
        <w:t>Harden,</w:t>
      </w:r>
      <w:r>
        <w:rPr>
          <w:spacing w:val="-2"/>
        </w:rPr>
        <w:t> </w:t>
      </w:r>
      <w:r>
        <w:rPr/>
        <w:t>R.H.,</w:t>
      </w:r>
      <w:r>
        <w:rPr>
          <w:spacing w:val="-2"/>
        </w:rPr>
        <w:t> </w:t>
      </w:r>
      <w:r>
        <w:rPr/>
        <w:t>and</w:t>
      </w:r>
      <w:r>
        <w:rPr>
          <w:spacing w:val="-4"/>
        </w:rPr>
        <w:t> </w:t>
      </w:r>
      <w:r>
        <w:rPr/>
        <w:t>Robertshaw,</w:t>
      </w:r>
      <w:r>
        <w:rPr>
          <w:spacing w:val="-4"/>
        </w:rPr>
        <w:t> </w:t>
      </w:r>
      <w:r>
        <w:rPr/>
        <w:t>J.D.</w:t>
      </w:r>
      <w:r>
        <w:rPr>
          <w:spacing w:val="-2"/>
        </w:rPr>
        <w:t> </w:t>
      </w:r>
      <w:r>
        <w:rPr/>
        <w:t>(2014).</w:t>
      </w:r>
      <w:r>
        <w:rPr>
          <w:spacing w:val="-4"/>
        </w:rPr>
        <w:t> </w:t>
      </w:r>
      <w:r>
        <w:rPr/>
        <w:t>Ecology</w:t>
      </w:r>
      <w:r>
        <w:rPr>
          <w:spacing w:val="-3"/>
        </w:rPr>
        <w:t> </w:t>
      </w:r>
      <w:r>
        <w:rPr/>
        <w:t>of</w:t>
      </w:r>
      <w:r>
        <w:rPr>
          <w:spacing w:val="-4"/>
        </w:rPr>
        <w:t> </w:t>
      </w:r>
      <w:r>
        <w:rPr/>
        <w:t>the</w:t>
      </w:r>
      <w:r>
        <w:rPr>
          <w:spacing w:val="-4"/>
        </w:rPr>
        <w:t> </w:t>
      </w:r>
      <w:r>
        <w:rPr/>
        <w:t>dingo</w:t>
      </w:r>
      <w:r>
        <w:rPr>
          <w:spacing w:val="-4"/>
        </w:rPr>
        <w:t> </w:t>
      </w:r>
      <w:r>
        <w:rPr/>
        <w:t>in</w:t>
      </w:r>
      <w:r>
        <w:rPr>
          <w:spacing w:val="-4"/>
        </w:rPr>
        <w:t> </w:t>
      </w:r>
      <w:r>
        <w:rPr/>
        <w:t>northeastern New</w:t>
      </w:r>
      <w:r>
        <w:rPr>
          <w:spacing w:val="-2"/>
        </w:rPr>
        <w:t> </w:t>
      </w:r>
      <w:r>
        <w:rPr/>
        <w:t>South</w:t>
      </w:r>
      <w:r>
        <w:rPr>
          <w:spacing w:val="-1"/>
        </w:rPr>
        <w:t> </w:t>
      </w:r>
      <w:r>
        <w:rPr/>
        <w:t>Wales.</w:t>
      </w:r>
      <w:r>
        <w:rPr>
          <w:spacing w:val="-4"/>
        </w:rPr>
        <w:t> </w:t>
      </w:r>
      <w:r>
        <w:rPr/>
        <w:t>v. human predation on the dingo. </w:t>
      </w:r>
      <w:r>
        <w:rPr>
          <w:i/>
        </w:rPr>
        <w:t>Australian Zoologist </w:t>
      </w:r>
      <w:r>
        <w:rPr>
          <w:b/>
        </w:rPr>
        <w:t>24</w:t>
      </w:r>
      <w:r>
        <w:rPr/>
        <w:t>(1):65–72. doi: 10.7882/AZ.1987.005.</w:t>
      </w:r>
    </w:p>
    <w:p>
      <w:pPr>
        <w:pStyle w:val="BodyText"/>
        <w:spacing w:before="8"/>
      </w:pPr>
    </w:p>
    <w:p>
      <w:pPr>
        <w:pStyle w:val="BodyText"/>
        <w:spacing w:before="1"/>
        <w:ind w:left="833" w:right="163" w:hanging="721"/>
      </w:pPr>
      <w:r>
        <w:rPr/>
        <w:t>Harding,</w:t>
      </w:r>
      <w:r>
        <w:rPr>
          <w:spacing w:val="-2"/>
        </w:rPr>
        <w:t> </w:t>
      </w:r>
      <w:r>
        <w:rPr/>
        <w:t>E.K.,</w:t>
      </w:r>
      <w:r>
        <w:rPr>
          <w:spacing w:val="-4"/>
        </w:rPr>
        <w:t> </w:t>
      </w:r>
      <w:r>
        <w:rPr/>
        <w:t>Doak,</w:t>
      </w:r>
      <w:r>
        <w:rPr>
          <w:spacing w:val="-4"/>
        </w:rPr>
        <w:t> </w:t>
      </w:r>
      <w:r>
        <w:rPr/>
        <w:t>D.F., and</w:t>
      </w:r>
      <w:r>
        <w:rPr>
          <w:spacing w:val="-2"/>
        </w:rPr>
        <w:t> </w:t>
      </w:r>
      <w:r>
        <w:rPr/>
        <w:t>Albertson,</w:t>
      </w:r>
      <w:r>
        <w:rPr>
          <w:spacing w:val="-2"/>
        </w:rPr>
        <w:t> </w:t>
      </w:r>
      <w:r>
        <w:rPr/>
        <w:t>J.D.</w:t>
      </w:r>
      <w:r>
        <w:rPr>
          <w:spacing w:val="-4"/>
        </w:rPr>
        <w:t> </w:t>
      </w:r>
      <w:r>
        <w:rPr/>
        <w:t>(2001).</w:t>
      </w:r>
      <w:r>
        <w:rPr>
          <w:spacing w:val="-2"/>
        </w:rPr>
        <w:t> </w:t>
      </w:r>
      <w:r>
        <w:rPr/>
        <w:t>Evaluating</w:t>
      </w:r>
      <w:r>
        <w:rPr>
          <w:spacing w:val="-5"/>
        </w:rPr>
        <w:t> </w:t>
      </w:r>
      <w:r>
        <w:rPr/>
        <w:t>the</w:t>
      </w:r>
      <w:r>
        <w:rPr>
          <w:spacing w:val="-3"/>
        </w:rPr>
        <w:t> </w:t>
      </w:r>
      <w:r>
        <w:rPr/>
        <w:t>effectiveness</w:t>
      </w:r>
      <w:r>
        <w:rPr>
          <w:spacing w:val="-3"/>
        </w:rPr>
        <w:t> </w:t>
      </w:r>
      <w:r>
        <w:rPr/>
        <w:t>of</w:t>
      </w:r>
      <w:r>
        <w:rPr>
          <w:spacing w:val="-4"/>
        </w:rPr>
        <w:t> </w:t>
      </w:r>
      <w:r>
        <w:rPr/>
        <w:t>predator</w:t>
      </w:r>
      <w:r>
        <w:rPr>
          <w:spacing w:val="-3"/>
        </w:rPr>
        <w:t> </w:t>
      </w:r>
      <w:r>
        <w:rPr/>
        <w:t>control:</w:t>
      </w:r>
      <w:r>
        <w:rPr>
          <w:spacing w:val="-2"/>
        </w:rPr>
        <w:t> </w:t>
      </w:r>
      <w:r>
        <w:rPr/>
        <w:t>the non</w:t>
      </w:r>
      <w:r>
        <w:rPr>
          <w:rFonts w:ascii="Cambria Math" w:hAnsi="Cambria Math"/>
        </w:rPr>
        <w:t>‐</w:t>
      </w:r>
      <w:r>
        <w:rPr/>
        <w:t>native red fox as a case study. </w:t>
      </w:r>
      <w:r>
        <w:rPr>
          <w:i/>
        </w:rPr>
        <w:t>Conservation Biology </w:t>
      </w:r>
      <w:r>
        <w:rPr>
          <w:b/>
        </w:rPr>
        <w:t>15</w:t>
      </w:r>
      <w:r>
        <w:rPr/>
        <w:t>(4):1114–22. doi: 10.1046/j.1523- </w:t>
      </w:r>
      <w:r>
        <w:rPr>
          <w:spacing w:val="-2"/>
        </w:rPr>
        <w:t>1739.2001.0150041114.x.</w:t>
      </w:r>
    </w:p>
    <w:p>
      <w:pPr>
        <w:spacing w:after="0"/>
        <w:sectPr>
          <w:pgSz w:w="11910" w:h="16850"/>
          <w:pgMar w:header="0" w:footer="688" w:top="1060" w:bottom="880" w:left="1020" w:right="780"/>
        </w:sectPr>
      </w:pPr>
    </w:p>
    <w:p>
      <w:pPr>
        <w:pStyle w:val="BodyText"/>
        <w:spacing w:before="71"/>
        <w:ind w:left="833" w:right="163" w:hanging="721"/>
      </w:pPr>
      <w:r>
        <w:rPr/>
        <w:t>Harriott,</w:t>
      </w:r>
      <w:r>
        <w:rPr>
          <w:spacing w:val="-1"/>
        </w:rPr>
        <w:t> </w:t>
      </w:r>
      <w:r>
        <w:rPr/>
        <w:t>L.,</w:t>
      </w:r>
      <w:r>
        <w:rPr>
          <w:spacing w:val="-1"/>
        </w:rPr>
        <w:t> </w:t>
      </w:r>
      <w:r>
        <w:rPr/>
        <w:t>Allen,</w:t>
      </w:r>
      <w:r>
        <w:rPr>
          <w:spacing w:val="-1"/>
        </w:rPr>
        <w:t> </w:t>
      </w:r>
      <w:r>
        <w:rPr/>
        <w:t>B.L.,</w:t>
      </w:r>
      <w:r>
        <w:rPr>
          <w:spacing w:val="-1"/>
        </w:rPr>
        <w:t> </w:t>
      </w:r>
      <w:r>
        <w:rPr/>
        <w:t>and</w:t>
      </w:r>
      <w:r>
        <w:rPr>
          <w:spacing w:val="-1"/>
        </w:rPr>
        <w:t> </w:t>
      </w:r>
      <w:r>
        <w:rPr/>
        <w:t>Gentle,</w:t>
      </w:r>
      <w:r>
        <w:rPr>
          <w:spacing w:val="-3"/>
        </w:rPr>
        <w:t> </w:t>
      </w:r>
      <w:r>
        <w:rPr/>
        <w:t>M.</w:t>
      </w:r>
      <w:r>
        <w:rPr>
          <w:spacing w:val="-3"/>
        </w:rPr>
        <w:t> </w:t>
      </w:r>
      <w:r>
        <w:rPr/>
        <w:t>(2021).</w:t>
      </w:r>
      <w:r>
        <w:rPr>
          <w:spacing w:val="-3"/>
        </w:rPr>
        <w:t> </w:t>
      </w:r>
      <w:r>
        <w:rPr/>
        <w:t>The</w:t>
      </w:r>
      <w:r>
        <w:rPr>
          <w:spacing w:val="-3"/>
        </w:rPr>
        <w:t> </w:t>
      </w:r>
      <w:r>
        <w:rPr/>
        <w:t>effect</w:t>
      </w:r>
      <w:r>
        <w:rPr>
          <w:spacing w:val="-3"/>
        </w:rPr>
        <w:t> </w:t>
      </w:r>
      <w:r>
        <w:rPr/>
        <w:t>of</w:t>
      </w:r>
      <w:r>
        <w:rPr>
          <w:spacing w:val="-3"/>
        </w:rPr>
        <w:t> </w:t>
      </w:r>
      <w:r>
        <w:rPr/>
        <w:t>device</w:t>
      </w:r>
      <w:r>
        <w:rPr>
          <w:spacing w:val="-3"/>
        </w:rPr>
        <w:t> </w:t>
      </w:r>
      <w:r>
        <w:rPr/>
        <w:t>density on</w:t>
      </w:r>
      <w:r>
        <w:rPr>
          <w:spacing w:val="-4"/>
        </w:rPr>
        <w:t> </w:t>
      </w:r>
      <w:r>
        <w:rPr/>
        <w:t>encounters</w:t>
      </w:r>
      <w:r>
        <w:rPr>
          <w:spacing w:val="-2"/>
        </w:rPr>
        <w:t> </w:t>
      </w:r>
      <w:r>
        <w:rPr/>
        <w:t>by</w:t>
      </w:r>
      <w:r>
        <w:rPr>
          <w:spacing w:val="-2"/>
        </w:rPr>
        <w:t> </w:t>
      </w:r>
      <w:r>
        <w:rPr/>
        <w:t>a</w:t>
      </w:r>
      <w:r>
        <w:rPr>
          <w:spacing w:val="-1"/>
        </w:rPr>
        <w:t> </w:t>
      </w:r>
      <w:r>
        <w:rPr/>
        <w:t>mobile</w:t>
      </w:r>
      <w:r>
        <w:rPr>
          <w:spacing w:val="-3"/>
        </w:rPr>
        <w:t> </w:t>
      </w:r>
      <w:r>
        <w:rPr/>
        <w:t>urban carnivore: implications for managing peri-urban wild dogs. </w:t>
      </w:r>
      <w:r>
        <w:rPr>
          <w:i/>
        </w:rPr>
        <w:t>Applied Animal Behaviour Science</w:t>
      </w:r>
      <w:r>
        <w:rPr>
          <w:i/>
        </w:rPr>
        <w:t> </w:t>
      </w:r>
      <w:r>
        <w:rPr>
          <w:b/>
        </w:rPr>
        <w:t>243</w:t>
      </w:r>
      <w:r>
        <w:rPr/>
        <w:t>:105454. doi: 10.1016/j.applanim.2021.105454.</w:t>
      </w:r>
    </w:p>
    <w:p>
      <w:pPr>
        <w:pStyle w:val="BodyText"/>
        <w:spacing w:before="12"/>
      </w:pPr>
    </w:p>
    <w:p>
      <w:pPr>
        <w:spacing w:before="0"/>
        <w:ind w:left="833" w:right="401" w:hanging="721"/>
        <w:jc w:val="left"/>
        <w:rPr>
          <w:sz w:val="20"/>
        </w:rPr>
      </w:pPr>
      <w:r>
        <w:rPr>
          <w:sz w:val="20"/>
        </w:rPr>
        <w:t>Hart, S., Marks, C.A., and Staples, L. (1996). Den-co-fume®-humane control of foxes (</w:t>
      </w:r>
      <w:r>
        <w:rPr>
          <w:i/>
          <w:sz w:val="20"/>
        </w:rPr>
        <w:t>Vulpes vulpes</w:t>
      </w:r>
      <w:r>
        <w:rPr>
          <w:sz w:val="20"/>
        </w:rPr>
        <w:t>) in natal</w:t>
      </w:r>
      <w:r>
        <w:rPr>
          <w:spacing w:val="-5"/>
          <w:sz w:val="20"/>
        </w:rPr>
        <w:t> </w:t>
      </w:r>
      <w:r>
        <w:rPr>
          <w:sz w:val="20"/>
        </w:rPr>
        <w:t>dens.</w:t>
      </w:r>
      <w:r>
        <w:rPr>
          <w:spacing w:val="-4"/>
          <w:sz w:val="20"/>
        </w:rPr>
        <w:t> </w:t>
      </w:r>
      <w:r>
        <w:rPr>
          <w:sz w:val="20"/>
        </w:rPr>
        <w:t>Pp.</w:t>
      </w:r>
      <w:r>
        <w:rPr>
          <w:spacing w:val="-4"/>
          <w:sz w:val="20"/>
        </w:rPr>
        <w:t> </w:t>
      </w:r>
      <w:r>
        <w:rPr>
          <w:sz w:val="20"/>
        </w:rPr>
        <w:t>58–61</w:t>
      </w:r>
      <w:r>
        <w:rPr>
          <w:spacing w:val="-2"/>
          <w:sz w:val="20"/>
        </w:rPr>
        <w:t> </w:t>
      </w:r>
      <w:r>
        <w:rPr>
          <w:sz w:val="20"/>
        </w:rPr>
        <w:t>in</w:t>
      </w:r>
      <w:r>
        <w:rPr>
          <w:spacing w:val="-3"/>
          <w:sz w:val="20"/>
        </w:rPr>
        <w:t> </w:t>
      </w:r>
      <w:r>
        <w:rPr>
          <w:i/>
          <w:sz w:val="20"/>
        </w:rPr>
        <w:t>Humaneness</w:t>
      </w:r>
      <w:r>
        <w:rPr>
          <w:i/>
          <w:spacing w:val="-3"/>
          <w:sz w:val="20"/>
        </w:rPr>
        <w:t> </w:t>
      </w:r>
      <w:r>
        <w:rPr>
          <w:i/>
          <w:sz w:val="20"/>
        </w:rPr>
        <w:t>and</w:t>
      </w:r>
      <w:r>
        <w:rPr>
          <w:i/>
          <w:spacing w:val="-2"/>
          <w:sz w:val="20"/>
        </w:rPr>
        <w:t> </w:t>
      </w:r>
      <w:r>
        <w:rPr>
          <w:i/>
          <w:sz w:val="20"/>
        </w:rPr>
        <w:t>Vertebrate</w:t>
      </w:r>
      <w:r>
        <w:rPr>
          <w:i/>
          <w:spacing w:val="-2"/>
          <w:sz w:val="20"/>
        </w:rPr>
        <w:t> </w:t>
      </w:r>
      <w:r>
        <w:rPr>
          <w:i/>
          <w:sz w:val="20"/>
        </w:rPr>
        <w:t>Pest</w:t>
      </w:r>
      <w:r>
        <w:rPr>
          <w:i/>
          <w:spacing w:val="-4"/>
          <w:sz w:val="20"/>
        </w:rPr>
        <w:t> </w:t>
      </w:r>
      <w:r>
        <w:rPr>
          <w:i/>
          <w:sz w:val="20"/>
        </w:rPr>
        <w:t>Control</w:t>
      </w:r>
      <w:r>
        <w:rPr>
          <w:i/>
          <w:spacing w:val="-5"/>
          <w:sz w:val="20"/>
        </w:rPr>
        <w:t> </w:t>
      </w:r>
      <w:r>
        <w:rPr>
          <w:i/>
          <w:sz w:val="20"/>
        </w:rPr>
        <w:t>Report</w:t>
      </w:r>
      <w:r>
        <w:rPr>
          <w:i/>
          <w:spacing w:val="-2"/>
          <w:sz w:val="20"/>
        </w:rPr>
        <w:t> </w:t>
      </w:r>
      <w:r>
        <w:rPr>
          <w:i/>
          <w:sz w:val="20"/>
        </w:rPr>
        <w:t>Series</w:t>
      </w:r>
      <w:r>
        <w:rPr>
          <w:i/>
          <w:spacing w:val="-3"/>
          <w:sz w:val="20"/>
        </w:rPr>
        <w:t> </w:t>
      </w:r>
      <w:r>
        <w:rPr>
          <w:i/>
          <w:sz w:val="20"/>
        </w:rPr>
        <w:t>Number</w:t>
      </w:r>
      <w:r>
        <w:rPr>
          <w:i/>
          <w:spacing w:val="-4"/>
          <w:sz w:val="20"/>
        </w:rPr>
        <w:t> </w:t>
      </w:r>
      <w:r>
        <w:rPr>
          <w:i/>
          <w:sz w:val="20"/>
        </w:rPr>
        <w:t>2.</w:t>
      </w:r>
      <w:r>
        <w:rPr>
          <w:sz w:val="20"/>
        </w:rPr>
        <w:t>,</w:t>
      </w:r>
      <w:r>
        <w:rPr>
          <w:spacing w:val="-2"/>
          <w:sz w:val="20"/>
        </w:rPr>
        <w:t> </w:t>
      </w:r>
      <w:r>
        <w:rPr>
          <w:sz w:val="20"/>
        </w:rPr>
        <w:t>Edited by P. M. Fisher and C. A. Marks. Department of Natural Resources and Environment, Victoria, </w:t>
      </w:r>
      <w:r>
        <w:rPr>
          <w:spacing w:val="-2"/>
          <w:sz w:val="20"/>
        </w:rPr>
        <w:t>Australia.</w:t>
      </w:r>
    </w:p>
    <w:p>
      <w:pPr>
        <w:pStyle w:val="BodyText"/>
        <w:spacing w:before="9"/>
      </w:pPr>
    </w:p>
    <w:p>
      <w:pPr>
        <w:pStyle w:val="BodyText"/>
        <w:ind w:left="833" w:right="868" w:hanging="721"/>
      </w:pPr>
      <w:r>
        <w:rPr/>
        <w:t>Hassal and Associates P/L (1998). </w:t>
      </w:r>
      <w:r>
        <w:rPr>
          <w:i/>
        </w:rPr>
        <w:t>Economic evaluation of the role of bounties</w:t>
      </w:r>
      <w:r>
        <w:rPr/>
        <w:t>. Bureau of Resource Sciences,</w:t>
      </w:r>
      <w:r>
        <w:rPr>
          <w:spacing w:val="-6"/>
        </w:rPr>
        <w:t> </w:t>
      </w:r>
      <w:r>
        <w:rPr/>
        <w:t>Australian</w:t>
      </w:r>
      <w:r>
        <w:rPr>
          <w:spacing w:val="-8"/>
        </w:rPr>
        <w:t> </w:t>
      </w:r>
      <w:r>
        <w:rPr/>
        <w:t>Government</w:t>
      </w:r>
      <w:r>
        <w:rPr>
          <w:spacing w:val="-7"/>
        </w:rPr>
        <w:t> </w:t>
      </w:r>
      <w:r>
        <w:rPr/>
        <w:t>Publishing</w:t>
      </w:r>
      <w:r>
        <w:rPr>
          <w:spacing w:val="-6"/>
        </w:rPr>
        <w:t> </w:t>
      </w:r>
      <w:r>
        <w:rPr/>
        <w:t>Service.</w:t>
      </w:r>
      <w:r>
        <w:rPr>
          <w:spacing w:val="-6"/>
        </w:rPr>
        <w:t> </w:t>
      </w:r>
      <w:r>
        <w:rPr/>
        <w:t>Available</w:t>
      </w:r>
      <w:r>
        <w:rPr>
          <w:spacing w:val="-6"/>
        </w:rPr>
        <w:t> </w:t>
      </w:r>
      <w:r>
        <w:rPr/>
        <w:t>at: </w:t>
      </w:r>
      <w:hyperlink r:id="rId96">
        <w:r>
          <w:rPr>
            <w:color w:val="0000FF"/>
            <w:u w:val="single" w:color="0000FF"/>
          </w:rPr>
          <w:t>https://pestsmart.org.au/wp-</w:t>
        </w:r>
      </w:hyperlink>
      <w:r>
        <w:rPr>
          <w:color w:val="0000FF"/>
          <w:u w:val="none"/>
        </w:rPr>
        <w:t> </w:t>
      </w:r>
      <w:hyperlink r:id="rId96">
        <w:r>
          <w:rPr>
            <w:color w:val="0000FF"/>
            <w:u w:val="single" w:color="0000FF"/>
          </w:rPr>
          <w:t>content/uploads/sites/3/2020/06/Economic-evaluation-of-the-role-of-bounties.pdf</w:t>
        </w:r>
      </w:hyperlink>
      <w:r>
        <w:rPr>
          <w:color w:val="0000FF"/>
          <w:u w:val="none"/>
        </w:rPr>
        <w:t> </w:t>
      </w:r>
      <w:r>
        <w:rPr>
          <w:u w:val="none"/>
        </w:rPr>
        <w:t>[accessed 16</w:t>
      </w:r>
    </w:p>
    <w:p>
      <w:pPr>
        <w:pStyle w:val="BodyText"/>
        <w:spacing w:before="2"/>
        <w:ind w:left="833"/>
      </w:pPr>
      <w:r>
        <w:rPr/>
        <w:t>December</w:t>
      </w:r>
      <w:r>
        <w:rPr>
          <w:spacing w:val="-11"/>
        </w:rPr>
        <w:t> </w:t>
      </w:r>
      <w:r>
        <w:rPr>
          <w:spacing w:val="-2"/>
        </w:rPr>
        <w:t>2024]</w:t>
      </w:r>
    </w:p>
    <w:p>
      <w:pPr>
        <w:pStyle w:val="BodyText"/>
        <w:spacing w:before="7"/>
      </w:pPr>
    </w:p>
    <w:p>
      <w:pPr>
        <w:pStyle w:val="BodyText"/>
        <w:spacing w:before="1"/>
        <w:ind w:left="833" w:right="544" w:hanging="721"/>
      </w:pPr>
      <w:r>
        <w:rPr/>
        <w:t>Hawley,</w:t>
      </w:r>
      <w:r>
        <w:rPr>
          <w:spacing w:val="-4"/>
        </w:rPr>
        <w:t> </w:t>
      </w:r>
      <w:r>
        <w:rPr/>
        <w:t>J.E.,</w:t>
      </w:r>
      <w:r>
        <w:rPr>
          <w:spacing w:val="-4"/>
        </w:rPr>
        <w:t> </w:t>
      </w:r>
      <w:r>
        <w:rPr/>
        <w:t>Gehring,</w:t>
      </w:r>
      <w:r>
        <w:rPr>
          <w:spacing w:val="-4"/>
        </w:rPr>
        <w:t> </w:t>
      </w:r>
      <w:r>
        <w:rPr/>
        <w:t>Thomas</w:t>
      </w:r>
      <w:r>
        <w:rPr>
          <w:spacing w:val="-3"/>
        </w:rPr>
        <w:t> </w:t>
      </w:r>
      <w:r>
        <w:rPr/>
        <w:t>M.,</w:t>
      </w:r>
      <w:r>
        <w:rPr>
          <w:spacing w:val="-3"/>
        </w:rPr>
        <w:t> </w:t>
      </w:r>
      <w:r>
        <w:rPr/>
        <w:t>Shultz,</w:t>
      </w:r>
      <w:r>
        <w:rPr>
          <w:spacing w:val="-3"/>
        </w:rPr>
        <w:t> </w:t>
      </w:r>
      <w:r>
        <w:rPr/>
        <w:t>R.N.,</w:t>
      </w:r>
      <w:r>
        <w:rPr>
          <w:spacing w:val="-3"/>
        </w:rPr>
        <w:t> </w:t>
      </w:r>
      <w:r>
        <w:rPr/>
        <w:t>Rossler,</w:t>
      </w:r>
      <w:r>
        <w:rPr>
          <w:spacing w:val="-4"/>
        </w:rPr>
        <w:t> </w:t>
      </w:r>
      <w:r>
        <w:rPr/>
        <w:t>S.T.,</w:t>
      </w:r>
      <w:r>
        <w:rPr>
          <w:spacing w:val="-2"/>
        </w:rPr>
        <w:t> </w:t>
      </w:r>
      <w:r>
        <w:rPr/>
        <w:t>and</w:t>
      </w:r>
      <w:r>
        <w:rPr>
          <w:spacing w:val="-4"/>
        </w:rPr>
        <w:t> </w:t>
      </w:r>
      <w:r>
        <w:rPr/>
        <w:t>Wydeven,</w:t>
      </w:r>
      <w:r>
        <w:rPr>
          <w:spacing w:val="-3"/>
        </w:rPr>
        <w:t> </w:t>
      </w:r>
      <w:r>
        <w:rPr/>
        <w:t>A.P.</w:t>
      </w:r>
      <w:r>
        <w:rPr>
          <w:spacing w:val="-4"/>
        </w:rPr>
        <w:t> </w:t>
      </w:r>
      <w:r>
        <w:rPr/>
        <w:t>(2009).</w:t>
      </w:r>
      <w:r>
        <w:rPr>
          <w:spacing w:val="-3"/>
        </w:rPr>
        <w:t> </w:t>
      </w:r>
      <w:r>
        <w:rPr/>
        <w:t>Assessment</w:t>
      </w:r>
      <w:r>
        <w:rPr>
          <w:spacing w:val="-3"/>
        </w:rPr>
        <w:t> </w:t>
      </w:r>
      <w:r>
        <w:rPr/>
        <w:t>of shock collars as nonlethal management for wolves in Wisconsin. </w:t>
      </w:r>
      <w:r>
        <w:rPr>
          <w:i/>
        </w:rPr>
        <w:t>The Journal of Wildlife</w:t>
      </w:r>
      <w:r>
        <w:rPr>
          <w:i/>
        </w:rPr>
        <w:t> Management </w:t>
      </w:r>
      <w:r>
        <w:rPr>
          <w:b/>
        </w:rPr>
        <w:t>73</w:t>
      </w:r>
      <w:r>
        <w:rPr/>
        <w:t>(4):518–25. doi: 10.2193/2007-066.</w:t>
      </w:r>
    </w:p>
    <w:p>
      <w:pPr>
        <w:pStyle w:val="BodyText"/>
        <w:spacing w:before="11"/>
      </w:pPr>
    </w:p>
    <w:p>
      <w:pPr>
        <w:pStyle w:val="BodyText"/>
        <w:ind w:left="112"/>
      </w:pPr>
      <w:r>
        <w:rPr/>
        <w:t>Hayward,</w:t>
      </w:r>
      <w:r>
        <w:rPr>
          <w:spacing w:val="-6"/>
        </w:rPr>
        <w:t> </w:t>
      </w:r>
      <w:r>
        <w:rPr/>
        <w:t>M.W.,</w:t>
      </w:r>
      <w:r>
        <w:rPr>
          <w:spacing w:val="-7"/>
        </w:rPr>
        <w:t> </w:t>
      </w:r>
      <w:r>
        <w:rPr/>
        <w:t>and</w:t>
      </w:r>
      <w:r>
        <w:rPr>
          <w:spacing w:val="-9"/>
        </w:rPr>
        <w:t> </w:t>
      </w:r>
      <w:r>
        <w:rPr/>
        <w:t>Marlow,</w:t>
      </w:r>
      <w:r>
        <w:rPr>
          <w:spacing w:val="-7"/>
        </w:rPr>
        <w:t> </w:t>
      </w:r>
      <w:r>
        <w:rPr/>
        <w:t>N.</w:t>
      </w:r>
      <w:r>
        <w:rPr>
          <w:spacing w:val="-7"/>
        </w:rPr>
        <w:t> </w:t>
      </w:r>
      <w:r>
        <w:rPr/>
        <w:t>(2014).</w:t>
      </w:r>
      <w:r>
        <w:rPr>
          <w:spacing w:val="-6"/>
        </w:rPr>
        <w:t> </w:t>
      </w:r>
      <w:r>
        <w:rPr/>
        <w:t>Will</w:t>
      </w:r>
      <w:r>
        <w:rPr>
          <w:spacing w:val="-6"/>
        </w:rPr>
        <w:t> </w:t>
      </w:r>
      <w:r>
        <w:rPr/>
        <w:t>dingoes</w:t>
      </w:r>
      <w:r>
        <w:rPr>
          <w:spacing w:val="-6"/>
        </w:rPr>
        <w:t> </w:t>
      </w:r>
      <w:r>
        <w:rPr/>
        <w:t>really</w:t>
      </w:r>
      <w:r>
        <w:rPr>
          <w:spacing w:val="-7"/>
        </w:rPr>
        <w:t> </w:t>
      </w:r>
      <w:r>
        <w:rPr/>
        <w:t>conserve</w:t>
      </w:r>
      <w:r>
        <w:rPr>
          <w:spacing w:val="-7"/>
        </w:rPr>
        <w:t> </w:t>
      </w:r>
      <w:r>
        <w:rPr/>
        <w:t>wildlife</w:t>
      </w:r>
      <w:r>
        <w:rPr>
          <w:spacing w:val="-8"/>
        </w:rPr>
        <w:t> </w:t>
      </w:r>
      <w:r>
        <w:rPr/>
        <w:t>and</w:t>
      </w:r>
      <w:r>
        <w:rPr>
          <w:spacing w:val="-7"/>
        </w:rPr>
        <w:t> </w:t>
      </w:r>
      <w:r>
        <w:rPr/>
        <w:t>can</w:t>
      </w:r>
      <w:r>
        <w:rPr>
          <w:spacing w:val="-8"/>
        </w:rPr>
        <w:t> </w:t>
      </w:r>
      <w:r>
        <w:rPr/>
        <w:t>our</w:t>
      </w:r>
      <w:r>
        <w:rPr>
          <w:spacing w:val="-5"/>
        </w:rPr>
        <w:t> </w:t>
      </w:r>
      <w:r>
        <w:rPr/>
        <w:t>methods</w:t>
      </w:r>
      <w:r>
        <w:rPr>
          <w:spacing w:val="-6"/>
        </w:rPr>
        <w:t> </w:t>
      </w:r>
      <w:r>
        <w:rPr>
          <w:spacing w:val="-2"/>
        </w:rPr>
        <w:t>tell?</w:t>
      </w:r>
    </w:p>
    <w:p>
      <w:pPr>
        <w:spacing w:before="1"/>
        <w:ind w:left="833" w:right="0" w:firstLine="0"/>
        <w:jc w:val="left"/>
        <w:rPr>
          <w:sz w:val="20"/>
        </w:rPr>
      </w:pPr>
      <w:r>
        <w:rPr>
          <w:i/>
          <w:sz w:val="20"/>
        </w:rPr>
        <w:t>Journal</w:t>
      </w:r>
      <w:r>
        <w:rPr>
          <w:i/>
          <w:spacing w:val="-10"/>
          <w:sz w:val="20"/>
        </w:rPr>
        <w:t> </w:t>
      </w:r>
      <w:r>
        <w:rPr>
          <w:i/>
          <w:sz w:val="20"/>
        </w:rPr>
        <w:t>of</w:t>
      </w:r>
      <w:r>
        <w:rPr>
          <w:i/>
          <w:spacing w:val="-9"/>
          <w:sz w:val="20"/>
        </w:rPr>
        <w:t> </w:t>
      </w:r>
      <w:r>
        <w:rPr>
          <w:i/>
          <w:sz w:val="20"/>
        </w:rPr>
        <w:t>Applied</w:t>
      </w:r>
      <w:r>
        <w:rPr>
          <w:i/>
          <w:spacing w:val="-9"/>
          <w:sz w:val="20"/>
        </w:rPr>
        <w:t> </w:t>
      </w:r>
      <w:r>
        <w:rPr>
          <w:i/>
          <w:sz w:val="20"/>
        </w:rPr>
        <w:t>Ecology</w:t>
      </w:r>
      <w:r>
        <w:rPr>
          <w:i/>
          <w:spacing w:val="-6"/>
          <w:sz w:val="20"/>
        </w:rPr>
        <w:t> </w:t>
      </w:r>
      <w:r>
        <w:rPr>
          <w:b/>
          <w:sz w:val="20"/>
        </w:rPr>
        <w:t>51</w:t>
      </w:r>
      <w:r>
        <w:rPr>
          <w:sz w:val="20"/>
        </w:rPr>
        <w:t>(4):835–38.</w:t>
      </w:r>
      <w:r>
        <w:rPr>
          <w:spacing w:val="-10"/>
          <w:sz w:val="20"/>
        </w:rPr>
        <w:t> </w:t>
      </w:r>
      <w:r>
        <w:rPr>
          <w:sz w:val="20"/>
        </w:rPr>
        <w:t>doi:</w:t>
      </w:r>
      <w:r>
        <w:rPr>
          <w:spacing w:val="-9"/>
          <w:sz w:val="20"/>
        </w:rPr>
        <w:t> </w:t>
      </w:r>
      <w:r>
        <w:rPr>
          <w:sz w:val="20"/>
        </w:rPr>
        <w:t>10.1111/1365-</w:t>
      </w:r>
      <w:r>
        <w:rPr>
          <w:spacing w:val="-2"/>
          <w:sz w:val="20"/>
        </w:rPr>
        <w:t>2664.12250.</w:t>
      </w:r>
    </w:p>
    <w:p>
      <w:pPr>
        <w:pStyle w:val="BodyText"/>
        <w:spacing w:before="10"/>
      </w:pPr>
    </w:p>
    <w:p>
      <w:pPr>
        <w:pStyle w:val="BodyText"/>
        <w:ind w:left="833" w:right="163" w:hanging="721"/>
      </w:pPr>
      <w:r>
        <w:rPr/>
        <w:t>Hayward,</w:t>
      </w:r>
      <w:r>
        <w:rPr>
          <w:spacing w:val="-2"/>
        </w:rPr>
        <w:t> </w:t>
      </w:r>
      <w:r>
        <w:rPr/>
        <w:t>M.W.,</w:t>
      </w:r>
      <w:r>
        <w:rPr>
          <w:spacing w:val="-4"/>
        </w:rPr>
        <w:t> </w:t>
      </w:r>
      <w:r>
        <w:rPr/>
        <w:t>and</w:t>
      </w:r>
      <w:r>
        <w:rPr>
          <w:spacing w:val="-3"/>
        </w:rPr>
        <w:t> </w:t>
      </w:r>
      <w:r>
        <w:rPr/>
        <w:t>Kerley,</w:t>
      </w:r>
      <w:r>
        <w:rPr>
          <w:spacing w:val="-4"/>
        </w:rPr>
        <w:t> </w:t>
      </w:r>
      <w:r>
        <w:rPr/>
        <w:t>G.I.H.</w:t>
      </w:r>
      <w:r>
        <w:rPr>
          <w:spacing w:val="-4"/>
        </w:rPr>
        <w:t> </w:t>
      </w:r>
      <w:r>
        <w:rPr/>
        <w:t>(2009).</w:t>
      </w:r>
      <w:r>
        <w:rPr>
          <w:spacing w:val="-4"/>
        </w:rPr>
        <w:t> </w:t>
      </w:r>
      <w:r>
        <w:rPr/>
        <w:t>Fencing</w:t>
      </w:r>
      <w:r>
        <w:rPr>
          <w:spacing w:val="-4"/>
        </w:rPr>
        <w:t> </w:t>
      </w:r>
      <w:r>
        <w:rPr/>
        <w:t>for</w:t>
      </w:r>
      <w:r>
        <w:rPr>
          <w:spacing w:val="-2"/>
        </w:rPr>
        <w:t> </w:t>
      </w:r>
      <w:r>
        <w:rPr/>
        <w:t>conservation:</w:t>
      </w:r>
      <w:r>
        <w:rPr>
          <w:spacing w:val="-4"/>
        </w:rPr>
        <w:t> </w:t>
      </w:r>
      <w:r>
        <w:rPr/>
        <w:t>restriction</w:t>
      </w:r>
      <w:r>
        <w:rPr>
          <w:spacing w:val="-3"/>
        </w:rPr>
        <w:t> </w:t>
      </w:r>
      <w:r>
        <w:rPr/>
        <w:t>of</w:t>
      </w:r>
      <w:r>
        <w:rPr>
          <w:spacing w:val="-2"/>
        </w:rPr>
        <w:t> </w:t>
      </w:r>
      <w:r>
        <w:rPr/>
        <w:t>evolutionary</w:t>
      </w:r>
      <w:r>
        <w:rPr>
          <w:spacing w:val="-3"/>
        </w:rPr>
        <w:t> </w:t>
      </w:r>
      <w:r>
        <w:rPr/>
        <w:t>potential</w:t>
      </w:r>
      <w:r>
        <w:rPr>
          <w:spacing w:val="-5"/>
        </w:rPr>
        <w:t> </w:t>
      </w:r>
      <w:r>
        <w:rPr/>
        <w:t>or</w:t>
      </w:r>
      <w:r>
        <w:rPr>
          <w:spacing w:val="-4"/>
        </w:rPr>
        <w:t> </w:t>
      </w:r>
      <w:r>
        <w:rPr/>
        <w:t>a riposte to threatening processes? </w:t>
      </w:r>
      <w:r>
        <w:rPr>
          <w:i/>
        </w:rPr>
        <w:t>Biological Conservation </w:t>
      </w:r>
      <w:r>
        <w:rPr>
          <w:b/>
        </w:rPr>
        <w:t>142</w:t>
      </w:r>
      <w:r>
        <w:rPr/>
        <w:t>:1–13.</w:t>
      </w:r>
    </w:p>
    <w:p>
      <w:pPr>
        <w:pStyle w:val="BodyText"/>
        <w:spacing w:before="9"/>
      </w:pPr>
    </w:p>
    <w:p>
      <w:pPr>
        <w:pStyle w:val="BodyText"/>
        <w:ind w:left="833" w:right="232" w:hanging="721"/>
      </w:pPr>
      <w:r>
        <w:rPr/>
        <w:t>Hebeisen,</w:t>
      </w:r>
      <w:r>
        <w:rPr>
          <w:spacing w:val="-3"/>
        </w:rPr>
        <w:t> </w:t>
      </w:r>
      <w:r>
        <w:rPr/>
        <w:t>C.,</w:t>
      </w:r>
      <w:r>
        <w:rPr>
          <w:spacing w:val="-4"/>
        </w:rPr>
        <w:t> </w:t>
      </w:r>
      <w:r>
        <w:rPr/>
        <w:t>Fattebert,</w:t>
      </w:r>
      <w:r>
        <w:rPr>
          <w:spacing w:val="-4"/>
        </w:rPr>
        <w:t> </w:t>
      </w:r>
      <w:r>
        <w:rPr/>
        <w:t>J.,</w:t>
      </w:r>
      <w:r>
        <w:rPr>
          <w:spacing w:val="-3"/>
        </w:rPr>
        <w:t> </w:t>
      </w:r>
      <w:r>
        <w:rPr/>
        <w:t>Baubet,</w:t>
      </w:r>
      <w:r>
        <w:rPr>
          <w:spacing w:val="-3"/>
        </w:rPr>
        <w:t> </w:t>
      </w:r>
      <w:r>
        <w:rPr/>
        <w:t>E.,</w:t>
      </w:r>
      <w:r>
        <w:rPr>
          <w:spacing w:val="-3"/>
        </w:rPr>
        <w:t> </w:t>
      </w:r>
      <w:r>
        <w:rPr/>
        <w:t>and</w:t>
      </w:r>
      <w:r>
        <w:rPr>
          <w:spacing w:val="-4"/>
        </w:rPr>
        <w:t> </w:t>
      </w:r>
      <w:r>
        <w:rPr/>
        <w:t>Fischer,</w:t>
      </w:r>
      <w:r>
        <w:rPr>
          <w:spacing w:val="-4"/>
        </w:rPr>
        <w:t> </w:t>
      </w:r>
      <w:r>
        <w:rPr/>
        <w:t>C.</w:t>
      </w:r>
      <w:r>
        <w:rPr>
          <w:spacing w:val="-3"/>
        </w:rPr>
        <w:t> </w:t>
      </w:r>
      <w:r>
        <w:rPr/>
        <w:t>(2008).</w:t>
      </w:r>
      <w:r>
        <w:rPr>
          <w:spacing w:val="-3"/>
        </w:rPr>
        <w:t> </w:t>
      </w:r>
      <w:r>
        <w:rPr/>
        <w:t>Estimating</w:t>
      </w:r>
      <w:r>
        <w:rPr>
          <w:spacing w:val="-3"/>
        </w:rPr>
        <w:t> </w:t>
      </w:r>
      <w:r>
        <w:rPr/>
        <w:t>wild</w:t>
      </w:r>
      <w:r>
        <w:rPr>
          <w:spacing w:val="-3"/>
        </w:rPr>
        <w:t> </w:t>
      </w:r>
      <w:r>
        <w:rPr/>
        <w:t>boar</w:t>
      </w:r>
      <w:r>
        <w:rPr>
          <w:spacing w:val="-4"/>
        </w:rPr>
        <w:t> </w:t>
      </w:r>
      <w:r>
        <w:rPr/>
        <w:t>(sus</w:t>
      </w:r>
      <w:r>
        <w:rPr>
          <w:spacing w:val="-3"/>
        </w:rPr>
        <w:t> </w:t>
      </w:r>
      <w:r>
        <w:rPr/>
        <w:t>scrofa)</w:t>
      </w:r>
      <w:r>
        <w:rPr>
          <w:spacing w:val="-3"/>
        </w:rPr>
        <w:t> </w:t>
      </w:r>
      <w:r>
        <w:rPr/>
        <w:t>abundance and density using capture–resights in canton of Geneva, Switzerland. </w:t>
      </w:r>
      <w:r>
        <w:rPr>
          <w:i/>
        </w:rPr>
        <w:t>European Journal of Wildlife</w:t>
      </w:r>
      <w:r>
        <w:rPr>
          <w:i/>
        </w:rPr>
        <w:t> Research </w:t>
      </w:r>
      <w:r>
        <w:rPr>
          <w:b/>
        </w:rPr>
        <w:t>54</w:t>
      </w:r>
      <w:r>
        <w:rPr/>
        <w:t>(3):391–401. doi: 10.1007/s10344-007-0156-5.</w:t>
      </w:r>
    </w:p>
    <w:p>
      <w:pPr>
        <w:pStyle w:val="BodyText"/>
        <w:spacing w:before="11"/>
      </w:pPr>
    </w:p>
    <w:p>
      <w:pPr>
        <w:pStyle w:val="BodyText"/>
        <w:ind w:left="833" w:right="610" w:hanging="721"/>
      </w:pPr>
      <w:r>
        <w:rPr/>
        <w:t>Henzell,</w:t>
      </w:r>
      <w:r>
        <w:rPr>
          <w:spacing w:val="-4"/>
        </w:rPr>
        <w:t> </w:t>
      </w:r>
      <w:r>
        <w:rPr/>
        <w:t>R.P.,</w:t>
      </w:r>
      <w:r>
        <w:rPr>
          <w:spacing w:val="-2"/>
        </w:rPr>
        <w:t> </w:t>
      </w:r>
      <w:r>
        <w:rPr/>
        <w:t>Cunningham,</w:t>
      </w:r>
      <w:r>
        <w:rPr>
          <w:spacing w:val="-4"/>
        </w:rPr>
        <w:t> </w:t>
      </w:r>
      <w:r>
        <w:rPr/>
        <w:t>R.B.,</w:t>
      </w:r>
      <w:r>
        <w:rPr>
          <w:spacing w:val="-4"/>
        </w:rPr>
        <w:t> </w:t>
      </w:r>
      <w:r>
        <w:rPr/>
        <w:t>and</w:t>
      </w:r>
      <w:r>
        <w:rPr>
          <w:spacing w:val="-4"/>
        </w:rPr>
        <w:t> </w:t>
      </w:r>
      <w:r>
        <w:rPr/>
        <w:t>Neave,</w:t>
      </w:r>
      <w:r>
        <w:rPr>
          <w:spacing w:val="-4"/>
        </w:rPr>
        <w:t> </w:t>
      </w:r>
      <w:r>
        <w:rPr/>
        <w:t>H.M.</w:t>
      </w:r>
      <w:r>
        <w:rPr>
          <w:spacing w:val="-4"/>
        </w:rPr>
        <w:t> </w:t>
      </w:r>
      <w:r>
        <w:rPr/>
        <w:t>(2002).</w:t>
      </w:r>
      <w:r>
        <w:rPr>
          <w:spacing w:val="-4"/>
        </w:rPr>
        <w:t> </w:t>
      </w:r>
      <w:r>
        <w:rPr/>
        <w:t>Factors</w:t>
      </w:r>
      <w:r>
        <w:rPr>
          <w:spacing w:val="-2"/>
        </w:rPr>
        <w:t> </w:t>
      </w:r>
      <w:r>
        <w:rPr/>
        <w:t>affecting</w:t>
      </w:r>
      <w:r>
        <w:rPr>
          <w:spacing w:val="-5"/>
        </w:rPr>
        <w:t> </w:t>
      </w:r>
      <w:r>
        <w:rPr/>
        <w:t>the</w:t>
      </w:r>
      <w:r>
        <w:rPr>
          <w:spacing w:val="-3"/>
        </w:rPr>
        <w:t> </w:t>
      </w:r>
      <w:r>
        <w:rPr/>
        <w:t>survival</w:t>
      </w:r>
      <w:r>
        <w:rPr>
          <w:spacing w:val="-5"/>
        </w:rPr>
        <w:t> </w:t>
      </w:r>
      <w:r>
        <w:rPr/>
        <w:t>of Australian</w:t>
      </w:r>
      <w:r>
        <w:rPr>
          <w:spacing w:val="-3"/>
        </w:rPr>
        <w:t> </w:t>
      </w:r>
      <w:r>
        <w:rPr/>
        <w:t>wild rabbits exposed to rabbit haemorrhagic disease. </w:t>
      </w:r>
      <w:r>
        <w:rPr>
          <w:i/>
        </w:rPr>
        <w:t>Wildlife Research </w:t>
      </w:r>
      <w:r>
        <w:rPr>
          <w:b/>
        </w:rPr>
        <w:t>29</w:t>
      </w:r>
      <w:r>
        <w:rPr/>
        <w:t>(6):523–42. doi: </w:t>
      </w:r>
      <w:r>
        <w:rPr>
          <w:spacing w:val="-2"/>
        </w:rPr>
        <w:t>10.1111/j.1749-4877.2009.00155.x.</w:t>
      </w:r>
    </w:p>
    <w:p>
      <w:pPr>
        <w:pStyle w:val="BodyText"/>
        <w:spacing w:before="9"/>
      </w:pPr>
    </w:p>
    <w:p>
      <w:pPr>
        <w:pStyle w:val="BodyText"/>
        <w:ind w:left="112"/>
      </w:pPr>
      <w:r>
        <w:rPr/>
        <w:t>Hone,</w:t>
      </w:r>
      <w:r>
        <w:rPr>
          <w:spacing w:val="-6"/>
        </w:rPr>
        <w:t> </w:t>
      </w:r>
      <w:r>
        <w:rPr/>
        <w:t>J.</w:t>
      </w:r>
      <w:r>
        <w:rPr>
          <w:spacing w:val="-6"/>
        </w:rPr>
        <w:t> </w:t>
      </w:r>
      <w:r>
        <w:rPr/>
        <w:t>(1983).</w:t>
      </w:r>
      <w:r>
        <w:rPr>
          <w:spacing w:val="-7"/>
        </w:rPr>
        <w:t> </w:t>
      </w:r>
      <w:r>
        <w:rPr/>
        <w:t>A</w:t>
      </w:r>
      <w:r>
        <w:rPr>
          <w:spacing w:val="-7"/>
        </w:rPr>
        <w:t> </w:t>
      </w:r>
      <w:r>
        <w:rPr/>
        <w:t>short-term</w:t>
      </w:r>
      <w:r>
        <w:rPr>
          <w:spacing w:val="-7"/>
        </w:rPr>
        <w:t> </w:t>
      </w:r>
      <w:r>
        <w:rPr/>
        <w:t>evaluation</w:t>
      </w:r>
      <w:r>
        <w:rPr>
          <w:spacing w:val="-6"/>
        </w:rPr>
        <w:t> </w:t>
      </w:r>
      <w:r>
        <w:rPr/>
        <w:t>of</w:t>
      </w:r>
      <w:r>
        <w:rPr>
          <w:spacing w:val="-7"/>
        </w:rPr>
        <w:t> </w:t>
      </w:r>
      <w:r>
        <w:rPr/>
        <w:t>feral</w:t>
      </w:r>
      <w:r>
        <w:rPr>
          <w:spacing w:val="-5"/>
        </w:rPr>
        <w:t> </w:t>
      </w:r>
      <w:r>
        <w:rPr/>
        <w:t>pig</w:t>
      </w:r>
      <w:r>
        <w:rPr>
          <w:spacing w:val="-7"/>
        </w:rPr>
        <w:t> </w:t>
      </w:r>
      <w:r>
        <w:rPr/>
        <w:t>eradication</w:t>
      </w:r>
      <w:r>
        <w:rPr>
          <w:spacing w:val="-7"/>
        </w:rPr>
        <w:t> </w:t>
      </w:r>
      <w:r>
        <w:rPr/>
        <w:t>at</w:t>
      </w:r>
      <w:r>
        <w:rPr>
          <w:spacing w:val="-1"/>
        </w:rPr>
        <w:t> </w:t>
      </w:r>
      <w:r>
        <w:rPr/>
        <w:t>Willandra</w:t>
      </w:r>
      <w:r>
        <w:rPr>
          <w:spacing w:val="-6"/>
        </w:rPr>
        <w:t> </w:t>
      </w:r>
      <w:r>
        <w:rPr/>
        <w:t>in</w:t>
      </w:r>
      <w:r>
        <w:rPr>
          <w:spacing w:val="-7"/>
        </w:rPr>
        <w:t> </w:t>
      </w:r>
      <w:r>
        <w:rPr/>
        <w:t>western</w:t>
      </w:r>
      <w:r>
        <w:rPr>
          <w:spacing w:val="-6"/>
        </w:rPr>
        <w:t> </w:t>
      </w:r>
      <w:r>
        <w:rPr/>
        <w:t>New</w:t>
      </w:r>
      <w:r>
        <w:rPr>
          <w:spacing w:val="-4"/>
        </w:rPr>
        <w:t> </w:t>
      </w:r>
      <w:r>
        <w:rPr/>
        <w:t>South</w:t>
      </w:r>
      <w:r>
        <w:rPr>
          <w:spacing w:val="-5"/>
        </w:rPr>
        <w:t> </w:t>
      </w:r>
      <w:r>
        <w:rPr>
          <w:spacing w:val="-2"/>
        </w:rPr>
        <w:t>Wales.</w:t>
      </w:r>
    </w:p>
    <w:p>
      <w:pPr>
        <w:spacing w:before="1"/>
        <w:ind w:left="833" w:right="0" w:firstLine="0"/>
        <w:jc w:val="left"/>
        <w:rPr>
          <w:sz w:val="20"/>
        </w:rPr>
      </w:pPr>
      <w:r>
        <w:rPr>
          <w:i/>
          <w:sz w:val="20"/>
        </w:rPr>
        <w:t>Wildlife</w:t>
      </w:r>
      <w:r>
        <w:rPr>
          <w:i/>
          <w:spacing w:val="-9"/>
          <w:sz w:val="20"/>
        </w:rPr>
        <w:t> </w:t>
      </w:r>
      <w:r>
        <w:rPr>
          <w:i/>
          <w:sz w:val="20"/>
        </w:rPr>
        <w:t>Research</w:t>
      </w:r>
      <w:r>
        <w:rPr>
          <w:i/>
          <w:spacing w:val="-8"/>
          <w:sz w:val="20"/>
        </w:rPr>
        <w:t> </w:t>
      </w:r>
      <w:r>
        <w:rPr>
          <w:b/>
          <w:sz w:val="20"/>
        </w:rPr>
        <w:t>10</w:t>
      </w:r>
      <w:r>
        <w:rPr>
          <w:sz w:val="20"/>
        </w:rPr>
        <w:t>(2):269.</w:t>
      </w:r>
      <w:r>
        <w:rPr>
          <w:spacing w:val="-8"/>
          <w:sz w:val="20"/>
        </w:rPr>
        <w:t> </w:t>
      </w:r>
      <w:r>
        <w:rPr>
          <w:sz w:val="20"/>
        </w:rPr>
        <w:t>doi:</w:t>
      </w:r>
      <w:r>
        <w:rPr>
          <w:spacing w:val="-7"/>
          <w:sz w:val="20"/>
        </w:rPr>
        <w:t> </w:t>
      </w:r>
      <w:r>
        <w:rPr>
          <w:spacing w:val="-2"/>
          <w:sz w:val="20"/>
        </w:rPr>
        <w:t>10.1071/WR9830269.</w:t>
      </w:r>
    </w:p>
    <w:p>
      <w:pPr>
        <w:pStyle w:val="BodyText"/>
        <w:spacing w:before="10"/>
      </w:pPr>
    </w:p>
    <w:p>
      <w:pPr>
        <w:pStyle w:val="BodyText"/>
        <w:ind w:left="833" w:right="163" w:hanging="721"/>
      </w:pPr>
      <w:r>
        <w:rPr/>
        <w:t>Hone,</w:t>
      </w:r>
      <w:r>
        <w:rPr>
          <w:spacing w:val="-2"/>
        </w:rPr>
        <w:t> </w:t>
      </w:r>
      <w:r>
        <w:rPr/>
        <w:t>J.</w:t>
      </w:r>
      <w:r>
        <w:rPr>
          <w:spacing w:val="-4"/>
        </w:rPr>
        <w:t> </w:t>
      </w:r>
      <w:r>
        <w:rPr/>
        <w:t>(1987).</w:t>
      </w:r>
      <w:r>
        <w:rPr>
          <w:spacing w:val="-4"/>
        </w:rPr>
        <w:t> </w:t>
      </w:r>
      <w:r>
        <w:rPr/>
        <w:t>‘Theoretical</w:t>
      </w:r>
      <w:r>
        <w:rPr>
          <w:spacing w:val="-5"/>
        </w:rPr>
        <w:t> </w:t>
      </w:r>
      <w:r>
        <w:rPr/>
        <w:t>and</w:t>
      </w:r>
      <w:r>
        <w:rPr>
          <w:spacing w:val="-3"/>
        </w:rPr>
        <w:t> </w:t>
      </w:r>
      <w:r>
        <w:rPr/>
        <w:t>practical</w:t>
      </w:r>
      <w:r>
        <w:rPr>
          <w:spacing w:val="-5"/>
        </w:rPr>
        <w:t> </w:t>
      </w:r>
      <w:r>
        <w:rPr/>
        <w:t>aspects</w:t>
      </w:r>
      <w:r>
        <w:rPr>
          <w:spacing w:val="-3"/>
        </w:rPr>
        <w:t> </w:t>
      </w:r>
      <w:r>
        <w:rPr/>
        <w:t>of</w:t>
      </w:r>
      <w:r>
        <w:rPr>
          <w:spacing w:val="-4"/>
        </w:rPr>
        <w:t> </w:t>
      </w:r>
      <w:r>
        <w:rPr/>
        <w:t>feral</w:t>
      </w:r>
      <w:r>
        <w:rPr>
          <w:spacing w:val="-5"/>
        </w:rPr>
        <w:t> </w:t>
      </w:r>
      <w:r>
        <w:rPr/>
        <w:t>pig</w:t>
      </w:r>
      <w:r>
        <w:rPr>
          <w:spacing w:val="-4"/>
        </w:rPr>
        <w:t> </w:t>
      </w:r>
      <w:r>
        <w:rPr/>
        <w:t>control’.</w:t>
      </w:r>
      <w:r>
        <w:rPr>
          <w:spacing w:val="-2"/>
        </w:rPr>
        <w:t> </w:t>
      </w:r>
      <w:r>
        <w:rPr/>
        <w:t>PhD</w:t>
      </w:r>
      <w:r>
        <w:rPr>
          <w:spacing w:val="-4"/>
        </w:rPr>
        <w:t> </w:t>
      </w:r>
      <w:r>
        <w:rPr/>
        <w:t>Thesis,</w:t>
      </w:r>
      <w:r>
        <w:rPr>
          <w:spacing w:val="-4"/>
        </w:rPr>
        <w:t> </w:t>
      </w:r>
      <w:r>
        <w:rPr/>
        <w:t>Australian</w:t>
      </w:r>
      <w:r>
        <w:rPr>
          <w:spacing w:val="-4"/>
        </w:rPr>
        <w:t> </w:t>
      </w:r>
      <w:r>
        <w:rPr/>
        <w:t>National University, Canberra.</w:t>
      </w:r>
    </w:p>
    <w:p>
      <w:pPr>
        <w:pStyle w:val="BodyText"/>
        <w:spacing w:before="8"/>
      </w:pPr>
    </w:p>
    <w:p>
      <w:pPr>
        <w:spacing w:before="1"/>
        <w:ind w:left="833" w:right="163" w:hanging="721"/>
        <w:jc w:val="left"/>
        <w:rPr>
          <w:sz w:val="20"/>
        </w:rPr>
      </w:pPr>
      <w:r>
        <w:rPr>
          <w:sz w:val="20"/>
        </w:rPr>
        <w:t>Hone</w:t>
      </w:r>
      <w:r>
        <w:rPr>
          <w:spacing w:val="-6"/>
          <w:sz w:val="20"/>
        </w:rPr>
        <w:t> </w:t>
      </w:r>
      <w:r>
        <w:rPr>
          <w:sz w:val="20"/>
        </w:rPr>
        <w:t>J</w:t>
      </w:r>
      <w:r>
        <w:rPr>
          <w:spacing w:val="-4"/>
          <w:sz w:val="20"/>
        </w:rPr>
        <w:t> </w:t>
      </w:r>
      <w:r>
        <w:rPr>
          <w:sz w:val="20"/>
        </w:rPr>
        <w:t>(1994).</w:t>
      </w:r>
      <w:r>
        <w:rPr>
          <w:spacing w:val="-2"/>
          <w:sz w:val="20"/>
        </w:rPr>
        <w:t> </w:t>
      </w:r>
      <w:r>
        <w:rPr>
          <w:i/>
          <w:sz w:val="20"/>
        </w:rPr>
        <w:t>Analysis</w:t>
      </w:r>
      <w:r>
        <w:rPr>
          <w:i/>
          <w:spacing w:val="-4"/>
          <w:sz w:val="20"/>
        </w:rPr>
        <w:t> </w:t>
      </w:r>
      <w:r>
        <w:rPr>
          <w:i/>
          <w:sz w:val="20"/>
        </w:rPr>
        <w:t>of</w:t>
      </w:r>
      <w:r>
        <w:rPr>
          <w:i/>
          <w:spacing w:val="-2"/>
          <w:sz w:val="20"/>
        </w:rPr>
        <w:t> </w:t>
      </w:r>
      <w:r>
        <w:rPr>
          <w:i/>
          <w:sz w:val="20"/>
        </w:rPr>
        <w:t>Vertebrate</w:t>
      </w:r>
      <w:r>
        <w:rPr>
          <w:i/>
          <w:spacing w:val="-3"/>
          <w:sz w:val="20"/>
        </w:rPr>
        <w:t> </w:t>
      </w:r>
      <w:r>
        <w:rPr>
          <w:i/>
          <w:sz w:val="20"/>
        </w:rPr>
        <w:t>Pest</w:t>
      </w:r>
      <w:r>
        <w:rPr>
          <w:i/>
          <w:spacing w:val="-5"/>
          <w:sz w:val="20"/>
        </w:rPr>
        <w:t> </w:t>
      </w:r>
      <w:r>
        <w:rPr>
          <w:i/>
          <w:sz w:val="20"/>
        </w:rPr>
        <w:t>Control</w:t>
      </w:r>
      <w:r>
        <w:rPr>
          <w:sz w:val="20"/>
        </w:rPr>
        <w:t>.</w:t>
      </w:r>
      <w:r>
        <w:rPr>
          <w:spacing w:val="-5"/>
          <w:sz w:val="20"/>
        </w:rPr>
        <w:t> </w:t>
      </w:r>
      <w:r>
        <w:rPr>
          <w:sz w:val="20"/>
        </w:rPr>
        <w:t>(Cambridge</w:t>
      </w:r>
      <w:r>
        <w:rPr>
          <w:spacing w:val="-3"/>
          <w:sz w:val="20"/>
        </w:rPr>
        <w:t> </w:t>
      </w:r>
      <w:r>
        <w:rPr>
          <w:sz w:val="20"/>
        </w:rPr>
        <w:t>University</w:t>
      </w:r>
      <w:r>
        <w:rPr>
          <w:spacing w:val="-4"/>
          <w:sz w:val="20"/>
        </w:rPr>
        <w:t> </w:t>
      </w:r>
      <w:r>
        <w:rPr>
          <w:sz w:val="20"/>
        </w:rPr>
        <w:t>Press) </w:t>
      </w:r>
      <w:r>
        <w:rPr>
          <w:spacing w:val="-2"/>
          <w:sz w:val="20"/>
        </w:rPr>
        <w:t>doi:</w:t>
      </w:r>
      <w:hyperlink r:id="rId97">
        <w:r>
          <w:rPr>
            <w:color w:val="0000FF"/>
            <w:spacing w:val="-2"/>
            <w:sz w:val="20"/>
            <w:u w:val="single" w:color="0000FF"/>
          </w:rPr>
          <w:t>10.1017/CBO9780511525797</w:t>
        </w:r>
      </w:hyperlink>
    </w:p>
    <w:p>
      <w:pPr>
        <w:pStyle w:val="BodyText"/>
        <w:spacing w:before="10"/>
      </w:pPr>
    </w:p>
    <w:p>
      <w:pPr>
        <w:pStyle w:val="BodyText"/>
        <w:spacing w:before="1"/>
        <w:ind w:left="833" w:right="163" w:hanging="721"/>
      </w:pPr>
      <w:r>
        <w:rPr/>
        <w:t>Hone,</w:t>
      </w:r>
      <w:r>
        <w:rPr>
          <w:spacing w:val="-2"/>
        </w:rPr>
        <w:t> </w:t>
      </w:r>
      <w:r>
        <w:rPr/>
        <w:t>J.</w:t>
      </w:r>
      <w:r>
        <w:rPr>
          <w:spacing w:val="-4"/>
        </w:rPr>
        <w:t> </w:t>
      </w:r>
      <w:r>
        <w:rPr/>
        <w:t>(1990).</w:t>
      </w:r>
      <w:r>
        <w:rPr>
          <w:spacing w:val="-4"/>
        </w:rPr>
        <w:t> </w:t>
      </w:r>
      <w:r>
        <w:rPr/>
        <w:t>Predator</w:t>
      </w:r>
      <w:r>
        <w:rPr>
          <w:spacing w:val="-4"/>
        </w:rPr>
        <w:t> </w:t>
      </w:r>
      <w:r>
        <w:rPr/>
        <w:t>prey</w:t>
      </w:r>
      <w:r>
        <w:rPr>
          <w:spacing w:val="-3"/>
        </w:rPr>
        <w:t> </w:t>
      </w:r>
      <w:r>
        <w:rPr/>
        <w:t>theory</w:t>
      </w:r>
      <w:r>
        <w:rPr>
          <w:spacing w:val="-3"/>
        </w:rPr>
        <w:t> </w:t>
      </w:r>
      <w:r>
        <w:rPr/>
        <w:t>and</w:t>
      </w:r>
      <w:r>
        <w:rPr>
          <w:spacing w:val="-4"/>
        </w:rPr>
        <w:t> </w:t>
      </w:r>
      <w:r>
        <w:rPr/>
        <w:t>feral</w:t>
      </w:r>
      <w:r>
        <w:rPr>
          <w:spacing w:val="-3"/>
        </w:rPr>
        <w:t> </w:t>
      </w:r>
      <w:r>
        <w:rPr/>
        <w:t>pig</w:t>
      </w:r>
      <w:r>
        <w:rPr>
          <w:spacing w:val="-2"/>
        </w:rPr>
        <w:t> </w:t>
      </w:r>
      <w:r>
        <w:rPr/>
        <w:t>control,</w:t>
      </w:r>
      <w:r>
        <w:rPr>
          <w:spacing w:val="-4"/>
        </w:rPr>
        <w:t> </w:t>
      </w:r>
      <w:r>
        <w:rPr/>
        <w:t>with</w:t>
      </w:r>
      <w:r>
        <w:rPr>
          <w:spacing w:val="-2"/>
        </w:rPr>
        <w:t> </w:t>
      </w:r>
      <w:r>
        <w:rPr/>
        <w:t>emphasis</w:t>
      </w:r>
      <w:r>
        <w:rPr>
          <w:spacing w:val="-1"/>
        </w:rPr>
        <w:t> </w:t>
      </w:r>
      <w:r>
        <w:rPr/>
        <w:t>on</w:t>
      </w:r>
      <w:r>
        <w:rPr>
          <w:spacing w:val="-5"/>
        </w:rPr>
        <w:t> </w:t>
      </w:r>
      <w:r>
        <w:rPr/>
        <w:t>evaluation</w:t>
      </w:r>
      <w:r>
        <w:rPr>
          <w:spacing w:val="-3"/>
        </w:rPr>
        <w:t> </w:t>
      </w:r>
      <w:r>
        <w:rPr/>
        <w:t>of</w:t>
      </w:r>
      <w:r>
        <w:rPr>
          <w:spacing w:val="-4"/>
        </w:rPr>
        <w:t> </w:t>
      </w:r>
      <w:r>
        <w:rPr/>
        <w:t>shooting</w:t>
      </w:r>
      <w:r>
        <w:rPr>
          <w:spacing w:val="-5"/>
        </w:rPr>
        <w:t> </w:t>
      </w:r>
      <w:r>
        <w:rPr/>
        <w:t>from</w:t>
      </w:r>
      <w:r>
        <w:rPr>
          <w:spacing w:val="-4"/>
        </w:rPr>
        <w:t> </w:t>
      </w:r>
      <w:r>
        <w:rPr/>
        <w:t>a helicopter. </w:t>
      </w:r>
      <w:r>
        <w:rPr>
          <w:i/>
        </w:rPr>
        <w:t>Wildlife Research </w:t>
      </w:r>
      <w:r>
        <w:rPr>
          <w:b/>
        </w:rPr>
        <w:t>17</w:t>
      </w:r>
      <w:r>
        <w:rPr/>
        <w:t>(2):123. doi: 10.1071/WR9900123.</w:t>
      </w:r>
    </w:p>
    <w:p>
      <w:pPr>
        <w:pStyle w:val="BodyText"/>
        <w:spacing w:before="10"/>
      </w:pPr>
    </w:p>
    <w:p>
      <w:pPr>
        <w:pStyle w:val="BodyText"/>
        <w:ind w:left="833" w:right="163" w:hanging="721"/>
      </w:pPr>
      <w:r>
        <w:rPr/>
        <w:t>Hone,</w:t>
      </w:r>
      <w:r>
        <w:rPr>
          <w:spacing w:val="-2"/>
        </w:rPr>
        <w:t> </w:t>
      </w:r>
      <w:r>
        <w:rPr/>
        <w:t>J.</w:t>
      </w:r>
      <w:r>
        <w:rPr>
          <w:spacing w:val="-4"/>
        </w:rPr>
        <w:t> </w:t>
      </w:r>
      <w:r>
        <w:rPr/>
        <w:t>(1999).</w:t>
      </w:r>
      <w:r>
        <w:rPr>
          <w:spacing w:val="-4"/>
        </w:rPr>
        <w:t> </w:t>
      </w:r>
      <w:r>
        <w:rPr/>
        <w:t>On</w:t>
      </w:r>
      <w:r>
        <w:rPr>
          <w:spacing w:val="-4"/>
        </w:rPr>
        <w:t> </w:t>
      </w:r>
      <w:r>
        <w:rPr/>
        <w:t>rate</w:t>
      </w:r>
      <w:r>
        <w:rPr>
          <w:spacing w:val="-4"/>
        </w:rPr>
        <w:t> </w:t>
      </w:r>
      <w:r>
        <w:rPr/>
        <w:t>of</w:t>
      </w:r>
      <w:r>
        <w:rPr>
          <w:spacing w:val="-2"/>
        </w:rPr>
        <w:t> </w:t>
      </w:r>
      <w:r>
        <w:rPr/>
        <w:t>increase</w:t>
      </w:r>
      <w:r>
        <w:rPr>
          <w:spacing w:val="-4"/>
        </w:rPr>
        <w:t> </w:t>
      </w:r>
      <w:r>
        <w:rPr/>
        <w:t>(r):</w:t>
      </w:r>
      <w:r>
        <w:rPr>
          <w:spacing w:val="-4"/>
        </w:rPr>
        <w:t> </w:t>
      </w:r>
      <w:r>
        <w:rPr/>
        <w:t>patterns</w:t>
      </w:r>
      <w:r>
        <w:rPr>
          <w:spacing w:val="-3"/>
        </w:rPr>
        <w:t> </w:t>
      </w:r>
      <w:r>
        <w:rPr/>
        <w:t>of</w:t>
      </w:r>
      <w:r>
        <w:rPr>
          <w:spacing w:val="-4"/>
        </w:rPr>
        <w:t> </w:t>
      </w:r>
      <w:r>
        <w:rPr/>
        <w:t>variation</w:t>
      </w:r>
      <w:r>
        <w:rPr>
          <w:spacing w:val="-4"/>
        </w:rPr>
        <w:t> </w:t>
      </w:r>
      <w:r>
        <w:rPr/>
        <w:t>in Australian</w:t>
      </w:r>
      <w:r>
        <w:rPr>
          <w:spacing w:val="-1"/>
        </w:rPr>
        <w:t> </w:t>
      </w:r>
      <w:r>
        <w:rPr/>
        <w:t>mammals</w:t>
      </w:r>
      <w:r>
        <w:rPr>
          <w:spacing w:val="-3"/>
        </w:rPr>
        <w:t> </w:t>
      </w:r>
      <w:r>
        <w:rPr/>
        <w:t>and</w:t>
      </w:r>
      <w:r>
        <w:rPr>
          <w:spacing w:val="-4"/>
        </w:rPr>
        <w:t> </w:t>
      </w:r>
      <w:r>
        <w:rPr/>
        <w:t>the</w:t>
      </w:r>
      <w:r>
        <w:rPr>
          <w:spacing w:val="-3"/>
        </w:rPr>
        <w:t> </w:t>
      </w:r>
      <w:r>
        <w:rPr/>
        <w:t>implications</w:t>
      </w:r>
      <w:r>
        <w:rPr>
          <w:spacing w:val="-3"/>
        </w:rPr>
        <w:t> </w:t>
      </w:r>
      <w:r>
        <w:rPr/>
        <w:t>for wildlife management. </w:t>
      </w:r>
      <w:r>
        <w:rPr>
          <w:i/>
        </w:rPr>
        <w:t>Journal of Applied Ecology </w:t>
      </w:r>
      <w:r>
        <w:rPr>
          <w:b/>
        </w:rPr>
        <w:t>36</w:t>
      </w:r>
      <w:r>
        <w:rPr/>
        <w:t>:709–18.</w:t>
      </w:r>
    </w:p>
    <w:p>
      <w:pPr>
        <w:pStyle w:val="BodyText"/>
        <w:spacing w:before="9"/>
      </w:pPr>
    </w:p>
    <w:p>
      <w:pPr>
        <w:pStyle w:val="BodyText"/>
        <w:ind w:left="833" w:right="163" w:hanging="721"/>
      </w:pPr>
      <w:r>
        <w:rPr/>
        <w:t>Hone,</w:t>
      </w:r>
      <w:r>
        <w:rPr>
          <w:spacing w:val="-3"/>
        </w:rPr>
        <w:t> </w:t>
      </w:r>
      <w:r>
        <w:rPr/>
        <w:t>J.</w:t>
      </w:r>
      <w:r>
        <w:rPr>
          <w:spacing w:val="-4"/>
        </w:rPr>
        <w:t> </w:t>
      </w:r>
      <w:r>
        <w:rPr/>
        <w:t>(1999).</w:t>
      </w:r>
      <w:r>
        <w:rPr>
          <w:spacing w:val="-4"/>
        </w:rPr>
        <w:t> </w:t>
      </w:r>
      <w:r>
        <w:rPr/>
        <w:t>Fox</w:t>
      </w:r>
      <w:r>
        <w:rPr>
          <w:spacing w:val="-3"/>
        </w:rPr>
        <w:t> </w:t>
      </w:r>
      <w:r>
        <w:rPr/>
        <w:t>control</w:t>
      </w:r>
      <w:r>
        <w:rPr>
          <w:spacing w:val="-5"/>
        </w:rPr>
        <w:t> </w:t>
      </w:r>
      <w:r>
        <w:rPr/>
        <w:t>and</w:t>
      </w:r>
      <w:r>
        <w:rPr>
          <w:spacing w:val="-4"/>
        </w:rPr>
        <w:t> </w:t>
      </w:r>
      <w:r>
        <w:rPr/>
        <w:t>rock-wallaby</w:t>
      </w:r>
      <w:r>
        <w:rPr>
          <w:spacing w:val="-2"/>
        </w:rPr>
        <w:t> </w:t>
      </w:r>
      <w:r>
        <w:rPr/>
        <w:t>population</w:t>
      </w:r>
      <w:r>
        <w:rPr>
          <w:spacing w:val="-5"/>
        </w:rPr>
        <w:t> </w:t>
      </w:r>
      <w:r>
        <w:rPr/>
        <w:t>dynamics</w:t>
      </w:r>
      <w:r>
        <w:rPr>
          <w:spacing w:val="-1"/>
        </w:rPr>
        <w:t> </w:t>
      </w:r>
      <w:r>
        <w:rPr/>
        <w:t>-</w:t>
      </w:r>
      <w:r>
        <w:rPr>
          <w:spacing w:val="-3"/>
        </w:rPr>
        <w:t> </w:t>
      </w:r>
      <w:r>
        <w:rPr/>
        <w:t>assumptions</w:t>
      </w:r>
      <w:r>
        <w:rPr>
          <w:spacing w:val="-1"/>
        </w:rPr>
        <w:t> </w:t>
      </w:r>
      <w:r>
        <w:rPr/>
        <w:t>and</w:t>
      </w:r>
      <w:r>
        <w:rPr>
          <w:spacing w:val="-3"/>
        </w:rPr>
        <w:t> </w:t>
      </w:r>
      <w:r>
        <w:rPr/>
        <w:t>hypotheses. </w:t>
      </w:r>
      <w:r>
        <w:rPr>
          <w:i/>
        </w:rPr>
        <w:t>Wildlife</w:t>
      </w:r>
      <w:r>
        <w:rPr>
          <w:i/>
        </w:rPr>
        <w:t> Research </w:t>
      </w:r>
      <w:r>
        <w:rPr>
          <w:b/>
        </w:rPr>
        <w:t>26</w:t>
      </w:r>
      <w:r>
        <w:rPr/>
        <w:t>:671–73.</w:t>
      </w:r>
    </w:p>
    <w:p>
      <w:pPr>
        <w:pStyle w:val="BodyText"/>
        <w:spacing w:before="11"/>
      </w:pPr>
    </w:p>
    <w:p>
      <w:pPr>
        <w:spacing w:before="0"/>
        <w:ind w:left="833" w:right="163" w:hanging="721"/>
        <w:jc w:val="left"/>
        <w:rPr>
          <w:sz w:val="20"/>
        </w:rPr>
      </w:pPr>
      <w:r>
        <w:rPr>
          <w:sz w:val="20"/>
        </w:rPr>
        <w:t>Hone,</w:t>
      </w:r>
      <w:r>
        <w:rPr>
          <w:spacing w:val="-1"/>
          <w:sz w:val="20"/>
        </w:rPr>
        <w:t> </w:t>
      </w:r>
      <w:r>
        <w:rPr>
          <w:sz w:val="20"/>
        </w:rPr>
        <w:t>J.</w:t>
      </w:r>
      <w:r>
        <w:rPr>
          <w:spacing w:val="-3"/>
          <w:sz w:val="20"/>
        </w:rPr>
        <w:t> </w:t>
      </w:r>
      <w:r>
        <w:rPr>
          <w:sz w:val="20"/>
        </w:rPr>
        <w:t>(2012).</w:t>
      </w:r>
      <w:r>
        <w:rPr>
          <w:spacing w:val="-1"/>
          <w:sz w:val="20"/>
        </w:rPr>
        <w:t> </w:t>
      </w:r>
      <w:r>
        <w:rPr>
          <w:i/>
          <w:sz w:val="20"/>
        </w:rPr>
        <w:t>Applied</w:t>
      </w:r>
      <w:r>
        <w:rPr>
          <w:i/>
          <w:spacing w:val="-3"/>
          <w:sz w:val="20"/>
        </w:rPr>
        <w:t> </w:t>
      </w:r>
      <w:r>
        <w:rPr>
          <w:i/>
          <w:sz w:val="20"/>
        </w:rPr>
        <w:t>population</w:t>
      </w:r>
      <w:r>
        <w:rPr>
          <w:i/>
          <w:spacing w:val="-4"/>
          <w:sz w:val="20"/>
        </w:rPr>
        <w:t> </w:t>
      </w:r>
      <w:r>
        <w:rPr>
          <w:i/>
          <w:sz w:val="20"/>
        </w:rPr>
        <w:t>and</w:t>
      </w:r>
      <w:r>
        <w:rPr>
          <w:i/>
          <w:spacing w:val="-4"/>
          <w:sz w:val="20"/>
        </w:rPr>
        <w:t> </w:t>
      </w:r>
      <w:r>
        <w:rPr>
          <w:i/>
          <w:sz w:val="20"/>
        </w:rPr>
        <w:t>community</w:t>
      </w:r>
      <w:r>
        <w:rPr>
          <w:i/>
          <w:spacing w:val="-2"/>
          <w:sz w:val="20"/>
        </w:rPr>
        <w:t> </w:t>
      </w:r>
      <w:r>
        <w:rPr>
          <w:i/>
          <w:sz w:val="20"/>
        </w:rPr>
        <w:t>ecology:</w:t>
      </w:r>
      <w:r>
        <w:rPr>
          <w:i/>
          <w:spacing w:val="-3"/>
          <w:sz w:val="20"/>
        </w:rPr>
        <w:t> </w:t>
      </w:r>
      <w:r>
        <w:rPr>
          <w:i/>
          <w:sz w:val="20"/>
        </w:rPr>
        <w:t>the</w:t>
      </w:r>
      <w:r>
        <w:rPr>
          <w:i/>
          <w:spacing w:val="-1"/>
          <w:sz w:val="20"/>
        </w:rPr>
        <w:t> </w:t>
      </w:r>
      <w:r>
        <w:rPr>
          <w:i/>
          <w:sz w:val="20"/>
        </w:rPr>
        <w:t>case</w:t>
      </w:r>
      <w:r>
        <w:rPr>
          <w:i/>
          <w:spacing w:val="-3"/>
          <w:sz w:val="20"/>
        </w:rPr>
        <w:t> </w:t>
      </w:r>
      <w:r>
        <w:rPr>
          <w:i/>
          <w:sz w:val="20"/>
        </w:rPr>
        <w:t>of</w:t>
      </w:r>
      <w:r>
        <w:rPr>
          <w:i/>
          <w:spacing w:val="-1"/>
          <w:sz w:val="20"/>
        </w:rPr>
        <w:t> </w:t>
      </w:r>
      <w:r>
        <w:rPr>
          <w:i/>
          <w:sz w:val="20"/>
        </w:rPr>
        <w:t>feral</w:t>
      </w:r>
      <w:r>
        <w:rPr>
          <w:i/>
          <w:spacing w:val="-4"/>
          <w:sz w:val="20"/>
        </w:rPr>
        <w:t> </w:t>
      </w:r>
      <w:r>
        <w:rPr>
          <w:i/>
          <w:sz w:val="20"/>
        </w:rPr>
        <w:t>pigs in</w:t>
      </w:r>
      <w:r>
        <w:rPr>
          <w:i/>
          <w:spacing w:val="-1"/>
          <w:sz w:val="20"/>
        </w:rPr>
        <w:t> </w:t>
      </w:r>
      <w:r>
        <w:rPr>
          <w:i/>
          <w:sz w:val="20"/>
        </w:rPr>
        <w:t>Australia</w:t>
      </w:r>
      <w:r>
        <w:rPr>
          <w:sz w:val="20"/>
        </w:rPr>
        <w:t>.</w:t>
      </w:r>
      <w:r>
        <w:rPr>
          <w:spacing w:val="-3"/>
          <w:sz w:val="20"/>
        </w:rPr>
        <w:t> </w:t>
      </w:r>
      <w:r>
        <w:rPr>
          <w:sz w:val="20"/>
        </w:rPr>
        <w:t>John</w:t>
      </w:r>
      <w:r>
        <w:rPr>
          <w:spacing w:val="-1"/>
          <w:sz w:val="20"/>
        </w:rPr>
        <w:t> </w:t>
      </w:r>
      <w:r>
        <w:rPr>
          <w:sz w:val="20"/>
        </w:rPr>
        <w:t>Wiley</w:t>
      </w:r>
      <w:r>
        <w:rPr>
          <w:spacing w:val="-2"/>
          <w:sz w:val="20"/>
        </w:rPr>
        <w:t> </w:t>
      </w:r>
      <w:r>
        <w:rPr>
          <w:sz w:val="20"/>
        </w:rPr>
        <w:t>&amp; </w:t>
      </w:r>
      <w:r>
        <w:rPr>
          <w:spacing w:val="-2"/>
          <w:sz w:val="20"/>
        </w:rPr>
        <w:t>Sons.</w:t>
      </w:r>
    </w:p>
    <w:p>
      <w:pPr>
        <w:pStyle w:val="BodyText"/>
        <w:spacing w:before="11"/>
      </w:pPr>
    </w:p>
    <w:p>
      <w:pPr>
        <w:pStyle w:val="BodyText"/>
        <w:ind w:left="112"/>
        <w:rPr>
          <w:i/>
        </w:rPr>
      </w:pPr>
      <w:r>
        <w:rPr/>
        <w:t>Hone,</w:t>
      </w:r>
      <w:r>
        <w:rPr>
          <w:spacing w:val="-6"/>
        </w:rPr>
        <w:t> </w:t>
      </w:r>
      <w:r>
        <w:rPr/>
        <w:t>J.,</w:t>
      </w:r>
      <w:r>
        <w:rPr>
          <w:spacing w:val="-7"/>
        </w:rPr>
        <w:t> </w:t>
      </w:r>
      <w:r>
        <w:rPr/>
        <w:t>and</w:t>
      </w:r>
      <w:r>
        <w:rPr>
          <w:spacing w:val="-8"/>
        </w:rPr>
        <w:t> </w:t>
      </w:r>
      <w:r>
        <w:rPr/>
        <w:t>Atkinson,</w:t>
      </w:r>
      <w:r>
        <w:rPr>
          <w:spacing w:val="-7"/>
        </w:rPr>
        <w:t> </w:t>
      </w:r>
      <w:r>
        <w:rPr/>
        <w:t>B.</w:t>
      </w:r>
      <w:r>
        <w:rPr>
          <w:spacing w:val="-7"/>
        </w:rPr>
        <w:t> </w:t>
      </w:r>
      <w:r>
        <w:rPr/>
        <w:t>(1983).</w:t>
      </w:r>
      <w:r>
        <w:rPr>
          <w:spacing w:val="-6"/>
        </w:rPr>
        <w:t> </w:t>
      </w:r>
      <w:r>
        <w:rPr/>
        <w:t>Evaluation</w:t>
      </w:r>
      <w:r>
        <w:rPr>
          <w:spacing w:val="-7"/>
        </w:rPr>
        <w:t> </w:t>
      </w:r>
      <w:r>
        <w:rPr/>
        <w:t>of</w:t>
      </w:r>
      <w:r>
        <w:rPr>
          <w:spacing w:val="-5"/>
        </w:rPr>
        <w:t> </w:t>
      </w:r>
      <w:r>
        <w:rPr/>
        <w:t>fencing</w:t>
      </w:r>
      <w:r>
        <w:rPr>
          <w:spacing w:val="-8"/>
        </w:rPr>
        <w:t> </w:t>
      </w:r>
      <w:r>
        <w:rPr/>
        <w:t>to</w:t>
      </w:r>
      <w:r>
        <w:rPr>
          <w:spacing w:val="-7"/>
        </w:rPr>
        <w:t> </w:t>
      </w:r>
      <w:r>
        <w:rPr/>
        <w:t>control</w:t>
      </w:r>
      <w:r>
        <w:rPr>
          <w:spacing w:val="-6"/>
        </w:rPr>
        <w:t> </w:t>
      </w:r>
      <w:r>
        <w:rPr/>
        <w:t>feral</w:t>
      </w:r>
      <w:r>
        <w:rPr>
          <w:spacing w:val="-8"/>
        </w:rPr>
        <w:t> </w:t>
      </w:r>
      <w:r>
        <w:rPr/>
        <w:t>pig</w:t>
      </w:r>
      <w:r>
        <w:rPr>
          <w:spacing w:val="-6"/>
        </w:rPr>
        <w:t> </w:t>
      </w:r>
      <w:r>
        <w:rPr/>
        <w:t>movement.</w:t>
      </w:r>
      <w:r>
        <w:rPr>
          <w:spacing w:val="1"/>
        </w:rPr>
        <w:t> </w:t>
      </w:r>
      <w:r>
        <w:rPr>
          <w:i/>
        </w:rPr>
        <w:t>Wildlife</w:t>
      </w:r>
      <w:r>
        <w:rPr>
          <w:i/>
          <w:spacing w:val="-6"/>
        </w:rPr>
        <w:t> </w:t>
      </w:r>
      <w:r>
        <w:rPr>
          <w:i/>
          <w:spacing w:val="-2"/>
        </w:rPr>
        <w:t>Research</w:t>
      </w:r>
    </w:p>
    <w:p>
      <w:pPr>
        <w:pStyle w:val="BodyText"/>
        <w:spacing w:before="1"/>
        <w:ind w:left="833"/>
      </w:pPr>
      <w:r>
        <w:rPr>
          <w:b/>
          <w:spacing w:val="-2"/>
        </w:rPr>
        <w:t>10</w:t>
      </w:r>
      <w:r>
        <w:rPr>
          <w:spacing w:val="-2"/>
        </w:rPr>
        <w:t>(3):499–505.</w:t>
      </w:r>
    </w:p>
    <w:p>
      <w:pPr>
        <w:pStyle w:val="BodyText"/>
        <w:spacing w:before="7"/>
      </w:pPr>
    </w:p>
    <w:p>
      <w:pPr>
        <w:pStyle w:val="BodyText"/>
        <w:spacing w:before="1"/>
        <w:ind w:left="833" w:right="163" w:hanging="721"/>
      </w:pPr>
      <w:r>
        <w:rPr/>
        <w:t>Hone, J., Bryant, H., Nicholls, P., Atkinson, W., and Kleba, R. (1985). The acceptance of dyed grain by feral pigs</w:t>
      </w:r>
      <w:r>
        <w:rPr>
          <w:spacing w:val="-2"/>
        </w:rPr>
        <w:t> </w:t>
      </w:r>
      <w:r>
        <w:rPr/>
        <w:t>and</w:t>
      </w:r>
      <w:r>
        <w:rPr>
          <w:spacing w:val="-2"/>
        </w:rPr>
        <w:t> </w:t>
      </w:r>
      <w:r>
        <w:rPr/>
        <w:t>birds.</w:t>
      </w:r>
      <w:r>
        <w:rPr>
          <w:spacing w:val="-1"/>
        </w:rPr>
        <w:t> </w:t>
      </w:r>
      <w:r>
        <w:rPr/>
        <w:t>3.</w:t>
      </w:r>
      <w:r>
        <w:rPr>
          <w:spacing w:val="-3"/>
        </w:rPr>
        <w:t> </w:t>
      </w:r>
      <w:r>
        <w:rPr/>
        <w:t>comparison</w:t>
      </w:r>
      <w:r>
        <w:rPr>
          <w:spacing w:val="-4"/>
        </w:rPr>
        <w:t> </w:t>
      </w:r>
      <w:r>
        <w:rPr/>
        <w:t>of</w:t>
      </w:r>
      <w:r>
        <w:rPr>
          <w:spacing w:val="-1"/>
        </w:rPr>
        <w:t> </w:t>
      </w:r>
      <w:r>
        <w:rPr/>
        <w:t>intakes</w:t>
      </w:r>
      <w:r>
        <w:rPr>
          <w:spacing w:val="-2"/>
        </w:rPr>
        <w:t> </w:t>
      </w:r>
      <w:r>
        <w:rPr/>
        <w:t>of</w:t>
      </w:r>
      <w:r>
        <w:rPr>
          <w:spacing w:val="-1"/>
        </w:rPr>
        <w:t> </w:t>
      </w:r>
      <w:r>
        <w:rPr/>
        <w:t>dyed</w:t>
      </w:r>
      <w:r>
        <w:rPr>
          <w:spacing w:val="-2"/>
        </w:rPr>
        <w:t> </w:t>
      </w:r>
      <w:r>
        <w:rPr/>
        <w:t>and</w:t>
      </w:r>
      <w:r>
        <w:rPr>
          <w:spacing w:val="-1"/>
        </w:rPr>
        <w:t> </w:t>
      </w:r>
      <w:r>
        <w:rPr/>
        <w:t>undyed</w:t>
      </w:r>
      <w:r>
        <w:rPr>
          <w:spacing w:val="-2"/>
        </w:rPr>
        <w:t> </w:t>
      </w:r>
      <w:r>
        <w:rPr/>
        <w:t>grain</w:t>
      </w:r>
      <w:r>
        <w:rPr>
          <w:spacing w:val="-3"/>
        </w:rPr>
        <w:t> </w:t>
      </w:r>
      <w:r>
        <w:rPr/>
        <w:t>by</w:t>
      </w:r>
      <w:r>
        <w:rPr>
          <w:spacing w:val="-2"/>
        </w:rPr>
        <w:t> </w:t>
      </w:r>
      <w:r>
        <w:rPr/>
        <w:t>feral</w:t>
      </w:r>
      <w:r>
        <w:rPr>
          <w:spacing w:val="-4"/>
        </w:rPr>
        <w:t> </w:t>
      </w:r>
      <w:r>
        <w:rPr/>
        <w:t>pigs and</w:t>
      </w:r>
      <w:r>
        <w:rPr>
          <w:spacing w:val="-4"/>
        </w:rPr>
        <w:t> </w:t>
      </w:r>
      <w:r>
        <w:rPr/>
        <w:t>birds</w:t>
      </w:r>
      <w:r>
        <w:rPr>
          <w:spacing w:val="-2"/>
        </w:rPr>
        <w:t> </w:t>
      </w:r>
      <w:r>
        <w:rPr/>
        <w:t>in</w:t>
      </w:r>
      <w:r>
        <w:rPr>
          <w:spacing w:val="-3"/>
        </w:rPr>
        <w:t> </w:t>
      </w:r>
      <w:r>
        <w:rPr/>
        <w:t>pig-proof paddocks. </w:t>
      </w:r>
      <w:r>
        <w:rPr>
          <w:i/>
        </w:rPr>
        <w:t>Wildlife Research </w:t>
      </w:r>
      <w:r>
        <w:rPr>
          <w:b/>
        </w:rPr>
        <w:t>12</w:t>
      </w:r>
      <w:r>
        <w:rPr/>
        <w:t>(3):447–54. doi: 10.1071/wr9850447.</w:t>
      </w:r>
    </w:p>
    <w:p>
      <w:pPr>
        <w:spacing w:after="0"/>
        <w:sectPr>
          <w:pgSz w:w="11910" w:h="16850"/>
          <w:pgMar w:header="0" w:footer="688" w:top="1060" w:bottom="880" w:left="1020" w:right="780"/>
        </w:sectPr>
      </w:pPr>
    </w:p>
    <w:p>
      <w:pPr>
        <w:pStyle w:val="BodyText"/>
        <w:spacing w:before="71"/>
        <w:ind w:left="833" w:right="544" w:hanging="721"/>
      </w:pPr>
      <w:r>
        <w:rPr/>
        <w:t>Hone,</w:t>
      </w:r>
      <w:r>
        <w:rPr>
          <w:spacing w:val="-2"/>
        </w:rPr>
        <w:t> </w:t>
      </w:r>
      <w:r>
        <w:rPr/>
        <w:t>J.,</w:t>
      </w:r>
      <w:r>
        <w:rPr>
          <w:spacing w:val="-4"/>
        </w:rPr>
        <w:t> </w:t>
      </w:r>
      <w:r>
        <w:rPr/>
        <w:t>Duncan,</w:t>
      </w:r>
      <w:r>
        <w:rPr>
          <w:spacing w:val="-4"/>
        </w:rPr>
        <w:t> </w:t>
      </w:r>
      <w:r>
        <w:rPr/>
        <w:t>R.P.,</w:t>
      </w:r>
      <w:r>
        <w:rPr>
          <w:spacing w:val="-2"/>
        </w:rPr>
        <w:t> </w:t>
      </w:r>
      <w:r>
        <w:rPr/>
        <w:t>and</w:t>
      </w:r>
      <w:r>
        <w:rPr>
          <w:spacing w:val="-4"/>
        </w:rPr>
        <w:t> </w:t>
      </w:r>
      <w:r>
        <w:rPr/>
        <w:t>Forsyth,</w:t>
      </w:r>
      <w:r>
        <w:rPr>
          <w:spacing w:val="-4"/>
        </w:rPr>
        <w:t> </w:t>
      </w:r>
      <w:r>
        <w:rPr/>
        <w:t>D.M.</w:t>
      </w:r>
      <w:r>
        <w:rPr>
          <w:spacing w:val="-4"/>
        </w:rPr>
        <w:t> </w:t>
      </w:r>
      <w:r>
        <w:rPr/>
        <w:t>(2010).</w:t>
      </w:r>
      <w:r>
        <w:rPr>
          <w:spacing w:val="-2"/>
        </w:rPr>
        <w:t> </w:t>
      </w:r>
      <w:r>
        <w:rPr/>
        <w:t>Estimates</w:t>
      </w:r>
      <w:r>
        <w:rPr>
          <w:spacing w:val="-3"/>
        </w:rPr>
        <w:t> </w:t>
      </w:r>
      <w:r>
        <w:rPr/>
        <w:t>of</w:t>
      </w:r>
      <w:r>
        <w:rPr>
          <w:spacing w:val="-4"/>
        </w:rPr>
        <w:t> </w:t>
      </w:r>
      <w:r>
        <w:rPr/>
        <w:t>maximum</w:t>
      </w:r>
      <w:r>
        <w:rPr>
          <w:spacing w:val="-4"/>
        </w:rPr>
        <w:t> </w:t>
      </w:r>
      <w:r>
        <w:rPr/>
        <w:t>annual</w:t>
      </w:r>
      <w:r>
        <w:rPr>
          <w:spacing w:val="-3"/>
        </w:rPr>
        <w:t> </w:t>
      </w:r>
      <w:r>
        <w:rPr/>
        <w:t>population</w:t>
      </w:r>
      <w:r>
        <w:rPr>
          <w:spacing w:val="-4"/>
        </w:rPr>
        <w:t> </w:t>
      </w:r>
      <w:r>
        <w:rPr/>
        <w:t>growth</w:t>
      </w:r>
      <w:r>
        <w:rPr>
          <w:spacing w:val="-5"/>
        </w:rPr>
        <w:t> </w:t>
      </w:r>
      <w:r>
        <w:rPr/>
        <w:t>rates (</w:t>
      </w:r>
      <w:r>
        <w:rPr>
          <w:i/>
        </w:rPr>
        <w:t>rm</w:t>
      </w:r>
      <w:r>
        <w:rPr/>
        <w:t>) of mammals and their application in wildlife management. </w:t>
      </w:r>
      <w:r>
        <w:rPr>
          <w:i/>
        </w:rPr>
        <w:t>Journal of Applied Ecology</w:t>
      </w:r>
      <w:r>
        <w:rPr>
          <w:i/>
        </w:rPr>
        <w:t> </w:t>
      </w:r>
      <w:r>
        <w:rPr>
          <w:b/>
        </w:rPr>
        <w:t>47</w:t>
      </w:r>
      <w:r>
        <w:rPr/>
        <w:t>(3):507–14. doi: 10.1111/j.1365-2664.2010.01812.x.</w:t>
      </w:r>
    </w:p>
    <w:p>
      <w:pPr>
        <w:pStyle w:val="BodyText"/>
        <w:spacing w:before="12"/>
      </w:pPr>
    </w:p>
    <w:p>
      <w:pPr>
        <w:pStyle w:val="BodyText"/>
        <w:ind w:left="833" w:right="544" w:hanging="721"/>
      </w:pPr>
      <w:r>
        <w:rPr/>
        <w:t>Hone,</w:t>
      </w:r>
      <w:r>
        <w:rPr>
          <w:spacing w:val="-1"/>
        </w:rPr>
        <w:t> </w:t>
      </w:r>
      <w:r>
        <w:rPr/>
        <w:t>J.,</w:t>
      </w:r>
      <w:r>
        <w:rPr>
          <w:spacing w:val="-3"/>
        </w:rPr>
        <w:t> </w:t>
      </w:r>
      <w:r>
        <w:rPr/>
        <w:t>and</w:t>
      </w:r>
      <w:r>
        <w:rPr>
          <w:spacing w:val="-3"/>
        </w:rPr>
        <w:t> </w:t>
      </w:r>
      <w:r>
        <w:rPr/>
        <w:t>Stone,</w:t>
      </w:r>
      <w:r>
        <w:rPr>
          <w:spacing w:val="-3"/>
        </w:rPr>
        <w:t> </w:t>
      </w:r>
      <w:r>
        <w:rPr/>
        <w:t>C.P.</w:t>
      </w:r>
      <w:r>
        <w:rPr>
          <w:spacing w:val="-3"/>
        </w:rPr>
        <w:t> </w:t>
      </w:r>
      <w:r>
        <w:rPr/>
        <w:t>(1989).</w:t>
      </w:r>
      <w:r>
        <w:rPr>
          <w:spacing w:val="-1"/>
        </w:rPr>
        <w:t> </w:t>
      </w:r>
      <w:r>
        <w:rPr/>
        <w:t>A</w:t>
      </w:r>
      <w:r>
        <w:rPr>
          <w:spacing w:val="-3"/>
        </w:rPr>
        <w:t> </w:t>
      </w:r>
      <w:r>
        <w:rPr/>
        <w:t>comparison</w:t>
      </w:r>
      <w:r>
        <w:rPr>
          <w:spacing w:val="-4"/>
        </w:rPr>
        <w:t> </w:t>
      </w:r>
      <w:r>
        <w:rPr/>
        <w:t>and</w:t>
      </w:r>
      <w:r>
        <w:rPr>
          <w:spacing w:val="-2"/>
        </w:rPr>
        <w:t> </w:t>
      </w:r>
      <w:r>
        <w:rPr/>
        <w:t>evaluation</w:t>
      </w:r>
      <w:r>
        <w:rPr>
          <w:spacing w:val="-3"/>
        </w:rPr>
        <w:t> </w:t>
      </w:r>
      <w:r>
        <w:rPr/>
        <w:t>of</w:t>
      </w:r>
      <w:r>
        <w:rPr>
          <w:spacing w:val="-1"/>
        </w:rPr>
        <w:t> </w:t>
      </w:r>
      <w:r>
        <w:rPr/>
        <w:t>feral</w:t>
      </w:r>
      <w:r>
        <w:rPr>
          <w:spacing w:val="-4"/>
        </w:rPr>
        <w:t> </w:t>
      </w:r>
      <w:r>
        <w:rPr/>
        <w:t>pig</w:t>
      </w:r>
      <w:r>
        <w:rPr>
          <w:spacing w:val="-3"/>
        </w:rPr>
        <w:t> </w:t>
      </w:r>
      <w:r>
        <w:rPr/>
        <w:t>management</w:t>
      </w:r>
      <w:r>
        <w:rPr>
          <w:spacing w:val="-1"/>
        </w:rPr>
        <w:t> </w:t>
      </w:r>
      <w:r>
        <w:rPr/>
        <w:t>in</w:t>
      </w:r>
      <w:r>
        <w:rPr>
          <w:spacing w:val="-3"/>
        </w:rPr>
        <w:t> </w:t>
      </w:r>
      <w:r>
        <w:rPr/>
        <w:t>two</w:t>
      </w:r>
      <w:r>
        <w:rPr>
          <w:spacing w:val="-3"/>
        </w:rPr>
        <w:t> </w:t>
      </w:r>
      <w:r>
        <w:rPr/>
        <w:t>national parks. </w:t>
      </w:r>
      <w:r>
        <w:rPr>
          <w:i/>
        </w:rPr>
        <w:t>Wildlife Society Bulletin </w:t>
      </w:r>
      <w:r>
        <w:rPr>
          <w:b/>
        </w:rPr>
        <w:t>17</w:t>
      </w:r>
      <w:r>
        <w:rPr/>
        <w:t>(4):419–25.</w:t>
      </w:r>
    </w:p>
    <w:p>
      <w:pPr>
        <w:pStyle w:val="BodyText"/>
        <w:spacing w:before="8"/>
      </w:pPr>
    </w:p>
    <w:p>
      <w:pPr>
        <w:pStyle w:val="BodyText"/>
        <w:ind w:left="833" w:right="373" w:hanging="721"/>
        <w:jc w:val="both"/>
      </w:pPr>
      <w:r>
        <w:rPr/>
        <w:t>Hradsky,</w:t>
      </w:r>
      <w:r>
        <w:rPr>
          <w:spacing w:val="-3"/>
        </w:rPr>
        <w:t> </w:t>
      </w:r>
      <w:r>
        <w:rPr/>
        <w:t>B.A.,</w:t>
      </w:r>
      <w:r>
        <w:rPr>
          <w:spacing w:val="-3"/>
        </w:rPr>
        <w:t> </w:t>
      </w:r>
      <w:r>
        <w:rPr/>
        <w:t>Kelly,</w:t>
      </w:r>
      <w:r>
        <w:rPr>
          <w:spacing w:val="-3"/>
        </w:rPr>
        <w:t> </w:t>
      </w:r>
      <w:r>
        <w:rPr/>
        <w:t>L.T., Robley,</w:t>
      </w:r>
      <w:r>
        <w:rPr>
          <w:spacing w:val="-3"/>
        </w:rPr>
        <w:t> </w:t>
      </w:r>
      <w:r>
        <w:rPr/>
        <w:t>A.,</w:t>
      </w:r>
      <w:r>
        <w:rPr>
          <w:spacing w:val="-3"/>
        </w:rPr>
        <w:t> </w:t>
      </w:r>
      <w:r>
        <w:rPr/>
        <w:t>and</w:t>
      </w:r>
      <w:r>
        <w:rPr>
          <w:spacing w:val="-1"/>
        </w:rPr>
        <w:t> </w:t>
      </w:r>
      <w:r>
        <w:rPr/>
        <w:t>Wintle,</w:t>
      </w:r>
      <w:r>
        <w:rPr>
          <w:spacing w:val="-3"/>
        </w:rPr>
        <w:t> </w:t>
      </w:r>
      <w:r>
        <w:rPr/>
        <w:t>B.A.</w:t>
      </w:r>
      <w:r>
        <w:rPr>
          <w:spacing w:val="-3"/>
        </w:rPr>
        <w:t> </w:t>
      </w:r>
      <w:r>
        <w:rPr/>
        <w:t>(2019).</w:t>
      </w:r>
      <w:r>
        <w:rPr>
          <w:spacing w:val="-1"/>
        </w:rPr>
        <w:t> </w:t>
      </w:r>
      <w:r>
        <w:rPr/>
        <w:t>FoxNet:</w:t>
      </w:r>
      <w:r>
        <w:rPr>
          <w:spacing w:val="-1"/>
        </w:rPr>
        <w:t> </w:t>
      </w:r>
      <w:r>
        <w:rPr/>
        <w:t>an</w:t>
      </w:r>
      <w:r>
        <w:rPr>
          <w:spacing w:val="-2"/>
        </w:rPr>
        <w:t> </w:t>
      </w:r>
      <w:r>
        <w:rPr/>
        <w:t>individual-based</w:t>
      </w:r>
      <w:r>
        <w:rPr>
          <w:spacing w:val="-2"/>
        </w:rPr>
        <w:t> </w:t>
      </w:r>
      <w:r>
        <w:rPr/>
        <w:t>model</w:t>
      </w:r>
      <w:r>
        <w:rPr>
          <w:spacing w:val="-4"/>
        </w:rPr>
        <w:t> </w:t>
      </w:r>
      <w:r>
        <w:rPr/>
        <w:t>framework to</w:t>
      </w:r>
      <w:r>
        <w:rPr>
          <w:spacing w:val="-2"/>
        </w:rPr>
        <w:t> </w:t>
      </w:r>
      <w:r>
        <w:rPr/>
        <w:t>support</w:t>
      </w:r>
      <w:r>
        <w:rPr>
          <w:spacing w:val="-1"/>
        </w:rPr>
        <w:t> </w:t>
      </w:r>
      <w:r>
        <w:rPr/>
        <w:t>management of an</w:t>
      </w:r>
      <w:r>
        <w:rPr>
          <w:spacing w:val="-2"/>
        </w:rPr>
        <w:t> </w:t>
      </w:r>
      <w:r>
        <w:rPr/>
        <w:t>invasive</w:t>
      </w:r>
      <w:r>
        <w:rPr>
          <w:spacing w:val="-1"/>
        </w:rPr>
        <w:t> </w:t>
      </w:r>
      <w:r>
        <w:rPr/>
        <w:t>predator,</w:t>
      </w:r>
      <w:r>
        <w:rPr>
          <w:spacing w:val="-1"/>
        </w:rPr>
        <w:t> </w:t>
      </w:r>
      <w:r>
        <w:rPr/>
        <w:t>the</w:t>
      </w:r>
      <w:r>
        <w:rPr>
          <w:spacing w:val="-1"/>
        </w:rPr>
        <w:t> </w:t>
      </w:r>
      <w:r>
        <w:rPr/>
        <w:t>red</w:t>
      </w:r>
      <w:r>
        <w:rPr>
          <w:spacing w:val="-1"/>
        </w:rPr>
        <w:t> </w:t>
      </w:r>
      <w:r>
        <w:rPr/>
        <w:t>fox. </w:t>
      </w:r>
      <w:r>
        <w:rPr>
          <w:i/>
        </w:rPr>
        <w:t>Journal of Applied Ecology </w:t>
      </w:r>
      <w:r>
        <w:rPr>
          <w:b/>
        </w:rPr>
        <w:t>56</w:t>
      </w:r>
      <w:r>
        <w:rPr/>
        <w:t>(6):1460– </w:t>
      </w:r>
      <w:r>
        <w:rPr>
          <w:spacing w:val="-4"/>
        </w:rPr>
        <w:t>70.</w:t>
      </w:r>
    </w:p>
    <w:p>
      <w:pPr>
        <w:pStyle w:val="BodyText"/>
        <w:spacing w:before="12"/>
      </w:pPr>
    </w:p>
    <w:p>
      <w:pPr>
        <w:pStyle w:val="BodyText"/>
        <w:ind w:left="833" w:right="544" w:hanging="721"/>
      </w:pPr>
      <w:r>
        <w:rPr/>
        <w:t>Hunt,</w:t>
      </w:r>
      <w:r>
        <w:rPr>
          <w:spacing w:val="-2"/>
        </w:rPr>
        <w:t> </w:t>
      </w:r>
      <w:r>
        <w:rPr/>
        <w:t>R.</w:t>
      </w:r>
      <w:r>
        <w:rPr>
          <w:spacing w:val="-4"/>
        </w:rPr>
        <w:t> </w:t>
      </w:r>
      <w:r>
        <w:rPr/>
        <w:t>(2010).</w:t>
      </w:r>
      <w:r>
        <w:rPr>
          <w:spacing w:val="-3"/>
        </w:rPr>
        <w:t> </w:t>
      </w:r>
      <w:r>
        <w:rPr>
          <w:i/>
        </w:rPr>
        <w:t>1080</w:t>
      </w:r>
      <w:r>
        <w:rPr>
          <w:i/>
          <w:spacing w:val="-2"/>
        </w:rPr>
        <w:t> </w:t>
      </w:r>
      <w:r>
        <w:rPr>
          <w:i/>
        </w:rPr>
        <w:t>ejector</w:t>
      </w:r>
      <w:r>
        <w:rPr>
          <w:i/>
          <w:spacing w:val="-4"/>
        </w:rPr>
        <w:t> </w:t>
      </w:r>
      <w:r>
        <w:rPr>
          <w:i/>
        </w:rPr>
        <w:t>training</w:t>
      </w:r>
      <w:r>
        <w:rPr>
          <w:i/>
          <w:spacing w:val="-4"/>
        </w:rPr>
        <w:t> </w:t>
      </w:r>
      <w:r>
        <w:rPr>
          <w:i/>
        </w:rPr>
        <w:t>manual. </w:t>
      </w:r>
      <w:r>
        <w:rPr/>
        <w:t>Department</w:t>
      </w:r>
      <w:r>
        <w:rPr>
          <w:spacing w:val="-2"/>
        </w:rPr>
        <w:t> </w:t>
      </w:r>
      <w:r>
        <w:rPr/>
        <w:t>of</w:t>
      </w:r>
      <w:r>
        <w:rPr>
          <w:spacing w:val="-2"/>
        </w:rPr>
        <w:t> </w:t>
      </w:r>
      <w:r>
        <w:rPr/>
        <w:t>Environment,</w:t>
      </w:r>
      <w:r>
        <w:rPr>
          <w:spacing w:val="-4"/>
        </w:rPr>
        <w:t> </w:t>
      </w:r>
      <w:r>
        <w:rPr/>
        <w:t>Climate</w:t>
      </w:r>
      <w:r>
        <w:rPr>
          <w:spacing w:val="-5"/>
        </w:rPr>
        <w:t> </w:t>
      </w:r>
      <w:r>
        <w:rPr/>
        <w:t>Change</w:t>
      </w:r>
      <w:r>
        <w:rPr>
          <w:spacing w:val="-5"/>
        </w:rPr>
        <w:t> </w:t>
      </w:r>
      <w:r>
        <w:rPr/>
        <w:t>and Water, Parks &amp; Wildlife Group, Pest Management Unit, New South Wales.</w:t>
      </w:r>
    </w:p>
    <w:p>
      <w:pPr>
        <w:pStyle w:val="BodyText"/>
        <w:spacing w:before="8"/>
      </w:pPr>
    </w:p>
    <w:p>
      <w:pPr>
        <w:pStyle w:val="BodyText"/>
        <w:ind w:left="833" w:right="163" w:hanging="721"/>
      </w:pPr>
      <w:r>
        <w:rPr/>
        <w:t>Hunter,</w:t>
      </w:r>
      <w:r>
        <w:rPr>
          <w:spacing w:val="-1"/>
        </w:rPr>
        <w:t> </w:t>
      </w:r>
      <w:r>
        <w:rPr/>
        <w:t>D.O.,</w:t>
      </w:r>
      <w:r>
        <w:rPr>
          <w:spacing w:val="-3"/>
        </w:rPr>
        <w:t> </w:t>
      </w:r>
      <w:r>
        <w:rPr/>
        <w:t>Lagisz,</w:t>
      </w:r>
      <w:r>
        <w:rPr>
          <w:spacing w:val="-3"/>
        </w:rPr>
        <w:t> </w:t>
      </w:r>
      <w:r>
        <w:rPr/>
        <w:t>M,</w:t>
      </w:r>
      <w:r>
        <w:rPr>
          <w:spacing w:val="-3"/>
        </w:rPr>
        <w:t> </w:t>
      </w:r>
      <w:r>
        <w:rPr/>
        <w:t>L.V.,</w:t>
      </w:r>
      <w:r>
        <w:rPr>
          <w:spacing w:val="-3"/>
        </w:rPr>
        <w:t> </w:t>
      </w:r>
      <w:r>
        <w:rPr/>
        <w:t>Nakagawa,</w:t>
      </w:r>
      <w:r>
        <w:rPr>
          <w:spacing w:val="-1"/>
        </w:rPr>
        <w:t> </w:t>
      </w:r>
      <w:r>
        <w:rPr/>
        <w:t>S.,</w:t>
      </w:r>
      <w:r>
        <w:rPr>
          <w:spacing w:val="-1"/>
        </w:rPr>
        <w:t> </w:t>
      </w:r>
      <w:r>
        <w:rPr/>
        <w:t>and</w:t>
      </w:r>
      <w:r>
        <w:rPr>
          <w:spacing w:val="-1"/>
        </w:rPr>
        <w:t> </w:t>
      </w:r>
      <w:r>
        <w:rPr/>
        <w:t>Letnic</w:t>
      </w:r>
      <w:r>
        <w:rPr>
          <w:spacing w:val="-2"/>
        </w:rPr>
        <w:t> </w:t>
      </w:r>
      <w:r>
        <w:rPr/>
        <w:t>M.</w:t>
      </w:r>
      <w:r>
        <w:rPr>
          <w:spacing w:val="-3"/>
        </w:rPr>
        <w:t> </w:t>
      </w:r>
      <w:r>
        <w:rPr/>
        <w:t>(2018).</w:t>
      </w:r>
      <w:r>
        <w:rPr>
          <w:spacing w:val="-3"/>
        </w:rPr>
        <w:t> </w:t>
      </w:r>
      <w:r>
        <w:rPr/>
        <w:t>Not</w:t>
      </w:r>
      <w:r>
        <w:rPr>
          <w:spacing w:val="-3"/>
        </w:rPr>
        <w:t> </w:t>
      </w:r>
      <w:r>
        <w:rPr/>
        <w:t>all</w:t>
      </w:r>
      <w:r>
        <w:rPr>
          <w:spacing w:val="-4"/>
        </w:rPr>
        <w:t> </w:t>
      </w:r>
      <w:r>
        <w:rPr/>
        <w:t>predators</w:t>
      </w:r>
      <w:r>
        <w:rPr>
          <w:spacing w:val="-1"/>
        </w:rPr>
        <w:t> </w:t>
      </w:r>
      <w:r>
        <w:rPr/>
        <w:t>are</w:t>
      </w:r>
      <w:r>
        <w:rPr>
          <w:spacing w:val="-3"/>
        </w:rPr>
        <w:t> </w:t>
      </w:r>
      <w:r>
        <w:rPr/>
        <w:t>equal:</w:t>
      </w:r>
      <w:r>
        <w:rPr>
          <w:spacing w:val="-3"/>
        </w:rPr>
        <w:t> </w:t>
      </w:r>
      <w:r>
        <w:rPr/>
        <w:t>a</w:t>
      </w:r>
      <w:r>
        <w:rPr>
          <w:spacing w:val="-4"/>
        </w:rPr>
        <w:t> </w:t>
      </w:r>
      <w:r>
        <w:rPr/>
        <w:t>continent</w:t>
      </w:r>
      <w:r>
        <w:rPr>
          <w:rFonts w:ascii="Cambria Math" w:hAnsi="Cambria Math"/>
        </w:rPr>
        <w:t>‐ </w:t>
      </w:r>
      <w:r>
        <w:rPr/>
        <w:t>scale analysis of the effects of predator control on Australian mammals. </w:t>
      </w:r>
      <w:r>
        <w:rPr>
          <w:i/>
        </w:rPr>
        <w:t>Mammal Review </w:t>
      </w:r>
      <w:r>
        <w:rPr>
          <w:b/>
        </w:rPr>
        <w:t>48</w:t>
      </w:r>
      <w:r>
        <w:rPr/>
        <w:t>: 108–</w:t>
      </w:r>
    </w:p>
    <w:p>
      <w:pPr>
        <w:pStyle w:val="BodyText"/>
        <w:spacing w:before="1"/>
        <w:ind w:left="833"/>
      </w:pPr>
      <w:r>
        <w:rPr/>
        <w:t>122.</w:t>
      </w:r>
      <w:r>
        <w:rPr>
          <w:spacing w:val="-4"/>
        </w:rPr>
        <w:t> </w:t>
      </w:r>
      <w:r>
        <w:rPr>
          <w:spacing w:val="-2"/>
        </w:rPr>
        <w:t>doi</w:t>
      </w:r>
      <w:hyperlink r:id="rId98">
        <w:r>
          <w:rPr>
            <w:spacing w:val="-2"/>
          </w:rPr>
          <w:t>:</w:t>
        </w:r>
        <w:r>
          <w:rPr>
            <w:color w:val="0000FF"/>
            <w:spacing w:val="-2"/>
            <w:u w:val="single" w:color="0000FF"/>
          </w:rPr>
          <w:t>10.1111/mam.12115.</w:t>
        </w:r>
      </w:hyperlink>
    </w:p>
    <w:p>
      <w:pPr>
        <w:pStyle w:val="BodyText"/>
        <w:spacing w:before="11"/>
      </w:pPr>
    </w:p>
    <w:p>
      <w:pPr>
        <w:pStyle w:val="BodyText"/>
        <w:ind w:left="833" w:right="163" w:hanging="721"/>
      </w:pPr>
      <w:r>
        <w:rPr/>
        <w:t>IACRC.</w:t>
      </w:r>
      <w:r>
        <w:rPr>
          <w:spacing w:val="-1"/>
        </w:rPr>
        <w:t> </w:t>
      </w:r>
      <w:r>
        <w:rPr/>
        <w:t>(2014).</w:t>
      </w:r>
      <w:r>
        <w:rPr>
          <w:spacing w:val="-4"/>
        </w:rPr>
        <w:t> </w:t>
      </w:r>
      <w:r>
        <w:rPr/>
        <w:t>RHD-boost.</w:t>
      </w:r>
      <w:r>
        <w:rPr>
          <w:spacing w:val="-4"/>
        </w:rPr>
        <w:t> </w:t>
      </w:r>
      <w:r>
        <w:rPr/>
        <w:t>import</w:t>
      </w:r>
      <w:r>
        <w:rPr>
          <w:spacing w:val="-4"/>
        </w:rPr>
        <w:t> </w:t>
      </w:r>
      <w:r>
        <w:rPr/>
        <w:t>and</w:t>
      </w:r>
      <w:r>
        <w:rPr>
          <w:spacing w:val="-3"/>
        </w:rPr>
        <w:t> </w:t>
      </w:r>
      <w:r>
        <w:rPr/>
        <w:t>evaluate</w:t>
      </w:r>
      <w:r>
        <w:rPr>
          <w:spacing w:val="-3"/>
        </w:rPr>
        <w:t> </w:t>
      </w:r>
      <w:r>
        <w:rPr/>
        <w:t>new</w:t>
      </w:r>
      <w:r>
        <w:rPr>
          <w:spacing w:val="-4"/>
        </w:rPr>
        <w:t> </w:t>
      </w:r>
      <w:r>
        <w:rPr/>
        <w:t>rabbit</w:t>
      </w:r>
      <w:r>
        <w:rPr>
          <w:spacing w:val="-4"/>
        </w:rPr>
        <w:t> </w:t>
      </w:r>
      <w:r>
        <w:rPr/>
        <w:t>haemorrhagic</w:t>
      </w:r>
      <w:r>
        <w:rPr>
          <w:spacing w:val="-3"/>
        </w:rPr>
        <w:t> </w:t>
      </w:r>
      <w:r>
        <w:rPr/>
        <w:t>disease</w:t>
      </w:r>
      <w:r>
        <w:rPr>
          <w:spacing w:val="-4"/>
        </w:rPr>
        <w:t> </w:t>
      </w:r>
      <w:r>
        <w:rPr/>
        <w:t>virus</w:t>
      </w:r>
      <w:r>
        <w:rPr>
          <w:spacing w:val="-3"/>
        </w:rPr>
        <w:t> </w:t>
      </w:r>
      <w:r>
        <w:rPr/>
        <w:t>(RHDV)</w:t>
      </w:r>
      <w:r>
        <w:rPr>
          <w:spacing w:val="-3"/>
        </w:rPr>
        <w:t> </w:t>
      </w:r>
      <w:r>
        <w:rPr/>
        <w:t>variants</w:t>
      </w:r>
      <w:r>
        <w:rPr>
          <w:spacing w:val="-3"/>
        </w:rPr>
        <w:t> </w:t>
      </w:r>
      <w:r>
        <w:rPr/>
        <w:t>to strengthen rabbit biocontrol. Canberra.</w:t>
      </w:r>
    </w:p>
    <w:p>
      <w:pPr>
        <w:pStyle w:val="BodyText"/>
        <w:spacing w:before="11"/>
      </w:pPr>
    </w:p>
    <w:p>
      <w:pPr>
        <w:spacing w:before="0"/>
        <w:ind w:left="833" w:right="232" w:hanging="721"/>
        <w:jc w:val="left"/>
        <w:rPr>
          <w:sz w:val="20"/>
        </w:rPr>
      </w:pPr>
      <w:r>
        <w:rPr>
          <w:sz w:val="20"/>
        </w:rPr>
        <w:t>Inspiring</w:t>
      </w:r>
      <w:r>
        <w:rPr>
          <w:spacing w:val="-3"/>
          <w:sz w:val="20"/>
        </w:rPr>
        <w:t> </w:t>
      </w:r>
      <w:r>
        <w:rPr>
          <w:sz w:val="20"/>
        </w:rPr>
        <w:t>Excellence.</w:t>
      </w:r>
      <w:r>
        <w:rPr>
          <w:spacing w:val="-4"/>
          <w:sz w:val="20"/>
        </w:rPr>
        <w:t> </w:t>
      </w:r>
      <w:r>
        <w:rPr>
          <w:sz w:val="20"/>
        </w:rPr>
        <w:t>(2024).</w:t>
      </w:r>
      <w:r>
        <w:rPr>
          <w:spacing w:val="-1"/>
          <w:sz w:val="20"/>
        </w:rPr>
        <w:t> </w:t>
      </w:r>
      <w:r>
        <w:rPr>
          <w:i/>
          <w:sz w:val="20"/>
        </w:rPr>
        <w:t>Desk-top</w:t>
      </w:r>
      <w:r>
        <w:rPr>
          <w:i/>
          <w:spacing w:val="-5"/>
          <w:sz w:val="20"/>
        </w:rPr>
        <w:t> </w:t>
      </w:r>
      <w:r>
        <w:rPr>
          <w:i/>
          <w:sz w:val="20"/>
        </w:rPr>
        <w:t>research</w:t>
      </w:r>
      <w:r>
        <w:rPr>
          <w:i/>
          <w:spacing w:val="-2"/>
          <w:sz w:val="20"/>
        </w:rPr>
        <w:t> </w:t>
      </w:r>
      <w:r>
        <w:rPr>
          <w:i/>
          <w:sz w:val="20"/>
        </w:rPr>
        <w:t>into</w:t>
      </w:r>
      <w:r>
        <w:rPr>
          <w:i/>
          <w:spacing w:val="-2"/>
          <w:sz w:val="20"/>
        </w:rPr>
        <w:t> </w:t>
      </w:r>
      <w:r>
        <w:rPr>
          <w:i/>
          <w:sz w:val="20"/>
        </w:rPr>
        <w:t>effectiveness</w:t>
      </w:r>
      <w:r>
        <w:rPr>
          <w:i/>
          <w:spacing w:val="-3"/>
          <w:sz w:val="20"/>
        </w:rPr>
        <w:t> </w:t>
      </w:r>
      <w:r>
        <w:rPr>
          <w:i/>
          <w:sz w:val="20"/>
        </w:rPr>
        <w:t>of</w:t>
      </w:r>
      <w:r>
        <w:rPr>
          <w:i/>
          <w:spacing w:val="-4"/>
          <w:sz w:val="20"/>
        </w:rPr>
        <w:t> </w:t>
      </w:r>
      <w:r>
        <w:rPr>
          <w:i/>
          <w:sz w:val="20"/>
        </w:rPr>
        <w:t>non-lethal</w:t>
      </w:r>
      <w:r>
        <w:rPr>
          <w:i/>
          <w:spacing w:val="-5"/>
          <w:sz w:val="20"/>
        </w:rPr>
        <w:t> </w:t>
      </w:r>
      <w:r>
        <w:rPr>
          <w:i/>
          <w:sz w:val="20"/>
        </w:rPr>
        <w:t>management</w:t>
      </w:r>
      <w:r>
        <w:rPr>
          <w:i/>
          <w:spacing w:val="-2"/>
          <w:sz w:val="20"/>
        </w:rPr>
        <w:t> </w:t>
      </w:r>
      <w:r>
        <w:rPr>
          <w:i/>
          <w:sz w:val="20"/>
        </w:rPr>
        <w:t>of</w:t>
      </w:r>
      <w:r>
        <w:rPr>
          <w:i/>
          <w:spacing w:val="-4"/>
          <w:sz w:val="20"/>
        </w:rPr>
        <w:t> </w:t>
      </w:r>
      <w:r>
        <w:rPr>
          <w:i/>
          <w:sz w:val="20"/>
        </w:rPr>
        <w:t>wild-living</w:t>
      </w:r>
      <w:r>
        <w:rPr>
          <w:i/>
          <w:sz w:val="20"/>
        </w:rPr>
        <w:t> dogs</w:t>
      </w:r>
      <w:r>
        <w:rPr>
          <w:sz w:val="20"/>
        </w:rPr>
        <w:t>. Department of Energy, Environment and Climate Action, Melbourne.</w:t>
      </w:r>
    </w:p>
    <w:p>
      <w:pPr>
        <w:pStyle w:val="BodyText"/>
        <w:spacing w:before="8"/>
      </w:pPr>
    </w:p>
    <w:p>
      <w:pPr>
        <w:pStyle w:val="BodyText"/>
        <w:spacing w:before="1"/>
        <w:ind w:left="833" w:right="163" w:hanging="721"/>
      </w:pPr>
      <w:r>
        <w:rPr/>
        <w:t>Jackson,</w:t>
      </w:r>
      <w:r>
        <w:rPr>
          <w:spacing w:val="-4"/>
        </w:rPr>
        <w:t> </w:t>
      </w:r>
      <w:r>
        <w:rPr/>
        <w:t>C.R.,</w:t>
      </w:r>
      <w:r>
        <w:rPr>
          <w:spacing w:val="-4"/>
        </w:rPr>
        <w:t> </w:t>
      </w:r>
      <w:r>
        <w:rPr/>
        <w:t>McNutt,</w:t>
      </w:r>
      <w:r>
        <w:rPr>
          <w:spacing w:val="-4"/>
        </w:rPr>
        <w:t> </w:t>
      </w:r>
      <w:r>
        <w:rPr/>
        <w:t>J.W.,</w:t>
      </w:r>
      <w:r>
        <w:rPr>
          <w:spacing w:val="-4"/>
        </w:rPr>
        <w:t> </w:t>
      </w:r>
      <w:r>
        <w:rPr/>
        <w:t>and</w:t>
      </w:r>
      <w:r>
        <w:rPr>
          <w:spacing w:val="-4"/>
        </w:rPr>
        <w:t> </w:t>
      </w:r>
      <w:r>
        <w:rPr/>
        <w:t>Apps,</w:t>
      </w:r>
      <w:r>
        <w:rPr>
          <w:spacing w:val="-2"/>
        </w:rPr>
        <w:t> </w:t>
      </w:r>
      <w:r>
        <w:rPr/>
        <w:t>P.J.</w:t>
      </w:r>
      <w:r>
        <w:rPr>
          <w:spacing w:val="-4"/>
        </w:rPr>
        <w:t> </w:t>
      </w:r>
      <w:r>
        <w:rPr/>
        <w:t>(2012).</w:t>
      </w:r>
      <w:r>
        <w:rPr>
          <w:spacing w:val="-4"/>
        </w:rPr>
        <w:t> </w:t>
      </w:r>
      <w:r>
        <w:rPr/>
        <w:t>Managing</w:t>
      </w:r>
      <w:r>
        <w:rPr>
          <w:spacing w:val="-4"/>
        </w:rPr>
        <w:t> </w:t>
      </w:r>
      <w:r>
        <w:rPr/>
        <w:t>the</w:t>
      </w:r>
      <w:r>
        <w:rPr>
          <w:spacing w:val="-4"/>
        </w:rPr>
        <w:t> </w:t>
      </w:r>
      <w:r>
        <w:rPr/>
        <w:t>ranging</w:t>
      </w:r>
      <w:r>
        <w:rPr>
          <w:spacing w:val="-4"/>
        </w:rPr>
        <w:t> </w:t>
      </w:r>
      <w:r>
        <w:rPr/>
        <w:t>behaviour</w:t>
      </w:r>
      <w:r>
        <w:rPr>
          <w:spacing w:val="-3"/>
        </w:rPr>
        <w:t> </w:t>
      </w:r>
      <w:r>
        <w:rPr/>
        <w:t>of African</w:t>
      </w:r>
      <w:r>
        <w:rPr>
          <w:spacing w:val="-3"/>
        </w:rPr>
        <w:t> </w:t>
      </w:r>
      <w:r>
        <w:rPr/>
        <w:t>wild</w:t>
      </w:r>
      <w:r>
        <w:rPr>
          <w:spacing w:val="-2"/>
        </w:rPr>
        <w:t> </w:t>
      </w:r>
      <w:r>
        <w:rPr/>
        <w:t>dogs (</w:t>
      </w:r>
      <w:r>
        <w:rPr>
          <w:i/>
        </w:rPr>
        <w:t>Lycaon pictus</w:t>
      </w:r>
      <w:r>
        <w:rPr/>
        <w:t>) using translocated scent marks. </w:t>
      </w:r>
      <w:r>
        <w:rPr>
          <w:i/>
        </w:rPr>
        <w:t>Wildlife Research </w:t>
      </w:r>
      <w:r>
        <w:rPr>
          <w:b/>
        </w:rPr>
        <w:t>39</w:t>
      </w:r>
      <w:r>
        <w:rPr/>
        <w:t>:31–34.</w:t>
      </w:r>
    </w:p>
    <w:p>
      <w:pPr>
        <w:pStyle w:val="BodyText"/>
        <w:spacing w:before="10"/>
      </w:pPr>
    </w:p>
    <w:p>
      <w:pPr>
        <w:pStyle w:val="BodyText"/>
        <w:spacing w:before="1"/>
        <w:ind w:left="833" w:right="163" w:hanging="721"/>
      </w:pPr>
      <w:r>
        <w:rPr/>
        <w:t>Jackson,</w:t>
      </w:r>
      <w:r>
        <w:rPr>
          <w:spacing w:val="-4"/>
        </w:rPr>
        <w:t> </w:t>
      </w:r>
      <w:r>
        <w:rPr/>
        <w:t>S.M.,</w:t>
      </w:r>
      <w:r>
        <w:rPr>
          <w:spacing w:val="-4"/>
        </w:rPr>
        <w:t> </w:t>
      </w:r>
      <w:r>
        <w:rPr/>
        <w:t>Fleming,</w:t>
      </w:r>
      <w:r>
        <w:rPr>
          <w:spacing w:val="-2"/>
        </w:rPr>
        <w:t> </w:t>
      </w:r>
      <w:r>
        <w:rPr/>
        <w:t>P.J.S.,</w:t>
      </w:r>
      <w:r>
        <w:rPr>
          <w:spacing w:val="-4"/>
        </w:rPr>
        <w:t> </w:t>
      </w:r>
      <w:r>
        <w:rPr/>
        <w:t>Eldridge,</w:t>
      </w:r>
      <w:r>
        <w:rPr>
          <w:spacing w:val="-4"/>
        </w:rPr>
        <w:t> </w:t>
      </w:r>
      <w:r>
        <w:rPr/>
        <w:t>M.D.B.,</w:t>
      </w:r>
      <w:r>
        <w:rPr>
          <w:spacing w:val="-2"/>
        </w:rPr>
        <w:t> </w:t>
      </w:r>
      <w:r>
        <w:rPr/>
        <w:t>Archer,</w:t>
      </w:r>
      <w:r>
        <w:rPr>
          <w:spacing w:val="-4"/>
        </w:rPr>
        <w:t> </w:t>
      </w:r>
      <w:r>
        <w:rPr/>
        <w:t>M.,</w:t>
      </w:r>
      <w:r>
        <w:rPr>
          <w:spacing w:val="-4"/>
        </w:rPr>
        <w:t> </w:t>
      </w:r>
      <w:r>
        <w:rPr/>
        <w:t>Ingleby,</w:t>
      </w:r>
      <w:r>
        <w:rPr>
          <w:spacing w:val="-2"/>
        </w:rPr>
        <w:t> </w:t>
      </w:r>
      <w:r>
        <w:rPr/>
        <w:t>S.,</w:t>
      </w:r>
      <w:r>
        <w:rPr>
          <w:spacing w:val="-4"/>
        </w:rPr>
        <w:t> </w:t>
      </w:r>
      <w:r>
        <w:rPr/>
        <w:t>Johnson,</w:t>
      </w:r>
      <w:r>
        <w:rPr>
          <w:spacing w:val="-4"/>
        </w:rPr>
        <w:t> </w:t>
      </w:r>
      <w:r>
        <w:rPr/>
        <w:t>R.N.,</w:t>
      </w:r>
      <w:r>
        <w:rPr>
          <w:spacing w:val="-2"/>
        </w:rPr>
        <w:t> </w:t>
      </w:r>
      <w:r>
        <w:rPr/>
        <w:t>and</w:t>
      </w:r>
      <w:r>
        <w:rPr>
          <w:spacing w:val="-2"/>
        </w:rPr>
        <w:t> </w:t>
      </w:r>
      <w:r>
        <w:rPr/>
        <w:t>Helgen,</w:t>
      </w:r>
      <w:r>
        <w:rPr>
          <w:spacing w:val="-4"/>
        </w:rPr>
        <w:t> </w:t>
      </w:r>
      <w:r>
        <w:rPr/>
        <w:t>K.M. (2021). Taxonomy of the dingo: it’s an ancient dog. </w:t>
      </w:r>
      <w:r>
        <w:rPr>
          <w:i/>
        </w:rPr>
        <w:t>Australian Zoologist </w:t>
      </w:r>
      <w:r>
        <w:rPr>
          <w:b/>
        </w:rPr>
        <w:t>41</w:t>
      </w:r>
      <w:r>
        <w:rPr/>
        <w:t>(3):347–57. doi: </w:t>
      </w:r>
      <w:r>
        <w:rPr>
          <w:spacing w:val="-2"/>
        </w:rPr>
        <w:t>10.7882/AZ.2020.049.</w:t>
      </w:r>
    </w:p>
    <w:p>
      <w:pPr>
        <w:pStyle w:val="BodyText"/>
        <w:spacing w:before="8"/>
      </w:pPr>
    </w:p>
    <w:p>
      <w:pPr>
        <w:pStyle w:val="BodyText"/>
        <w:ind w:left="112"/>
      </w:pPr>
      <w:r>
        <w:rPr/>
        <w:t>Jenkins,</w:t>
      </w:r>
      <w:r>
        <w:rPr>
          <w:spacing w:val="-8"/>
        </w:rPr>
        <w:t> </w:t>
      </w:r>
      <w:r>
        <w:rPr/>
        <w:t>D.J.</w:t>
      </w:r>
      <w:r>
        <w:rPr>
          <w:spacing w:val="-7"/>
        </w:rPr>
        <w:t> </w:t>
      </w:r>
      <w:r>
        <w:rPr/>
        <w:t>(2003).</w:t>
      </w:r>
      <w:r>
        <w:rPr>
          <w:spacing w:val="-8"/>
        </w:rPr>
        <w:t> </w:t>
      </w:r>
      <w:r>
        <w:rPr/>
        <w:t>Guard</w:t>
      </w:r>
      <w:r>
        <w:rPr>
          <w:spacing w:val="-5"/>
        </w:rPr>
        <w:t> </w:t>
      </w:r>
      <w:r>
        <w:rPr/>
        <w:t>animals</w:t>
      </w:r>
      <w:r>
        <w:rPr>
          <w:spacing w:val="-7"/>
        </w:rPr>
        <w:t> </w:t>
      </w:r>
      <w:r>
        <w:rPr/>
        <w:t>for</w:t>
      </w:r>
      <w:r>
        <w:rPr>
          <w:spacing w:val="-6"/>
        </w:rPr>
        <w:t> </w:t>
      </w:r>
      <w:r>
        <w:rPr/>
        <w:t>livestock</w:t>
      </w:r>
      <w:r>
        <w:rPr>
          <w:spacing w:val="-7"/>
        </w:rPr>
        <w:t> </w:t>
      </w:r>
      <w:r>
        <w:rPr/>
        <w:t>protection:</w:t>
      </w:r>
      <w:r>
        <w:rPr>
          <w:spacing w:val="-6"/>
        </w:rPr>
        <w:t> </w:t>
      </w:r>
      <w:r>
        <w:rPr/>
        <w:t>Existing</w:t>
      </w:r>
      <w:r>
        <w:rPr>
          <w:spacing w:val="-6"/>
        </w:rPr>
        <w:t> </w:t>
      </w:r>
      <w:r>
        <w:rPr/>
        <w:t>and</w:t>
      </w:r>
      <w:r>
        <w:rPr>
          <w:spacing w:val="-6"/>
        </w:rPr>
        <w:t> </w:t>
      </w:r>
      <w:r>
        <w:rPr/>
        <w:t>potential</w:t>
      </w:r>
      <w:r>
        <w:rPr>
          <w:spacing w:val="-6"/>
        </w:rPr>
        <w:t> </w:t>
      </w:r>
      <w:r>
        <w:rPr/>
        <w:t>use</w:t>
      </w:r>
      <w:r>
        <w:rPr>
          <w:spacing w:val="-8"/>
        </w:rPr>
        <w:t> </w:t>
      </w:r>
      <w:r>
        <w:rPr/>
        <w:t>in</w:t>
      </w:r>
      <w:r>
        <w:rPr>
          <w:spacing w:val="-7"/>
        </w:rPr>
        <w:t> </w:t>
      </w:r>
      <w:r>
        <w:rPr>
          <w:spacing w:val="-2"/>
        </w:rPr>
        <w:t>Australia.</w:t>
      </w:r>
    </w:p>
    <w:p>
      <w:pPr>
        <w:pStyle w:val="BodyText"/>
        <w:tabs>
          <w:tab w:pos="3531" w:val="left" w:leader="none"/>
        </w:tabs>
        <w:spacing w:before="1"/>
        <w:ind w:left="833" w:right="844"/>
      </w:pPr>
      <w:r>
        <w:rPr/>
        <w:t>Vertebrate Pest Research Unit, NSW Agriculture, Orange NSW. Available at: </w:t>
      </w:r>
      <w:hyperlink r:id="rId99">
        <w:r>
          <w:rPr>
            <w:color w:val="0000FF"/>
            <w:spacing w:val="-2"/>
            <w:u w:val="single" w:color="0000FF"/>
          </w:rPr>
          <w:t>https://www.dpi.nsw.gov.au/</w:t>
        </w:r>
        <w:r>
          <w:rPr>
            <w:color w:val="0000FF"/>
            <w:u w:val="single" w:color="0000FF"/>
          </w:rPr>
          <w:tab/>
          <w:t>data/assets/pdf_file/0006/178908/guard-animals.pdf</w:t>
        </w:r>
      </w:hyperlink>
      <w:r>
        <w:rPr>
          <w:color w:val="0000FF"/>
          <w:spacing w:val="-14"/>
          <w:u w:val="none"/>
        </w:rPr>
        <w:t> </w:t>
      </w:r>
      <w:r>
        <w:rPr>
          <w:u w:val="none"/>
        </w:rPr>
        <w:t>[accessed</w:t>
      </w:r>
      <w:r>
        <w:rPr>
          <w:spacing w:val="-14"/>
          <w:u w:val="none"/>
        </w:rPr>
        <w:t> </w:t>
      </w:r>
      <w:r>
        <w:rPr>
          <w:u w:val="none"/>
        </w:rPr>
        <w:t>6 August 2024].</w:t>
      </w:r>
    </w:p>
    <w:p>
      <w:pPr>
        <w:pStyle w:val="BodyText"/>
        <w:spacing w:before="11"/>
      </w:pPr>
    </w:p>
    <w:p>
      <w:pPr>
        <w:pStyle w:val="BodyText"/>
        <w:spacing w:before="1"/>
        <w:ind w:left="833" w:right="596" w:hanging="721"/>
        <w:jc w:val="both"/>
      </w:pPr>
      <w:r>
        <w:rPr/>
        <w:t>Jessop</w:t>
      </w:r>
      <w:r>
        <w:rPr>
          <w:spacing w:val="-4"/>
        </w:rPr>
        <w:t> </w:t>
      </w:r>
      <w:r>
        <w:rPr/>
        <w:t>T.S.,</w:t>
      </w:r>
      <w:r>
        <w:rPr>
          <w:spacing w:val="-3"/>
        </w:rPr>
        <w:t> </w:t>
      </w:r>
      <w:r>
        <w:rPr/>
        <w:t>Gillespie,</w:t>
      </w:r>
      <w:r>
        <w:rPr>
          <w:spacing w:val="-3"/>
        </w:rPr>
        <w:t> </w:t>
      </w:r>
      <w:r>
        <w:rPr/>
        <w:t>G.R.,</w:t>
      </w:r>
      <w:r>
        <w:rPr>
          <w:spacing w:val="-3"/>
        </w:rPr>
        <w:t> </w:t>
      </w:r>
      <w:r>
        <w:rPr/>
        <w:t>and</w:t>
      </w:r>
      <w:r>
        <w:rPr>
          <w:spacing w:val="-2"/>
        </w:rPr>
        <w:t> </w:t>
      </w:r>
      <w:r>
        <w:rPr/>
        <w:t>Letnic,</w:t>
      </w:r>
      <w:r>
        <w:rPr>
          <w:spacing w:val="-1"/>
        </w:rPr>
        <w:t> </w:t>
      </w:r>
      <w:r>
        <w:rPr/>
        <w:t>M.</w:t>
      </w:r>
      <w:r>
        <w:rPr>
          <w:spacing w:val="-3"/>
        </w:rPr>
        <w:t> </w:t>
      </w:r>
      <w:r>
        <w:rPr/>
        <w:t>(2016). Examining</w:t>
      </w:r>
      <w:r>
        <w:rPr>
          <w:spacing w:val="-4"/>
        </w:rPr>
        <w:t> </w:t>
      </w:r>
      <w:r>
        <w:rPr/>
        <w:t>Multi-Scale</w:t>
      </w:r>
      <w:r>
        <w:rPr>
          <w:spacing w:val="-1"/>
        </w:rPr>
        <w:t> </w:t>
      </w:r>
      <w:r>
        <w:rPr/>
        <w:t>Effects</w:t>
      </w:r>
      <w:r>
        <w:rPr>
          <w:spacing w:val="-2"/>
        </w:rPr>
        <w:t> </w:t>
      </w:r>
      <w:r>
        <w:rPr/>
        <w:t>of</w:t>
      </w:r>
      <w:r>
        <w:rPr>
          <w:spacing w:val="-3"/>
        </w:rPr>
        <w:t> </w:t>
      </w:r>
      <w:r>
        <w:rPr/>
        <w:t>the</w:t>
      </w:r>
      <w:r>
        <w:rPr>
          <w:spacing w:val="-3"/>
        </w:rPr>
        <w:t> </w:t>
      </w:r>
      <w:r>
        <w:rPr/>
        <w:t>Invasive</w:t>
      </w:r>
      <w:r>
        <w:rPr>
          <w:spacing w:val="-3"/>
        </w:rPr>
        <w:t> </w:t>
      </w:r>
      <w:r>
        <w:rPr/>
        <w:t>Fox</w:t>
      </w:r>
      <w:r>
        <w:rPr>
          <w:spacing w:val="-2"/>
        </w:rPr>
        <w:t> </w:t>
      </w:r>
      <w:r>
        <w:rPr/>
        <w:t>on</w:t>
      </w:r>
      <w:r>
        <w:rPr>
          <w:spacing w:val="-1"/>
        </w:rPr>
        <w:t> </w:t>
      </w:r>
      <w:r>
        <w:rPr/>
        <w:t>a Large</w:t>
      </w:r>
      <w:r>
        <w:rPr>
          <w:spacing w:val="-4"/>
        </w:rPr>
        <w:t> </w:t>
      </w:r>
      <w:r>
        <w:rPr/>
        <w:t>Varanid</w:t>
      </w:r>
      <w:r>
        <w:rPr>
          <w:spacing w:val="-5"/>
        </w:rPr>
        <w:t> </w:t>
      </w:r>
      <w:r>
        <w:rPr/>
        <w:t>(</w:t>
      </w:r>
      <w:r>
        <w:rPr>
          <w:i/>
        </w:rPr>
        <w:t>Varanus</w:t>
      </w:r>
      <w:r>
        <w:rPr>
          <w:i/>
          <w:spacing w:val="-4"/>
        </w:rPr>
        <w:t> </w:t>
      </w:r>
      <w:r>
        <w:rPr>
          <w:i/>
        </w:rPr>
        <w:t>varius</w:t>
      </w:r>
      <w:r>
        <w:rPr>
          <w:i/>
          <w:spacing w:val="-2"/>
        </w:rPr>
        <w:t> </w:t>
      </w:r>
      <w:r>
        <w:rPr/>
        <w:t>White,</w:t>
      </w:r>
      <w:r>
        <w:rPr>
          <w:spacing w:val="-5"/>
        </w:rPr>
        <w:t> </w:t>
      </w:r>
      <w:r>
        <w:rPr/>
        <w:t>1790)</w:t>
      </w:r>
      <w:r>
        <w:rPr>
          <w:spacing w:val="-2"/>
        </w:rPr>
        <w:t> </w:t>
      </w:r>
      <w:r>
        <w:rPr/>
        <w:t>Mesopredator.</w:t>
      </w:r>
      <w:r>
        <w:rPr>
          <w:spacing w:val="-5"/>
        </w:rPr>
        <w:t> </w:t>
      </w:r>
      <w:r>
        <w:rPr/>
        <w:t>In</w:t>
      </w:r>
      <w:r>
        <w:rPr>
          <w:spacing w:val="-5"/>
        </w:rPr>
        <w:t> </w:t>
      </w:r>
      <w:r>
        <w:rPr/>
        <w:t>(Ed</w:t>
      </w:r>
      <w:r>
        <w:rPr>
          <w:spacing w:val="-5"/>
        </w:rPr>
        <w:t> </w:t>
      </w:r>
      <w:r>
        <w:rPr/>
        <w:t>M</w:t>
      </w:r>
      <w:r>
        <w:rPr>
          <w:spacing w:val="-3"/>
        </w:rPr>
        <w:t> </w:t>
      </w:r>
      <w:r>
        <w:rPr/>
        <w:t>Cota.)</w:t>
      </w:r>
      <w:r>
        <w:rPr>
          <w:spacing w:val="-4"/>
        </w:rPr>
        <w:t> </w:t>
      </w:r>
      <w:r>
        <w:rPr/>
        <w:t>Interdisciplinary</w:t>
      </w:r>
      <w:r>
        <w:rPr>
          <w:spacing w:val="-3"/>
        </w:rPr>
        <w:t> </w:t>
      </w:r>
      <w:r>
        <w:rPr/>
        <w:t>World Conference on Monitor Lizards’. pp. 221–236.</w:t>
      </w:r>
    </w:p>
    <w:p>
      <w:pPr>
        <w:pStyle w:val="BodyText"/>
        <w:spacing w:before="8"/>
      </w:pPr>
    </w:p>
    <w:p>
      <w:pPr>
        <w:pStyle w:val="BodyText"/>
        <w:ind w:left="833" w:right="544" w:hanging="721"/>
      </w:pPr>
      <w:r>
        <w:rPr/>
        <w:t>Katahira,</w:t>
      </w:r>
      <w:r>
        <w:rPr>
          <w:spacing w:val="-4"/>
        </w:rPr>
        <w:t> </w:t>
      </w:r>
      <w:r>
        <w:rPr/>
        <w:t>L.K.,</w:t>
      </w:r>
      <w:r>
        <w:rPr>
          <w:spacing w:val="-4"/>
        </w:rPr>
        <w:t> </w:t>
      </w:r>
      <w:r>
        <w:rPr/>
        <w:t>Finnegan,</w:t>
      </w:r>
      <w:r>
        <w:rPr>
          <w:spacing w:val="-2"/>
        </w:rPr>
        <w:t> </w:t>
      </w:r>
      <w:r>
        <w:rPr/>
        <w:t>P.,</w:t>
      </w:r>
      <w:r>
        <w:rPr>
          <w:spacing w:val="-4"/>
        </w:rPr>
        <w:t> </w:t>
      </w:r>
      <w:r>
        <w:rPr/>
        <w:t>and</w:t>
      </w:r>
      <w:r>
        <w:rPr>
          <w:spacing w:val="-4"/>
        </w:rPr>
        <w:t> </w:t>
      </w:r>
      <w:r>
        <w:rPr/>
        <w:t>Stone,</w:t>
      </w:r>
      <w:r>
        <w:rPr>
          <w:spacing w:val="-4"/>
        </w:rPr>
        <w:t> </w:t>
      </w:r>
      <w:r>
        <w:rPr/>
        <w:t>C.P.</w:t>
      </w:r>
      <w:r>
        <w:rPr>
          <w:spacing w:val="-4"/>
        </w:rPr>
        <w:t> </w:t>
      </w:r>
      <w:r>
        <w:rPr/>
        <w:t>(1993).</w:t>
      </w:r>
      <w:r>
        <w:rPr>
          <w:spacing w:val="-2"/>
        </w:rPr>
        <w:t> </w:t>
      </w:r>
      <w:r>
        <w:rPr/>
        <w:t>Eradicating</w:t>
      </w:r>
      <w:r>
        <w:rPr>
          <w:spacing w:val="-5"/>
        </w:rPr>
        <w:t> </w:t>
      </w:r>
      <w:r>
        <w:rPr/>
        <w:t>feral</w:t>
      </w:r>
      <w:r>
        <w:rPr>
          <w:spacing w:val="-3"/>
        </w:rPr>
        <w:t> </w:t>
      </w:r>
      <w:r>
        <w:rPr/>
        <w:t>pigs</w:t>
      </w:r>
      <w:r>
        <w:rPr>
          <w:spacing w:val="-3"/>
        </w:rPr>
        <w:t> </w:t>
      </w:r>
      <w:r>
        <w:rPr/>
        <w:t>in</w:t>
      </w:r>
      <w:r>
        <w:rPr>
          <w:spacing w:val="-2"/>
        </w:rPr>
        <w:t> </w:t>
      </w:r>
      <w:r>
        <w:rPr/>
        <w:t>montane</w:t>
      </w:r>
      <w:r>
        <w:rPr>
          <w:spacing w:val="-4"/>
        </w:rPr>
        <w:t> </w:t>
      </w:r>
      <w:r>
        <w:rPr/>
        <w:t>mesic</w:t>
      </w:r>
      <w:r>
        <w:rPr>
          <w:spacing w:val="-3"/>
        </w:rPr>
        <w:t> </w:t>
      </w:r>
      <w:r>
        <w:rPr/>
        <w:t>habitat</w:t>
      </w:r>
      <w:r>
        <w:rPr>
          <w:spacing w:val="-4"/>
        </w:rPr>
        <w:t> </w:t>
      </w:r>
      <w:r>
        <w:rPr/>
        <w:t>at Hawaii volcanoes national park. </w:t>
      </w:r>
      <w:r>
        <w:rPr>
          <w:i/>
        </w:rPr>
        <w:t>Wildlife Society Bulletin </w:t>
      </w:r>
      <w:r>
        <w:rPr>
          <w:b/>
        </w:rPr>
        <w:t>21</w:t>
      </w:r>
      <w:r>
        <w:rPr/>
        <w:t>(3):269–74.</w:t>
      </w:r>
    </w:p>
    <w:p>
      <w:pPr>
        <w:pStyle w:val="BodyText"/>
        <w:spacing w:before="11"/>
      </w:pPr>
    </w:p>
    <w:p>
      <w:pPr>
        <w:pStyle w:val="BodyText"/>
        <w:ind w:left="833" w:right="701" w:hanging="721"/>
        <w:jc w:val="both"/>
      </w:pPr>
      <w:r>
        <w:rPr/>
        <w:t>Kay, B.,</w:t>
      </w:r>
      <w:r>
        <w:rPr>
          <w:spacing w:val="-2"/>
        </w:rPr>
        <w:t> </w:t>
      </w:r>
      <w:r>
        <w:rPr/>
        <w:t>Gifford, E., Perry, R.,</w:t>
      </w:r>
      <w:r>
        <w:rPr>
          <w:spacing w:val="-2"/>
        </w:rPr>
        <w:t> </w:t>
      </w:r>
      <w:r>
        <w:rPr/>
        <w:t>and</w:t>
      </w:r>
      <w:r>
        <w:rPr>
          <w:spacing w:val="-2"/>
        </w:rPr>
        <w:t> </w:t>
      </w:r>
      <w:r>
        <w:rPr/>
        <w:t>van</w:t>
      </w:r>
      <w:r>
        <w:rPr>
          <w:spacing w:val="-1"/>
        </w:rPr>
        <w:t> </w:t>
      </w:r>
      <w:r>
        <w:rPr/>
        <w:t>de</w:t>
      </w:r>
      <w:r>
        <w:rPr>
          <w:spacing w:val="-1"/>
        </w:rPr>
        <w:t> </w:t>
      </w:r>
      <w:r>
        <w:rPr/>
        <w:t>Ven,</w:t>
      </w:r>
      <w:r>
        <w:rPr>
          <w:spacing w:val="-2"/>
        </w:rPr>
        <w:t> </w:t>
      </w:r>
      <w:r>
        <w:rPr/>
        <w:t>R.</w:t>
      </w:r>
      <w:r>
        <w:rPr>
          <w:spacing w:val="-2"/>
        </w:rPr>
        <w:t> </w:t>
      </w:r>
      <w:r>
        <w:rPr/>
        <w:t>(2000).</w:t>
      </w:r>
      <w:r>
        <w:rPr>
          <w:spacing w:val="-2"/>
        </w:rPr>
        <w:t> </w:t>
      </w:r>
      <w:r>
        <w:rPr/>
        <w:t>Trapping</w:t>
      </w:r>
      <w:r>
        <w:rPr>
          <w:spacing w:val="-2"/>
        </w:rPr>
        <w:t> </w:t>
      </w:r>
      <w:r>
        <w:rPr/>
        <w:t>efficiency</w:t>
      </w:r>
      <w:r>
        <w:rPr>
          <w:spacing w:val="-1"/>
        </w:rPr>
        <w:t> </w:t>
      </w:r>
      <w:r>
        <w:rPr/>
        <w:t>for foxes</w:t>
      </w:r>
      <w:r>
        <w:rPr>
          <w:spacing w:val="-1"/>
        </w:rPr>
        <w:t> </w:t>
      </w:r>
      <w:r>
        <w:rPr/>
        <w:t>(</w:t>
      </w:r>
      <w:r>
        <w:rPr>
          <w:i/>
        </w:rPr>
        <w:t>Vulpes</w:t>
      </w:r>
      <w:r>
        <w:rPr>
          <w:i/>
          <w:spacing w:val="-1"/>
        </w:rPr>
        <w:t> </w:t>
      </w:r>
      <w:r>
        <w:rPr>
          <w:i/>
        </w:rPr>
        <w:t>vulpes</w:t>
      </w:r>
      <w:r>
        <w:rPr/>
        <w:t>)</w:t>
      </w:r>
      <w:r>
        <w:rPr>
          <w:spacing w:val="-1"/>
        </w:rPr>
        <w:t> </w:t>
      </w:r>
      <w:r>
        <w:rPr/>
        <w:t>in central</w:t>
      </w:r>
      <w:r>
        <w:rPr>
          <w:spacing w:val="-6"/>
        </w:rPr>
        <w:t> </w:t>
      </w:r>
      <w:r>
        <w:rPr/>
        <w:t>New</w:t>
      </w:r>
      <w:r>
        <w:rPr>
          <w:spacing w:val="-3"/>
        </w:rPr>
        <w:t> </w:t>
      </w:r>
      <w:r>
        <w:rPr/>
        <w:t>South</w:t>
      </w:r>
      <w:r>
        <w:rPr>
          <w:spacing w:val="-3"/>
        </w:rPr>
        <w:t> </w:t>
      </w:r>
      <w:r>
        <w:rPr/>
        <w:t>Wales:</w:t>
      </w:r>
      <w:r>
        <w:rPr>
          <w:spacing w:val="-3"/>
        </w:rPr>
        <w:t> </w:t>
      </w:r>
      <w:r>
        <w:rPr/>
        <w:t>age</w:t>
      </w:r>
      <w:r>
        <w:rPr>
          <w:spacing w:val="-3"/>
        </w:rPr>
        <w:t> </w:t>
      </w:r>
      <w:r>
        <w:rPr/>
        <w:t>and</w:t>
      </w:r>
      <w:r>
        <w:rPr>
          <w:spacing w:val="-5"/>
        </w:rPr>
        <w:t> </w:t>
      </w:r>
      <w:r>
        <w:rPr/>
        <w:t>sex</w:t>
      </w:r>
      <w:r>
        <w:rPr>
          <w:spacing w:val="-2"/>
        </w:rPr>
        <w:t> </w:t>
      </w:r>
      <w:r>
        <w:rPr/>
        <w:t>biases</w:t>
      </w:r>
      <w:r>
        <w:rPr>
          <w:spacing w:val="-2"/>
        </w:rPr>
        <w:t> </w:t>
      </w:r>
      <w:r>
        <w:rPr/>
        <w:t>and</w:t>
      </w:r>
      <w:r>
        <w:rPr>
          <w:spacing w:val="-3"/>
        </w:rPr>
        <w:t> </w:t>
      </w:r>
      <w:r>
        <w:rPr/>
        <w:t>the</w:t>
      </w:r>
      <w:r>
        <w:rPr>
          <w:spacing w:val="-3"/>
        </w:rPr>
        <w:t> </w:t>
      </w:r>
      <w:r>
        <w:rPr/>
        <w:t>effects</w:t>
      </w:r>
      <w:r>
        <w:rPr>
          <w:spacing w:val="-4"/>
        </w:rPr>
        <w:t> </w:t>
      </w:r>
      <w:r>
        <w:rPr/>
        <w:t>of</w:t>
      </w:r>
      <w:r>
        <w:rPr>
          <w:spacing w:val="-5"/>
        </w:rPr>
        <w:t> </w:t>
      </w:r>
      <w:r>
        <w:rPr/>
        <w:t>reduced</w:t>
      </w:r>
      <w:r>
        <w:rPr>
          <w:spacing w:val="-5"/>
        </w:rPr>
        <w:t> </w:t>
      </w:r>
      <w:r>
        <w:rPr/>
        <w:t>fox</w:t>
      </w:r>
      <w:r>
        <w:rPr>
          <w:spacing w:val="-4"/>
        </w:rPr>
        <w:t> </w:t>
      </w:r>
      <w:r>
        <w:rPr/>
        <w:t>abundance. </w:t>
      </w:r>
      <w:r>
        <w:rPr>
          <w:i/>
        </w:rPr>
        <w:t>Wildlife</w:t>
      </w:r>
      <w:r>
        <w:rPr>
          <w:i/>
        </w:rPr>
        <w:t> Research </w:t>
      </w:r>
      <w:r>
        <w:rPr>
          <w:b/>
        </w:rPr>
        <w:t>27</w:t>
      </w:r>
      <w:r>
        <w:rPr/>
        <w:t>(5):547–52.</w:t>
      </w:r>
    </w:p>
    <w:p>
      <w:pPr>
        <w:pStyle w:val="BodyText"/>
        <w:spacing w:before="9"/>
      </w:pPr>
    </w:p>
    <w:p>
      <w:pPr>
        <w:pStyle w:val="BodyText"/>
        <w:ind w:left="833" w:right="163" w:hanging="721"/>
      </w:pPr>
      <w:r>
        <w:rPr/>
        <w:t>Keem,</w:t>
      </w:r>
      <w:r>
        <w:rPr>
          <w:spacing w:val="-3"/>
        </w:rPr>
        <w:t> </w:t>
      </w:r>
      <w:r>
        <w:rPr/>
        <w:t>J.L.,</w:t>
      </w:r>
      <w:r>
        <w:rPr>
          <w:spacing w:val="-3"/>
        </w:rPr>
        <w:t> </w:t>
      </w:r>
      <w:r>
        <w:rPr/>
        <w:t>Hradsky,</w:t>
      </w:r>
      <w:r>
        <w:rPr>
          <w:spacing w:val="-3"/>
        </w:rPr>
        <w:t> </w:t>
      </w:r>
      <w:r>
        <w:rPr/>
        <w:t>B.A.,</w:t>
      </w:r>
      <w:r>
        <w:rPr>
          <w:spacing w:val="-1"/>
        </w:rPr>
        <w:t> </w:t>
      </w:r>
      <w:r>
        <w:rPr/>
        <w:t>Benshemesh,</w:t>
      </w:r>
      <w:r>
        <w:rPr>
          <w:spacing w:val="-3"/>
        </w:rPr>
        <w:t> </w:t>
      </w:r>
      <w:r>
        <w:rPr/>
        <w:t>J.,</w:t>
      </w:r>
      <w:r>
        <w:rPr>
          <w:spacing w:val="-3"/>
        </w:rPr>
        <w:t> </w:t>
      </w:r>
      <w:r>
        <w:rPr/>
        <w:t>Le</w:t>
      </w:r>
      <w:r>
        <w:rPr>
          <w:spacing w:val="-3"/>
        </w:rPr>
        <w:t> </w:t>
      </w:r>
      <w:r>
        <w:rPr/>
        <w:t>Pla,</w:t>
      </w:r>
      <w:r>
        <w:rPr>
          <w:spacing w:val="-1"/>
        </w:rPr>
        <w:t> </w:t>
      </w:r>
      <w:r>
        <w:rPr/>
        <w:t>M.,</w:t>
      </w:r>
      <w:r>
        <w:rPr>
          <w:spacing w:val="-3"/>
        </w:rPr>
        <w:t> </w:t>
      </w:r>
      <w:r>
        <w:rPr/>
        <w:t>Watkins,</w:t>
      </w:r>
      <w:r>
        <w:rPr>
          <w:spacing w:val="-1"/>
        </w:rPr>
        <w:t> </w:t>
      </w:r>
      <w:r>
        <w:rPr/>
        <w:t>A.,</w:t>
      </w:r>
      <w:r>
        <w:rPr>
          <w:spacing w:val="-1"/>
        </w:rPr>
        <w:t> </w:t>
      </w:r>
      <w:r>
        <w:rPr/>
        <w:t>Weeks,</w:t>
      </w:r>
      <w:r>
        <w:rPr>
          <w:spacing w:val="-1"/>
        </w:rPr>
        <w:t> </w:t>
      </w:r>
      <w:r>
        <w:rPr/>
        <w:t>A.R.,</w:t>
      </w:r>
      <w:r>
        <w:rPr>
          <w:spacing w:val="-1"/>
        </w:rPr>
        <w:t> </w:t>
      </w:r>
      <w:r>
        <w:rPr/>
        <w:t>Van</w:t>
      </w:r>
      <w:r>
        <w:rPr>
          <w:spacing w:val="-2"/>
        </w:rPr>
        <w:t> </w:t>
      </w:r>
      <w:r>
        <w:rPr/>
        <w:t>Rooyen,</w:t>
      </w:r>
      <w:r>
        <w:rPr>
          <w:spacing w:val="-1"/>
        </w:rPr>
        <w:t> </w:t>
      </w:r>
      <w:r>
        <w:rPr/>
        <w:t>A.,</w:t>
      </w:r>
      <w:r>
        <w:rPr>
          <w:spacing w:val="-1"/>
        </w:rPr>
        <w:t> </w:t>
      </w:r>
      <w:r>
        <w:rPr/>
        <w:t>Black,</w:t>
      </w:r>
      <w:r>
        <w:rPr>
          <w:spacing w:val="-2"/>
        </w:rPr>
        <w:t> </w:t>
      </w:r>
      <w:r>
        <w:rPr/>
        <w:t>J, and Southwell, D. (2023). Evaluating predator control using two non-invasive population metrics: a camera</w:t>
      </w:r>
      <w:r>
        <w:rPr>
          <w:spacing w:val="-4"/>
        </w:rPr>
        <w:t> </w:t>
      </w:r>
      <w:r>
        <w:rPr/>
        <w:t>trap</w:t>
      </w:r>
      <w:r>
        <w:rPr>
          <w:spacing w:val="-4"/>
        </w:rPr>
        <w:t> </w:t>
      </w:r>
      <w:r>
        <w:rPr/>
        <w:t>activity</w:t>
      </w:r>
      <w:r>
        <w:rPr>
          <w:spacing w:val="-3"/>
        </w:rPr>
        <w:t> </w:t>
      </w:r>
      <w:r>
        <w:rPr/>
        <w:t>index</w:t>
      </w:r>
      <w:r>
        <w:rPr>
          <w:spacing w:val="-3"/>
        </w:rPr>
        <w:t> </w:t>
      </w:r>
      <w:r>
        <w:rPr/>
        <w:t>and</w:t>
      </w:r>
      <w:r>
        <w:rPr>
          <w:spacing w:val="-5"/>
        </w:rPr>
        <w:t> </w:t>
      </w:r>
      <w:r>
        <w:rPr/>
        <w:t>density</w:t>
      </w:r>
      <w:r>
        <w:rPr>
          <w:spacing w:val="-3"/>
        </w:rPr>
        <w:t> </w:t>
      </w:r>
      <w:r>
        <w:rPr/>
        <w:t>estimation</w:t>
      </w:r>
      <w:r>
        <w:rPr>
          <w:spacing w:val="-5"/>
        </w:rPr>
        <w:t> </w:t>
      </w:r>
      <w:r>
        <w:rPr/>
        <w:t>from</w:t>
      </w:r>
      <w:r>
        <w:rPr>
          <w:spacing w:val="-2"/>
        </w:rPr>
        <w:t> </w:t>
      </w:r>
      <w:r>
        <w:rPr/>
        <w:t>scat</w:t>
      </w:r>
      <w:r>
        <w:rPr>
          <w:spacing w:val="-4"/>
        </w:rPr>
        <w:t> </w:t>
      </w:r>
      <w:r>
        <w:rPr/>
        <w:t>genotyping. </w:t>
      </w:r>
      <w:r>
        <w:rPr>
          <w:i/>
        </w:rPr>
        <w:t>Wildlife</w:t>
      </w:r>
      <w:r>
        <w:rPr>
          <w:i/>
          <w:spacing w:val="-4"/>
        </w:rPr>
        <w:t> </w:t>
      </w:r>
      <w:r>
        <w:rPr>
          <w:i/>
        </w:rPr>
        <w:t>Research</w:t>
      </w:r>
      <w:r>
        <w:rPr>
          <w:i/>
          <w:spacing w:val="-2"/>
        </w:rPr>
        <w:t> </w:t>
      </w:r>
      <w:r>
        <w:rPr>
          <w:b/>
        </w:rPr>
        <w:t>51</w:t>
      </w:r>
      <w:r>
        <w:rPr/>
        <w:t>(1).</w:t>
      </w:r>
      <w:r>
        <w:rPr>
          <w:spacing w:val="-1"/>
        </w:rPr>
        <w:t> </w:t>
      </w:r>
      <w:r>
        <w:rPr/>
        <w:t>doi: </w:t>
      </w:r>
      <w:r>
        <w:rPr>
          <w:spacing w:val="-2"/>
        </w:rPr>
        <w:t>10.1071/WR23033.</w:t>
      </w:r>
    </w:p>
    <w:p>
      <w:pPr>
        <w:pStyle w:val="BodyText"/>
        <w:spacing w:before="12"/>
      </w:pPr>
    </w:p>
    <w:p>
      <w:pPr>
        <w:spacing w:before="0"/>
        <w:ind w:left="833" w:right="232" w:hanging="721"/>
        <w:jc w:val="left"/>
        <w:rPr>
          <w:sz w:val="20"/>
        </w:rPr>
      </w:pPr>
      <w:r>
        <w:rPr>
          <w:sz w:val="20"/>
        </w:rPr>
        <w:t>Kennedy,</w:t>
      </w:r>
      <w:r>
        <w:rPr>
          <w:spacing w:val="-3"/>
          <w:sz w:val="20"/>
        </w:rPr>
        <w:t> </w:t>
      </w:r>
      <w:r>
        <w:rPr>
          <w:sz w:val="20"/>
        </w:rPr>
        <w:t>S.,</w:t>
      </w:r>
      <w:r>
        <w:rPr>
          <w:spacing w:val="-3"/>
          <w:sz w:val="20"/>
        </w:rPr>
        <w:t> </w:t>
      </w:r>
      <w:r>
        <w:rPr>
          <w:sz w:val="20"/>
        </w:rPr>
        <w:t>and</w:t>
      </w:r>
      <w:r>
        <w:rPr>
          <w:spacing w:val="-3"/>
          <w:sz w:val="20"/>
        </w:rPr>
        <w:t> </w:t>
      </w:r>
      <w:r>
        <w:rPr>
          <w:sz w:val="20"/>
        </w:rPr>
        <w:t>Ferns,</w:t>
      </w:r>
      <w:r>
        <w:rPr>
          <w:spacing w:val="-5"/>
          <w:sz w:val="20"/>
        </w:rPr>
        <w:t> </w:t>
      </w:r>
      <w:r>
        <w:rPr>
          <w:sz w:val="20"/>
        </w:rPr>
        <w:t>L.</w:t>
      </w:r>
      <w:r>
        <w:rPr>
          <w:spacing w:val="-1"/>
          <w:sz w:val="20"/>
        </w:rPr>
        <w:t> </w:t>
      </w:r>
      <w:r>
        <w:rPr>
          <w:sz w:val="20"/>
        </w:rPr>
        <w:t>(2015). </w:t>
      </w:r>
      <w:r>
        <w:rPr>
          <w:i/>
          <w:sz w:val="20"/>
        </w:rPr>
        <w:t>Predation</w:t>
      </w:r>
      <w:r>
        <w:rPr>
          <w:i/>
          <w:spacing w:val="-6"/>
          <w:sz w:val="20"/>
        </w:rPr>
        <w:t> </w:t>
      </w:r>
      <w:r>
        <w:rPr>
          <w:i/>
          <w:sz w:val="20"/>
        </w:rPr>
        <w:t>vulnerability</w:t>
      </w:r>
      <w:r>
        <w:rPr>
          <w:i/>
          <w:spacing w:val="-4"/>
          <w:sz w:val="20"/>
        </w:rPr>
        <w:t> </w:t>
      </w:r>
      <w:r>
        <w:rPr>
          <w:i/>
          <w:sz w:val="20"/>
        </w:rPr>
        <w:t>ratings</w:t>
      </w:r>
      <w:r>
        <w:rPr>
          <w:i/>
          <w:spacing w:val="-4"/>
          <w:sz w:val="20"/>
        </w:rPr>
        <w:t> </w:t>
      </w:r>
      <w:r>
        <w:rPr>
          <w:i/>
          <w:sz w:val="20"/>
        </w:rPr>
        <w:t>(PVR)</w:t>
      </w:r>
      <w:r>
        <w:rPr>
          <w:i/>
          <w:spacing w:val="-4"/>
          <w:sz w:val="20"/>
        </w:rPr>
        <w:t> </w:t>
      </w:r>
      <w:r>
        <w:rPr>
          <w:i/>
          <w:sz w:val="20"/>
        </w:rPr>
        <w:t>for</w:t>
      </w:r>
      <w:r>
        <w:rPr>
          <w:i/>
          <w:spacing w:val="-4"/>
          <w:sz w:val="20"/>
        </w:rPr>
        <w:t> </w:t>
      </w:r>
      <w:r>
        <w:rPr>
          <w:i/>
          <w:sz w:val="20"/>
        </w:rPr>
        <w:t>Victoria’s</w:t>
      </w:r>
      <w:r>
        <w:rPr>
          <w:i/>
          <w:spacing w:val="-3"/>
          <w:sz w:val="20"/>
        </w:rPr>
        <w:t> </w:t>
      </w:r>
      <w:r>
        <w:rPr>
          <w:i/>
          <w:sz w:val="20"/>
        </w:rPr>
        <w:t>mainland</w:t>
      </w:r>
      <w:r>
        <w:rPr>
          <w:i/>
          <w:spacing w:val="-6"/>
          <w:sz w:val="20"/>
        </w:rPr>
        <w:t> </w:t>
      </w:r>
      <w:r>
        <w:rPr>
          <w:i/>
          <w:sz w:val="20"/>
        </w:rPr>
        <w:t>vertebrate</w:t>
      </w:r>
      <w:r>
        <w:rPr>
          <w:i/>
          <w:sz w:val="20"/>
        </w:rPr>
        <w:t> fauna. version 1</w:t>
      </w:r>
      <w:r>
        <w:rPr>
          <w:sz w:val="20"/>
        </w:rPr>
        <w:t>. Unpublished report, Department of Environment, Land, Water and Planning, Knowledge and Decision Systems Branch.</w:t>
      </w:r>
    </w:p>
    <w:p>
      <w:pPr>
        <w:pStyle w:val="BodyText"/>
        <w:spacing w:before="9"/>
      </w:pPr>
    </w:p>
    <w:p>
      <w:pPr>
        <w:pStyle w:val="BodyText"/>
        <w:ind w:left="833" w:right="232" w:hanging="721"/>
      </w:pPr>
      <w:r>
        <w:rPr/>
        <w:t>Keuling,</w:t>
      </w:r>
      <w:r>
        <w:rPr>
          <w:spacing w:val="-4"/>
        </w:rPr>
        <w:t> </w:t>
      </w:r>
      <w:r>
        <w:rPr/>
        <w:t>O.,</w:t>
      </w:r>
      <w:r>
        <w:rPr>
          <w:spacing w:val="-2"/>
        </w:rPr>
        <w:t> </w:t>
      </w:r>
      <w:r>
        <w:rPr/>
        <w:t>and</w:t>
      </w:r>
      <w:r>
        <w:rPr>
          <w:spacing w:val="-4"/>
        </w:rPr>
        <w:t> </w:t>
      </w:r>
      <w:r>
        <w:rPr/>
        <w:t>Massei,</w:t>
      </w:r>
      <w:r>
        <w:rPr>
          <w:spacing w:val="-4"/>
        </w:rPr>
        <w:t> </w:t>
      </w:r>
      <w:r>
        <w:rPr/>
        <w:t>G.</w:t>
      </w:r>
      <w:r>
        <w:rPr>
          <w:spacing w:val="-2"/>
        </w:rPr>
        <w:t> </w:t>
      </w:r>
      <w:r>
        <w:rPr/>
        <w:t>(2021).</w:t>
      </w:r>
      <w:r>
        <w:rPr>
          <w:spacing w:val="-2"/>
        </w:rPr>
        <w:t> </w:t>
      </w:r>
      <w:r>
        <w:rPr/>
        <w:t>Does</w:t>
      </w:r>
      <w:r>
        <w:rPr>
          <w:spacing w:val="-3"/>
        </w:rPr>
        <w:t> </w:t>
      </w:r>
      <w:r>
        <w:rPr/>
        <w:t>hunting</w:t>
      </w:r>
      <w:r>
        <w:rPr>
          <w:spacing w:val="-2"/>
        </w:rPr>
        <w:t> </w:t>
      </w:r>
      <w:r>
        <w:rPr/>
        <w:t>affect</w:t>
      </w:r>
      <w:r>
        <w:rPr>
          <w:spacing w:val="-4"/>
        </w:rPr>
        <w:t> </w:t>
      </w:r>
      <w:r>
        <w:rPr/>
        <w:t>the behaviour</w:t>
      </w:r>
      <w:r>
        <w:rPr>
          <w:spacing w:val="-2"/>
        </w:rPr>
        <w:t> </w:t>
      </w:r>
      <w:r>
        <w:rPr/>
        <w:t>of</w:t>
      </w:r>
      <w:r>
        <w:rPr>
          <w:spacing w:val="-4"/>
        </w:rPr>
        <w:t> </w:t>
      </w:r>
      <w:r>
        <w:rPr/>
        <w:t>wild</w:t>
      </w:r>
      <w:r>
        <w:rPr>
          <w:spacing w:val="-4"/>
        </w:rPr>
        <w:t> </w:t>
      </w:r>
      <w:r>
        <w:rPr/>
        <w:t>pigs?</w:t>
      </w:r>
      <w:r>
        <w:rPr>
          <w:spacing w:val="-4"/>
        </w:rPr>
        <w:t> </w:t>
      </w:r>
      <w:r>
        <w:rPr>
          <w:i/>
        </w:rPr>
        <w:t>Human–Wildlife</w:t>
      </w:r>
      <w:r>
        <w:rPr>
          <w:i/>
        </w:rPr>
        <w:t> Interactions </w:t>
      </w:r>
      <w:r>
        <w:rPr>
          <w:b/>
        </w:rPr>
        <w:t>15</w:t>
      </w:r>
      <w:r>
        <w:rPr/>
        <w:t>(1). doi: https://doi.org/10.26077/3a83-9155.</w:t>
      </w:r>
    </w:p>
    <w:p>
      <w:pPr>
        <w:pStyle w:val="BodyText"/>
        <w:spacing w:before="11"/>
      </w:pPr>
    </w:p>
    <w:p>
      <w:pPr>
        <w:pStyle w:val="BodyText"/>
        <w:ind w:left="833" w:right="364" w:hanging="721"/>
      </w:pPr>
      <w:r>
        <w:rPr/>
        <w:t>Khorozyan, I., and Waltert, M. (2019). A framework of most effective practices in protecting human assets from</w:t>
      </w:r>
      <w:r>
        <w:rPr>
          <w:spacing w:val="-6"/>
        </w:rPr>
        <w:t> </w:t>
      </w:r>
      <w:r>
        <w:rPr/>
        <w:t>predators.</w:t>
      </w:r>
      <w:r>
        <w:rPr>
          <w:spacing w:val="-5"/>
        </w:rPr>
        <w:t> </w:t>
      </w:r>
      <w:r>
        <w:rPr>
          <w:i/>
        </w:rPr>
        <w:t>Human</w:t>
      </w:r>
      <w:r>
        <w:rPr>
          <w:i/>
          <w:spacing w:val="-7"/>
        </w:rPr>
        <w:t> </w:t>
      </w:r>
      <w:r>
        <w:rPr>
          <w:i/>
        </w:rPr>
        <w:t>Dimensions</w:t>
      </w:r>
      <w:r>
        <w:rPr>
          <w:i/>
          <w:spacing w:val="-5"/>
        </w:rPr>
        <w:t> </w:t>
      </w:r>
      <w:r>
        <w:rPr>
          <w:i/>
        </w:rPr>
        <w:t>of</w:t>
      </w:r>
      <w:r>
        <w:rPr>
          <w:i/>
          <w:spacing w:val="-4"/>
        </w:rPr>
        <w:t> </w:t>
      </w:r>
      <w:r>
        <w:rPr>
          <w:i/>
        </w:rPr>
        <w:t>Wildlife</w:t>
      </w:r>
      <w:r>
        <w:rPr>
          <w:i/>
          <w:spacing w:val="-2"/>
        </w:rPr>
        <w:t> </w:t>
      </w:r>
      <w:r>
        <w:rPr>
          <w:b/>
        </w:rPr>
        <w:t>24</w:t>
      </w:r>
      <w:r>
        <w:rPr/>
        <w:t>(4):380–94.</w:t>
      </w:r>
      <w:r>
        <w:rPr>
          <w:spacing w:val="-4"/>
        </w:rPr>
        <w:t> </w:t>
      </w:r>
      <w:r>
        <w:rPr/>
        <w:t>doi:</w:t>
      </w:r>
      <w:r>
        <w:rPr>
          <w:spacing w:val="-6"/>
        </w:rPr>
        <w:t> </w:t>
      </w:r>
      <w:r>
        <w:rPr/>
        <w:t>10.1080/10871209.2019.1619883.</w:t>
      </w:r>
    </w:p>
    <w:p>
      <w:pPr>
        <w:spacing w:after="0"/>
        <w:sectPr>
          <w:pgSz w:w="11910" w:h="16850"/>
          <w:pgMar w:header="0" w:footer="688" w:top="1060" w:bottom="880" w:left="1020" w:right="780"/>
        </w:sectPr>
      </w:pPr>
    </w:p>
    <w:p>
      <w:pPr>
        <w:spacing w:before="71"/>
        <w:ind w:left="833" w:right="232" w:hanging="721"/>
        <w:jc w:val="left"/>
        <w:rPr>
          <w:sz w:val="20"/>
        </w:rPr>
      </w:pPr>
      <w:r>
        <w:rPr>
          <w:sz w:val="20"/>
        </w:rPr>
        <w:t>King,</w:t>
      </w:r>
      <w:r>
        <w:rPr>
          <w:spacing w:val="-4"/>
          <w:sz w:val="20"/>
        </w:rPr>
        <w:t> </w:t>
      </w:r>
      <w:r>
        <w:rPr>
          <w:sz w:val="20"/>
        </w:rPr>
        <w:t>D.R.</w:t>
      </w:r>
      <w:r>
        <w:rPr>
          <w:spacing w:val="-4"/>
          <w:sz w:val="20"/>
        </w:rPr>
        <w:t> </w:t>
      </w:r>
      <w:r>
        <w:rPr>
          <w:sz w:val="20"/>
        </w:rPr>
        <w:t>(1989).</w:t>
      </w:r>
      <w:r>
        <w:rPr>
          <w:spacing w:val="-2"/>
          <w:sz w:val="20"/>
        </w:rPr>
        <w:t> </w:t>
      </w:r>
      <w:r>
        <w:rPr>
          <w:sz w:val="20"/>
        </w:rPr>
        <w:t>An</w:t>
      </w:r>
      <w:r>
        <w:rPr>
          <w:spacing w:val="-2"/>
          <w:sz w:val="20"/>
        </w:rPr>
        <w:t> </w:t>
      </w:r>
      <w:r>
        <w:rPr>
          <w:sz w:val="20"/>
        </w:rPr>
        <w:t>assessment</w:t>
      </w:r>
      <w:r>
        <w:rPr>
          <w:spacing w:val="-4"/>
          <w:sz w:val="20"/>
        </w:rPr>
        <w:t> </w:t>
      </w:r>
      <w:r>
        <w:rPr>
          <w:sz w:val="20"/>
        </w:rPr>
        <w:t>of</w:t>
      </w:r>
      <w:r>
        <w:rPr>
          <w:spacing w:val="-2"/>
          <w:sz w:val="20"/>
        </w:rPr>
        <w:t> </w:t>
      </w:r>
      <w:r>
        <w:rPr>
          <w:sz w:val="20"/>
        </w:rPr>
        <w:t>the</w:t>
      </w:r>
      <w:r>
        <w:rPr>
          <w:spacing w:val="-3"/>
          <w:sz w:val="20"/>
        </w:rPr>
        <w:t> </w:t>
      </w:r>
      <w:r>
        <w:rPr>
          <w:sz w:val="20"/>
        </w:rPr>
        <w:t>hazard</w:t>
      </w:r>
      <w:r>
        <w:rPr>
          <w:spacing w:val="-2"/>
          <w:sz w:val="20"/>
        </w:rPr>
        <w:t> </w:t>
      </w:r>
      <w:r>
        <w:rPr>
          <w:sz w:val="20"/>
        </w:rPr>
        <w:t>posed</w:t>
      </w:r>
      <w:r>
        <w:rPr>
          <w:spacing w:val="-4"/>
          <w:sz w:val="20"/>
        </w:rPr>
        <w:t> </w:t>
      </w:r>
      <w:r>
        <w:rPr>
          <w:sz w:val="20"/>
        </w:rPr>
        <w:t>to</w:t>
      </w:r>
      <w:r>
        <w:rPr>
          <w:spacing w:val="-2"/>
          <w:sz w:val="20"/>
        </w:rPr>
        <w:t> </w:t>
      </w:r>
      <w:r>
        <w:rPr>
          <w:sz w:val="20"/>
        </w:rPr>
        <w:t>northern</w:t>
      </w:r>
      <w:r>
        <w:rPr>
          <w:spacing w:val="-4"/>
          <w:sz w:val="20"/>
        </w:rPr>
        <w:t> </w:t>
      </w:r>
      <w:r>
        <w:rPr>
          <w:sz w:val="20"/>
        </w:rPr>
        <w:t>quolls</w:t>
      </w:r>
      <w:r>
        <w:rPr>
          <w:spacing w:val="-3"/>
          <w:sz w:val="20"/>
        </w:rPr>
        <w:t> </w:t>
      </w:r>
      <w:r>
        <w:rPr>
          <w:sz w:val="20"/>
        </w:rPr>
        <w:t>(</w:t>
      </w:r>
      <w:r>
        <w:rPr>
          <w:i/>
          <w:sz w:val="20"/>
        </w:rPr>
        <w:t>Dasyurus</w:t>
      </w:r>
      <w:r>
        <w:rPr>
          <w:i/>
          <w:spacing w:val="-3"/>
          <w:sz w:val="20"/>
        </w:rPr>
        <w:t> </w:t>
      </w:r>
      <w:r>
        <w:rPr>
          <w:i/>
          <w:sz w:val="20"/>
        </w:rPr>
        <w:t>hallucatus</w:t>
      </w:r>
      <w:r>
        <w:rPr>
          <w:sz w:val="20"/>
        </w:rPr>
        <w:t>)</w:t>
      </w:r>
      <w:r>
        <w:rPr>
          <w:spacing w:val="-3"/>
          <w:sz w:val="20"/>
        </w:rPr>
        <w:t> </w:t>
      </w:r>
      <w:r>
        <w:rPr>
          <w:sz w:val="20"/>
        </w:rPr>
        <w:t>by</w:t>
      </w:r>
      <w:r>
        <w:rPr>
          <w:spacing w:val="-3"/>
          <w:sz w:val="20"/>
        </w:rPr>
        <w:t> </w:t>
      </w:r>
      <w:r>
        <w:rPr>
          <w:sz w:val="20"/>
        </w:rPr>
        <w:t>aerial baiting with 1080 to control dingoes. </w:t>
      </w:r>
      <w:r>
        <w:rPr>
          <w:i/>
          <w:sz w:val="20"/>
        </w:rPr>
        <w:t>Australian Wildlife Research </w:t>
      </w:r>
      <w:r>
        <w:rPr>
          <w:b/>
          <w:sz w:val="20"/>
        </w:rPr>
        <w:t>16</w:t>
      </w:r>
      <w:r>
        <w:rPr>
          <w:sz w:val="20"/>
        </w:rPr>
        <w:t>:569–74.</w:t>
      </w:r>
    </w:p>
    <w:p>
      <w:pPr>
        <w:pStyle w:val="BodyText"/>
        <w:spacing w:before="11"/>
      </w:pPr>
    </w:p>
    <w:p>
      <w:pPr>
        <w:pStyle w:val="BodyText"/>
        <w:spacing w:before="1"/>
        <w:ind w:left="112"/>
      </w:pPr>
      <w:r>
        <w:rPr/>
        <w:t>Kinnear,</w:t>
      </w:r>
      <w:r>
        <w:rPr>
          <w:spacing w:val="-8"/>
        </w:rPr>
        <w:t> </w:t>
      </w:r>
      <w:r>
        <w:rPr/>
        <w:t>J.E.,</w:t>
      </w:r>
      <w:r>
        <w:rPr>
          <w:spacing w:val="-8"/>
        </w:rPr>
        <w:t> </w:t>
      </w:r>
      <w:r>
        <w:rPr/>
        <w:t>Onus,</w:t>
      </w:r>
      <w:r>
        <w:rPr>
          <w:spacing w:val="-7"/>
        </w:rPr>
        <w:t> </w:t>
      </w:r>
      <w:r>
        <w:rPr/>
        <w:t>M.L.,</w:t>
      </w:r>
      <w:r>
        <w:rPr>
          <w:spacing w:val="-6"/>
        </w:rPr>
        <w:t> </w:t>
      </w:r>
      <w:r>
        <w:rPr/>
        <w:t>and</w:t>
      </w:r>
      <w:r>
        <w:rPr>
          <w:spacing w:val="-6"/>
        </w:rPr>
        <w:t> </w:t>
      </w:r>
      <w:r>
        <w:rPr/>
        <w:t>Bromilow,</w:t>
      </w:r>
      <w:r>
        <w:rPr>
          <w:spacing w:val="-8"/>
        </w:rPr>
        <w:t> </w:t>
      </w:r>
      <w:r>
        <w:rPr/>
        <w:t>R.N.</w:t>
      </w:r>
      <w:r>
        <w:rPr>
          <w:spacing w:val="-7"/>
        </w:rPr>
        <w:t> </w:t>
      </w:r>
      <w:r>
        <w:rPr/>
        <w:t>(1988).</w:t>
      </w:r>
      <w:r>
        <w:rPr>
          <w:spacing w:val="-6"/>
        </w:rPr>
        <w:t> </w:t>
      </w:r>
      <w:r>
        <w:rPr/>
        <w:t>Fox</w:t>
      </w:r>
      <w:r>
        <w:rPr>
          <w:spacing w:val="-6"/>
        </w:rPr>
        <w:t> </w:t>
      </w:r>
      <w:r>
        <w:rPr/>
        <w:t>control</w:t>
      </w:r>
      <w:r>
        <w:rPr>
          <w:spacing w:val="-7"/>
        </w:rPr>
        <w:t> </w:t>
      </w:r>
      <w:r>
        <w:rPr/>
        <w:t>and</w:t>
      </w:r>
      <w:r>
        <w:rPr>
          <w:spacing w:val="-7"/>
        </w:rPr>
        <w:t> </w:t>
      </w:r>
      <w:r>
        <w:rPr/>
        <w:t>rock-wallaby</w:t>
      </w:r>
      <w:r>
        <w:rPr>
          <w:spacing w:val="-7"/>
        </w:rPr>
        <w:t> </w:t>
      </w:r>
      <w:r>
        <w:rPr/>
        <w:t>population-</w:t>
      </w:r>
      <w:r>
        <w:rPr>
          <w:spacing w:val="-2"/>
        </w:rPr>
        <w:t>dynamics.</w:t>
      </w:r>
    </w:p>
    <w:p>
      <w:pPr>
        <w:spacing w:before="0"/>
        <w:ind w:left="833" w:right="0" w:firstLine="0"/>
        <w:jc w:val="left"/>
        <w:rPr>
          <w:sz w:val="20"/>
        </w:rPr>
      </w:pPr>
      <w:r>
        <w:rPr>
          <w:i/>
          <w:sz w:val="20"/>
        </w:rPr>
        <w:t>Wildlife</w:t>
      </w:r>
      <w:r>
        <w:rPr>
          <w:i/>
          <w:spacing w:val="-11"/>
          <w:sz w:val="20"/>
        </w:rPr>
        <w:t> </w:t>
      </w:r>
      <w:r>
        <w:rPr>
          <w:i/>
          <w:sz w:val="20"/>
        </w:rPr>
        <w:t>Research</w:t>
      </w:r>
      <w:r>
        <w:rPr>
          <w:i/>
          <w:spacing w:val="-9"/>
          <w:sz w:val="20"/>
        </w:rPr>
        <w:t> </w:t>
      </w:r>
      <w:r>
        <w:rPr>
          <w:b/>
          <w:spacing w:val="-2"/>
          <w:sz w:val="20"/>
        </w:rPr>
        <w:t>15</w:t>
      </w:r>
      <w:r>
        <w:rPr>
          <w:spacing w:val="-2"/>
          <w:sz w:val="20"/>
        </w:rPr>
        <w:t>(4):435–50.</w:t>
      </w:r>
    </w:p>
    <w:p>
      <w:pPr>
        <w:pStyle w:val="BodyText"/>
        <w:spacing w:before="10"/>
      </w:pPr>
    </w:p>
    <w:p>
      <w:pPr>
        <w:pStyle w:val="BodyText"/>
        <w:spacing w:line="229" w:lineRule="exact"/>
        <w:ind w:left="112"/>
      </w:pPr>
      <w:r>
        <w:rPr/>
        <w:t>Kinsey,</w:t>
      </w:r>
      <w:r>
        <w:rPr>
          <w:spacing w:val="-7"/>
        </w:rPr>
        <w:t> </w:t>
      </w:r>
      <w:r>
        <w:rPr/>
        <w:t>J.C.,</w:t>
      </w:r>
      <w:r>
        <w:rPr>
          <w:spacing w:val="-6"/>
        </w:rPr>
        <w:t> </w:t>
      </w:r>
      <w:r>
        <w:rPr/>
        <w:t>Foster,</w:t>
      </w:r>
      <w:r>
        <w:rPr>
          <w:spacing w:val="-6"/>
        </w:rPr>
        <w:t> </w:t>
      </w:r>
      <w:r>
        <w:rPr/>
        <w:t>J.A.,</w:t>
      </w:r>
      <w:r>
        <w:rPr>
          <w:spacing w:val="-4"/>
        </w:rPr>
        <w:t> </w:t>
      </w:r>
      <w:r>
        <w:rPr/>
        <w:t>Snow,</w:t>
      </w:r>
      <w:r>
        <w:rPr>
          <w:spacing w:val="-6"/>
        </w:rPr>
        <w:t> </w:t>
      </w:r>
      <w:r>
        <w:rPr/>
        <w:t>N.P.,</w:t>
      </w:r>
      <w:r>
        <w:rPr>
          <w:spacing w:val="-4"/>
        </w:rPr>
        <w:t> </w:t>
      </w:r>
      <w:r>
        <w:rPr/>
        <w:t>Wishart,</w:t>
      </w:r>
      <w:r>
        <w:rPr>
          <w:spacing w:val="-7"/>
        </w:rPr>
        <w:t> </w:t>
      </w:r>
      <w:r>
        <w:rPr/>
        <w:t>J.D.,</w:t>
      </w:r>
      <w:r>
        <w:rPr>
          <w:spacing w:val="-6"/>
        </w:rPr>
        <w:t> </w:t>
      </w:r>
      <w:r>
        <w:rPr/>
        <w:t>Staples,</w:t>
      </w:r>
      <w:r>
        <w:rPr>
          <w:spacing w:val="-6"/>
        </w:rPr>
        <w:t> </w:t>
      </w:r>
      <w:r>
        <w:rPr/>
        <w:t>L.D.,</w:t>
      </w:r>
      <w:r>
        <w:rPr>
          <w:spacing w:val="-6"/>
        </w:rPr>
        <w:t> </w:t>
      </w:r>
      <w:r>
        <w:rPr/>
        <w:t>Bush,</w:t>
      </w:r>
      <w:r>
        <w:rPr>
          <w:spacing w:val="-6"/>
        </w:rPr>
        <w:t> </w:t>
      </w:r>
      <w:r>
        <w:rPr/>
        <w:t>J.K.,</w:t>
      </w:r>
      <w:r>
        <w:rPr>
          <w:spacing w:val="-6"/>
        </w:rPr>
        <w:t> </w:t>
      </w:r>
      <w:r>
        <w:rPr/>
        <w:t>and</w:t>
      </w:r>
      <w:r>
        <w:rPr>
          <w:spacing w:val="-4"/>
        </w:rPr>
        <w:t> </w:t>
      </w:r>
      <w:r>
        <w:rPr/>
        <w:t>VerCauteren,</w:t>
      </w:r>
      <w:r>
        <w:rPr>
          <w:spacing w:val="-7"/>
        </w:rPr>
        <w:t> </w:t>
      </w:r>
      <w:r>
        <w:rPr/>
        <w:t>C.</w:t>
      </w:r>
      <w:r>
        <w:rPr>
          <w:spacing w:val="-6"/>
        </w:rPr>
        <w:t> </w:t>
      </w:r>
      <w:r>
        <w:rPr>
          <w:spacing w:val="-2"/>
        </w:rPr>
        <w:t>(2023).</w:t>
      </w:r>
    </w:p>
    <w:p>
      <w:pPr>
        <w:pStyle w:val="BodyText"/>
        <w:ind w:left="833" w:right="1038"/>
      </w:pPr>
      <w:r>
        <w:rPr/>
        <w:t>Assessment</w:t>
      </w:r>
      <w:r>
        <w:rPr>
          <w:spacing w:val="-3"/>
        </w:rPr>
        <w:t> </w:t>
      </w:r>
      <w:r>
        <w:rPr/>
        <w:t>of</w:t>
      </w:r>
      <w:r>
        <w:rPr>
          <w:spacing w:val="-3"/>
        </w:rPr>
        <w:t> </w:t>
      </w:r>
      <w:r>
        <w:rPr/>
        <w:t>spilled</w:t>
      </w:r>
      <w:r>
        <w:rPr>
          <w:spacing w:val="-4"/>
        </w:rPr>
        <w:t> </w:t>
      </w:r>
      <w:r>
        <w:rPr/>
        <w:t>toxic</w:t>
      </w:r>
      <w:r>
        <w:rPr>
          <w:spacing w:val="-2"/>
        </w:rPr>
        <w:t> </w:t>
      </w:r>
      <w:r>
        <w:rPr/>
        <w:t>bait</w:t>
      </w:r>
      <w:r>
        <w:rPr>
          <w:spacing w:val="-3"/>
        </w:rPr>
        <w:t> </w:t>
      </w:r>
      <w:r>
        <w:rPr/>
        <w:t>by</w:t>
      </w:r>
      <w:r>
        <w:rPr>
          <w:spacing w:val="-2"/>
        </w:rPr>
        <w:t> </w:t>
      </w:r>
      <w:r>
        <w:rPr/>
        <w:t>wild</w:t>
      </w:r>
      <w:r>
        <w:rPr>
          <w:spacing w:val="-1"/>
        </w:rPr>
        <w:t> </w:t>
      </w:r>
      <w:r>
        <w:rPr/>
        <w:t>pigs</w:t>
      </w:r>
      <w:r>
        <w:rPr>
          <w:spacing w:val="-2"/>
        </w:rPr>
        <w:t> </w:t>
      </w:r>
      <w:r>
        <w:rPr/>
        <w:t>and</w:t>
      </w:r>
      <w:r>
        <w:rPr>
          <w:spacing w:val="-3"/>
        </w:rPr>
        <w:t> </w:t>
      </w:r>
      <w:r>
        <w:rPr/>
        <w:t>potential</w:t>
      </w:r>
      <w:r>
        <w:rPr>
          <w:spacing w:val="-4"/>
        </w:rPr>
        <w:t> </w:t>
      </w:r>
      <w:r>
        <w:rPr/>
        <w:t>risk</w:t>
      </w:r>
      <w:r>
        <w:rPr>
          <w:spacing w:val="-2"/>
        </w:rPr>
        <w:t> </w:t>
      </w:r>
      <w:r>
        <w:rPr/>
        <w:t>to</w:t>
      </w:r>
      <w:r>
        <w:rPr>
          <w:spacing w:val="-4"/>
        </w:rPr>
        <w:t> </w:t>
      </w:r>
      <w:r>
        <w:rPr/>
        <w:t>non</w:t>
      </w:r>
      <w:r>
        <w:rPr>
          <w:rFonts w:ascii="Cambria Math" w:hAnsi="Cambria Math"/>
        </w:rPr>
        <w:t>‐</w:t>
      </w:r>
      <w:r>
        <w:rPr/>
        <w:t>target</w:t>
      </w:r>
      <w:r>
        <w:rPr>
          <w:spacing w:val="-3"/>
        </w:rPr>
        <w:t> </w:t>
      </w:r>
      <w:r>
        <w:rPr/>
        <w:t>species.</w:t>
      </w:r>
      <w:r>
        <w:rPr>
          <w:spacing w:val="-1"/>
        </w:rPr>
        <w:t> </w:t>
      </w:r>
      <w:r>
        <w:rPr>
          <w:i/>
        </w:rPr>
        <w:t>Pest</w:t>
      </w:r>
      <w:r>
        <w:rPr>
          <w:i/>
        </w:rPr>
        <w:t> Management Science </w:t>
      </w:r>
      <w:r>
        <w:rPr>
          <w:b/>
        </w:rPr>
        <w:t>79</w:t>
      </w:r>
      <w:r>
        <w:rPr/>
        <w:t>(11):4589–98. doi: 10.1002/ps.7658.</w:t>
      </w:r>
    </w:p>
    <w:p>
      <w:pPr>
        <w:pStyle w:val="BodyText"/>
        <w:spacing w:before="10"/>
      </w:pPr>
    </w:p>
    <w:p>
      <w:pPr>
        <w:pStyle w:val="BodyText"/>
        <w:spacing w:before="1"/>
        <w:ind w:left="833" w:right="163" w:hanging="721"/>
      </w:pPr>
      <w:r>
        <w:rPr/>
        <w:t>Kortner,</w:t>
      </w:r>
      <w:r>
        <w:rPr>
          <w:spacing w:val="-3"/>
        </w:rPr>
        <w:t> </w:t>
      </w:r>
      <w:r>
        <w:rPr/>
        <w:t>G.</w:t>
      </w:r>
      <w:r>
        <w:rPr>
          <w:spacing w:val="-3"/>
        </w:rPr>
        <w:t> </w:t>
      </w:r>
      <w:r>
        <w:rPr/>
        <w:t>(2007).</w:t>
      </w:r>
      <w:r>
        <w:rPr>
          <w:spacing w:val="-3"/>
        </w:rPr>
        <w:t> </w:t>
      </w:r>
      <w:r>
        <w:rPr/>
        <w:t>1080</w:t>
      </w:r>
      <w:r>
        <w:rPr>
          <w:spacing w:val="-1"/>
        </w:rPr>
        <w:t> </w:t>
      </w:r>
      <w:r>
        <w:rPr/>
        <w:t>aerial</w:t>
      </w:r>
      <w:r>
        <w:rPr>
          <w:spacing w:val="-2"/>
        </w:rPr>
        <w:t> </w:t>
      </w:r>
      <w:r>
        <w:rPr/>
        <w:t>baiting</w:t>
      </w:r>
      <w:r>
        <w:rPr>
          <w:spacing w:val="-4"/>
        </w:rPr>
        <w:t> </w:t>
      </w:r>
      <w:r>
        <w:rPr/>
        <w:t>for</w:t>
      </w:r>
      <w:r>
        <w:rPr>
          <w:spacing w:val="-3"/>
        </w:rPr>
        <w:t> </w:t>
      </w:r>
      <w:r>
        <w:rPr/>
        <w:t>the</w:t>
      </w:r>
      <w:r>
        <w:rPr>
          <w:spacing w:val="-4"/>
        </w:rPr>
        <w:t> </w:t>
      </w:r>
      <w:r>
        <w:rPr/>
        <w:t>control</w:t>
      </w:r>
      <w:r>
        <w:rPr>
          <w:spacing w:val="-4"/>
        </w:rPr>
        <w:t> </w:t>
      </w:r>
      <w:r>
        <w:rPr/>
        <w:t>of</w:t>
      </w:r>
      <w:r>
        <w:rPr>
          <w:spacing w:val="-1"/>
        </w:rPr>
        <w:t> </w:t>
      </w:r>
      <w:r>
        <w:rPr/>
        <w:t>wild</w:t>
      </w:r>
      <w:r>
        <w:rPr>
          <w:spacing w:val="-3"/>
        </w:rPr>
        <w:t> </w:t>
      </w:r>
      <w:r>
        <w:rPr/>
        <w:t>dogs</w:t>
      </w:r>
      <w:r>
        <w:rPr>
          <w:spacing w:val="-2"/>
        </w:rPr>
        <w:t> </w:t>
      </w:r>
      <w:r>
        <w:rPr/>
        <w:t>and</w:t>
      </w:r>
      <w:r>
        <w:rPr>
          <w:spacing w:val="-3"/>
        </w:rPr>
        <w:t> </w:t>
      </w:r>
      <w:r>
        <w:rPr/>
        <w:t>its</w:t>
      </w:r>
      <w:r>
        <w:rPr>
          <w:spacing w:val="-2"/>
        </w:rPr>
        <w:t> </w:t>
      </w:r>
      <w:r>
        <w:rPr/>
        <w:t>impact</w:t>
      </w:r>
      <w:r>
        <w:rPr>
          <w:spacing w:val="-3"/>
        </w:rPr>
        <w:t> </w:t>
      </w:r>
      <w:r>
        <w:rPr/>
        <w:t>on</w:t>
      </w:r>
      <w:r>
        <w:rPr>
          <w:spacing w:val="-3"/>
        </w:rPr>
        <w:t> </w:t>
      </w:r>
      <w:r>
        <w:rPr/>
        <w:t>spotted-tailed</w:t>
      </w:r>
      <w:r>
        <w:rPr>
          <w:spacing w:val="-4"/>
        </w:rPr>
        <w:t> </w:t>
      </w:r>
      <w:r>
        <w:rPr/>
        <w:t>quoll (D</w:t>
      </w:r>
      <w:r>
        <w:rPr>
          <w:i/>
        </w:rPr>
        <w:t>asyurus maculatus</w:t>
      </w:r>
      <w:r>
        <w:rPr/>
        <w:t>) populations in eastern Australia. </w:t>
      </w:r>
      <w:r>
        <w:rPr>
          <w:i/>
        </w:rPr>
        <w:t>Wildlife Research </w:t>
      </w:r>
      <w:r>
        <w:rPr>
          <w:b/>
        </w:rPr>
        <w:t>34</w:t>
      </w:r>
      <w:r>
        <w:rPr/>
        <w:t>(1):48–53.</w:t>
      </w:r>
    </w:p>
    <w:p>
      <w:pPr>
        <w:pStyle w:val="BodyText"/>
        <w:spacing w:before="10"/>
      </w:pPr>
    </w:p>
    <w:p>
      <w:pPr>
        <w:spacing w:before="0"/>
        <w:ind w:left="833" w:right="163" w:hanging="721"/>
        <w:jc w:val="left"/>
        <w:rPr>
          <w:sz w:val="20"/>
        </w:rPr>
      </w:pPr>
      <w:r>
        <w:rPr>
          <w:sz w:val="20"/>
        </w:rPr>
        <w:t>Kortner,</w:t>
      </w:r>
      <w:r>
        <w:rPr>
          <w:spacing w:val="-3"/>
          <w:sz w:val="20"/>
        </w:rPr>
        <w:t> </w:t>
      </w:r>
      <w:r>
        <w:rPr>
          <w:sz w:val="20"/>
        </w:rPr>
        <w:t>G.,</w:t>
      </w:r>
      <w:r>
        <w:rPr>
          <w:spacing w:val="-3"/>
          <w:sz w:val="20"/>
        </w:rPr>
        <w:t> </w:t>
      </w:r>
      <w:r>
        <w:rPr>
          <w:sz w:val="20"/>
        </w:rPr>
        <w:t>Gresser,</w:t>
      </w:r>
      <w:r>
        <w:rPr>
          <w:spacing w:val="-3"/>
          <w:sz w:val="20"/>
        </w:rPr>
        <w:t> </w:t>
      </w:r>
      <w:r>
        <w:rPr>
          <w:sz w:val="20"/>
        </w:rPr>
        <w:t>S.,</w:t>
      </w:r>
      <w:r>
        <w:rPr>
          <w:spacing w:val="-1"/>
          <w:sz w:val="20"/>
        </w:rPr>
        <w:t> </w:t>
      </w:r>
      <w:r>
        <w:rPr>
          <w:sz w:val="20"/>
        </w:rPr>
        <w:t>and</w:t>
      </w:r>
      <w:r>
        <w:rPr>
          <w:spacing w:val="-3"/>
          <w:sz w:val="20"/>
        </w:rPr>
        <w:t> </w:t>
      </w:r>
      <w:r>
        <w:rPr>
          <w:sz w:val="20"/>
        </w:rPr>
        <w:t>Harden,</w:t>
      </w:r>
      <w:r>
        <w:rPr>
          <w:spacing w:val="-1"/>
          <w:sz w:val="20"/>
        </w:rPr>
        <w:t> </w:t>
      </w:r>
      <w:r>
        <w:rPr>
          <w:sz w:val="20"/>
        </w:rPr>
        <w:t>B.</w:t>
      </w:r>
      <w:r>
        <w:rPr>
          <w:spacing w:val="-3"/>
          <w:sz w:val="20"/>
        </w:rPr>
        <w:t> </w:t>
      </w:r>
      <w:r>
        <w:rPr>
          <w:sz w:val="20"/>
        </w:rPr>
        <w:t>(2003).</w:t>
      </w:r>
      <w:r>
        <w:rPr>
          <w:spacing w:val="-3"/>
          <w:sz w:val="20"/>
        </w:rPr>
        <w:t> </w:t>
      </w:r>
      <w:r>
        <w:rPr>
          <w:sz w:val="20"/>
        </w:rPr>
        <w:t>Does</w:t>
      </w:r>
      <w:r>
        <w:rPr>
          <w:spacing w:val="-2"/>
          <w:sz w:val="20"/>
        </w:rPr>
        <w:t> </w:t>
      </w:r>
      <w:r>
        <w:rPr>
          <w:sz w:val="20"/>
        </w:rPr>
        <w:t>fox</w:t>
      </w:r>
      <w:r>
        <w:rPr>
          <w:spacing w:val="-2"/>
          <w:sz w:val="20"/>
        </w:rPr>
        <w:t> </w:t>
      </w:r>
      <w:r>
        <w:rPr>
          <w:sz w:val="20"/>
        </w:rPr>
        <w:t>baiting</w:t>
      </w:r>
      <w:r>
        <w:rPr>
          <w:spacing w:val="-3"/>
          <w:sz w:val="20"/>
        </w:rPr>
        <w:t> </w:t>
      </w:r>
      <w:r>
        <w:rPr>
          <w:sz w:val="20"/>
        </w:rPr>
        <w:t>threaten</w:t>
      </w:r>
      <w:r>
        <w:rPr>
          <w:spacing w:val="-3"/>
          <w:sz w:val="20"/>
        </w:rPr>
        <w:t> </w:t>
      </w:r>
      <w:r>
        <w:rPr>
          <w:sz w:val="20"/>
        </w:rPr>
        <w:t>the</w:t>
      </w:r>
      <w:r>
        <w:rPr>
          <w:spacing w:val="-3"/>
          <w:sz w:val="20"/>
        </w:rPr>
        <w:t> </w:t>
      </w:r>
      <w:r>
        <w:rPr>
          <w:sz w:val="20"/>
        </w:rPr>
        <w:t>spotted-tailed</w:t>
      </w:r>
      <w:r>
        <w:rPr>
          <w:spacing w:val="-3"/>
          <w:sz w:val="20"/>
        </w:rPr>
        <w:t> </w:t>
      </w:r>
      <w:r>
        <w:rPr>
          <w:sz w:val="20"/>
        </w:rPr>
        <w:t>quoll,</w:t>
      </w:r>
      <w:r>
        <w:rPr>
          <w:spacing w:val="-1"/>
          <w:sz w:val="20"/>
        </w:rPr>
        <w:t> </w:t>
      </w:r>
      <w:r>
        <w:rPr>
          <w:sz w:val="20"/>
        </w:rPr>
        <w:t>D</w:t>
      </w:r>
      <w:r>
        <w:rPr>
          <w:i/>
          <w:sz w:val="20"/>
        </w:rPr>
        <w:t>asyurus</w:t>
      </w:r>
      <w:r>
        <w:rPr>
          <w:i/>
          <w:sz w:val="20"/>
        </w:rPr>
        <w:t> maculatus</w:t>
      </w:r>
      <w:r>
        <w:rPr>
          <w:sz w:val="20"/>
        </w:rPr>
        <w:t>? </w:t>
      </w:r>
      <w:r>
        <w:rPr>
          <w:i/>
          <w:sz w:val="20"/>
        </w:rPr>
        <w:t>Wildlife Research </w:t>
      </w:r>
      <w:r>
        <w:rPr>
          <w:b/>
          <w:sz w:val="20"/>
        </w:rPr>
        <w:t>30</w:t>
      </w:r>
      <w:r>
        <w:rPr>
          <w:sz w:val="20"/>
        </w:rPr>
        <w:t>(2):111. doi: 10.1071/WR02107.</w:t>
      </w:r>
    </w:p>
    <w:p>
      <w:pPr>
        <w:pStyle w:val="BodyText"/>
        <w:spacing w:before="9"/>
      </w:pPr>
    </w:p>
    <w:p>
      <w:pPr>
        <w:pStyle w:val="BodyText"/>
        <w:ind w:left="833" w:right="703" w:hanging="721"/>
      </w:pPr>
      <w:r>
        <w:rPr/>
        <w:t>Kortner,</w:t>
      </w:r>
      <w:r>
        <w:rPr>
          <w:spacing w:val="-3"/>
        </w:rPr>
        <w:t> </w:t>
      </w:r>
      <w:r>
        <w:rPr/>
        <w:t>G.,</w:t>
      </w:r>
      <w:r>
        <w:rPr>
          <w:spacing w:val="-3"/>
        </w:rPr>
        <w:t> </w:t>
      </w:r>
      <w:r>
        <w:rPr/>
        <w:t>and</w:t>
      </w:r>
      <w:r>
        <w:rPr>
          <w:spacing w:val="-2"/>
        </w:rPr>
        <w:t> </w:t>
      </w:r>
      <w:r>
        <w:rPr/>
        <w:t>Watson,</w:t>
      </w:r>
      <w:r>
        <w:rPr>
          <w:spacing w:val="-1"/>
        </w:rPr>
        <w:t> </w:t>
      </w:r>
      <w:r>
        <w:rPr/>
        <w:t>P.</w:t>
      </w:r>
      <w:r>
        <w:rPr>
          <w:spacing w:val="-3"/>
        </w:rPr>
        <w:t> </w:t>
      </w:r>
      <w:r>
        <w:rPr/>
        <w:t>(2005).</w:t>
      </w:r>
      <w:r>
        <w:rPr>
          <w:spacing w:val="-1"/>
        </w:rPr>
        <w:t> </w:t>
      </w:r>
      <w:r>
        <w:rPr/>
        <w:t>The</w:t>
      </w:r>
      <w:r>
        <w:rPr>
          <w:spacing w:val="-1"/>
        </w:rPr>
        <w:t> </w:t>
      </w:r>
      <w:r>
        <w:rPr/>
        <w:t>immediate</w:t>
      </w:r>
      <w:r>
        <w:rPr>
          <w:spacing w:val="-3"/>
        </w:rPr>
        <w:t> </w:t>
      </w:r>
      <w:r>
        <w:rPr/>
        <w:t>impact</w:t>
      </w:r>
      <w:r>
        <w:rPr>
          <w:spacing w:val="-3"/>
        </w:rPr>
        <w:t> </w:t>
      </w:r>
      <w:r>
        <w:rPr/>
        <w:t>of</w:t>
      </w:r>
      <w:r>
        <w:rPr>
          <w:spacing w:val="-1"/>
        </w:rPr>
        <w:t> </w:t>
      </w:r>
      <w:r>
        <w:rPr/>
        <w:t>1080</w:t>
      </w:r>
      <w:r>
        <w:rPr>
          <w:spacing w:val="-3"/>
        </w:rPr>
        <w:t> </w:t>
      </w:r>
      <w:r>
        <w:rPr/>
        <w:t>aerial</w:t>
      </w:r>
      <w:r>
        <w:rPr>
          <w:spacing w:val="-4"/>
        </w:rPr>
        <w:t> </w:t>
      </w:r>
      <w:r>
        <w:rPr/>
        <w:t>baiting</w:t>
      </w:r>
      <w:r>
        <w:rPr>
          <w:spacing w:val="-1"/>
        </w:rPr>
        <w:t> </w:t>
      </w:r>
      <w:r>
        <w:rPr/>
        <w:t>to</w:t>
      </w:r>
      <w:r>
        <w:rPr>
          <w:spacing w:val="-3"/>
        </w:rPr>
        <w:t> </w:t>
      </w:r>
      <w:r>
        <w:rPr/>
        <w:t>control</w:t>
      </w:r>
      <w:r>
        <w:rPr>
          <w:spacing w:val="-4"/>
        </w:rPr>
        <w:t> </w:t>
      </w:r>
      <w:r>
        <w:rPr/>
        <w:t>wild</w:t>
      </w:r>
      <w:r>
        <w:rPr>
          <w:spacing w:val="-1"/>
        </w:rPr>
        <w:t> </w:t>
      </w:r>
      <w:r>
        <w:rPr/>
        <w:t>dogs</w:t>
      </w:r>
      <w:r>
        <w:rPr>
          <w:spacing w:val="-2"/>
        </w:rPr>
        <w:t> </w:t>
      </w:r>
      <w:r>
        <w:rPr/>
        <w:t>on</w:t>
      </w:r>
      <w:r>
        <w:rPr>
          <w:spacing w:val="-2"/>
        </w:rPr>
        <w:t> </w:t>
      </w:r>
      <w:r>
        <w:rPr/>
        <w:t>a spotted-tailed quoll population. </w:t>
      </w:r>
      <w:r>
        <w:rPr>
          <w:i/>
        </w:rPr>
        <w:t>Wildlife Research </w:t>
      </w:r>
      <w:r>
        <w:rPr>
          <w:b/>
        </w:rPr>
        <w:t>32</w:t>
      </w:r>
      <w:r>
        <w:rPr/>
        <w:t>:673–80.</w:t>
      </w:r>
    </w:p>
    <w:p>
      <w:pPr>
        <w:pStyle w:val="BodyText"/>
        <w:spacing w:before="11"/>
      </w:pPr>
    </w:p>
    <w:p>
      <w:pPr>
        <w:spacing w:before="0"/>
        <w:ind w:left="112" w:right="0" w:firstLine="0"/>
        <w:jc w:val="left"/>
        <w:rPr>
          <w:sz w:val="20"/>
        </w:rPr>
      </w:pPr>
      <w:r>
        <w:rPr>
          <w:sz w:val="20"/>
        </w:rPr>
        <w:t>Krebs,</w:t>
      </w:r>
      <w:r>
        <w:rPr>
          <w:spacing w:val="-9"/>
          <w:sz w:val="20"/>
        </w:rPr>
        <w:t> </w:t>
      </w:r>
      <w:r>
        <w:rPr>
          <w:sz w:val="20"/>
        </w:rPr>
        <w:t>C.J.</w:t>
      </w:r>
      <w:r>
        <w:rPr>
          <w:spacing w:val="-8"/>
          <w:sz w:val="20"/>
        </w:rPr>
        <w:t> </w:t>
      </w:r>
      <w:r>
        <w:rPr>
          <w:sz w:val="20"/>
        </w:rPr>
        <w:t>(1999).</w:t>
      </w:r>
      <w:r>
        <w:rPr>
          <w:spacing w:val="-6"/>
          <w:sz w:val="20"/>
        </w:rPr>
        <w:t> </w:t>
      </w:r>
      <w:r>
        <w:rPr>
          <w:i/>
          <w:sz w:val="20"/>
        </w:rPr>
        <w:t>Ecological</w:t>
      </w:r>
      <w:r>
        <w:rPr>
          <w:i/>
          <w:spacing w:val="-9"/>
          <w:sz w:val="20"/>
        </w:rPr>
        <w:t> </w:t>
      </w:r>
      <w:r>
        <w:rPr>
          <w:i/>
          <w:sz w:val="20"/>
        </w:rPr>
        <w:t>methodology</w:t>
      </w:r>
      <w:r>
        <w:rPr>
          <w:sz w:val="20"/>
        </w:rPr>
        <w:t>.</w:t>
      </w:r>
      <w:r>
        <w:rPr>
          <w:spacing w:val="-6"/>
          <w:sz w:val="20"/>
        </w:rPr>
        <w:t> </w:t>
      </w:r>
      <w:r>
        <w:rPr>
          <w:sz w:val="20"/>
        </w:rPr>
        <w:t>Menlo</w:t>
      </w:r>
      <w:r>
        <w:rPr>
          <w:spacing w:val="-7"/>
          <w:sz w:val="20"/>
        </w:rPr>
        <w:t> </w:t>
      </w:r>
      <w:r>
        <w:rPr>
          <w:sz w:val="20"/>
        </w:rPr>
        <w:t>Park,</w:t>
      </w:r>
      <w:r>
        <w:rPr>
          <w:spacing w:val="-8"/>
          <w:sz w:val="20"/>
        </w:rPr>
        <w:t> </w:t>
      </w:r>
      <w:r>
        <w:rPr>
          <w:sz w:val="20"/>
        </w:rPr>
        <w:t>Calif.</w:t>
      </w:r>
      <w:r>
        <w:rPr>
          <w:spacing w:val="-8"/>
          <w:sz w:val="20"/>
        </w:rPr>
        <w:t> </w:t>
      </w:r>
      <w:r>
        <w:rPr>
          <w:spacing w:val="-2"/>
          <w:sz w:val="20"/>
        </w:rPr>
        <w:t>Benjamin/Cummings.</w:t>
      </w:r>
    </w:p>
    <w:p>
      <w:pPr>
        <w:pStyle w:val="BodyText"/>
        <w:spacing w:before="11"/>
      </w:pPr>
    </w:p>
    <w:p>
      <w:pPr>
        <w:pStyle w:val="BodyText"/>
        <w:ind w:left="833" w:right="232" w:hanging="721"/>
      </w:pPr>
      <w:r>
        <w:rPr/>
        <w:t>Kreplins,</w:t>
      </w:r>
      <w:r>
        <w:rPr>
          <w:spacing w:val="-4"/>
        </w:rPr>
        <w:t> </w:t>
      </w:r>
      <w:r>
        <w:rPr/>
        <w:t>T.,</w:t>
      </w:r>
      <w:r>
        <w:rPr>
          <w:spacing w:val="-4"/>
        </w:rPr>
        <w:t> </w:t>
      </w:r>
      <w:r>
        <w:rPr/>
        <w:t>Kennedy,</w:t>
      </w:r>
      <w:r>
        <w:rPr>
          <w:spacing w:val="-2"/>
        </w:rPr>
        <w:t> </w:t>
      </w:r>
      <w:r>
        <w:rPr/>
        <w:t>M.,</w:t>
      </w:r>
      <w:r>
        <w:rPr>
          <w:spacing w:val="-2"/>
        </w:rPr>
        <w:t> </w:t>
      </w:r>
      <w:r>
        <w:rPr/>
        <w:t>Adams,</w:t>
      </w:r>
      <w:r>
        <w:rPr>
          <w:spacing w:val="-4"/>
        </w:rPr>
        <w:t> </w:t>
      </w:r>
      <w:r>
        <w:rPr/>
        <w:t>P.,</w:t>
      </w:r>
      <w:r>
        <w:rPr>
          <w:spacing w:val="-4"/>
        </w:rPr>
        <w:t> </w:t>
      </w:r>
      <w:r>
        <w:rPr/>
        <w:t>Bateman,</w:t>
      </w:r>
      <w:r>
        <w:rPr>
          <w:spacing w:val="-2"/>
        </w:rPr>
        <w:t> </w:t>
      </w:r>
      <w:r>
        <w:rPr/>
        <w:t>B.,</w:t>
      </w:r>
      <w:r>
        <w:rPr>
          <w:spacing w:val="-4"/>
        </w:rPr>
        <w:t> </w:t>
      </w:r>
      <w:r>
        <w:rPr/>
        <w:t>Dundas,</w:t>
      </w:r>
      <w:r>
        <w:rPr>
          <w:spacing w:val="-2"/>
        </w:rPr>
        <w:t> </w:t>
      </w:r>
      <w:r>
        <w:rPr/>
        <w:t>S.,</w:t>
      </w:r>
      <w:r>
        <w:rPr>
          <w:spacing w:val="-2"/>
        </w:rPr>
        <w:t> </w:t>
      </w:r>
      <w:r>
        <w:rPr/>
        <w:t>and</w:t>
      </w:r>
      <w:r>
        <w:rPr>
          <w:spacing w:val="-2"/>
        </w:rPr>
        <w:t> </w:t>
      </w:r>
      <w:r>
        <w:rPr/>
        <w:t>Fleming,</w:t>
      </w:r>
      <w:r>
        <w:rPr>
          <w:spacing w:val="-2"/>
        </w:rPr>
        <w:t> </w:t>
      </w:r>
      <w:r>
        <w:rPr/>
        <w:t>P.</w:t>
      </w:r>
      <w:r>
        <w:rPr>
          <w:spacing w:val="-2"/>
        </w:rPr>
        <w:t> </w:t>
      </w:r>
      <w:r>
        <w:rPr/>
        <w:t>(2018).</w:t>
      </w:r>
      <w:r>
        <w:rPr>
          <w:spacing w:val="-4"/>
        </w:rPr>
        <w:t> </w:t>
      </w:r>
      <w:r>
        <w:rPr/>
        <w:t>Fate</w:t>
      </w:r>
      <w:r>
        <w:rPr>
          <w:spacing w:val="-5"/>
        </w:rPr>
        <w:t> </w:t>
      </w:r>
      <w:r>
        <w:rPr/>
        <w:t>of</w:t>
      </w:r>
      <w:r>
        <w:rPr>
          <w:spacing w:val="-4"/>
        </w:rPr>
        <w:t> </w:t>
      </w:r>
      <w:r>
        <w:rPr/>
        <w:t>dried</w:t>
      </w:r>
      <w:r>
        <w:rPr>
          <w:spacing w:val="-3"/>
        </w:rPr>
        <w:t> </w:t>
      </w:r>
      <w:r>
        <w:rPr/>
        <w:t>meat baits aimed at wild dog (</w:t>
      </w:r>
      <w:r>
        <w:rPr>
          <w:i/>
        </w:rPr>
        <w:t>Canis familiaris</w:t>
      </w:r>
      <w:r>
        <w:rPr/>
        <w:t>) control. </w:t>
      </w:r>
      <w:r>
        <w:rPr>
          <w:i/>
        </w:rPr>
        <w:t>Wildlife Research </w:t>
      </w:r>
      <w:r>
        <w:rPr>
          <w:b/>
        </w:rPr>
        <w:t>45</w:t>
      </w:r>
      <w:r>
        <w:rPr/>
        <w:t>(6):528–38.</w:t>
      </w:r>
    </w:p>
    <w:p>
      <w:pPr>
        <w:pStyle w:val="BodyText"/>
        <w:spacing w:before="8"/>
      </w:pPr>
    </w:p>
    <w:p>
      <w:pPr>
        <w:spacing w:before="0"/>
        <w:ind w:left="833" w:right="357" w:hanging="721"/>
        <w:jc w:val="left"/>
        <w:rPr>
          <w:sz w:val="20"/>
        </w:rPr>
      </w:pPr>
      <w:r>
        <w:rPr>
          <w:sz w:val="20"/>
        </w:rPr>
        <w:t>Kreplins, T., Kennedy, M., Fleming, T., Dawson, S., Miller, J., Barwick, J., MacLeay, C., Omogbene, M., Renwick, J., Cowan, M. (2022). </w:t>
      </w:r>
      <w:r>
        <w:rPr>
          <w:i/>
          <w:sz w:val="20"/>
        </w:rPr>
        <w:t>Assessment of the Biodiversity, Economic and Productivity Gains</w:t>
      </w:r>
      <w:r>
        <w:rPr>
          <w:i/>
          <w:sz w:val="20"/>
        </w:rPr>
        <w:t> from</w:t>
      </w:r>
      <w:r>
        <w:rPr>
          <w:i/>
          <w:spacing w:val="-4"/>
          <w:sz w:val="20"/>
        </w:rPr>
        <w:t> </w:t>
      </w:r>
      <w:r>
        <w:rPr>
          <w:i/>
          <w:sz w:val="20"/>
        </w:rPr>
        <w:t>Exclusion</w:t>
      </w:r>
      <w:r>
        <w:rPr>
          <w:i/>
          <w:spacing w:val="-4"/>
          <w:sz w:val="20"/>
        </w:rPr>
        <w:t> </w:t>
      </w:r>
      <w:r>
        <w:rPr>
          <w:i/>
          <w:sz w:val="20"/>
        </w:rPr>
        <w:t>Fencing,</w:t>
      </w:r>
      <w:r>
        <w:rPr>
          <w:i/>
          <w:spacing w:val="-2"/>
          <w:sz w:val="20"/>
        </w:rPr>
        <w:t> </w:t>
      </w:r>
      <w:r>
        <w:rPr>
          <w:i/>
          <w:sz w:val="20"/>
        </w:rPr>
        <w:t>Western</w:t>
      </w:r>
      <w:r>
        <w:rPr>
          <w:i/>
          <w:spacing w:val="-4"/>
          <w:sz w:val="20"/>
        </w:rPr>
        <w:t> </w:t>
      </w:r>
      <w:r>
        <w:rPr>
          <w:i/>
          <w:sz w:val="20"/>
        </w:rPr>
        <w:t>Australia:</w:t>
      </w:r>
      <w:r>
        <w:rPr>
          <w:i/>
          <w:spacing w:val="-4"/>
          <w:sz w:val="20"/>
        </w:rPr>
        <w:t> </w:t>
      </w:r>
      <w:r>
        <w:rPr>
          <w:i/>
          <w:sz w:val="20"/>
        </w:rPr>
        <w:t>Final</w:t>
      </w:r>
      <w:r>
        <w:rPr>
          <w:i/>
          <w:spacing w:val="-5"/>
          <w:sz w:val="20"/>
        </w:rPr>
        <w:t> </w:t>
      </w:r>
      <w:r>
        <w:rPr>
          <w:i/>
          <w:sz w:val="20"/>
        </w:rPr>
        <w:t>Report</w:t>
      </w:r>
      <w:r>
        <w:rPr>
          <w:i/>
          <w:spacing w:val="-4"/>
          <w:sz w:val="20"/>
        </w:rPr>
        <w:t> </w:t>
      </w:r>
      <w:r>
        <w:rPr>
          <w:i/>
          <w:sz w:val="20"/>
        </w:rPr>
        <w:t>for</w:t>
      </w:r>
      <w:r>
        <w:rPr>
          <w:i/>
          <w:spacing w:val="-4"/>
          <w:sz w:val="20"/>
        </w:rPr>
        <w:t> </w:t>
      </w:r>
      <w:r>
        <w:rPr>
          <w:i/>
          <w:sz w:val="20"/>
        </w:rPr>
        <w:t>Project</w:t>
      </w:r>
      <w:r>
        <w:rPr>
          <w:i/>
          <w:spacing w:val="-2"/>
          <w:sz w:val="20"/>
        </w:rPr>
        <w:t> </w:t>
      </w:r>
      <w:r>
        <w:rPr>
          <w:i/>
          <w:sz w:val="20"/>
        </w:rPr>
        <w:t>P01-L-006</w:t>
      </w:r>
      <w:r>
        <w:rPr>
          <w:sz w:val="20"/>
        </w:rPr>
        <w:t>.</w:t>
      </w:r>
      <w:r>
        <w:rPr>
          <w:spacing w:val="-4"/>
          <w:sz w:val="20"/>
        </w:rPr>
        <w:t> </w:t>
      </w:r>
      <w:r>
        <w:rPr>
          <w:sz w:val="20"/>
        </w:rPr>
        <w:t>Report</w:t>
      </w:r>
      <w:r>
        <w:rPr>
          <w:spacing w:val="-4"/>
          <w:sz w:val="20"/>
        </w:rPr>
        <w:t> </w:t>
      </w:r>
      <w:r>
        <w:rPr>
          <w:sz w:val="20"/>
        </w:rPr>
        <w:t>for</w:t>
      </w:r>
      <w:r>
        <w:rPr>
          <w:spacing w:val="-4"/>
          <w:sz w:val="20"/>
        </w:rPr>
        <w:t> </w:t>
      </w:r>
      <w:r>
        <w:rPr>
          <w:sz w:val="20"/>
        </w:rPr>
        <w:t>the</w:t>
      </w:r>
      <w:r>
        <w:rPr>
          <w:spacing w:val="-2"/>
          <w:sz w:val="20"/>
        </w:rPr>
        <w:t> </w:t>
      </w:r>
      <w:r>
        <w:rPr>
          <w:sz w:val="20"/>
        </w:rPr>
        <w:t>Centre for Invasive Species Solutions. Available at: https://invasives.com.au/wp- content/uploads/2023/06/L006-Final-release.pdf [accessed 23 August 2024].</w:t>
      </w:r>
    </w:p>
    <w:p>
      <w:pPr>
        <w:pStyle w:val="BodyText"/>
        <w:spacing w:before="12"/>
      </w:pPr>
    </w:p>
    <w:p>
      <w:pPr>
        <w:pStyle w:val="BodyText"/>
        <w:ind w:left="833" w:right="232" w:hanging="721"/>
      </w:pPr>
      <w:r>
        <w:rPr/>
        <w:t>Kreplins,</w:t>
      </w:r>
      <w:r>
        <w:rPr>
          <w:spacing w:val="-3"/>
        </w:rPr>
        <w:t> </w:t>
      </w:r>
      <w:r>
        <w:rPr/>
        <w:t>T.L.,</w:t>
      </w:r>
      <w:r>
        <w:rPr>
          <w:spacing w:val="-1"/>
        </w:rPr>
        <w:t> </w:t>
      </w:r>
      <w:r>
        <w:rPr/>
        <w:t>Miller,</w:t>
      </w:r>
      <w:r>
        <w:rPr>
          <w:spacing w:val="-3"/>
        </w:rPr>
        <w:t> </w:t>
      </w:r>
      <w:r>
        <w:rPr/>
        <w:t>J.,</w:t>
      </w:r>
      <w:r>
        <w:rPr>
          <w:spacing w:val="-3"/>
        </w:rPr>
        <w:t> </w:t>
      </w:r>
      <w:r>
        <w:rPr/>
        <w:t>and</w:t>
      </w:r>
      <w:r>
        <w:rPr>
          <w:spacing w:val="-3"/>
        </w:rPr>
        <w:t> </w:t>
      </w:r>
      <w:r>
        <w:rPr/>
        <w:t>Kennedy,</w:t>
      </w:r>
      <w:r>
        <w:rPr>
          <w:spacing w:val="-3"/>
        </w:rPr>
        <w:t> </w:t>
      </w:r>
      <w:r>
        <w:rPr/>
        <w:t>M.S.</w:t>
      </w:r>
      <w:r>
        <w:rPr>
          <w:spacing w:val="-3"/>
        </w:rPr>
        <w:t> </w:t>
      </w:r>
      <w:r>
        <w:rPr/>
        <w:t>(2021).</w:t>
      </w:r>
      <w:r>
        <w:rPr>
          <w:spacing w:val="-1"/>
        </w:rPr>
        <w:t> </w:t>
      </w:r>
      <w:r>
        <w:rPr/>
        <w:t>Are</w:t>
      </w:r>
      <w:r>
        <w:rPr>
          <w:spacing w:val="-3"/>
        </w:rPr>
        <w:t> </w:t>
      </w:r>
      <w:r>
        <w:rPr/>
        <w:t>canid</w:t>
      </w:r>
      <w:r>
        <w:rPr>
          <w:spacing w:val="-3"/>
        </w:rPr>
        <w:t> </w:t>
      </w:r>
      <w:r>
        <w:rPr/>
        <w:t>pest</w:t>
      </w:r>
      <w:r>
        <w:rPr>
          <w:spacing w:val="-3"/>
        </w:rPr>
        <w:t> </w:t>
      </w:r>
      <w:r>
        <w:rPr/>
        <w:t>ejectors</w:t>
      </w:r>
      <w:r>
        <w:rPr>
          <w:spacing w:val="-1"/>
        </w:rPr>
        <w:t> </w:t>
      </w:r>
      <w:r>
        <w:rPr/>
        <w:t>an</w:t>
      </w:r>
      <w:r>
        <w:rPr>
          <w:spacing w:val="-2"/>
        </w:rPr>
        <w:t> </w:t>
      </w:r>
      <w:r>
        <w:rPr/>
        <w:t>effective</w:t>
      </w:r>
      <w:r>
        <w:rPr>
          <w:spacing w:val="-3"/>
        </w:rPr>
        <w:t> </w:t>
      </w:r>
      <w:r>
        <w:rPr/>
        <w:t>control</w:t>
      </w:r>
      <w:r>
        <w:rPr>
          <w:spacing w:val="-4"/>
        </w:rPr>
        <w:t> </w:t>
      </w:r>
      <w:r>
        <w:rPr/>
        <w:t>tool</w:t>
      </w:r>
      <w:r>
        <w:rPr>
          <w:spacing w:val="-4"/>
        </w:rPr>
        <w:t> </w:t>
      </w:r>
      <w:r>
        <w:rPr/>
        <w:t>for</w:t>
      </w:r>
      <w:r>
        <w:rPr>
          <w:spacing w:val="-2"/>
        </w:rPr>
        <w:t> </w:t>
      </w:r>
      <w:r>
        <w:rPr/>
        <w:t>wild dogs in an arid rangeland environment? </w:t>
      </w:r>
      <w:r>
        <w:rPr>
          <w:i/>
        </w:rPr>
        <w:t>Wildlife Research </w:t>
      </w:r>
      <w:r>
        <w:rPr>
          <w:b/>
        </w:rPr>
        <w:t>49</w:t>
      </w:r>
      <w:r>
        <w:rPr/>
        <w:t>(3):227–36. doi: 10.1071/WR21043.</w:t>
      </w:r>
    </w:p>
    <w:p>
      <w:pPr>
        <w:pStyle w:val="BodyText"/>
        <w:spacing w:before="9"/>
      </w:pPr>
    </w:p>
    <w:p>
      <w:pPr>
        <w:pStyle w:val="BodyText"/>
        <w:ind w:left="833" w:right="364" w:hanging="721"/>
      </w:pPr>
      <w:r>
        <w:rPr/>
        <w:t>Krull,</w:t>
      </w:r>
      <w:r>
        <w:rPr>
          <w:spacing w:val="-5"/>
        </w:rPr>
        <w:t> </w:t>
      </w:r>
      <w:r>
        <w:rPr/>
        <w:t>C.R.,</w:t>
      </w:r>
      <w:r>
        <w:rPr>
          <w:spacing w:val="-3"/>
        </w:rPr>
        <w:t> </w:t>
      </w:r>
      <w:r>
        <w:rPr/>
        <w:t>Stanley,</w:t>
      </w:r>
      <w:r>
        <w:rPr>
          <w:spacing w:val="-3"/>
        </w:rPr>
        <w:t> </w:t>
      </w:r>
      <w:r>
        <w:rPr/>
        <w:t>M.C.,</w:t>
      </w:r>
      <w:r>
        <w:rPr>
          <w:spacing w:val="-1"/>
        </w:rPr>
        <w:t> </w:t>
      </w:r>
      <w:r>
        <w:rPr/>
        <w:t>Burns,</w:t>
      </w:r>
      <w:r>
        <w:rPr>
          <w:spacing w:val="-3"/>
        </w:rPr>
        <w:t> </w:t>
      </w:r>
      <w:r>
        <w:rPr/>
        <w:t>B.R.,</w:t>
      </w:r>
      <w:r>
        <w:rPr>
          <w:spacing w:val="-3"/>
        </w:rPr>
        <w:t> </w:t>
      </w:r>
      <w:r>
        <w:rPr/>
        <w:t>Choquenot,</w:t>
      </w:r>
      <w:r>
        <w:rPr>
          <w:spacing w:val="-3"/>
        </w:rPr>
        <w:t> </w:t>
      </w:r>
      <w:r>
        <w:rPr/>
        <w:t>D.,</w:t>
      </w:r>
      <w:r>
        <w:rPr>
          <w:spacing w:val="-5"/>
        </w:rPr>
        <w:t> </w:t>
      </w:r>
      <w:r>
        <w:rPr/>
        <w:t>and</w:t>
      </w:r>
      <w:r>
        <w:rPr>
          <w:spacing w:val="-3"/>
        </w:rPr>
        <w:t> </w:t>
      </w:r>
      <w:r>
        <w:rPr/>
        <w:t>Etherington,</w:t>
      </w:r>
      <w:r>
        <w:rPr>
          <w:spacing w:val="-5"/>
        </w:rPr>
        <w:t> </w:t>
      </w:r>
      <w:r>
        <w:rPr/>
        <w:t>T.R.</w:t>
      </w:r>
      <w:r>
        <w:rPr>
          <w:spacing w:val="-3"/>
        </w:rPr>
        <w:t> </w:t>
      </w:r>
      <w:r>
        <w:rPr/>
        <w:t>(2016). Reducing</w:t>
      </w:r>
      <w:r>
        <w:rPr>
          <w:spacing w:val="-6"/>
        </w:rPr>
        <w:t> </w:t>
      </w:r>
      <w:r>
        <w:rPr/>
        <w:t>wildlife damage with cost-effective management programmes. </w:t>
      </w:r>
      <w:r>
        <w:rPr>
          <w:i/>
        </w:rPr>
        <w:t>PLOS ONE </w:t>
      </w:r>
      <w:r>
        <w:rPr>
          <w:b/>
        </w:rPr>
        <w:t>11</w:t>
      </w:r>
      <w:r>
        <w:rPr/>
        <w:t>(1):e0146765. doi: </w:t>
      </w:r>
      <w:r>
        <w:rPr>
          <w:spacing w:val="-2"/>
        </w:rPr>
        <w:t>10.1371/journal.pone.0146765.</w:t>
      </w:r>
    </w:p>
    <w:p>
      <w:pPr>
        <w:pStyle w:val="BodyText"/>
        <w:spacing w:before="11"/>
      </w:pPr>
    </w:p>
    <w:p>
      <w:pPr>
        <w:spacing w:before="1"/>
        <w:ind w:left="833" w:right="232" w:hanging="721"/>
        <w:jc w:val="left"/>
        <w:rPr>
          <w:sz w:val="20"/>
        </w:rPr>
      </w:pPr>
      <w:r>
        <w:rPr>
          <w:sz w:val="20"/>
        </w:rPr>
        <w:t>KTRI.</w:t>
      </w:r>
      <w:r>
        <w:rPr>
          <w:spacing w:val="-4"/>
          <w:sz w:val="20"/>
        </w:rPr>
        <w:t> </w:t>
      </w:r>
      <w:r>
        <w:rPr>
          <w:sz w:val="20"/>
        </w:rPr>
        <w:t>(1995). </w:t>
      </w:r>
      <w:r>
        <w:rPr>
          <w:i/>
          <w:sz w:val="20"/>
        </w:rPr>
        <w:t>Evaluation</w:t>
      </w:r>
      <w:r>
        <w:rPr>
          <w:i/>
          <w:spacing w:val="-4"/>
          <w:sz w:val="20"/>
        </w:rPr>
        <w:t> </w:t>
      </w:r>
      <w:r>
        <w:rPr>
          <w:i/>
          <w:sz w:val="20"/>
        </w:rPr>
        <w:t>of</w:t>
      </w:r>
      <w:r>
        <w:rPr>
          <w:i/>
          <w:spacing w:val="-2"/>
          <w:sz w:val="20"/>
        </w:rPr>
        <w:t> </w:t>
      </w:r>
      <w:r>
        <w:rPr>
          <w:i/>
          <w:sz w:val="20"/>
        </w:rPr>
        <w:t>carbon</w:t>
      </w:r>
      <w:r>
        <w:rPr>
          <w:i/>
          <w:spacing w:val="-2"/>
          <w:sz w:val="20"/>
        </w:rPr>
        <w:t> </w:t>
      </w:r>
      <w:r>
        <w:rPr>
          <w:i/>
          <w:sz w:val="20"/>
        </w:rPr>
        <w:t>monoxide</w:t>
      </w:r>
      <w:r>
        <w:rPr>
          <w:i/>
          <w:spacing w:val="-2"/>
          <w:sz w:val="20"/>
        </w:rPr>
        <w:t> </w:t>
      </w:r>
      <w:r>
        <w:rPr>
          <w:i/>
          <w:sz w:val="20"/>
        </w:rPr>
        <w:t>cartridges</w:t>
      </w:r>
      <w:r>
        <w:rPr>
          <w:i/>
          <w:spacing w:val="-3"/>
          <w:sz w:val="20"/>
        </w:rPr>
        <w:t> </w:t>
      </w:r>
      <w:r>
        <w:rPr>
          <w:i/>
          <w:sz w:val="20"/>
        </w:rPr>
        <w:t>for</w:t>
      </w:r>
      <w:r>
        <w:rPr>
          <w:i/>
          <w:spacing w:val="-3"/>
          <w:sz w:val="20"/>
        </w:rPr>
        <w:t> </w:t>
      </w:r>
      <w:r>
        <w:rPr>
          <w:i/>
          <w:sz w:val="20"/>
        </w:rPr>
        <w:t>the</w:t>
      </w:r>
      <w:r>
        <w:rPr>
          <w:i/>
          <w:spacing w:val="-4"/>
          <w:sz w:val="20"/>
        </w:rPr>
        <w:t> </w:t>
      </w:r>
      <w:r>
        <w:rPr>
          <w:i/>
          <w:sz w:val="20"/>
        </w:rPr>
        <w:t>fumigation</w:t>
      </w:r>
      <w:r>
        <w:rPr>
          <w:i/>
          <w:spacing w:val="-4"/>
          <w:sz w:val="20"/>
        </w:rPr>
        <w:t> </w:t>
      </w:r>
      <w:r>
        <w:rPr>
          <w:i/>
          <w:sz w:val="20"/>
        </w:rPr>
        <w:t>of</w:t>
      </w:r>
      <w:r>
        <w:rPr>
          <w:i/>
          <w:spacing w:val="-2"/>
          <w:sz w:val="20"/>
        </w:rPr>
        <w:t> </w:t>
      </w:r>
      <w:r>
        <w:rPr>
          <w:i/>
          <w:sz w:val="20"/>
        </w:rPr>
        <w:t>fox</w:t>
      </w:r>
      <w:r>
        <w:rPr>
          <w:i/>
          <w:spacing w:val="-3"/>
          <w:sz w:val="20"/>
        </w:rPr>
        <w:t> </w:t>
      </w:r>
      <w:r>
        <w:rPr>
          <w:i/>
          <w:sz w:val="20"/>
        </w:rPr>
        <w:t>natal</w:t>
      </w:r>
      <w:r>
        <w:rPr>
          <w:i/>
          <w:spacing w:val="-3"/>
          <w:sz w:val="20"/>
        </w:rPr>
        <w:t> </w:t>
      </w:r>
      <w:r>
        <w:rPr>
          <w:i/>
          <w:sz w:val="20"/>
        </w:rPr>
        <w:t>dens</w:t>
      </w:r>
      <w:r>
        <w:rPr>
          <w:sz w:val="20"/>
        </w:rPr>
        <w:t>.</w:t>
      </w:r>
      <w:r>
        <w:rPr>
          <w:spacing w:val="-4"/>
          <w:sz w:val="20"/>
        </w:rPr>
        <w:t> </w:t>
      </w:r>
      <w:r>
        <w:rPr>
          <w:sz w:val="20"/>
        </w:rPr>
        <w:t>Frankston, Victoria:</w:t>
      </w:r>
      <w:r>
        <w:rPr>
          <w:spacing w:val="-8"/>
          <w:sz w:val="20"/>
        </w:rPr>
        <w:t> </w:t>
      </w:r>
      <w:r>
        <w:rPr>
          <w:sz w:val="20"/>
        </w:rPr>
        <w:t>Keith</w:t>
      </w:r>
      <w:r>
        <w:rPr>
          <w:spacing w:val="-10"/>
          <w:sz w:val="20"/>
        </w:rPr>
        <w:t> </w:t>
      </w:r>
      <w:r>
        <w:rPr>
          <w:sz w:val="20"/>
        </w:rPr>
        <w:t>Turnball</w:t>
      </w:r>
      <w:r>
        <w:rPr>
          <w:spacing w:val="-8"/>
          <w:sz w:val="20"/>
        </w:rPr>
        <w:t> </w:t>
      </w:r>
      <w:r>
        <w:rPr>
          <w:sz w:val="20"/>
        </w:rPr>
        <w:t>Research</w:t>
      </w:r>
      <w:r>
        <w:rPr>
          <w:spacing w:val="-9"/>
          <w:sz w:val="20"/>
        </w:rPr>
        <w:t> </w:t>
      </w:r>
      <w:r>
        <w:rPr>
          <w:sz w:val="20"/>
        </w:rPr>
        <w:t>Institute.</w:t>
      </w:r>
      <w:r>
        <w:rPr>
          <w:spacing w:val="-9"/>
          <w:sz w:val="20"/>
        </w:rPr>
        <w:t> </w:t>
      </w:r>
      <w:r>
        <w:rPr>
          <w:sz w:val="20"/>
        </w:rPr>
        <w:t>Department</w:t>
      </w:r>
      <w:r>
        <w:rPr>
          <w:spacing w:val="-8"/>
          <w:sz w:val="20"/>
        </w:rPr>
        <w:t> </w:t>
      </w:r>
      <w:r>
        <w:rPr>
          <w:sz w:val="20"/>
        </w:rPr>
        <w:t>of</w:t>
      </w:r>
      <w:r>
        <w:rPr>
          <w:spacing w:val="-9"/>
          <w:sz w:val="20"/>
        </w:rPr>
        <w:t> </w:t>
      </w:r>
      <w:r>
        <w:rPr>
          <w:sz w:val="20"/>
        </w:rPr>
        <w:t>Natural</w:t>
      </w:r>
      <w:r>
        <w:rPr>
          <w:spacing w:val="-8"/>
          <w:sz w:val="20"/>
        </w:rPr>
        <w:t> </w:t>
      </w:r>
      <w:r>
        <w:rPr>
          <w:sz w:val="20"/>
        </w:rPr>
        <w:t>Resources</w:t>
      </w:r>
      <w:r>
        <w:rPr>
          <w:spacing w:val="-9"/>
          <w:sz w:val="20"/>
        </w:rPr>
        <w:t> </w:t>
      </w:r>
      <w:r>
        <w:rPr>
          <w:sz w:val="20"/>
        </w:rPr>
        <w:t>and</w:t>
      </w:r>
      <w:r>
        <w:rPr>
          <w:spacing w:val="-7"/>
          <w:sz w:val="20"/>
        </w:rPr>
        <w:t> </w:t>
      </w:r>
      <w:r>
        <w:rPr>
          <w:spacing w:val="-2"/>
          <w:sz w:val="20"/>
        </w:rPr>
        <w:t>Environment.</w:t>
      </w:r>
    </w:p>
    <w:p>
      <w:pPr>
        <w:pStyle w:val="BodyText"/>
        <w:spacing w:before="8"/>
      </w:pPr>
    </w:p>
    <w:p>
      <w:pPr>
        <w:pStyle w:val="BodyText"/>
        <w:ind w:left="833" w:right="416" w:hanging="721"/>
      </w:pPr>
      <w:r>
        <w:rPr/>
        <w:t>Kubasiewicz, L.M., Bunnefeld, N., Tulloch, A.I.T., Quine, C.P., and Park, K.J. (2016). Diversionary feeding: an</w:t>
      </w:r>
      <w:r>
        <w:rPr>
          <w:spacing w:val="-6"/>
        </w:rPr>
        <w:t> </w:t>
      </w:r>
      <w:r>
        <w:rPr/>
        <w:t>effective</w:t>
      </w:r>
      <w:r>
        <w:rPr>
          <w:spacing w:val="-3"/>
        </w:rPr>
        <w:t> </w:t>
      </w:r>
      <w:r>
        <w:rPr/>
        <w:t>management</w:t>
      </w:r>
      <w:r>
        <w:rPr>
          <w:spacing w:val="-5"/>
        </w:rPr>
        <w:t> </w:t>
      </w:r>
      <w:r>
        <w:rPr/>
        <w:t>strategy</w:t>
      </w:r>
      <w:r>
        <w:rPr>
          <w:spacing w:val="-4"/>
        </w:rPr>
        <w:t> </w:t>
      </w:r>
      <w:r>
        <w:rPr/>
        <w:t>for</w:t>
      </w:r>
      <w:r>
        <w:rPr>
          <w:spacing w:val="-4"/>
        </w:rPr>
        <w:t> </w:t>
      </w:r>
      <w:r>
        <w:rPr/>
        <w:t>conservation</w:t>
      </w:r>
      <w:r>
        <w:rPr>
          <w:spacing w:val="-6"/>
        </w:rPr>
        <w:t> </w:t>
      </w:r>
      <w:r>
        <w:rPr/>
        <w:t>conflict? </w:t>
      </w:r>
      <w:r>
        <w:rPr>
          <w:i/>
        </w:rPr>
        <w:t>Biodiversity</w:t>
      </w:r>
      <w:r>
        <w:rPr>
          <w:i/>
          <w:spacing w:val="-4"/>
        </w:rPr>
        <w:t> </w:t>
      </w:r>
      <w:r>
        <w:rPr>
          <w:i/>
        </w:rPr>
        <w:t>and</w:t>
      </w:r>
      <w:r>
        <w:rPr>
          <w:i/>
          <w:spacing w:val="-4"/>
        </w:rPr>
        <w:t> </w:t>
      </w:r>
      <w:r>
        <w:rPr>
          <w:i/>
        </w:rPr>
        <w:t>Conservation </w:t>
      </w:r>
      <w:r>
        <w:rPr>
          <w:b/>
        </w:rPr>
        <w:t>25</w:t>
      </w:r>
      <w:r>
        <w:rPr/>
        <w:t>(1):1–</w:t>
      </w:r>
    </w:p>
    <w:p>
      <w:pPr>
        <w:pStyle w:val="BodyText"/>
        <w:spacing w:before="1"/>
        <w:ind w:left="833"/>
      </w:pPr>
      <w:r>
        <w:rPr>
          <w:spacing w:val="-2"/>
        </w:rPr>
        <w:t>22.</w:t>
      </w:r>
      <w:r>
        <w:rPr>
          <w:spacing w:val="15"/>
        </w:rPr>
        <w:t> </w:t>
      </w:r>
      <w:r>
        <w:rPr>
          <w:spacing w:val="-2"/>
        </w:rPr>
        <w:t>doi:</w:t>
      </w:r>
      <w:r>
        <w:rPr>
          <w:spacing w:val="17"/>
        </w:rPr>
        <w:t> </w:t>
      </w:r>
      <w:r>
        <w:rPr>
          <w:spacing w:val="-2"/>
        </w:rPr>
        <w:t>10.1007/s10531-015-1026-</w:t>
      </w:r>
      <w:r>
        <w:rPr>
          <w:spacing w:val="-5"/>
        </w:rPr>
        <w:t>1.</w:t>
      </w:r>
    </w:p>
    <w:p>
      <w:pPr>
        <w:pStyle w:val="BodyText"/>
        <w:spacing w:before="10"/>
      </w:pPr>
    </w:p>
    <w:p>
      <w:pPr>
        <w:pStyle w:val="BodyText"/>
        <w:ind w:left="833" w:right="544" w:hanging="721"/>
      </w:pPr>
      <w:r>
        <w:rPr/>
        <w:t>Lange,</w:t>
      </w:r>
      <w:r>
        <w:rPr>
          <w:spacing w:val="-4"/>
        </w:rPr>
        <w:t> </w:t>
      </w:r>
      <w:r>
        <w:rPr/>
        <w:t>R.T.,</w:t>
      </w:r>
      <w:r>
        <w:rPr>
          <w:spacing w:val="-4"/>
        </w:rPr>
        <w:t> </w:t>
      </w:r>
      <w:r>
        <w:rPr/>
        <w:t>and</w:t>
      </w:r>
      <w:r>
        <w:rPr>
          <w:spacing w:val="-4"/>
        </w:rPr>
        <w:t> </w:t>
      </w:r>
      <w:r>
        <w:rPr/>
        <w:t>Graham,</w:t>
      </w:r>
      <w:r>
        <w:rPr>
          <w:spacing w:val="-2"/>
        </w:rPr>
        <w:t> </w:t>
      </w:r>
      <w:r>
        <w:rPr/>
        <w:t>C.R.</w:t>
      </w:r>
      <w:r>
        <w:rPr>
          <w:spacing w:val="-4"/>
        </w:rPr>
        <w:t> </w:t>
      </w:r>
      <w:r>
        <w:rPr/>
        <w:t>(1983).</w:t>
      </w:r>
      <w:r>
        <w:rPr>
          <w:spacing w:val="-4"/>
        </w:rPr>
        <w:t> </w:t>
      </w:r>
      <w:r>
        <w:rPr/>
        <w:t>Rabbits</w:t>
      </w:r>
      <w:r>
        <w:rPr>
          <w:spacing w:val="-3"/>
        </w:rPr>
        <w:t> </w:t>
      </w:r>
      <w:r>
        <w:rPr/>
        <w:t>and</w:t>
      </w:r>
      <w:r>
        <w:rPr>
          <w:spacing w:val="-4"/>
        </w:rPr>
        <w:t> </w:t>
      </w:r>
      <w:r>
        <w:rPr/>
        <w:t>the</w:t>
      </w:r>
      <w:r>
        <w:rPr>
          <w:spacing w:val="-4"/>
        </w:rPr>
        <w:t> </w:t>
      </w:r>
      <w:r>
        <w:rPr/>
        <w:t>failure</w:t>
      </w:r>
      <w:r>
        <w:rPr>
          <w:spacing w:val="-1"/>
        </w:rPr>
        <w:t> </w:t>
      </w:r>
      <w:r>
        <w:rPr/>
        <w:t>of</w:t>
      </w:r>
      <w:r>
        <w:rPr>
          <w:spacing w:val="-4"/>
        </w:rPr>
        <w:t> </w:t>
      </w:r>
      <w:r>
        <w:rPr/>
        <w:t>regeneration</w:t>
      </w:r>
      <w:r>
        <w:rPr>
          <w:spacing w:val="-3"/>
        </w:rPr>
        <w:t> </w:t>
      </w:r>
      <w:r>
        <w:rPr/>
        <w:t>in Australian</w:t>
      </w:r>
      <w:r>
        <w:rPr>
          <w:spacing w:val="-3"/>
        </w:rPr>
        <w:t> </w:t>
      </w:r>
      <w:r>
        <w:rPr/>
        <w:t>arid</w:t>
      </w:r>
      <w:r>
        <w:rPr>
          <w:spacing w:val="-4"/>
        </w:rPr>
        <w:t> </w:t>
      </w:r>
      <w:r>
        <w:rPr/>
        <w:t>zone acacia.</w:t>
      </w:r>
      <w:r>
        <w:rPr>
          <w:spacing w:val="-9"/>
        </w:rPr>
        <w:t> </w:t>
      </w:r>
      <w:r>
        <w:rPr>
          <w:i/>
        </w:rPr>
        <w:t>Australian</w:t>
      </w:r>
      <w:r>
        <w:rPr>
          <w:i/>
          <w:spacing w:val="-11"/>
        </w:rPr>
        <w:t> </w:t>
      </w:r>
      <w:r>
        <w:rPr>
          <w:i/>
        </w:rPr>
        <w:t>Journal</w:t>
      </w:r>
      <w:r>
        <w:rPr>
          <w:i/>
          <w:spacing w:val="-10"/>
        </w:rPr>
        <w:t> </w:t>
      </w:r>
      <w:r>
        <w:rPr>
          <w:i/>
        </w:rPr>
        <w:t>of</w:t>
      </w:r>
      <w:r>
        <w:rPr>
          <w:i/>
          <w:spacing w:val="-10"/>
        </w:rPr>
        <w:t> </w:t>
      </w:r>
      <w:r>
        <w:rPr>
          <w:i/>
        </w:rPr>
        <w:t>Ecology</w:t>
      </w:r>
      <w:r>
        <w:rPr>
          <w:i/>
          <w:spacing w:val="-5"/>
        </w:rPr>
        <w:t> </w:t>
      </w:r>
      <w:r>
        <w:rPr>
          <w:b/>
        </w:rPr>
        <w:t>8</w:t>
      </w:r>
      <w:r>
        <w:rPr/>
        <w:t>(4):377–81.</w:t>
      </w:r>
      <w:r>
        <w:rPr>
          <w:spacing w:val="-11"/>
        </w:rPr>
        <w:t> </w:t>
      </w:r>
      <w:r>
        <w:rPr/>
        <w:t>doi:</w:t>
      </w:r>
      <w:r>
        <w:rPr>
          <w:spacing w:val="-11"/>
        </w:rPr>
        <w:t> </w:t>
      </w:r>
      <w:r>
        <w:rPr/>
        <w:t>10.1111/j.1442-</w:t>
      </w:r>
      <w:r>
        <w:rPr>
          <w:spacing w:val="-2"/>
        </w:rPr>
        <w:t>9993.1983.tb01334.x.</w:t>
      </w:r>
    </w:p>
    <w:p>
      <w:pPr>
        <w:pStyle w:val="BodyText"/>
        <w:spacing w:before="9"/>
      </w:pPr>
    </w:p>
    <w:p>
      <w:pPr>
        <w:spacing w:before="0"/>
        <w:ind w:left="833" w:right="232" w:hanging="721"/>
        <w:jc w:val="left"/>
        <w:rPr>
          <w:sz w:val="20"/>
        </w:rPr>
      </w:pPr>
      <w:r>
        <w:rPr>
          <w:sz w:val="20"/>
        </w:rPr>
        <w:t>Lapidge, S., and Eason, C.T. (2010). </w:t>
      </w:r>
      <w:r>
        <w:rPr>
          <w:i/>
          <w:sz w:val="20"/>
        </w:rPr>
        <w:t>Pharmacokinetics and methaemoglobin reductase activity as</w:t>
      </w:r>
      <w:r>
        <w:rPr>
          <w:i/>
          <w:sz w:val="20"/>
        </w:rPr>
        <w:t> determinants</w:t>
      </w:r>
      <w:r>
        <w:rPr>
          <w:i/>
          <w:spacing w:val="-3"/>
          <w:sz w:val="20"/>
        </w:rPr>
        <w:t> </w:t>
      </w:r>
      <w:r>
        <w:rPr>
          <w:i/>
          <w:sz w:val="20"/>
        </w:rPr>
        <w:t>of</w:t>
      </w:r>
      <w:r>
        <w:rPr>
          <w:i/>
          <w:spacing w:val="-2"/>
          <w:sz w:val="20"/>
        </w:rPr>
        <w:t> </w:t>
      </w:r>
      <w:r>
        <w:rPr>
          <w:i/>
          <w:sz w:val="20"/>
        </w:rPr>
        <w:t>species</w:t>
      </w:r>
      <w:r>
        <w:rPr>
          <w:i/>
          <w:spacing w:val="-3"/>
          <w:sz w:val="20"/>
        </w:rPr>
        <w:t> </w:t>
      </w:r>
      <w:r>
        <w:rPr>
          <w:i/>
          <w:sz w:val="20"/>
        </w:rPr>
        <w:t>susceptibility</w:t>
      </w:r>
      <w:r>
        <w:rPr>
          <w:i/>
          <w:spacing w:val="-3"/>
          <w:sz w:val="20"/>
        </w:rPr>
        <w:t> </w:t>
      </w:r>
      <w:r>
        <w:rPr>
          <w:i/>
          <w:sz w:val="20"/>
        </w:rPr>
        <w:t>and</w:t>
      </w:r>
      <w:r>
        <w:rPr>
          <w:i/>
          <w:spacing w:val="-4"/>
          <w:sz w:val="20"/>
        </w:rPr>
        <w:t> </w:t>
      </w:r>
      <w:r>
        <w:rPr>
          <w:i/>
          <w:sz w:val="20"/>
        </w:rPr>
        <w:t>non-target</w:t>
      </w:r>
      <w:r>
        <w:rPr>
          <w:i/>
          <w:spacing w:val="-4"/>
          <w:sz w:val="20"/>
        </w:rPr>
        <w:t> </w:t>
      </w:r>
      <w:r>
        <w:rPr>
          <w:i/>
          <w:sz w:val="20"/>
        </w:rPr>
        <w:t>risks</w:t>
      </w:r>
      <w:r>
        <w:rPr>
          <w:i/>
          <w:spacing w:val="-3"/>
          <w:sz w:val="20"/>
        </w:rPr>
        <w:t> </w:t>
      </w:r>
      <w:r>
        <w:rPr>
          <w:i/>
          <w:sz w:val="20"/>
        </w:rPr>
        <w:t>from</w:t>
      </w:r>
      <w:r>
        <w:rPr>
          <w:i/>
          <w:spacing w:val="-4"/>
          <w:sz w:val="20"/>
        </w:rPr>
        <w:t> </w:t>
      </w:r>
      <w:r>
        <w:rPr>
          <w:i/>
          <w:sz w:val="20"/>
        </w:rPr>
        <w:t>sodium</w:t>
      </w:r>
      <w:r>
        <w:rPr>
          <w:i/>
          <w:spacing w:val="-4"/>
          <w:sz w:val="20"/>
        </w:rPr>
        <w:t> </w:t>
      </w:r>
      <w:r>
        <w:rPr>
          <w:i/>
          <w:sz w:val="20"/>
        </w:rPr>
        <w:t>nitrite</w:t>
      </w:r>
      <w:r>
        <w:rPr>
          <w:i/>
          <w:spacing w:val="-4"/>
          <w:sz w:val="20"/>
        </w:rPr>
        <w:t> </w:t>
      </w:r>
      <w:r>
        <w:rPr>
          <w:i/>
          <w:sz w:val="20"/>
        </w:rPr>
        <w:t>manufactured</w:t>
      </w:r>
      <w:r>
        <w:rPr>
          <w:i/>
          <w:spacing w:val="-2"/>
          <w:sz w:val="20"/>
        </w:rPr>
        <w:t> </w:t>
      </w:r>
      <w:r>
        <w:rPr>
          <w:i/>
          <w:sz w:val="20"/>
        </w:rPr>
        <w:t>feral</w:t>
      </w:r>
      <w:r>
        <w:rPr>
          <w:i/>
          <w:spacing w:val="-5"/>
          <w:sz w:val="20"/>
        </w:rPr>
        <w:t> </w:t>
      </w:r>
      <w:r>
        <w:rPr>
          <w:i/>
          <w:sz w:val="20"/>
        </w:rPr>
        <w:t>pig baits</w:t>
      </w:r>
      <w:r>
        <w:rPr>
          <w:sz w:val="20"/>
        </w:rPr>
        <w:t>. Canberra, ACT: Invasive Animals Cooperative Research Centre.</w:t>
      </w:r>
    </w:p>
    <w:p>
      <w:pPr>
        <w:pStyle w:val="BodyText"/>
        <w:spacing w:before="11"/>
      </w:pPr>
    </w:p>
    <w:p>
      <w:pPr>
        <w:spacing w:before="1"/>
        <w:ind w:left="833" w:right="364" w:hanging="721"/>
        <w:jc w:val="left"/>
        <w:rPr>
          <w:sz w:val="20"/>
        </w:rPr>
      </w:pPr>
      <w:r>
        <w:rPr>
          <w:sz w:val="20"/>
        </w:rPr>
        <w:t>Lapidge, S.J. (2004). The impact of sheep predators in Australia and new control methods under development.</w:t>
      </w:r>
      <w:r>
        <w:rPr>
          <w:spacing w:val="-3"/>
          <w:sz w:val="20"/>
        </w:rPr>
        <w:t> </w:t>
      </w:r>
      <w:r>
        <w:rPr>
          <w:sz w:val="20"/>
        </w:rPr>
        <w:t>Pp.</w:t>
      </w:r>
      <w:r>
        <w:rPr>
          <w:spacing w:val="-5"/>
          <w:sz w:val="20"/>
        </w:rPr>
        <w:t> </w:t>
      </w:r>
      <w:r>
        <w:rPr>
          <w:sz w:val="20"/>
        </w:rPr>
        <w:t>159–63</w:t>
      </w:r>
      <w:r>
        <w:rPr>
          <w:spacing w:val="-3"/>
          <w:sz w:val="20"/>
        </w:rPr>
        <w:t> </w:t>
      </w:r>
      <w:r>
        <w:rPr>
          <w:sz w:val="20"/>
        </w:rPr>
        <w:t>in</w:t>
      </w:r>
      <w:r>
        <w:rPr>
          <w:spacing w:val="-4"/>
          <w:sz w:val="20"/>
        </w:rPr>
        <w:t> </w:t>
      </w:r>
      <w:r>
        <w:rPr>
          <w:i/>
          <w:sz w:val="20"/>
        </w:rPr>
        <w:t>Proceedings</w:t>
      </w:r>
      <w:r>
        <w:rPr>
          <w:i/>
          <w:spacing w:val="-4"/>
          <w:sz w:val="20"/>
        </w:rPr>
        <w:t> </w:t>
      </w:r>
      <w:r>
        <w:rPr>
          <w:i/>
          <w:sz w:val="20"/>
        </w:rPr>
        <w:t>of</w:t>
      </w:r>
      <w:r>
        <w:rPr>
          <w:i/>
          <w:spacing w:val="-3"/>
          <w:sz w:val="20"/>
        </w:rPr>
        <w:t> </w:t>
      </w:r>
      <w:r>
        <w:rPr>
          <w:i/>
          <w:sz w:val="20"/>
        </w:rPr>
        <w:t>the</w:t>
      </w:r>
      <w:r>
        <w:rPr>
          <w:i/>
          <w:spacing w:val="-3"/>
          <w:sz w:val="20"/>
        </w:rPr>
        <w:t> </w:t>
      </w:r>
      <w:r>
        <w:rPr>
          <w:i/>
          <w:sz w:val="20"/>
        </w:rPr>
        <w:t>14th</w:t>
      </w:r>
      <w:r>
        <w:rPr>
          <w:i/>
          <w:spacing w:val="-3"/>
          <w:sz w:val="20"/>
        </w:rPr>
        <w:t> </w:t>
      </w:r>
      <w:r>
        <w:rPr>
          <w:i/>
          <w:sz w:val="20"/>
        </w:rPr>
        <w:t>Australian</w:t>
      </w:r>
      <w:r>
        <w:rPr>
          <w:i/>
          <w:spacing w:val="-5"/>
          <w:sz w:val="20"/>
        </w:rPr>
        <w:t> </w:t>
      </w:r>
      <w:r>
        <w:rPr>
          <w:i/>
          <w:sz w:val="20"/>
        </w:rPr>
        <w:t>Sheep</w:t>
      </w:r>
      <w:r>
        <w:rPr>
          <w:i/>
          <w:spacing w:val="-5"/>
          <w:sz w:val="20"/>
        </w:rPr>
        <w:t> </w:t>
      </w:r>
      <w:r>
        <w:rPr>
          <w:i/>
          <w:sz w:val="20"/>
        </w:rPr>
        <w:t>Veterinary</w:t>
      </w:r>
      <w:r>
        <w:rPr>
          <w:i/>
          <w:spacing w:val="-4"/>
          <w:sz w:val="20"/>
        </w:rPr>
        <w:t> </w:t>
      </w:r>
      <w:r>
        <w:rPr>
          <w:i/>
          <w:sz w:val="20"/>
        </w:rPr>
        <w:t>Society</w:t>
      </w:r>
      <w:r>
        <w:rPr>
          <w:i/>
          <w:sz w:val="20"/>
        </w:rPr>
        <w:t> Conference</w:t>
      </w:r>
      <w:r>
        <w:rPr>
          <w:sz w:val="20"/>
        </w:rPr>
        <w:t>. Canberra, Australia.</w:t>
      </w:r>
    </w:p>
    <w:p>
      <w:pPr>
        <w:pStyle w:val="BodyText"/>
        <w:spacing w:before="8"/>
      </w:pPr>
    </w:p>
    <w:p>
      <w:pPr>
        <w:pStyle w:val="BodyText"/>
        <w:ind w:left="833" w:right="364" w:hanging="721"/>
      </w:pPr>
      <w:r>
        <w:rPr/>
        <w:t>Lapidge,</w:t>
      </w:r>
      <w:r>
        <w:rPr>
          <w:spacing w:val="-2"/>
        </w:rPr>
        <w:t> </w:t>
      </w:r>
      <w:r>
        <w:rPr/>
        <w:t>S.,</w:t>
      </w:r>
      <w:r>
        <w:rPr>
          <w:spacing w:val="-2"/>
        </w:rPr>
        <w:t> </w:t>
      </w:r>
      <w:r>
        <w:rPr/>
        <w:t>Wishart,</w:t>
      </w:r>
      <w:r>
        <w:rPr>
          <w:spacing w:val="-4"/>
        </w:rPr>
        <w:t> </w:t>
      </w:r>
      <w:r>
        <w:rPr/>
        <w:t>J.,</w:t>
      </w:r>
      <w:r>
        <w:rPr>
          <w:spacing w:val="-4"/>
        </w:rPr>
        <w:t> </w:t>
      </w:r>
      <w:r>
        <w:rPr/>
        <w:t>Staples,</w:t>
      </w:r>
      <w:r>
        <w:rPr>
          <w:spacing w:val="-4"/>
        </w:rPr>
        <w:t> </w:t>
      </w:r>
      <w:r>
        <w:rPr/>
        <w:t>L.,</w:t>
      </w:r>
      <w:r>
        <w:rPr>
          <w:spacing w:val="-4"/>
        </w:rPr>
        <w:t> </w:t>
      </w:r>
      <w:r>
        <w:rPr/>
        <w:t>Fagerstone,</w:t>
      </w:r>
      <w:r>
        <w:rPr>
          <w:spacing w:val="-2"/>
        </w:rPr>
        <w:t> </w:t>
      </w:r>
      <w:r>
        <w:rPr/>
        <w:t>K.,</w:t>
      </w:r>
      <w:r>
        <w:rPr>
          <w:spacing w:val="-4"/>
        </w:rPr>
        <w:t> </w:t>
      </w:r>
      <w:r>
        <w:rPr/>
        <w:t>Campbell,</w:t>
      </w:r>
      <w:r>
        <w:rPr>
          <w:spacing w:val="-4"/>
        </w:rPr>
        <w:t> </w:t>
      </w:r>
      <w:r>
        <w:rPr/>
        <w:t>T.,</w:t>
      </w:r>
      <w:r>
        <w:rPr>
          <w:spacing w:val="-2"/>
        </w:rPr>
        <w:t> </w:t>
      </w:r>
      <w:r>
        <w:rPr/>
        <w:t>and</w:t>
      </w:r>
      <w:r>
        <w:rPr>
          <w:spacing w:val="-4"/>
        </w:rPr>
        <w:t> </w:t>
      </w:r>
      <w:r>
        <w:rPr/>
        <w:t>Eisemann,</w:t>
      </w:r>
      <w:r>
        <w:rPr>
          <w:spacing w:val="-2"/>
        </w:rPr>
        <w:t> </w:t>
      </w:r>
      <w:r>
        <w:rPr/>
        <w:t>J.</w:t>
      </w:r>
      <w:r>
        <w:rPr>
          <w:spacing w:val="-4"/>
        </w:rPr>
        <w:t> </w:t>
      </w:r>
      <w:r>
        <w:rPr/>
        <w:t>(2012).</w:t>
      </w:r>
      <w:r>
        <w:rPr>
          <w:spacing w:val="-2"/>
        </w:rPr>
        <w:t> </w:t>
      </w:r>
      <w:r>
        <w:rPr/>
        <w:t>Development</w:t>
      </w:r>
      <w:r>
        <w:rPr>
          <w:spacing w:val="-2"/>
        </w:rPr>
        <w:t> </w:t>
      </w:r>
      <w:r>
        <w:rPr/>
        <w:t>of a feral swine toxic bait (HOGGONE®) and bait hopper (HOGHOPPER</w:t>
      </w:r>
      <w:r>
        <w:rPr>
          <w:position w:val="6"/>
          <w:sz w:val="13"/>
        </w:rPr>
        <w:t>TM</w:t>
      </w:r>
      <w:r>
        <w:rPr/>
        <w:t>) in Australia and the USA.</w:t>
      </w:r>
    </w:p>
    <w:p>
      <w:pPr>
        <w:pStyle w:val="BodyText"/>
        <w:spacing w:before="11"/>
      </w:pPr>
    </w:p>
    <w:p>
      <w:pPr>
        <w:pStyle w:val="BodyText"/>
        <w:ind w:left="112"/>
      </w:pPr>
      <w:r>
        <w:rPr/>
        <w:t>Lavelle,</w:t>
      </w:r>
      <w:r>
        <w:rPr>
          <w:spacing w:val="-6"/>
        </w:rPr>
        <w:t> </w:t>
      </w:r>
      <w:r>
        <w:rPr/>
        <w:t>M.J.,</w:t>
      </w:r>
      <w:r>
        <w:rPr>
          <w:spacing w:val="-5"/>
        </w:rPr>
        <w:t> </w:t>
      </w:r>
      <w:r>
        <w:rPr/>
        <w:t>Snow,</w:t>
      </w:r>
      <w:r>
        <w:rPr>
          <w:spacing w:val="-7"/>
        </w:rPr>
        <w:t> </w:t>
      </w:r>
      <w:r>
        <w:rPr/>
        <w:t>N.P.,</w:t>
      </w:r>
      <w:r>
        <w:rPr>
          <w:spacing w:val="-5"/>
        </w:rPr>
        <w:t> </w:t>
      </w:r>
      <w:r>
        <w:rPr/>
        <w:t>Halseth,</w:t>
      </w:r>
      <w:r>
        <w:rPr>
          <w:spacing w:val="-7"/>
        </w:rPr>
        <w:t> </w:t>
      </w:r>
      <w:r>
        <w:rPr/>
        <w:t>J.M.,</w:t>
      </w:r>
      <w:r>
        <w:rPr>
          <w:spacing w:val="-5"/>
        </w:rPr>
        <w:t> </w:t>
      </w:r>
      <w:r>
        <w:rPr/>
        <w:t>Kinsey,</w:t>
      </w:r>
      <w:r>
        <w:rPr>
          <w:spacing w:val="-7"/>
        </w:rPr>
        <w:t> </w:t>
      </w:r>
      <w:r>
        <w:rPr/>
        <w:t>J.C.,</w:t>
      </w:r>
      <w:r>
        <w:rPr>
          <w:spacing w:val="-5"/>
        </w:rPr>
        <w:t> </w:t>
      </w:r>
      <w:r>
        <w:rPr/>
        <w:t>Foster,</w:t>
      </w:r>
      <w:r>
        <w:rPr>
          <w:spacing w:val="-7"/>
        </w:rPr>
        <w:t> </w:t>
      </w:r>
      <w:r>
        <w:rPr/>
        <w:t>J.A.,</w:t>
      </w:r>
      <w:r>
        <w:rPr>
          <w:spacing w:val="-5"/>
        </w:rPr>
        <w:t> </w:t>
      </w:r>
      <w:r>
        <w:rPr/>
        <w:t>and</w:t>
      </w:r>
      <w:r>
        <w:rPr>
          <w:spacing w:val="-7"/>
        </w:rPr>
        <w:t> </w:t>
      </w:r>
      <w:r>
        <w:rPr/>
        <w:t>VerCauteren,</w:t>
      </w:r>
      <w:r>
        <w:rPr>
          <w:spacing w:val="-7"/>
        </w:rPr>
        <w:t> </w:t>
      </w:r>
      <w:r>
        <w:rPr/>
        <w:t>K.C.</w:t>
      </w:r>
      <w:r>
        <w:rPr>
          <w:spacing w:val="-7"/>
        </w:rPr>
        <w:t> </w:t>
      </w:r>
      <w:r>
        <w:rPr>
          <w:spacing w:val="-2"/>
        </w:rPr>
        <w:t>(2018).</w:t>
      </w:r>
    </w:p>
    <w:p>
      <w:pPr>
        <w:pStyle w:val="BodyText"/>
        <w:spacing w:before="1"/>
        <w:ind w:left="833"/>
      </w:pPr>
      <w:r>
        <w:rPr/>
        <w:t>Development</w:t>
      </w:r>
      <w:r>
        <w:rPr>
          <w:spacing w:val="-6"/>
        </w:rPr>
        <w:t> </w:t>
      </w:r>
      <w:r>
        <w:rPr/>
        <w:t>and</w:t>
      </w:r>
      <w:r>
        <w:rPr>
          <w:spacing w:val="-6"/>
        </w:rPr>
        <w:t> </w:t>
      </w:r>
      <w:r>
        <w:rPr/>
        <w:t>evaluation</w:t>
      </w:r>
      <w:r>
        <w:rPr>
          <w:spacing w:val="-8"/>
        </w:rPr>
        <w:t> </w:t>
      </w:r>
      <w:r>
        <w:rPr/>
        <w:t>of</w:t>
      </w:r>
      <w:r>
        <w:rPr>
          <w:spacing w:val="-6"/>
        </w:rPr>
        <w:t> </w:t>
      </w:r>
      <w:r>
        <w:rPr/>
        <w:t>a</w:t>
      </w:r>
      <w:r>
        <w:rPr>
          <w:spacing w:val="-8"/>
        </w:rPr>
        <w:t> </w:t>
      </w:r>
      <w:r>
        <w:rPr/>
        <w:t>bait</w:t>
      </w:r>
      <w:r>
        <w:rPr>
          <w:spacing w:val="-7"/>
        </w:rPr>
        <w:t> </w:t>
      </w:r>
      <w:r>
        <w:rPr/>
        <w:t>station</w:t>
      </w:r>
      <w:r>
        <w:rPr>
          <w:spacing w:val="-8"/>
        </w:rPr>
        <w:t> </w:t>
      </w:r>
      <w:r>
        <w:rPr/>
        <w:t>for</w:t>
      </w:r>
      <w:r>
        <w:rPr>
          <w:spacing w:val="-8"/>
        </w:rPr>
        <w:t> </w:t>
      </w:r>
      <w:r>
        <w:rPr/>
        <w:t>selectively</w:t>
      </w:r>
      <w:r>
        <w:rPr>
          <w:spacing w:val="-7"/>
        </w:rPr>
        <w:t> </w:t>
      </w:r>
      <w:r>
        <w:rPr/>
        <w:t>dispensing</w:t>
      </w:r>
      <w:r>
        <w:rPr>
          <w:spacing w:val="-7"/>
        </w:rPr>
        <w:t> </w:t>
      </w:r>
      <w:r>
        <w:rPr/>
        <w:t>bait</w:t>
      </w:r>
      <w:r>
        <w:rPr>
          <w:spacing w:val="-6"/>
        </w:rPr>
        <w:t> </w:t>
      </w:r>
      <w:r>
        <w:rPr/>
        <w:t>to</w:t>
      </w:r>
      <w:r>
        <w:rPr>
          <w:spacing w:val="-7"/>
        </w:rPr>
        <w:t> </w:t>
      </w:r>
      <w:r>
        <w:rPr/>
        <w:t>invasive</w:t>
      </w:r>
      <w:r>
        <w:rPr>
          <w:spacing w:val="-8"/>
        </w:rPr>
        <w:t> </w:t>
      </w:r>
      <w:r>
        <w:rPr/>
        <w:t>wild</w:t>
      </w:r>
      <w:r>
        <w:rPr>
          <w:spacing w:val="-7"/>
        </w:rPr>
        <w:t> </w:t>
      </w:r>
      <w:r>
        <w:rPr>
          <w:spacing w:val="-2"/>
        </w:rPr>
        <w:t>pigs.</w:t>
      </w:r>
    </w:p>
    <w:p>
      <w:pPr>
        <w:spacing w:before="0"/>
        <w:ind w:left="833" w:right="0" w:firstLine="0"/>
        <w:jc w:val="left"/>
        <w:rPr>
          <w:sz w:val="20"/>
        </w:rPr>
      </w:pPr>
      <w:r>
        <w:rPr>
          <w:i/>
          <w:sz w:val="20"/>
        </w:rPr>
        <w:t>Wildlife</w:t>
      </w:r>
      <w:r>
        <w:rPr>
          <w:i/>
          <w:spacing w:val="-10"/>
          <w:sz w:val="20"/>
        </w:rPr>
        <w:t> </w:t>
      </w:r>
      <w:r>
        <w:rPr>
          <w:i/>
          <w:sz w:val="20"/>
        </w:rPr>
        <w:t>Society</w:t>
      </w:r>
      <w:r>
        <w:rPr>
          <w:i/>
          <w:spacing w:val="-8"/>
          <w:sz w:val="20"/>
        </w:rPr>
        <w:t> </w:t>
      </w:r>
      <w:r>
        <w:rPr>
          <w:i/>
          <w:sz w:val="20"/>
        </w:rPr>
        <w:t>Bulletin</w:t>
      </w:r>
      <w:r>
        <w:rPr>
          <w:i/>
          <w:spacing w:val="-8"/>
          <w:sz w:val="20"/>
        </w:rPr>
        <w:t> </w:t>
      </w:r>
      <w:r>
        <w:rPr>
          <w:b/>
          <w:sz w:val="20"/>
        </w:rPr>
        <w:t>42</w:t>
      </w:r>
      <w:r>
        <w:rPr>
          <w:sz w:val="20"/>
        </w:rPr>
        <w:t>(1):102–10.</w:t>
      </w:r>
      <w:r>
        <w:rPr>
          <w:spacing w:val="-10"/>
          <w:sz w:val="20"/>
        </w:rPr>
        <w:t> </w:t>
      </w:r>
      <w:r>
        <w:rPr>
          <w:sz w:val="20"/>
        </w:rPr>
        <w:t>doi:</w:t>
      </w:r>
      <w:r>
        <w:rPr>
          <w:spacing w:val="-8"/>
          <w:sz w:val="20"/>
        </w:rPr>
        <w:t> </w:t>
      </w:r>
      <w:r>
        <w:rPr>
          <w:spacing w:val="-2"/>
          <w:sz w:val="20"/>
        </w:rPr>
        <w:t>10.1002/wsb.856.</w:t>
      </w:r>
    </w:p>
    <w:p>
      <w:pPr>
        <w:spacing w:after="0"/>
        <w:jc w:val="left"/>
        <w:rPr>
          <w:sz w:val="20"/>
        </w:rPr>
        <w:sectPr>
          <w:pgSz w:w="11910" w:h="16850"/>
          <w:pgMar w:header="0" w:footer="688" w:top="1060" w:bottom="880" w:left="1020" w:right="780"/>
        </w:sectPr>
      </w:pPr>
    </w:p>
    <w:p>
      <w:pPr>
        <w:spacing w:before="71"/>
        <w:ind w:left="833" w:right="163" w:hanging="721"/>
        <w:jc w:val="left"/>
        <w:rPr>
          <w:sz w:val="20"/>
        </w:rPr>
      </w:pPr>
      <w:r>
        <w:rPr>
          <w:sz w:val="20"/>
        </w:rPr>
        <w:t>Lazarus,</w:t>
      </w:r>
      <w:r>
        <w:rPr>
          <w:spacing w:val="-5"/>
          <w:sz w:val="20"/>
        </w:rPr>
        <w:t> </w:t>
      </w:r>
      <w:r>
        <w:rPr>
          <w:sz w:val="20"/>
        </w:rPr>
        <w:t>M.</w:t>
      </w:r>
      <w:r>
        <w:rPr>
          <w:spacing w:val="-3"/>
          <w:sz w:val="20"/>
        </w:rPr>
        <w:t> </w:t>
      </w:r>
      <w:r>
        <w:rPr>
          <w:sz w:val="20"/>
        </w:rPr>
        <w:t>(1956).</w:t>
      </w:r>
      <w:r>
        <w:rPr>
          <w:spacing w:val="-5"/>
          <w:sz w:val="20"/>
        </w:rPr>
        <w:t> </w:t>
      </w:r>
      <w:r>
        <w:rPr>
          <w:sz w:val="20"/>
        </w:rPr>
        <w:t>The</w:t>
      </w:r>
      <w:r>
        <w:rPr>
          <w:spacing w:val="-3"/>
          <w:sz w:val="20"/>
        </w:rPr>
        <w:t> </w:t>
      </w:r>
      <w:r>
        <w:rPr>
          <w:sz w:val="20"/>
        </w:rPr>
        <w:t>toxicity</w:t>
      </w:r>
      <w:r>
        <w:rPr>
          <w:spacing w:val="-4"/>
          <w:sz w:val="20"/>
        </w:rPr>
        <w:t> </w:t>
      </w:r>
      <w:r>
        <w:rPr>
          <w:sz w:val="20"/>
        </w:rPr>
        <w:t>and</w:t>
      </w:r>
      <w:r>
        <w:rPr>
          <w:spacing w:val="-3"/>
          <w:sz w:val="20"/>
        </w:rPr>
        <w:t> </w:t>
      </w:r>
      <w:r>
        <w:rPr>
          <w:sz w:val="20"/>
        </w:rPr>
        <w:t>relative</w:t>
      </w:r>
      <w:r>
        <w:rPr>
          <w:spacing w:val="-3"/>
          <w:sz w:val="20"/>
        </w:rPr>
        <w:t> </w:t>
      </w:r>
      <w:r>
        <w:rPr>
          <w:sz w:val="20"/>
        </w:rPr>
        <w:t>acceptability</w:t>
      </w:r>
      <w:r>
        <w:rPr>
          <w:spacing w:val="-4"/>
          <w:sz w:val="20"/>
        </w:rPr>
        <w:t> </w:t>
      </w:r>
      <w:r>
        <w:rPr>
          <w:sz w:val="20"/>
        </w:rPr>
        <w:t>of</w:t>
      </w:r>
      <w:r>
        <w:rPr>
          <w:spacing w:val="-5"/>
          <w:sz w:val="20"/>
        </w:rPr>
        <w:t> </w:t>
      </w:r>
      <w:r>
        <w:rPr>
          <w:sz w:val="20"/>
        </w:rPr>
        <w:t>some</w:t>
      </w:r>
      <w:r>
        <w:rPr>
          <w:spacing w:val="-3"/>
          <w:sz w:val="20"/>
        </w:rPr>
        <w:t> </w:t>
      </w:r>
      <w:r>
        <w:rPr>
          <w:sz w:val="20"/>
        </w:rPr>
        <w:t>poisons</w:t>
      </w:r>
      <w:r>
        <w:rPr>
          <w:spacing w:val="-4"/>
          <w:sz w:val="20"/>
        </w:rPr>
        <w:t> </w:t>
      </w:r>
      <w:r>
        <w:rPr>
          <w:sz w:val="20"/>
        </w:rPr>
        <w:t>to</w:t>
      </w:r>
      <w:r>
        <w:rPr>
          <w:spacing w:val="-5"/>
          <w:sz w:val="20"/>
        </w:rPr>
        <w:t> </w:t>
      </w:r>
      <w:r>
        <w:rPr>
          <w:sz w:val="20"/>
        </w:rPr>
        <w:t>the</w:t>
      </w:r>
      <w:r>
        <w:rPr>
          <w:spacing w:val="-3"/>
          <w:sz w:val="20"/>
        </w:rPr>
        <w:t> </w:t>
      </w:r>
      <w:r>
        <w:rPr>
          <w:sz w:val="20"/>
        </w:rPr>
        <w:t>wild</w:t>
      </w:r>
      <w:r>
        <w:rPr>
          <w:spacing w:val="-5"/>
          <w:sz w:val="20"/>
        </w:rPr>
        <w:t> </w:t>
      </w:r>
      <w:r>
        <w:rPr>
          <w:sz w:val="20"/>
        </w:rPr>
        <w:t>rabbit, </w:t>
      </w:r>
      <w:r>
        <w:rPr>
          <w:i/>
          <w:sz w:val="20"/>
        </w:rPr>
        <w:t>Oryctolagus</w:t>
      </w:r>
      <w:r>
        <w:rPr>
          <w:i/>
          <w:sz w:val="20"/>
        </w:rPr>
        <w:t> cuniculus </w:t>
      </w:r>
      <w:r>
        <w:rPr>
          <w:sz w:val="20"/>
        </w:rPr>
        <w:t>(l.). </w:t>
      </w:r>
      <w:r>
        <w:rPr>
          <w:i/>
          <w:sz w:val="20"/>
        </w:rPr>
        <w:t>C.S.I.R.O. Wildlife Research </w:t>
      </w:r>
      <w:r>
        <w:rPr>
          <w:b/>
          <w:sz w:val="20"/>
        </w:rPr>
        <w:t>1</w:t>
      </w:r>
      <w:r>
        <w:rPr>
          <w:sz w:val="20"/>
        </w:rPr>
        <w:t>:96-100.</w:t>
      </w:r>
    </w:p>
    <w:p>
      <w:pPr>
        <w:pStyle w:val="BodyText"/>
        <w:spacing w:before="11"/>
      </w:pPr>
    </w:p>
    <w:p>
      <w:pPr>
        <w:pStyle w:val="BodyText"/>
        <w:spacing w:before="1"/>
        <w:ind w:left="833" w:right="163" w:hanging="721"/>
      </w:pPr>
      <w:r>
        <w:rPr/>
        <w:t>Lazenby, B.T., Mooney, N.J., and Dickman, C.R. (2014). Effects of low-level culling of feral cats in open populations:</w:t>
      </w:r>
      <w:r>
        <w:rPr>
          <w:spacing w:val="-4"/>
        </w:rPr>
        <w:t> </w:t>
      </w:r>
      <w:r>
        <w:rPr/>
        <w:t>a</w:t>
      </w:r>
      <w:r>
        <w:rPr>
          <w:spacing w:val="-5"/>
        </w:rPr>
        <w:t> </w:t>
      </w:r>
      <w:r>
        <w:rPr/>
        <w:t>case</w:t>
      </w:r>
      <w:r>
        <w:rPr>
          <w:spacing w:val="-4"/>
        </w:rPr>
        <w:t> </w:t>
      </w:r>
      <w:r>
        <w:rPr/>
        <w:t>study</w:t>
      </w:r>
      <w:r>
        <w:rPr>
          <w:spacing w:val="-3"/>
        </w:rPr>
        <w:t> </w:t>
      </w:r>
      <w:r>
        <w:rPr/>
        <w:t>from</w:t>
      </w:r>
      <w:r>
        <w:rPr>
          <w:spacing w:val="-4"/>
        </w:rPr>
        <w:t> </w:t>
      </w:r>
      <w:r>
        <w:rPr/>
        <w:t>the</w:t>
      </w:r>
      <w:r>
        <w:rPr>
          <w:spacing w:val="-4"/>
        </w:rPr>
        <w:t> </w:t>
      </w:r>
      <w:r>
        <w:rPr/>
        <w:t>forests</w:t>
      </w:r>
      <w:r>
        <w:rPr>
          <w:spacing w:val="-3"/>
        </w:rPr>
        <w:t> </w:t>
      </w:r>
      <w:r>
        <w:rPr/>
        <w:t>of</w:t>
      </w:r>
      <w:r>
        <w:rPr>
          <w:spacing w:val="-4"/>
        </w:rPr>
        <w:t> </w:t>
      </w:r>
      <w:r>
        <w:rPr/>
        <w:t>southern Tasmania.</w:t>
      </w:r>
      <w:r>
        <w:rPr>
          <w:spacing w:val="-2"/>
        </w:rPr>
        <w:t> </w:t>
      </w:r>
      <w:r>
        <w:rPr>
          <w:i/>
        </w:rPr>
        <w:t>Wildlife</w:t>
      </w:r>
      <w:r>
        <w:rPr>
          <w:i/>
          <w:spacing w:val="-4"/>
        </w:rPr>
        <w:t> </w:t>
      </w:r>
      <w:r>
        <w:rPr>
          <w:i/>
        </w:rPr>
        <w:t>Research</w:t>
      </w:r>
      <w:r>
        <w:rPr>
          <w:i/>
          <w:spacing w:val="-3"/>
        </w:rPr>
        <w:t> </w:t>
      </w:r>
      <w:r>
        <w:rPr>
          <w:b/>
        </w:rPr>
        <w:t>41</w:t>
      </w:r>
      <w:r>
        <w:rPr/>
        <w:t>(5):407.</w:t>
      </w:r>
      <w:r>
        <w:rPr>
          <w:spacing w:val="-2"/>
        </w:rPr>
        <w:t> </w:t>
      </w:r>
      <w:r>
        <w:rPr/>
        <w:t>doi: </w:t>
      </w:r>
      <w:r>
        <w:rPr>
          <w:spacing w:val="-2"/>
        </w:rPr>
        <w:t>10.1071/WR14030.</w:t>
      </w:r>
    </w:p>
    <w:p>
      <w:pPr>
        <w:pStyle w:val="BodyText"/>
        <w:spacing w:before="8"/>
      </w:pPr>
    </w:p>
    <w:p>
      <w:pPr>
        <w:pStyle w:val="BodyText"/>
        <w:ind w:left="833" w:right="163" w:hanging="721"/>
      </w:pPr>
      <w:r>
        <w:rPr/>
        <w:t>Le Pla, M.N., Birnbaum, E.K., Rees, M.W., Hradsky, B.A., Weeks, A.R., Van Rooyen, A., and Pascoe, J.H. (2022).</w:t>
      </w:r>
      <w:r>
        <w:rPr>
          <w:spacing w:val="-4"/>
        </w:rPr>
        <w:t> </w:t>
      </w:r>
      <w:r>
        <w:rPr/>
        <w:t>Genetic</w:t>
      </w:r>
      <w:r>
        <w:rPr>
          <w:spacing w:val="-3"/>
        </w:rPr>
        <w:t> </w:t>
      </w:r>
      <w:r>
        <w:rPr/>
        <w:t>sampling</w:t>
      </w:r>
      <w:r>
        <w:rPr>
          <w:spacing w:val="-3"/>
        </w:rPr>
        <w:t> </w:t>
      </w:r>
      <w:r>
        <w:rPr/>
        <w:t>and</w:t>
      </w:r>
      <w:r>
        <w:rPr>
          <w:spacing w:val="-5"/>
        </w:rPr>
        <w:t> </w:t>
      </w:r>
      <w:r>
        <w:rPr/>
        <w:t>an</w:t>
      </w:r>
      <w:r>
        <w:rPr>
          <w:spacing w:val="-4"/>
        </w:rPr>
        <w:t> </w:t>
      </w:r>
      <w:r>
        <w:rPr/>
        <w:t>activity</w:t>
      </w:r>
      <w:r>
        <w:rPr>
          <w:spacing w:val="-3"/>
        </w:rPr>
        <w:t> </w:t>
      </w:r>
      <w:r>
        <w:rPr/>
        <w:t>index</w:t>
      </w:r>
      <w:r>
        <w:rPr>
          <w:spacing w:val="-3"/>
        </w:rPr>
        <w:t> </w:t>
      </w:r>
      <w:r>
        <w:rPr/>
        <w:t>indicate</w:t>
      </w:r>
      <w:r>
        <w:rPr>
          <w:spacing w:val="-2"/>
        </w:rPr>
        <w:t> </w:t>
      </w:r>
      <w:r>
        <w:rPr/>
        <w:t>contrasting</w:t>
      </w:r>
      <w:r>
        <w:rPr>
          <w:spacing w:val="-4"/>
        </w:rPr>
        <w:t> </w:t>
      </w:r>
      <w:r>
        <w:rPr/>
        <w:t>outcomes</w:t>
      </w:r>
      <w:r>
        <w:rPr>
          <w:spacing w:val="-3"/>
        </w:rPr>
        <w:t> </w:t>
      </w:r>
      <w:r>
        <w:rPr/>
        <w:t>of</w:t>
      </w:r>
      <w:r>
        <w:rPr>
          <w:spacing w:val="-2"/>
        </w:rPr>
        <w:t> </w:t>
      </w:r>
      <w:r>
        <w:rPr/>
        <w:t>lethal</w:t>
      </w:r>
      <w:r>
        <w:rPr>
          <w:spacing w:val="-5"/>
        </w:rPr>
        <w:t> </w:t>
      </w:r>
      <w:r>
        <w:rPr/>
        <w:t>control</w:t>
      </w:r>
      <w:r>
        <w:rPr>
          <w:spacing w:val="-5"/>
        </w:rPr>
        <w:t> </w:t>
      </w:r>
      <w:r>
        <w:rPr/>
        <w:t>for</w:t>
      </w:r>
      <w:r>
        <w:rPr>
          <w:spacing w:val="-3"/>
        </w:rPr>
        <w:t> </w:t>
      </w:r>
      <w:r>
        <w:rPr/>
        <w:t>an invasive predator. </w:t>
      </w:r>
      <w:r>
        <w:rPr>
          <w:i/>
        </w:rPr>
        <w:t>Austral Ecology </w:t>
      </w:r>
      <w:r>
        <w:rPr>
          <w:b/>
        </w:rPr>
        <w:t>47</w:t>
      </w:r>
      <w:r>
        <w:rPr/>
        <w:t>(5):1062–76. doi: 10.1111/aec.13182.</w:t>
      </w:r>
    </w:p>
    <w:p>
      <w:pPr>
        <w:pStyle w:val="BodyText"/>
        <w:spacing w:before="12"/>
      </w:pPr>
    </w:p>
    <w:p>
      <w:pPr>
        <w:pStyle w:val="BodyText"/>
        <w:ind w:left="833" w:right="416" w:hanging="721"/>
      </w:pPr>
      <w:r>
        <w:rPr/>
        <w:t>Legge, S., Woinarski,</w:t>
      </w:r>
      <w:r>
        <w:rPr>
          <w:spacing w:val="-1"/>
        </w:rPr>
        <w:t> </w:t>
      </w:r>
      <w:r>
        <w:rPr/>
        <w:t>J.C.Z.,</w:t>
      </w:r>
      <w:r>
        <w:rPr>
          <w:spacing w:val="-1"/>
        </w:rPr>
        <w:t> </w:t>
      </w:r>
      <w:r>
        <w:rPr/>
        <w:t>Burbidge, A.A., Palmer, R.,</w:t>
      </w:r>
      <w:r>
        <w:rPr>
          <w:spacing w:val="-1"/>
        </w:rPr>
        <w:t> </w:t>
      </w:r>
      <w:r>
        <w:rPr/>
        <w:t>Ringma,</w:t>
      </w:r>
      <w:r>
        <w:rPr>
          <w:spacing w:val="-1"/>
        </w:rPr>
        <w:t> </w:t>
      </w:r>
      <w:r>
        <w:rPr/>
        <w:t>J.,</w:t>
      </w:r>
      <w:r>
        <w:rPr>
          <w:spacing w:val="-1"/>
        </w:rPr>
        <w:t> </w:t>
      </w:r>
      <w:r>
        <w:rPr/>
        <w:t>Radford,</w:t>
      </w:r>
      <w:r>
        <w:rPr>
          <w:spacing w:val="-1"/>
        </w:rPr>
        <w:t> </w:t>
      </w:r>
      <w:r>
        <w:rPr/>
        <w:t>James Q.,</w:t>
      </w:r>
      <w:r>
        <w:rPr>
          <w:spacing w:val="-1"/>
        </w:rPr>
        <w:t> </w:t>
      </w:r>
      <w:r>
        <w:rPr/>
        <w:t>Mitchell,</w:t>
      </w:r>
      <w:r>
        <w:rPr>
          <w:spacing w:val="-1"/>
        </w:rPr>
        <w:t> </w:t>
      </w:r>
      <w:r>
        <w:rPr/>
        <w:t>N., Bode, M., Wintle, B., Baseler, M., Bentley, J., Copley, P., Dexter, N., Dickman, C.R., Gillespie, G.R., Hill, B., Johnson, C.N., Latch, P., Letnic, M., Manning, A., McCreless, E.E., Menkhorst, P., Morris, K., Moseby,</w:t>
      </w:r>
      <w:r>
        <w:rPr>
          <w:spacing w:val="-2"/>
        </w:rPr>
        <w:t> </w:t>
      </w:r>
      <w:r>
        <w:rPr/>
        <w:t>K.,</w:t>
      </w:r>
      <w:r>
        <w:rPr>
          <w:spacing w:val="-2"/>
        </w:rPr>
        <w:t> </w:t>
      </w:r>
      <w:r>
        <w:rPr/>
        <w:t>Page,</w:t>
      </w:r>
      <w:r>
        <w:rPr>
          <w:spacing w:val="-2"/>
        </w:rPr>
        <w:t> </w:t>
      </w:r>
      <w:r>
        <w:rPr/>
        <w:t>M.,</w:t>
      </w:r>
      <w:r>
        <w:rPr>
          <w:spacing w:val="-2"/>
        </w:rPr>
        <w:t> </w:t>
      </w:r>
      <w:r>
        <w:rPr/>
        <w:t>Pannell,</w:t>
      </w:r>
      <w:r>
        <w:rPr>
          <w:spacing w:val="-4"/>
        </w:rPr>
        <w:t> </w:t>
      </w:r>
      <w:r>
        <w:rPr/>
        <w:t>D.,</w:t>
      </w:r>
      <w:r>
        <w:rPr>
          <w:spacing w:val="-4"/>
        </w:rPr>
        <w:t> </w:t>
      </w:r>
      <w:r>
        <w:rPr/>
        <w:t>and</w:t>
      </w:r>
      <w:r>
        <w:rPr>
          <w:spacing w:val="-4"/>
        </w:rPr>
        <w:t> </w:t>
      </w:r>
      <w:r>
        <w:rPr/>
        <w:t>Tuft,</w:t>
      </w:r>
      <w:r>
        <w:rPr>
          <w:spacing w:val="-4"/>
        </w:rPr>
        <w:t> </w:t>
      </w:r>
      <w:r>
        <w:rPr/>
        <w:t>K..</w:t>
      </w:r>
      <w:r>
        <w:rPr>
          <w:spacing w:val="-4"/>
        </w:rPr>
        <w:t> </w:t>
      </w:r>
      <w:r>
        <w:rPr/>
        <w:t>(2018).</w:t>
      </w:r>
      <w:r>
        <w:rPr>
          <w:spacing w:val="-4"/>
        </w:rPr>
        <w:t> </w:t>
      </w:r>
      <w:r>
        <w:rPr/>
        <w:t>Havens</w:t>
      </w:r>
      <w:r>
        <w:rPr>
          <w:spacing w:val="-3"/>
        </w:rPr>
        <w:t> </w:t>
      </w:r>
      <w:r>
        <w:rPr/>
        <w:t>for</w:t>
      </w:r>
      <w:r>
        <w:rPr>
          <w:spacing w:val="-3"/>
        </w:rPr>
        <w:t> </w:t>
      </w:r>
      <w:r>
        <w:rPr/>
        <w:t>threatened</w:t>
      </w:r>
      <w:r>
        <w:rPr>
          <w:spacing w:val="-2"/>
        </w:rPr>
        <w:t> </w:t>
      </w:r>
      <w:r>
        <w:rPr/>
        <w:t>Australian</w:t>
      </w:r>
      <w:r>
        <w:rPr>
          <w:spacing w:val="-1"/>
        </w:rPr>
        <w:t> </w:t>
      </w:r>
      <w:r>
        <w:rPr/>
        <w:t>mammals: the contributions of fenced areas and offshore islands to the protection of mammal species susceptible to introduced predators. </w:t>
      </w:r>
      <w:r>
        <w:rPr>
          <w:i/>
        </w:rPr>
        <w:t>Wildlife Research </w:t>
      </w:r>
      <w:r>
        <w:rPr>
          <w:b/>
        </w:rPr>
        <w:t>45</w:t>
      </w:r>
      <w:r>
        <w:rPr/>
        <w:t>:627–44.</w:t>
      </w:r>
    </w:p>
    <w:p>
      <w:pPr>
        <w:pStyle w:val="BodyText"/>
        <w:spacing w:before="10"/>
      </w:pPr>
    </w:p>
    <w:p>
      <w:pPr>
        <w:spacing w:before="0"/>
        <w:ind w:left="833" w:right="421" w:hanging="721"/>
        <w:jc w:val="left"/>
        <w:rPr>
          <w:sz w:val="20"/>
        </w:rPr>
      </w:pPr>
      <w:r>
        <w:rPr>
          <w:sz w:val="20"/>
        </w:rPr>
        <w:t>Lemay,</w:t>
      </w:r>
      <w:r>
        <w:rPr>
          <w:spacing w:val="-2"/>
          <w:sz w:val="20"/>
        </w:rPr>
        <w:t> </w:t>
      </w:r>
      <w:r>
        <w:rPr>
          <w:sz w:val="20"/>
        </w:rPr>
        <w:t>A.,</w:t>
      </w:r>
      <w:r>
        <w:rPr>
          <w:spacing w:val="-2"/>
          <w:sz w:val="20"/>
        </w:rPr>
        <w:t> </w:t>
      </w:r>
      <w:r>
        <w:rPr>
          <w:sz w:val="20"/>
        </w:rPr>
        <w:t>and</w:t>
      </w:r>
      <w:r>
        <w:rPr>
          <w:spacing w:val="-4"/>
          <w:sz w:val="20"/>
        </w:rPr>
        <w:t> </w:t>
      </w:r>
      <w:r>
        <w:rPr>
          <w:sz w:val="20"/>
        </w:rPr>
        <w:t>Hall,</w:t>
      </w:r>
      <w:r>
        <w:rPr>
          <w:spacing w:val="-2"/>
          <w:sz w:val="20"/>
        </w:rPr>
        <w:t> </w:t>
      </w:r>
      <w:r>
        <w:rPr>
          <w:sz w:val="20"/>
        </w:rPr>
        <w:t>T.</w:t>
      </w:r>
      <w:r>
        <w:rPr>
          <w:spacing w:val="-4"/>
          <w:sz w:val="20"/>
        </w:rPr>
        <w:t> </w:t>
      </w:r>
      <w:r>
        <w:rPr>
          <w:sz w:val="20"/>
        </w:rPr>
        <w:t>(2017).</w:t>
      </w:r>
      <w:r>
        <w:rPr>
          <w:spacing w:val="-4"/>
          <w:sz w:val="20"/>
        </w:rPr>
        <w:t> </w:t>
      </w:r>
      <w:r>
        <w:rPr>
          <w:sz w:val="20"/>
        </w:rPr>
        <w:t>The</w:t>
      </w:r>
      <w:r>
        <w:rPr>
          <w:spacing w:val="-2"/>
          <w:sz w:val="20"/>
        </w:rPr>
        <w:t> </w:t>
      </w:r>
      <w:r>
        <w:rPr>
          <w:sz w:val="20"/>
        </w:rPr>
        <w:t>use</w:t>
      </w:r>
      <w:r>
        <w:rPr>
          <w:spacing w:val="-4"/>
          <w:sz w:val="20"/>
        </w:rPr>
        <w:t> </w:t>
      </w:r>
      <w:r>
        <w:rPr>
          <w:sz w:val="20"/>
        </w:rPr>
        <w:t>of</w:t>
      </w:r>
      <w:r>
        <w:rPr>
          <w:spacing w:val="-4"/>
          <w:sz w:val="20"/>
        </w:rPr>
        <w:t> </w:t>
      </w:r>
      <w:r>
        <w:rPr>
          <w:sz w:val="20"/>
        </w:rPr>
        <w:t>carbon</w:t>
      </w:r>
      <w:r>
        <w:rPr>
          <w:spacing w:val="-4"/>
          <w:sz w:val="20"/>
        </w:rPr>
        <w:t> </w:t>
      </w:r>
      <w:r>
        <w:rPr>
          <w:sz w:val="20"/>
        </w:rPr>
        <w:t>monoxide</w:t>
      </w:r>
      <w:r>
        <w:rPr>
          <w:spacing w:val="-4"/>
          <w:sz w:val="20"/>
        </w:rPr>
        <w:t> </w:t>
      </w:r>
      <w:r>
        <w:rPr>
          <w:sz w:val="20"/>
        </w:rPr>
        <w:t>in</w:t>
      </w:r>
      <w:r>
        <w:rPr>
          <w:spacing w:val="-4"/>
          <w:sz w:val="20"/>
        </w:rPr>
        <w:t> </w:t>
      </w:r>
      <w:r>
        <w:rPr>
          <w:sz w:val="20"/>
        </w:rPr>
        <w:t>wildlife</w:t>
      </w:r>
      <w:r>
        <w:rPr>
          <w:spacing w:val="-5"/>
          <w:sz w:val="20"/>
        </w:rPr>
        <w:t> </w:t>
      </w:r>
      <w:r>
        <w:rPr>
          <w:sz w:val="20"/>
        </w:rPr>
        <w:t>damage</w:t>
      </w:r>
      <w:r>
        <w:rPr>
          <w:spacing w:val="-3"/>
          <w:sz w:val="20"/>
        </w:rPr>
        <w:t> </w:t>
      </w:r>
      <w:r>
        <w:rPr>
          <w:sz w:val="20"/>
        </w:rPr>
        <w:t>management. </w:t>
      </w:r>
      <w:r>
        <w:rPr>
          <w:i/>
          <w:sz w:val="20"/>
        </w:rPr>
        <w:t>Human</w:t>
      </w:r>
      <w:r>
        <w:rPr>
          <w:i/>
          <w:spacing w:val="-2"/>
          <w:sz w:val="20"/>
        </w:rPr>
        <w:t> </w:t>
      </w:r>
      <w:r>
        <w:rPr>
          <w:i/>
          <w:sz w:val="20"/>
        </w:rPr>
        <w:t>Health</w:t>
      </w:r>
      <w:r>
        <w:rPr>
          <w:i/>
          <w:sz w:val="20"/>
        </w:rPr>
        <w:t> and Ecological Risk Assessment for the Use of Wildlife Damage Management Methods by USDA- APHIS-Wildlife Services </w:t>
      </w:r>
      <w:r>
        <w:rPr>
          <w:sz w:val="20"/>
        </w:rPr>
        <w:t>1–41.</w:t>
      </w:r>
    </w:p>
    <w:p>
      <w:pPr>
        <w:pStyle w:val="BodyText"/>
        <w:spacing w:before="9"/>
      </w:pPr>
    </w:p>
    <w:p>
      <w:pPr>
        <w:pStyle w:val="BodyText"/>
        <w:ind w:left="833" w:right="364" w:hanging="721"/>
      </w:pPr>
      <w:r>
        <w:rPr/>
        <w:t>Letnic,</w:t>
      </w:r>
      <w:r>
        <w:rPr>
          <w:spacing w:val="-4"/>
        </w:rPr>
        <w:t> </w:t>
      </w:r>
      <w:r>
        <w:rPr/>
        <w:t>M.,</w:t>
      </w:r>
      <w:r>
        <w:rPr>
          <w:spacing w:val="-2"/>
        </w:rPr>
        <w:t> </w:t>
      </w:r>
      <w:r>
        <w:rPr/>
        <w:t>Baker,</w:t>
      </w:r>
      <w:r>
        <w:rPr>
          <w:spacing w:val="-4"/>
        </w:rPr>
        <w:t> </w:t>
      </w:r>
      <w:r>
        <w:rPr/>
        <w:t>L.,</w:t>
      </w:r>
      <w:r>
        <w:rPr>
          <w:spacing w:val="-2"/>
        </w:rPr>
        <w:t> </w:t>
      </w:r>
      <w:r>
        <w:rPr/>
        <w:t>and</w:t>
      </w:r>
      <w:r>
        <w:rPr>
          <w:spacing w:val="-2"/>
        </w:rPr>
        <w:t> </w:t>
      </w:r>
      <w:r>
        <w:rPr/>
        <w:t>Nesbitt,</w:t>
      </w:r>
      <w:r>
        <w:rPr>
          <w:spacing w:val="-2"/>
        </w:rPr>
        <w:t> </w:t>
      </w:r>
      <w:r>
        <w:rPr/>
        <w:t>B.</w:t>
      </w:r>
      <w:r>
        <w:rPr>
          <w:spacing w:val="-4"/>
        </w:rPr>
        <w:t> </w:t>
      </w:r>
      <w:r>
        <w:rPr/>
        <w:t>(2013).</w:t>
      </w:r>
      <w:r>
        <w:rPr>
          <w:spacing w:val="-4"/>
        </w:rPr>
        <w:t> </w:t>
      </w:r>
      <w:r>
        <w:rPr/>
        <w:t>Ecologically</w:t>
      </w:r>
      <w:r>
        <w:rPr>
          <w:spacing w:val="-3"/>
        </w:rPr>
        <w:t> </w:t>
      </w:r>
      <w:r>
        <w:rPr/>
        <w:t>functional</w:t>
      </w:r>
      <w:r>
        <w:rPr>
          <w:spacing w:val="-3"/>
        </w:rPr>
        <w:t> </w:t>
      </w:r>
      <w:r>
        <w:rPr/>
        <w:t>landscapes</w:t>
      </w:r>
      <w:r>
        <w:rPr>
          <w:spacing w:val="-3"/>
        </w:rPr>
        <w:t> </w:t>
      </w:r>
      <w:r>
        <w:rPr/>
        <w:t>and</w:t>
      </w:r>
      <w:r>
        <w:rPr>
          <w:spacing w:val="-4"/>
        </w:rPr>
        <w:t> </w:t>
      </w:r>
      <w:r>
        <w:rPr/>
        <w:t>the</w:t>
      </w:r>
      <w:r>
        <w:rPr>
          <w:spacing w:val="-2"/>
        </w:rPr>
        <w:t> </w:t>
      </w:r>
      <w:r>
        <w:rPr/>
        <w:t>role</w:t>
      </w:r>
      <w:r>
        <w:rPr>
          <w:spacing w:val="-2"/>
        </w:rPr>
        <w:t> </w:t>
      </w:r>
      <w:r>
        <w:rPr/>
        <w:t>of</w:t>
      </w:r>
      <w:r>
        <w:rPr>
          <w:spacing w:val="-2"/>
        </w:rPr>
        <w:t> </w:t>
      </w:r>
      <w:r>
        <w:rPr/>
        <w:t>dingoes</w:t>
      </w:r>
      <w:r>
        <w:rPr>
          <w:spacing w:val="-3"/>
        </w:rPr>
        <w:t> </w:t>
      </w:r>
      <w:r>
        <w:rPr/>
        <w:t>as trophic regulators in south</w:t>
      </w:r>
      <w:r>
        <w:rPr>
          <w:rFonts w:ascii="Cambria Math" w:hAnsi="Cambria Math"/>
        </w:rPr>
        <w:t>‐</w:t>
      </w:r>
      <w:r>
        <w:rPr/>
        <w:t>eastern Australia and other habitats. </w:t>
      </w:r>
      <w:r>
        <w:rPr>
          <w:i/>
        </w:rPr>
        <w:t>Ecological Management &amp;</w:t>
      </w:r>
      <w:r>
        <w:rPr>
          <w:i/>
        </w:rPr>
        <w:t> Restoration </w:t>
      </w:r>
      <w:r>
        <w:rPr>
          <w:b/>
        </w:rPr>
        <w:t>14</w:t>
      </w:r>
      <w:r>
        <w:rPr/>
        <w:t>(2):101–5. doi: 10.1111/emr.12035.</w:t>
      </w:r>
    </w:p>
    <w:p>
      <w:pPr>
        <w:pStyle w:val="BodyText"/>
        <w:spacing w:before="12"/>
      </w:pPr>
    </w:p>
    <w:p>
      <w:pPr>
        <w:pStyle w:val="BodyText"/>
        <w:ind w:left="112"/>
      </w:pPr>
      <w:r>
        <w:rPr/>
        <w:t>Lieury,</w:t>
      </w:r>
      <w:r>
        <w:rPr>
          <w:spacing w:val="-7"/>
        </w:rPr>
        <w:t> </w:t>
      </w:r>
      <w:r>
        <w:rPr/>
        <w:t>N.,</w:t>
      </w:r>
      <w:r>
        <w:rPr>
          <w:spacing w:val="-6"/>
        </w:rPr>
        <w:t> </w:t>
      </w:r>
      <w:r>
        <w:rPr/>
        <w:t>Ruette,</w:t>
      </w:r>
      <w:r>
        <w:rPr>
          <w:spacing w:val="-7"/>
        </w:rPr>
        <w:t> </w:t>
      </w:r>
      <w:r>
        <w:rPr/>
        <w:t>S.,</w:t>
      </w:r>
      <w:r>
        <w:rPr>
          <w:spacing w:val="-6"/>
        </w:rPr>
        <w:t> </w:t>
      </w:r>
      <w:r>
        <w:rPr/>
        <w:t>Devillard,</w:t>
      </w:r>
      <w:r>
        <w:rPr>
          <w:spacing w:val="-5"/>
        </w:rPr>
        <w:t> </w:t>
      </w:r>
      <w:r>
        <w:rPr/>
        <w:t>S.,</w:t>
      </w:r>
      <w:r>
        <w:rPr>
          <w:spacing w:val="-4"/>
        </w:rPr>
        <w:t> </w:t>
      </w:r>
      <w:r>
        <w:rPr/>
        <w:t>Albaret,</w:t>
      </w:r>
      <w:r>
        <w:rPr>
          <w:spacing w:val="-7"/>
        </w:rPr>
        <w:t> </w:t>
      </w:r>
      <w:r>
        <w:rPr/>
        <w:t>M.,</w:t>
      </w:r>
      <w:r>
        <w:rPr>
          <w:spacing w:val="-4"/>
        </w:rPr>
        <w:t> </w:t>
      </w:r>
      <w:r>
        <w:rPr/>
        <w:t>Drouyer,</w:t>
      </w:r>
      <w:r>
        <w:rPr>
          <w:spacing w:val="-7"/>
        </w:rPr>
        <w:t> </w:t>
      </w:r>
      <w:r>
        <w:rPr/>
        <w:t>F.,</w:t>
      </w:r>
      <w:r>
        <w:rPr>
          <w:spacing w:val="-6"/>
        </w:rPr>
        <w:t> </w:t>
      </w:r>
      <w:r>
        <w:rPr/>
        <w:t>Baudoux,</w:t>
      </w:r>
      <w:r>
        <w:rPr>
          <w:spacing w:val="-4"/>
        </w:rPr>
        <w:t> </w:t>
      </w:r>
      <w:r>
        <w:rPr/>
        <w:t>B.,</w:t>
      </w:r>
      <w:r>
        <w:rPr>
          <w:spacing w:val="-7"/>
        </w:rPr>
        <w:t> </w:t>
      </w:r>
      <w:r>
        <w:rPr/>
        <w:t>and</w:t>
      </w:r>
      <w:r>
        <w:rPr>
          <w:spacing w:val="-5"/>
        </w:rPr>
        <w:t> </w:t>
      </w:r>
      <w:r>
        <w:rPr/>
        <w:t>Millon,</w:t>
      </w:r>
      <w:r>
        <w:rPr>
          <w:spacing w:val="-5"/>
        </w:rPr>
        <w:t> </w:t>
      </w:r>
      <w:r>
        <w:rPr/>
        <w:t>A.</w:t>
      </w:r>
      <w:r>
        <w:rPr>
          <w:spacing w:val="-6"/>
        </w:rPr>
        <w:t> </w:t>
      </w:r>
      <w:r>
        <w:rPr>
          <w:spacing w:val="-2"/>
        </w:rPr>
        <w:t>(2015).</w:t>
      </w:r>
    </w:p>
    <w:p>
      <w:pPr>
        <w:pStyle w:val="BodyText"/>
        <w:ind w:left="833"/>
      </w:pPr>
      <w:r>
        <w:rPr/>
        <w:t>Compensatory immigration challenges predator control: an experimental evidence-based approach improves</w:t>
      </w:r>
      <w:r>
        <w:rPr>
          <w:spacing w:val="-3"/>
        </w:rPr>
        <w:t> </w:t>
      </w:r>
      <w:r>
        <w:rPr/>
        <w:t>management:</w:t>
      </w:r>
      <w:r>
        <w:rPr>
          <w:spacing w:val="-6"/>
        </w:rPr>
        <w:t> </w:t>
      </w:r>
      <w:r>
        <w:rPr/>
        <w:t>compensatory</w:t>
      </w:r>
      <w:r>
        <w:rPr>
          <w:spacing w:val="-4"/>
        </w:rPr>
        <w:t> </w:t>
      </w:r>
      <w:r>
        <w:rPr/>
        <w:t>immigration</w:t>
      </w:r>
      <w:r>
        <w:rPr>
          <w:spacing w:val="-5"/>
        </w:rPr>
        <w:t> </w:t>
      </w:r>
      <w:r>
        <w:rPr/>
        <w:t>in</w:t>
      </w:r>
      <w:r>
        <w:rPr>
          <w:spacing w:val="-4"/>
        </w:rPr>
        <w:t> </w:t>
      </w:r>
      <w:r>
        <w:rPr/>
        <w:t>carnivore</w:t>
      </w:r>
      <w:r>
        <w:rPr>
          <w:spacing w:val="-6"/>
        </w:rPr>
        <w:t> </w:t>
      </w:r>
      <w:r>
        <w:rPr/>
        <w:t>management. </w:t>
      </w:r>
      <w:r>
        <w:rPr>
          <w:i/>
        </w:rPr>
        <w:t>The</w:t>
      </w:r>
      <w:r>
        <w:rPr>
          <w:i/>
          <w:spacing w:val="-6"/>
        </w:rPr>
        <w:t> </w:t>
      </w:r>
      <w:r>
        <w:rPr>
          <w:i/>
        </w:rPr>
        <w:t>Journal</w:t>
      </w:r>
      <w:r>
        <w:rPr>
          <w:i/>
          <w:spacing w:val="-7"/>
        </w:rPr>
        <w:t> </w:t>
      </w:r>
      <w:r>
        <w:rPr>
          <w:i/>
        </w:rPr>
        <w:t>of</w:t>
      </w:r>
      <w:r>
        <w:rPr>
          <w:i/>
          <w:spacing w:val="-4"/>
        </w:rPr>
        <w:t> </w:t>
      </w:r>
      <w:r>
        <w:rPr>
          <w:i/>
        </w:rPr>
        <w:t>Wildlife</w:t>
      </w:r>
      <w:r>
        <w:rPr>
          <w:i/>
        </w:rPr>
        <w:t> Management </w:t>
      </w:r>
      <w:r>
        <w:rPr>
          <w:b/>
        </w:rPr>
        <w:t>79</w:t>
      </w:r>
      <w:r>
        <w:rPr/>
        <w:t>(3):425–34. doi: 10.1002/jwmg.850.</w:t>
      </w:r>
    </w:p>
    <w:p>
      <w:pPr>
        <w:pStyle w:val="BodyText"/>
        <w:spacing w:before="9"/>
      </w:pPr>
    </w:p>
    <w:p>
      <w:pPr>
        <w:spacing w:before="0"/>
        <w:ind w:left="833" w:right="163" w:hanging="721"/>
        <w:jc w:val="left"/>
        <w:rPr>
          <w:sz w:val="20"/>
        </w:rPr>
      </w:pPr>
      <w:r>
        <w:rPr>
          <w:sz w:val="20"/>
        </w:rPr>
        <w:t>Lightfoot,</w:t>
      </w:r>
      <w:r>
        <w:rPr>
          <w:spacing w:val="-4"/>
          <w:sz w:val="20"/>
        </w:rPr>
        <w:t> </w:t>
      </w:r>
      <w:r>
        <w:rPr>
          <w:sz w:val="20"/>
        </w:rPr>
        <w:t>C.</w:t>
      </w:r>
      <w:r>
        <w:rPr>
          <w:spacing w:val="-2"/>
          <w:sz w:val="20"/>
        </w:rPr>
        <w:t> </w:t>
      </w:r>
      <w:r>
        <w:rPr>
          <w:sz w:val="20"/>
        </w:rPr>
        <w:t>(2010).</w:t>
      </w:r>
      <w:r>
        <w:rPr>
          <w:spacing w:val="-2"/>
          <w:sz w:val="20"/>
        </w:rPr>
        <w:t> </w:t>
      </w:r>
      <w:r>
        <w:rPr>
          <w:i/>
          <w:sz w:val="20"/>
        </w:rPr>
        <w:t>Social</w:t>
      </w:r>
      <w:r>
        <w:rPr>
          <w:i/>
          <w:spacing w:val="-3"/>
          <w:sz w:val="20"/>
        </w:rPr>
        <w:t> </w:t>
      </w:r>
      <w:r>
        <w:rPr>
          <w:i/>
          <w:sz w:val="20"/>
        </w:rPr>
        <w:t>benefit</w:t>
      </w:r>
      <w:r>
        <w:rPr>
          <w:i/>
          <w:spacing w:val="-4"/>
          <w:sz w:val="20"/>
        </w:rPr>
        <w:t> </w:t>
      </w:r>
      <w:r>
        <w:rPr>
          <w:i/>
          <w:sz w:val="20"/>
        </w:rPr>
        <w:t>cost</w:t>
      </w:r>
      <w:r>
        <w:rPr>
          <w:i/>
          <w:spacing w:val="-2"/>
          <w:sz w:val="20"/>
        </w:rPr>
        <w:t> </w:t>
      </w:r>
      <w:r>
        <w:rPr>
          <w:i/>
          <w:sz w:val="20"/>
        </w:rPr>
        <w:t>analysis:</w:t>
      </w:r>
      <w:r>
        <w:rPr>
          <w:i/>
          <w:spacing w:val="-4"/>
          <w:sz w:val="20"/>
        </w:rPr>
        <w:t> </w:t>
      </w:r>
      <w:r>
        <w:rPr>
          <w:i/>
          <w:sz w:val="20"/>
        </w:rPr>
        <w:t>wild</w:t>
      </w:r>
      <w:r>
        <w:rPr>
          <w:i/>
          <w:spacing w:val="-2"/>
          <w:sz w:val="20"/>
        </w:rPr>
        <w:t> </w:t>
      </w:r>
      <w:r>
        <w:rPr>
          <w:i/>
          <w:sz w:val="20"/>
        </w:rPr>
        <w:t>dog</w:t>
      </w:r>
      <w:r>
        <w:rPr>
          <w:i/>
          <w:spacing w:val="-5"/>
          <w:sz w:val="20"/>
        </w:rPr>
        <w:t> </w:t>
      </w:r>
      <w:r>
        <w:rPr>
          <w:i/>
          <w:sz w:val="20"/>
        </w:rPr>
        <w:t>management</w:t>
      </w:r>
      <w:r>
        <w:rPr>
          <w:i/>
          <w:spacing w:val="-2"/>
          <w:sz w:val="20"/>
        </w:rPr>
        <w:t> </w:t>
      </w:r>
      <w:r>
        <w:rPr>
          <w:i/>
          <w:sz w:val="20"/>
        </w:rPr>
        <w:t>in Victoria.</w:t>
      </w:r>
      <w:r>
        <w:rPr>
          <w:i/>
          <w:spacing w:val="-2"/>
          <w:sz w:val="20"/>
        </w:rPr>
        <w:t> </w:t>
      </w:r>
      <w:r>
        <w:rPr>
          <w:sz w:val="20"/>
        </w:rPr>
        <w:t>Department</w:t>
      </w:r>
      <w:r>
        <w:rPr>
          <w:spacing w:val="-4"/>
          <w:sz w:val="20"/>
        </w:rPr>
        <w:t> </w:t>
      </w:r>
      <w:r>
        <w:rPr>
          <w:sz w:val="20"/>
        </w:rPr>
        <w:t>of</w:t>
      </w:r>
      <w:r>
        <w:rPr>
          <w:spacing w:val="-2"/>
          <w:sz w:val="20"/>
        </w:rPr>
        <w:t> </w:t>
      </w:r>
      <w:r>
        <w:rPr>
          <w:sz w:val="20"/>
        </w:rPr>
        <w:t>Primary Industries, Victorian Government, Melbourne.</w:t>
      </w:r>
    </w:p>
    <w:p>
      <w:pPr>
        <w:pStyle w:val="BodyText"/>
        <w:spacing w:before="11"/>
      </w:pPr>
    </w:p>
    <w:p>
      <w:pPr>
        <w:spacing w:before="0"/>
        <w:ind w:left="833" w:right="416" w:hanging="721"/>
        <w:jc w:val="left"/>
        <w:rPr>
          <w:sz w:val="20"/>
        </w:rPr>
      </w:pPr>
      <w:r>
        <w:rPr>
          <w:sz w:val="20"/>
        </w:rPr>
        <w:t>Linhart, S.B. (1984). </w:t>
      </w:r>
      <w:r>
        <w:rPr>
          <w:i/>
          <w:sz w:val="20"/>
        </w:rPr>
        <w:t>Strobe light and siren devices for protecting fenced-pasture and range sheep from</w:t>
      </w:r>
      <w:r>
        <w:rPr>
          <w:i/>
          <w:sz w:val="20"/>
        </w:rPr>
        <w:t> Coyote</w:t>
      </w:r>
      <w:r>
        <w:rPr>
          <w:i/>
          <w:spacing w:val="-3"/>
          <w:sz w:val="20"/>
        </w:rPr>
        <w:t> </w:t>
      </w:r>
      <w:r>
        <w:rPr>
          <w:i/>
          <w:sz w:val="20"/>
        </w:rPr>
        <w:t>predation</w:t>
      </w:r>
      <w:r>
        <w:rPr>
          <w:sz w:val="20"/>
        </w:rPr>
        <w:t>.</w:t>
      </w:r>
      <w:r>
        <w:rPr>
          <w:spacing w:val="-4"/>
          <w:sz w:val="20"/>
        </w:rPr>
        <w:t> </w:t>
      </w:r>
      <w:r>
        <w:rPr>
          <w:sz w:val="20"/>
        </w:rPr>
        <w:t>In</w:t>
      </w:r>
      <w:r>
        <w:rPr>
          <w:spacing w:val="-4"/>
          <w:sz w:val="20"/>
        </w:rPr>
        <w:t> </w:t>
      </w:r>
      <w:r>
        <w:rPr>
          <w:sz w:val="20"/>
        </w:rPr>
        <w:t>Proceedings</w:t>
      </w:r>
      <w:r>
        <w:rPr>
          <w:spacing w:val="-3"/>
          <w:sz w:val="20"/>
        </w:rPr>
        <w:t> </w:t>
      </w:r>
      <w:r>
        <w:rPr>
          <w:sz w:val="20"/>
        </w:rPr>
        <w:t>of</w:t>
      </w:r>
      <w:r>
        <w:rPr>
          <w:spacing w:val="-2"/>
          <w:sz w:val="20"/>
        </w:rPr>
        <w:t> </w:t>
      </w:r>
      <w:r>
        <w:rPr>
          <w:sz w:val="20"/>
        </w:rPr>
        <w:t>the</w:t>
      </w:r>
      <w:r>
        <w:rPr>
          <w:spacing w:val="-3"/>
          <w:sz w:val="20"/>
        </w:rPr>
        <w:t> </w:t>
      </w:r>
      <w:r>
        <w:rPr>
          <w:sz w:val="20"/>
        </w:rPr>
        <w:t>11th</w:t>
      </w:r>
      <w:r>
        <w:rPr>
          <w:spacing w:val="-4"/>
          <w:sz w:val="20"/>
        </w:rPr>
        <w:t> </w:t>
      </w:r>
      <w:r>
        <w:rPr>
          <w:sz w:val="20"/>
        </w:rPr>
        <w:t>Vertebrate</w:t>
      </w:r>
      <w:r>
        <w:rPr>
          <w:spacing w:val="-5"/>
          <w:sz w:val="20"/>
        </w:rPr>
        <w:t> </w:t>
      </w:r>
      <w:r>
        <w:rPr>
          <w:sz w:val="20"/>
        </w:rPr>
        <w:t>Pest</w:t>
      </w:r>
      <w:r>
        <w:rPr>
          <w:spacing w:val="-4"/>
          <w:sz w:val="20"/>
        </w:rPr>
        <w:t> </w:t>
      </w:r>
      <w:r>
        <w:rPr>
          <w:sz w:val="20"/>
        </w:rPr>
        <w:t>Conference.</w:t>
      </w:r>
      <w:r>
        <w:rPr>
          <w:spacing w:val="-4"/>
          <w:sz w:val="20"/>
        </w:rPr>
        <w:t> </w:t>
      </w:r>
      <w:r>
        <w:rPr>
          <w:sz w:val="20"/>
        </w:rPr>
        <w:t>pp.</w:t>
      </w:r>
      <w:r>
        <w:rPr>
          <w:spacing w:val="-4"/>
          <w:sz w:val="20"/>
        </w:rPr>
        <w:t> </w:t>
      </w:r>
      <w:r>
        <w:rPr>
          <w:sz w:val="20"/>
        </w:rPr>
        <w:t>154–156.</w:t>
      </w:r>
      <w:r>
        <w:rPr>
          <w:spacing w:val="-4"/>
          <w:sz w:val="20"/>
        </w:rPr>
        <w:t> </w:t>
      </w:r>
      <w:r>
        <w:rPr>
          <w:sz w:val="20"/>
        </w:rPr>
        <w:t>(University of Nebraska-Lincoln) Available at: </w:t>
      </w:r>
      <w:hyperlink r:id="rId100">
        <w:r>
          <w:rPr>
            <w:color w:val="0000FF"/>
            <w:sz w:val="20"/>
            <w:u w:val="single" w:color="0000FF"/>
          </w:rPr>
          <w:t>https://digitalcommons.unl.edu/vpc11/20.</w:t>
        </w:r>
      </w:hyperlink>
    </w:p>
    <w:p>
      <w:pPr>
        <w:pStyle w:val="BodyText"/>
        <w:spacing w:before="9"/>
      </w:pPr>
    </w:p>
    <w:p>
      <w:pPr>
        <w:pStyle w:val="BodyText"/>
        <w:ind w:left="833" w:right="544" w:hanging="721"/>
      </w:pPr>
      <w:r>
        <w:rPr/>
        <w:t>Linhart,</w:t>
      </w:r>
      <w:r>
        <w:rPr>
          <w:spacing w:val="-3"/>
        </w:rPr>
        <w:t> </w:t>
      </w:r>
      <w:r>
        <w:rPr/>
        <w:t>S.B.,</w:t>
      </w:r>
      <w:r>
        <w:rPr>
          <w:spacing w:val="-3"/>
        </w:rPr>
        <w:t> </w:t>
      </w:r>
      <w:r>
        <w:rPr/>
        <w:t>Sterner,</w:t>
      </w:r>
      <w:r>
        <w:rPr>
          <w:spacing w:val="-2"/>
        </w:rPr>
        <w:t> </w:t>
      </w:r>
      <w:r>
        <w:rPr/>
        <w:t>R.T.,</w:t>
      </w:r>
      <w:r>
        <w:rPr>
          <w:spacing w:val="-2"/>
        </w:rPr>
        <w:t> </w:t>
      </w:r>
      <w:r>
        <w:rPr/>
        <w:t>Dasch,</w:t>
      </w:r>
      <w:r>
        <w:rPr>
          <w:spacing w:val="-5"/>
        </w:rPr>
        <w:t> </w:t>
      </w:r>
      <w:r>
        <w:rPr/>
        <w:t>G.J.,</w:t>
      </w:r>
      <w:r>
        <w:rPr>
          <w:spacing w:val="-5"/>
        </w:rPr>
        <w:t> </w:t>
      </w:r>
      <w:r>
        <w:rPr/>
        <w:t>Roberts,</w:t>
      </w:r>
      <w:r>
        <w:rPr>
          <w:spacing w:val="-5"/>
        </w:rPr>
        <w:t> </w:t>
      </w:r>
      <w:r>
        <w:rPr/>
        <w:t>J.D.,</w:t>
      </w:r>
      <w:r>
        <w:rPr>
          <w:spacing w:val="-3"/>
        </w:rPr>
        <w:t> </w:t>
      </w:r>
      <w:r>
        <w:rPr/>
        <w:t>and Packham,</w:t>
      </w:r>
      <w:r>
        <w:rPr>
          <w:spacing w:val="-5"/>
        </w:rPr>
        <w:t> </w:t>
      </w:r>
      <w:r>
        <w:rPr/>
        <w:t>C.J.</w:t>
      </w:r>
      <w:r>
        <w:rPr>
          <w:spacing w:val="-5"/>
        </w:rPr>
        <w:t> </w:t>
      </w:r>
      <w:r>
        <w:rPr/>
        <w:t>(1992).</w:t>
      </w:r>
      <w:r>
        <w:rPr>
          <w:spacing w:val="-5"/>
        </w:rPr>
        <w:t> </w:t>
      </w:r>
      <w:r>
        <w:rPr/>
        <w:t>Electronic</w:t>
      </w:r>
      <w:r>
        <w:rPr>
          <w:spacing w:val="-4"/>
        </w:rPr>
        <w:t> </w:t>
      </w:r>
      <w:r>
        <w:rPr/>
        <w:t>frightening devices for reducing coyote predation on domestic sheep: efficacy under range conditions and operational use. Pp. 386–92 in </w:t>
      </w:r>
      <w:r>
        <w:rPr>
          <w:i/>
        </w:rPr>
        <w:t>Proceedings 15th Vertebrate Pest Conference</w:t>
      </w:r>
      <w:r>
        <w:rPr/>
        <w:t>. University of California Press: Berkeley, CA, USA.</w:t>
      </w:r>
    </w:p>
    <w:p>
      <w:pPr>
        <w:pStyle w:val="BodyText"/>
        <w:spacing w:before="9"/>
      </w:pPr>
    </w:p>
    <w:p>
      <w:pPr>
        <w:pStyle w:val="BodyText"/>
        <w:spacing w:before="1"/>
        <w:ind w:left="833" w:right="163" w:hanging="721"/>
      </w:pPr>
      <w:r>
        <w:rPr/>
        <w:t>Lohr, M.T., Hampton, J.O., Cherriman, S., Busetti, F., and Lohr, C. (2020). Completing a worldwide</w:t>
      </w:r>
      <w:r>
        <w:rPr>
          <w:spacing w:val="-1"/>
        </w:rPr>
        <w:t> </w:t>
      </w:r>
      <w:r>
        <w:rPr/>
        <w:t>picture: preliminary</w:t>
      </w:r>
      <w:r>
        <w:rPr>
          <w:spacing w:val="-4"/>
        </w:rPr>
        <w:t> </w:t>
      </w:r>
      <w:r>
        <w:rPr/>
        <w:t>evidence</w:t>
      </w:r>
      <w:r>
        <w:rPr>
          <w:spacing w:val="-3"/>
        </w:rPr>
        <w:t> </w:t>
      </w:r>
      <w:r>
        <w:rPr/>
        <w:t>of</w:t>
      </w:r>
      <w:r>
        <w:rPr>
          <w:spacing w:val="-3"/>
        </w:rPr>
        <w:t> </w:t>
      </w:r>
      <w:r>
        <w:rPr/>
        <w:t>lead</w:t>
      </w:r>
      <w:r>
        <w:rPr>
          <w:spacing w:val="-5"/>
        </w:rPr>
        <w:t> </w:t>
      </w:r>
      <w:r>
        <w:rPr/>
        <w:t>exposure</w:t>
      </w:r>
      <w:r>
        <w:rPr>
          <w:spacing w:val="-3"/>
        </w:rPr>
        <w:t> </w:t>
      </w:r>
      <w:r>
        <w:rPr/>
        <w:t>in</w:t>
      </w:r>
      <w:r>
        <w:rPr>
          <w:spacing w:val="-3"/>
        </w:rPr>
        <w:t> </w:t>
      </w:r>
      <w:r>
        <w:rPr/>
        <w:t>a</w:t>
      </w:r>
      <w:r>
        <w:rPr>
          <w:spacing w:val="-6"/>
        </w:rPr>
        <w:t> </w:t>
      </w:r>
      <w:r>
        <w:rPr/>
        <w:t>scavenging</w:t>
      </w:r>
      <w:r>
        <w:rPr>
          <w:spacing w:val="-3"/>
        </w:rPr>
        <w:t> </w:t>
      </w:r>
      <w:r>
        <w:rPr/>
        <w:t>bird</w:t>
      </w:r>
      <w:r>
        <w:rPr>
          <w:spacing w:val="-5"/>
        </w:rPr>
        <w:t> </w:t>
      </w:r>
      <w:r>
        <w:rPr/>
        <w:t>from</w:t>
      </w:r>
      <w:r>
        <w:rPr>
          <w:spacing w:val="-3"/>
        </w:rPr>
        <w:t> </w:t>
      </w:r>
      <w:r>
        <w:rPr/>
        <w:t>mainland Australia.</w:t>
      </w:r>
      <w:r>
        <w:rPr>
          <w:spacing w:val="-4"/>
        </w:rPr>
        <w:t> </w:t>
      </w:r>
      <w:r>
        <w:rPr>
          <w:i/>
        </w:rPr>
        <w:t>Science</w:t>
      </w:r>
      <w:r>
        <w:rPr>
          <w:i/>
          <w:spacing w:val="-3"/>
        </w:rPr>
        <w:t> </w:t>
      </w:r>
      <w:r>
        <w:rPr>
          <w:i/>
        </w:rPr>
        <w:t>of</w:t>
      </w:r>
      <w:r>
        <w:rPr>
          <w:i/>
          <w:spacing w:val="-5"/>
        </w:rPr>
        <w:t> </w:t>
      </w:r>
      <w:r>
        <w:rPr>
          <w:i/>
        </w:rPr>
        <w:t>The</w:t>
      </w:r>
      <w:r>
        <w:rPr>
          <w:i/>
        </w:rPr>
        <w:t> Total Environment </w:t>
      </w:r>
      <w:r>
        <w:rPr>
          <w:b/>
        </w:rPr>
        <w:t>715</w:t>
      </w:r>
      <w:r>
        <w:rPr/>
        <w:t>:135913. doi: 10.1016/j.scitotenv.2019.135913.</w:t>
      </w:r>
    </w:p>
    <w:p>
      <w:pPr>
        <w:pStyle w:val="BodyText"/>
        <w:spacing w:before="11"/>
      </w:pPr>
    </w:p>
    <w:p>
      <w:pPr>
        <w:pStyle w:val="BodyText"/>
        <w:ind w:left="112"/>
      </w:pPr>
      <w:r>
        <w:rPr/>
        <w:t>Long,</w:t>
      </w:r>
      <w:r>
        <w:rPr>
          <w:spacing w:val="-8"/>
        </w:rPr>
        <w:t> </w:t>
      </w:r>
      <w:r>
        <w:rPr/>
        <w:t>D.B.,</w:t>
      </w:r>
      <w:r>
        <w:rPr>
          <w:spacing w:val="-8"/>
        </w:rPr>
        <w:t> </w:t>
      </w:r>
      <w:r>
        <w:rPr/>
        <w:t>Campbell,</w:t>
      </w:r>
      <w:r>
        <w:rPr>
          <w:spacing w:val="-7"/>
        </w:rPr>
        <w:t> </w:t>
      </w:r>
      <w:r>
        <w:rPr/>
        <w:t>T.A.,</w:t>
      </w:r>
      <w:r>
        <w:rPr>
          <w:spacing w:val="-6"/>
        </w:rPr>
        <w:t> </w:t>
      </w:r>
      <w:r>
        <w:rPr/>
        <w:t>and</w:t>
      </w:r>
      <w:r>
        <w:rPr>
          <w:spacing w:val="-6"/>
        </w:rPr>
        <w:t> </w:t>
      </w:r>
      <w:r>
        <w:rPr/>
        <w:t>Massei,</w:t>
      </w:r>
      <w:r>
        <w:rPr>
          <w:spacing w:val="-6"/>
        </w:rPr>
        <w:t> </w:t>
      </w:r>
      <w:r>
        <w:rPr/>
        <w:t>G.</w:t>
      </w:r>
      <w:r>
        <w:rPr>
          <w:spacing w:val="-7"/>
        </w:rPr>
        <w:t> </w:t>
      </w:r>
      <w:r>
        <w:rPr/>
        <w:t>(2010).</w:t>
      </w:r>
      <w:r>
        <w:rPr>
          <w:spacing w:val="-6"/>
        </w:rPr>
        <w:t> </w:t>
      </w:r>
      <w:r>
        <w:rPr/>
        <w:t>Evaluation</w:t>
      </w:r>
      <w:r>
        <w:rPr>
          <w:spacing w:val="-9"/>
        </w:rPr>
        <w:t> </w:t>
      </w:r>
      <w:r>
        <w:rPr/>
        <w:t>of</w:t>
      </w:r>
      <w:r>
        <w:rPr>
          <w:spacing w:val="-7"/>
        </w:rPr>
        <w:t> </w:t>
      </w:r>
      <w:r>
        <w:rPr/>
        <w:t>feral</w:t>
      </w:r>
      <w:r>
        <w:rPr>
          <w:spacing w:val="-9"/>
        </w:rPr>
        <w:t> </w:t>
      </w:r>
      <w:r>
        <w:rPr/>
        <w:t>swine-specific</w:t>
      </w:r>
      <w:r>
        <w:rPr>
          <w:spacing w:val="-6"/>
        </w:rPr>
        <w:t> </w:t>
      </w:r>
      <w:r>
        <w:rPr/>
        <w:t>feeder</w:t>
      </w:r>
      <w:r>
        <w:rPr>
          <w:spacing w:val="-8"/>
        </w:rPr>
        <w:t> </w:t>
      </w:r>
      <w:r>
        <w:rPr>
          <w:spacing w:val="-2"/>
        </w:rPr>
        <w:t>systems.</w:t>
      </w:r>
    </w:p>
    <w:p>
      <w:pPr>
        <w:spacing w:before="1"/>
        <w:ind w:left="833" w:right="0" w:firstLine="0"/>
        <w:jc w:val="left"/>
        <w:rPr>
          <w:sz w:val="20"/>
        </w:rPr>
      </w:pPr>
      <w:r>
        <w:rPr>
          <w:i/>
          <w:spacing w:val="-2"/>
          <w:sz w:val="20"/>
        </w:rPr>
        <w:t>Rangelands</w:t>
      </w:r>
      <w:r>
        <w:rPr>
          <w:i/>
          <w:spacing w:val="14"/>
          <w:sz w:val="20"/>
        </w:rPr>
        <w:t> </w:t>
      </w:r>
      <w:r>
        <w:rPr>
          <w:b/>
          <w:spacing w:val="-2"/>
          <w:sz w:val="20"/>
        </w:rPr>
        <w:t>32</w:t>
      </w:r>
      <w:r>
        <w:rPr>
          <w:spacing w:val="-2"/>
          <w:sz w:val="20"/>
        </w:rPr>
        <w:t>(2):8–13.</w:t>
      </w:r>
      <w:r>
        <w:rPr>
          <w:spacing w:val="14"/>
          <w:sz w:val="20"/>
        </w:rPr>
        <w:t> </w:t>
      </w:r>
      <w:r>
        <w:rPr>
          <w:spacing w:val="-2"/>
          <w:sz w:val="20"/>
        </w:rPr>
        <w:t>doi:</w:t>
      </w:r>
      <w:r>
        <w:rPr>
          <w:spacing w:val="12"/>
          <w:sz w:val="20"/>
        </w:rPr>
        <w:t> </w:t>
      </w:r>
      <w:r>
        <w:rPr>
          <w:spacing w:val="-2"/>
          <w:sz w:val="20"/>
        </w:rPr>
        <w:t>10.2111/1551-501X-32.2.8.</w:t>
      </w:r>
    </w:p>
    <w:p>
      <w:pPr>
        <w:pStyle w:val="BodyText"/>
        <w:spacing w:before="10"/>
      </w:pPr>
    </w:p>
    <w:p>
      <w:pPr>
        <w:spacing w:before="0"/>
        <w:ind w:left="833" w:right="163" w:hanging="721"/>
        <w:jc w:val="left"/>
        <w:rPr>
          <w:sz w:val="20"/>
        </w:rPr>
      </w:pPr>
      <w:r>
        <w:rPr>
          <w:sz w:val="20"/>
        </w:rPr>
        <w:t>Long,</w:t>
      </w:r>
      <w:r>
        <w:rPr>
          <w:spacing w:val="-2"/>
          <w:sz w:val="20"/>
        </w:rPr>
        <w:t> </w:t>
      </w:r>
      <w:r>
        <w:rPr>
          <w:sz w:val="20"/>
        </w:rPr>
        <w:t>J.L.,</w:t>
      </w:r>
      <w:r>
        <w:rPr>
          <w:spacing w:val="-1"/>
          <w:sz w:val="20"/>
        </w:rPr>
        <w:t> </w:t>
      </w:r>
      <w:r>
        <w:rPr>
          <w:sz w:val="20"/>
        </w:rPr>
        <w:t>Mawson,</w:t>
      </w:r>
      <w:r>
        <w:rPr>
          <w:spacing w:val="-1"/>
          <w:sz w:val="20"/>
        </w:rPr>
        <w:t> </w:t>
      </w:r>
      <w:r>
        <w:rPr>
          <w:sz w:val="20"/>
        </w:rPr>
        <w:t>P.,</w:t>
      </w:r>
      <w:r>
        <w:rPr>
          <w:spacing w:val="-3"/>
          <w:sz w:val="20"/>
        </w:rPr>
        <w:t> </w:t>
      </w:r>
      <w:r>
        <w:rPr>
          <w:sz w:val="20"/>
        </w:rPr>
        <w:t>Hubach,</w:t>
      </w:r>
      <w:r>
        <w:rPr>
          <w:spacing w:val="-1"/>
          <w:sz w:val="20"/>
        </w:rPr>
        <w:t> </w:t>
      </w:r>
      <w:r>
        <w:rPr>
          <w:sz w:val="20"/>
        </w:rPr>
        <w:t>P.,</w:t>
      </w:r>
      <w:r>
        <w:rPr>
          <w:spacing w:val="-3"/>
          <w:sz w:val="20"/>
        </w:rPr>
        <w:t> </w:t>
      </w:r>
      <w:r>
        <w:rPr>
          <w:sz w:val="20"/>
        </w:rPr>
        <w:t>and</w:t>
      </w:r>
      <w:r>
        <w:rPr>
          <w:spacing w:val="-2"/>
          <w:sz w:val="20"/>
        </w:rPr>
        <w:t> </w:t>
      </w:r>
      <w:r>
        <w:rPr>
          <w:sz w:val="20"/>
        </w:rPr>
        <w:t>Kok,</w:t>
      </w:r>
      <w:r>
        <w:rPr>
          <w:spacing w:val="-3"/>
          <w:sz w:val="20"/>
        </w:rPr>
        <w:t> </w:t>
      </w:r>
      <w:r>
        <w:rPr>
          <w:sz w:val="20"/>
        </w:rPr>
        <w:t>N.</w:t>
      </w:r>
      <w:r>
        <w:rPr>
          <w:spacing w:val="-3"/>
          <w:sz w:val="20"/>
        </w:rPr>
        <w:t> </w:t>
      </w:r>
      <w:r>
        <w:rPr>
          <w:sz w:val="20"/>
        </w:rPr>
        <w:t>(1988).</w:t>
      </w:r>
      <w:r>
        <w:rPr>
          <w:spacing w:val="-3"/>
          <w:sz w:val="20"/>
        </w:rPr>
        <w:t> </w:t>
      </w:r>
      <w:r>
        <w:rPr>
          <w:sz w:val="20"/>
        </w:rPr>
        <w:t>Fox</w:t>
      </w:r>
      <w:r>
        <w:rPr>
          <w:spacing w:val="-2"/>
          <w:sz w:val="20"/>
        </w:rPr>
        <w:t> </w:t>
      </w:r>
      <w:r>
        <w:rPr>
          <w:sz w:val="20"/>
        </w:rPr>
        <w:t>attacks</w:t>
      </w:r>
      <w:r>
        <w:rPr>
          <w:spacing w:val="-2"/>
          <w:sz w:val="20"/>
        </w:rPr>
        <w:t> </w:t>
      </w:r>
      <w:r>
        <w:rPr>
          <w:sz w:val="20"/>
        </w:rPr>
        <w:t>on</w:t>
      </w:r>
      <w:r>
        <w:rPr>
          <w:spacing w:val="-4"/>
          <w:sz w:val="20"/>
        </w:rPr>
        <w:t> </w:t>
      </w:r>
      <w:r>
        <w:rPr>
          <w:sz w:val="20"/>
        </w:rPr>
        <w:t>cashmere</w:t>
      </w:r>
      <w:r>
        <w:rPr>
          <w:spacing w:val="-3"/>
          <w:sz w:val="20"/>
        </w:rPr>
        <w:t> </w:t>
      </w:r>
      <w:r>
        <w:rPr>
          <w:sz w:val="20"/>
        </w:rPr>
        <w:t>goats. </w:t>
      </w:r>
      <w:r>
        <w:rPr>
          <w:i/>
          <w:sz w:val="20"/>
        </w:rPr>
        <w:t>Journal</w:t>
      </w:r>
      <w:r>
        <w:rPr>
          <w:i/>
          <w:spacing w:val="-2"/>
          <w:sz w:val="20"/>
        </w:rPr>
        <w:t> </w:t>
      </w:r>
      <w:r>
        <w:rPr>
          <w:i/>
          <w:sz w:val="20"/>
        </w:rPr>
        <w:t>of</w:t>
      </w:r>
      <w:r>
        <w:rPr>
          <w:i/>
          <w:spacing w:val="-3"/>
          <w:sz w:val="20"/>
        </w:rPr>
        <w:t> </w:t>
      </w:r>
      <w:r>
        <w:rPr>
          <w:i/>
          <w:sz w:val="20"/>
        </w:rPr>
        <w:t>the</w:t>
      </w:r>
      <w:r>
        <w:rPr>
          <w:i/>
          <w:sz w:val="20"/>
        </w:rPr>
        <w:t> Department of Agriculture, Western Australia </w:t>
      </w:r>
      <w:r>
        <w:rPr>
          <w:b/>
          <w:sz w:val="20"/>
        </w:rPr>
        <w:t>29</w:t>
      </w:r>
      <w:r>
        <w:rPr>
          <w:sz w:val="20"/>
        </w:rPr>
        <w:t>(3):104106.</w:t>
      </w:r>
    </w:p>
    <w:p>
      <w:pPr>
        <w:pStyle w:val="BodyText"/>
        <w:spacing w:before="9"/>
      </w:pPr>
    </w:p>
    <w:p>
      <w:pPr>
        <w:pStyle w:val="BodyText"/>
        <w:ind w:left="833" w:right="364" w:hanging="721"/>
      </w:pPr>
      <w:r>
        <w:rPr/>
        <w:t>Long</w:t>
      </w:r>
      <w:r>
        <w:rPr>
          <w:spacing w:val="-2"/>
        </w:rPr>
        <w:t> </w:t>
      </w:r>
      <w:r>
        <w:rPr/>
        <w:t>K,</w:t>
      </w:r>
      <w:r>
        <w:rPr>
          <w:spacing w:val="-1"/>
        </w:rPr>
        <w:t> </w:t>
      </w:r>
      <w:r>
        <w:rPr/>
        <w:t>and</w:t>
      </w:r>
      <w:r>
        <w:rPr>
          <w:spacing w:val="-2"/>
        </w:rPr>
        <w:t> </w:t>
      </w:r>
      <w:r>
        <w:rPr/>
        <w:t>Robley</w:t>
      </w:r>
      <w:r>
        <w:rPr>
          <w:spacing w:val="-1"/>
        </w:rPr>
        <w:t> </w:t>
      </w:r>
      <w:r>
        <w:rPr/>
        <w:t>A</w:t>
      </w:r>
      <w:r>
        <w:rPr>
          <w:spacing w:val="-4"/>
        </w:rPr>
        <w:t> </w:t>
      </w:r>
      <w:r>
        <w:rPr/>
        <w:t>(2004).</w:t>
      </w:r>
      <w:r>
        <w:rPr>
          <w:spacing w:val="-4"/>
        </w:rPr>
        <w:t> </w:t>
      </w:r>
      <w:r>
        <w:rPr/>
        <w:t>Cost</w:t>
      </w:r>
      <w:r>
        <w:rPr>
          <w:spacing w:val="-4"/>
        </w:rPr>
        <w:t> </w:t>
      </w:r>
      <w:r>
        <w:rPr/>
        <w:t>effective</w:t>
      </w:r>
      <w:r>
        <w:rPr>
          <w:spacing w:val="-2"/>
        </w:rPr>
        <w:t> </w:t>
      </w:r>
      <w:r>
        <w:rPr/>
        <w:t>feral</w:t>
      </w:r>
      <w:r>
        <w:rPr>
          <w:spacing w:val="-5"/>
        </w:rPr>
        <w:t> </w:t>
      </w:r>
      <w:r>
        <w:rPr/>
        <w:t>animal</w:t>
      </w:r>
      <w:r>
        <w:rPr>
          <w:spacing w:val="-5"/>
        </w:rPr>
        <w:t> </w:t>
      </w:r>
      <w:r>
        <w:rPr/>
        <w:t>exclusion</w:t>
      </w:r>
      <w:r>
        <w:rPr>
          <w:spacing w:val="-2"/>
        </w:rPr>
        <w:t> </w:t>
      </w:r>
      <w:r>
        <w:rPr/>
        <w:t>fencing</w:t>
      </w:r>
      <w:r>
        <w:rPr>
          <w:spacing w:val="-2"/>
        </w:rPr>
        <w:t> </w:t>
      </w:r>
      <w:r>
        <w:rPr/>
        <w:t>for</w:t>
      </w:r>
      <w:r>
        <w:rPr>
          <w:spacing w:val="-3"/>
        </w:rPr>
        <w:t> </w:t>
      </w:r>
      <w:r>
        <w:rPr/>
        <w:t>areas</w:t>
      </w:r>
      <w:r>
        <w:rPr>
          <w:spacing w:val="-3"/>
        </w:rPr>
        <w:t> </w:t>
      </w:r>
      <w:r>
        <w:rPr/>
        <w:t>of</w:t>
      </w:r>
      <w:r>
        <w:rPr>
          <w:spacing w:val="-4"/>
        </w:rPr>
        <w:t> </w:t>
      </w:r>
      <w:r>
        <w:rPr/>
        <w:t>high</w:t>
      </w:r>
      <w:r>
        <w:rPr>
          <w:spacing w:val="-2"/>
        </w:rPr>
        <w:t> </w:t>
      </w:r>
      <w:r>
        <w:rPr/>
        <w:t>conservation value in Australia. Victoria Department of Sustainability and Environment, Melbourne.</w:t>
      </w:r>
    </w:p>
    <w:p>
      <w:pPr>
        <w:pStyle w:val="BodyText"/>
        <w:spacing w:before="11"/>
      </w:pPr>
    </w:p>
    <w:p>
      <w:pPr>
        <w:pStyle w:val="BodyText"/>
        <w:ind w:left="833" w:right="364" w:hanging="721"/>
      </w:pPr>
      <w:r>
        <w:rPr/>
        <w:t>Mahar,</w:t>
      </w:r>
      <w:r>
        <w:rPr>
          <w:spacing w:val="-2"/>
        </w:rPr>
        <w:t> </w:t>
      </w:r>
      <w:r>
        <w:rPr/>
        <w:t>J.E.,</w:t>
      </w:r>
      <w:r>
        <w:rPr>
          <w:spacing w:val="-2"/>
        </w:rPr>
        <w:t> </w:t>
      </w:r>
      <w:r>
        <w:rPr/>
        <w:t>Read,</w:t>
      </w:r>
      <w:r>
        <w:rPr>
          <w:spacing w:val="-2"/>
        </w:rPr>
        <w:t> </w:t>
      </w:r>
      <w:r>
        <w:rPr/>
        <w:t>A.J.,</w:t>
      </w:r>
      <w:r>
        <w:rPr>
          <w:spacing w:val="-4"/>
        </w:rPr>
        <w:t> </w:t>
      </w:r>
      <w:r>
        <w:rPr/>
        <w:t>Gu,</w:t>
      </w:r>
      <w:r>
        <w:rPr>
          <w:spacing w:val="-4"/>
        </w:rPr>
        <w:t> </w:t>
      </w:r>
      <w:r>
        <w:rPr/>
        <w:t>X.,</w:t>
      </w:r>
      <w:r>
        <w:rPr>
          <w:spacing w:val="-2"/>
        </w:rPr>
        <w:t> </w:t>
      </w:r>
      <w:r>
        <w:rPr/>
        <w:t>Urakova,</w:t>
      </w:r>
      <w:r>
        <w:rPr>
          <w:spacing w:val="-4"/>
        </w:rPr>
        <w:t> </w:t>
      </w:r>
      <w:r>
        <w:rPr/>
        <w:t>N.,</w:t>
      </w:r>
      <w:r>
        <w:rPr>
          <w:spacing w:val="-2"/>
        </w:rPr>
        <w:t> </w:t>
      </w:r>
      <w:r>
        <w:rPr/>
        <w:t>Mourant,</w:t>
      </w:r>
      <w:r>
        <w:rPr>
          <w:spacing w:val="-2"/>
        </w:rPr>
        <w:t> </w:t>
      </w:r>
      <w:r>
        <w:rPr/>
        <w:t>R.,</w:t>
      </w:r>
      <w:r>
        <w:rPr>
          <w:spacing w:val="-4"/>
        </w:rPr>
        <w:t> </w:t>
      </w:r>
      <w:r>
        <w:rPr/>
        <w:t>Piper,</w:t>
      </w:r>
      <w:r>
        <w:rPr>
          <w:spacing w:val="-2"/>
        </w:rPr>
        <w:t> </w:t>
      </w:r>
      <w:r>
        <w:rPr/>
        <w:t>M.,</w:t>
      </w:r>
      <w:r>
        <w:rPr>
          <w:spacing w:val="-2"/>
        </w:rPr>
        <w:t> </w:t>
      </w:r>
      <w:r>
        <w:rPr/>
        <w:t>Haboury,</w:t>
      </w:r>
      <w:r>
        <w:rPr>
          <w:spacing w:val="-4"/>
        </w:rPr>
        <w:t> </w:t>
      </w:r>
      <w:r>
        <w:rPr/>
        <w:t>S.,</w:t>
      </w:r>
      <w:r>
        <w:rPr>
          <w:spacing w:val="-2"/>
        </w:rPr>
        <w:t> </w:t>
      </w:r>
      <w:r>
        <w:rPr/>
        <w:t>Holmes,</w:t>
      </w:r>
      <w:r>
        <w:rPr>
          <w:spacing w:val="-4"/>
        </w:rPr>
        <w:t> </w:t>
      </w:r>
      <w:r>
        <w:rPr/>
        <w:t>E.C.,</w:t>
      </w:r>
      <w:r>
        <w:rPr>
          <w:spacing w:val="-2"/>
        </w:rPr>
        <w:t> </w:t>
      </w:r>
      <w:r>
        <w:rPr/>
        <w:t>Strive,</w:t>
      </w:r>
      <w:r>
        <w:rPr>
          <w:spacing w:val="-2"/>
        </w:rPr>
        <w:t> </w:t>
      </w:r>
      <w:r>
        <w:rPr/>
        <w:t>T., and Hall, R.N. (2018). Detection and circulation of a novel rabbit haemorrhagic disease virus in Australia. </w:t>
      </w:r>
      <w:r>
        <w:rPr>
          <w:i/>
        </w:rPr>
        <w:t>Emerging Infectious Diseases </w:t>
      </w:r>
      <w:r>
        <w:rPr>
          <w:b/>
        </w:rPr>
        <w:t>24</w:t>
      </w:r>
      <w:r>
        <w:rPr/>
        <w:t>:22+.</w:t>
      </w:r>
    </w:p>
    <w:p>
      <w:pPr>
        <w:pStyle w:val="BodyText"/>
        <w:spacing w:before="8"/>
      </w:pPr>
    </w:p>
    <w:p>
      <w:pPr>
        <w:spacing w:before="1"/>
        <w:ind w:left="833" w:right="364" w:hanging="721"/>
        <w:jc w:val="left"/>
        <w:rPr>
          <w:sz w:val="20"/>
        </w:rPr>
      </w:pPr>
      <w:r>
        <w:rPr>
          <w:sz w:val="20"/>
        </w:rPr>
        <w:t>Mann,</w:t>
      </w:r>
      <w:r>
        <w:rPr>
          <w:spacing w:val="-4"/>
          <w:sz w:val="20"/>
        </w:rPr>
        <w:t> </w:t>
      </w:r>
      <w:r>
        <w:rPr>
          <w:sz w:val="20"/>
        </w:rPr>
        <w:t>T.L.J.</w:t>
      </w:r>
      <w:r>
        <w:rPr>
          <w:spacing w:val="-4"/>
          <w:sz w:val="20"/>
        </w:rPr>
        <w:t> </w:t>
      </w:r>
      <w:r>
        <w:rPr>
          <w:sz w:val="20"/>
        </w:rPr>
        <w:t>(1968).</w:t>
      </w:r>
      <w:r>
        <w:rPr>
          <w:spacing w:val="-1"/>
          <w:sz w:val="20"/>
        </w:rPr>
        <w:t> </w:t>
      </w:r>
      <w:r>
        <w:rPr>
          <w:sz w:val="20"/>
        </w:rPr>
        <w:t>A</w:t>
      </w:r>
      <w:r>
        <w:rPr>
          <w:spacing w:val="-5"/>
          <w:sz w:val="20"/>
        </w:rPr>
        <w:t> </w:t>
      </w:r>
      <w:r>
        <w:rPr>
          <w:sz w:val="20"/>
        </w:rPr>
        <w:t>comparison</w:t>
      </w:r>
      <w:r>
        <w:rPr>
          <w:spacing w:val="-3"/>
          <w:sz w:val="20"/>
        </w:rPr>
        <w:t> </w:t>
      </w:r>
      <w:r>
        <w:rPr>
          <w:sz w:val="20"/>
        </w:rPr>
        <w:t>of</w:t>
      </w:r>
      <w:r>
        <w:rPr>
          <w:spacing w:val="-2"/>
          <w:sz w:val="20"/>
        </w:rPr>
        <w:t> </w:t>
      </w:r>
      <w:r>
        <w:rPr>
          <w:sz w:val="20"/>
        </w:rPr>
        <w:t>lamb</w:t>
      </w:r>
      <w:r>
        <w:rPr>
          <w:spacing w:val="-4"/>
          <w:sz w:val="20"/>
        </w:rPr>
        <w:t> </w:t>
      </w:r>
      <w:r>
        <w:rPr>
          <w:sz w:val="20"/>
        </w:rPr>
        <w:t>survival</w:t>
      </w:r>
      <w:r>
        <w:rPr>
          <w:spacing w:val="-3"/>
          <w:sz w:val="20"/>
        </w:rPr>
        <w:t> </w:t>
      </w:r>
      <w:r>
        <w:rPr>
          <w:sz w:val="20"/>
        </w:rPr>
        <w:t>in</w:t>
      </w:r>
      <w:r>
        <w:rPr>
          <w:spacing w:val="-2"/>
          <w:sz w:val="20"/>
        </w:rPr>
        <w:t> </w:t>
      </w:r>
      <w:r>
        <w:rPr>
          <w:sz w:val="20"/>
        </w:rPr>
        <w:t>fox</w:t>
      </w:r>
      <w:r>
        <w:rPr>
          <w:spacing w:val="-3"/>
          <w:sz w:val="20"/>
        </w:rPr>
        <w:t> </w:t>
      </w:r>
      <w:r>
        <w:rPr>
          <w:sz w:val="20"/>
        </w:rPr>
        <w:t>proof</w:t>
      </w:r>
      <w:r>
        <w:rPr>
          <w:spacing w:val="-2"/>
          <w:sz w:val="20"/>
        </w:rPr>
        <w:t> </w:t>
      </w:r>
      <w:r>
        <w:rPr>
          <w:sz w:val="20"/>
        </w:rPr>
        <w:t>and</w:t>
      </w:r>
      <w:r>
        <w:rPr>
          <w:spacing w:val="-2"/>
          <w:sz w:val="20"/>
        </w:rPr>
        <w:t> </w:t>
      </w:r>
      <w:r>
        <w:rPr>
          <w:sz w:val="20"/>
        </w:rPr>
        <w:t>unprotected</w:t>
      </w:r>
      <w:r>
        <w:rPr>
          <w:spacing w:val="-4"/>
          <w:sz w:val="20"/>
        </w:rPr>
        <w:t> </w:t>
      </w:r>
      <w:r>
        <w:rPr>
          <w:sz w:val="20"/>
        </w:rPr>
        <w:t>enclosures. </w:t>
      </w:r>
      <w:r>
        <w:rPr>
          <w:i/>
          <w:sz w:val="20"/>
        </w:rPr>
        <w:t>Proceedings</w:t>
      </w:r>
      <w:r>
        <w:rPr>
          <w:i/>
          <w:spacing w:val="-3"/>
          <w:sz w:val="20"/>
        </w:rPr>
        <w:t> </w:t>
      </w:r>
      <w:r>
        <w:rPr>
          <w:i/>
          <w:sz w:val="20"/>
        </w:rPr>
        <w:t>of</w:t>
      </w:r>
      <w:r>
        <w:rPr>
          <w:i/>
          <w:sz w:val="20"/>
        </w:rPr>
        <w:t> the Australian Society of Animal Production </w:t>
      </w:r>
      <w:r>
        <w:rPr>
          <w:b/>
          <w:sz w:val="20"/>
        </w:rPr>
        <w:t>7</w:t>
      </w:r>
      <w:r>
        <w:rPr>
          <w:sz w:val="20"/>
        </w:rPr>
        <w:t>:250–54.</w:t>
      </w:r>
    </w:p>
    <w:p>
      <w:pPr>
        <w:spacing w:after="0"/>
        <w:jc w:val="left"/>
        <w:rPr>
          <w:sz w:val="20"/>
        </w:rPr>
        <w:sectPr>
          <w:pgSz w:w="11910" w:h="16850"/>
          <w:pgMar w:header="0" w:footer="688" w:top="1060" w:bottom="880" w:left="1020" w:right="780"/>
        </w:sectPr>
      </w:pPr>
    </w:p>
    <w:p>
      <w:pPr>
        <w:spacing w:before="71"/>
        <w:ind w:left="833" w:right="163" w:hanging="721"/>
        <w:jc w:val="left"/>
        <w:rPr>
          <w:sz w:val="20"/>
        </w:rPr>
      </w:pPr>
      <w:r>
        <w:rPr>
          <w:sz w:val="20"/>
        </w:rPr>
        <w:t>Marks,</w:t>
      </w:r>
      <w:r>
        <w:rPr>
          <w:spacing w:val="-4"/>
          <w:sz w:val="20"/>
        </w:rPr>
        <w:t> </w:t>
      </w:r>
      <w:r>
        <w:rPr>
          <w:sz w:val="20"/>
        </w:rPr>
        <w:t>C.A.</w:t>
      </w:r>
      <w:r>
        <w:rPr>
          <w:spacing w:val="-4"/>
          <w:sz w:val="20"/>
        </w:rPr>
        <w:t> </w:t>
      </w:r>
      <w:r>
        <w:rPr>
          <w:sz w:val="20"/>
        </w:rPr>
        <w:t>(2001).</w:t>
      </w:r>
      <w:r>
        <w:rPr>
          <w:spacing w:val="-4"/>
          <w:sz w:val="20"/>
        </w:rPr>
        <w:t> </w:t>
      </w:r>
      <w:r>
        <w:rPr>
          <w:sz w:val="20"/>
        </w:rPr>
        <w:t>Bait-delivered</w:t>
      </w:r>
      <w:r>
        <w:rPr>
          <w:spacing w:val="-3"/>
          <w:sz w:val="20"/>
        </w:rPr>
        <w:t> </w:t>
      </w:r>
      <w:r>
        <w:rPr>
          <w:sz w:val="20"/>
        </w:rPr>
        <w:t>cabergoline</w:t>
      </w:r>
      <w:r>
        <w:rPr>
          <w:spacing w:val="-4"/>
          <w:sz w:val="20"/>
        </w:rPr>
        <w:t> </w:t>
      </w:r>
      <w:r>
        <w:rPr>
          <w:sz w:val="20"/>
        </w:rPr>
        <w:t>for</w:t>
      </w:r>
      <w:r>
        <w:rPr>
          <w:spacing w:val="-4"/>
          <w:sz w:val="20"/>
        </w:rPr>
        <w:t> </w:t>
      </w:r>
      <w:r>
        <w:rPr>
          <w:sz w:val="20"/>
        </w:rPr>
        <w:t>reproductive</w:t>
      </w:r>
      <w:r>
        <w:rPr>
          <w:spacing w:val="-2"/>
          <w:sz w:val="20"/>
        </w:rPr>
        <w:t> </w:t>
      </w:r>
      <w:r>
        <w:rPr>
          <w:sz w:val="20"/>
        </w:rPr>
        <w:t>control</w:t>
      </w:r>
      <w:r>
        <w:rPr>
          <w:spacing w:val="-5"/>
          <w:sz w:val="20"/>
        </w:rPr>
        <w:t> </w:t>
      </w:r>
      <w:r>
        <w:rPr>
          <w:sz w:val="20"/>
        </w:rPr>
        <w:t>of</w:t>
      </w:r>
      <w:r>
        <w:rPr>
          <w:spacing w:val="-2"/>
          <w:sz w:val="20"/>
        </w:rPr>
        <w:t> </w:t>
      </w:r>
      <w:r>
        <w:rPr>
          <w:sz w:val="20"/>
        </w:rPr>
        <w:t>the</w:t>
      </w:r>
      <w:r>
        <w:rPr>
          <w:spacing w:val="-2"/>
          <w:sz w:val="20"/>
        </w:rPr>
        <w:t> </w:t>
      </w:r>
      <w:r>
        <w:rPr>
          <w:sz w:val="20"/>
        </w:rPr>
        <w:t>red</w:t>
      </w:r>
      <w:r>
        <w:rPr>
          <w:spacing w:val="-5"/>
          <w:sz w:val="20"/>
        </w:rPr>
        <w:t> </w:t>
      </w:r>
      <w:r>
        <w:rPr>
          <w:sz w:val="20"/>
        </w:rPr>
        <w:t>fox-non-target</w:t>
      </w:r>
      <w:r>
        <w:rPr>
          <w:spacing w:val="-4"/>
          <w:sz w:val="20"/>
        </w:rPr>
        <w:t> </w:t>
      </w:r>
      <w:r>
        <w:rPr>
          <w:sz w:val="20"/>
        </w:rPr>
        <w:t>risk</w:t>
      </w:r>
      <w:r>
        <w:rPr>
          <w:spacing w:val="-3"/>
          <w:sz w:val="20"/>
        </w:rPr>
        <w:t> </w:t>
      </w:r>
      <w:r>
        <w:rPr>
          <w:sz w:val="20"/>
        </w:rPr>
        <w:t>in</w:t>
      </w:r>
      <w:r>
        <w:rPr>
          <w:spacing w:val="-2"/>
          <w:sz w:val="20"/>
        </w:rPr>
        <w:t> </w:t>
      </w:r>
      <w:r>
        <w:rPr>
          <w:sz w:val="20"/>
        </w:rPr>
        <w:t>south- eastern Australia. </w:t>
      </w:r>
      <w:r>
        <w:rPr>
          <w:i/>
          <w:sz w:val="20"/>
        </w:rPr>
        <w:t>Reproductive Fertility Development </w:t>
      </w:r>
      <w:r>
        <w:rPr>
          <w:b/>
          <w:sz w:val="20"/>
        </w:rPr>
        <w:t>13</w:t>
      </w:r>
      <w:r>
        <w:rPr>
          <w:sz w:val="20"/>
        </w:rPr>
        <w:t>:499-510.</w:t>
      </w:r>
    </w:p>
    <w:p>
      <w:pPr>
        <w:pStyle w:val="BodyText"/>
        <w:spacing w:before="11"/>
      </w:pPr>
    </w:p>
    <w:p>
      <w:pPr>
        <w:pStyle w:val="BodyText"/>
        <w:spacing w:before="1"/>
        <w:ind w:left="833" w:right="544" w:hanging="721"/>
      </w:pPr>
      <w:r>
        <w:rPr/>
        <w:t>Marks,</w:t>
      </w:r>
      <w:r>
        <w:rPr>
          <w:spacing w:val="-3"/>
        </w:rPr>
        <w:t> </w:t>
      </w:r>
      <w:r>
        <w:rPr/>
        <w:t>C.A.,</w:t>
      </w:r>
      <w:r>
        <w:rPr>
          <w:spacing w:val="-1"/>
        </w:rPr>
        <w:t> </w:t>
      </w:r>
      <w:r>
        <w:rPr/>
        <w:t>Gigliotti,</w:t>
      </w:r>
      <w:r>
        <w:rPr>
          <w:spacing w:val="-3"/>
        </w:rPr>
        <w:t> </w:t>
      </w:r>
      <w:r>
        <w:rPr/>
        <w:t>F.,</w:t>
      </w:r>
      <w:r>
        <w:rPr>
          <w:spacing w:val="-3"/>
        </w:rPr>
        <w:t> </w:t>
      </w:r>
      <w:r>
        <w:rPr/>
        <w:t>and</w:t>
      </w:r>
      <w:r>
        <w:rPr>
          <w:spacing w:val="-3"/>
        </w:rPr>
        <w:t> </w:t>
      </w:r>
      <w:r>
        <w:rPr/>
        <w:t>Busana,</w:t>
      </w:r>
      <w:r>
        <w:rPr>
          <w:spacing w:val="-3"/>
        </w:rPr>
        <w:t> </w:t>
      </w:r>
      <w:r>
        <w:rPr/>
        <w:t>F.</w:t>
      </w:r>
      <w:r>
        <w:rPr>
          <w:spacing w:val="-3"/>
        </w:rPr>
        <w:t> </w:t>
      </w:r>
      <w:r>
        <w:rPr/>
        <w:t>(2002).</w:t>
      </w:r>
      <w:r>
        <w:rPr>
          <w:spacing w:val="-3"/>
        </w:rPr>
        <w:t> </w:t>
      </w:r>
      <w:r>
        <w:rPr/>
        <w:t>Estimated</w:t>
      </w:r>
      <w:r>
        <w:rPr>
          <w:spacing w:val="-1"/>
        </w:rPr>
        <w:t> </w:t>
      </w:r>
      <w:r>
        <w:rPr/>
        <w:t>1080</w:t>
      </w:r>
      <w:r>
        <w:rPr>
          <w:spacing w:val="-3"/>
        </w:rPr>
        <w:t> </w:t>
      </w:r>
      <w:r>
        <w:rPr/>
        <w:t>dose</w:t>
      </w:r>
      <w:r>
        <w:rPr>
          <w:spacing w:val="-3"/>
        </w:rPr>
        <w:t> </w:t>
      </w:r>
      <w:r>
        <w:rPr/>
        <w:t>rate</w:t>
      </w:r>
      <w:r>
        <w:rPr>
          <w:spacing w:val="-1"/>
        </w:rPr>
        <w:t> </w:t>
      </w:r>
      <w:r>
        <w:rPr/>
        <w:t>for</w:t>
      </w:r>
      <w:r>
        <w:rPr>
          <w:spacing w:val="-2"/>
        </w:rPr>
        <w:t> </w:t>
      </w:r>
      <w:r>
        <w:rPr/>
        <w:t>the</w:t>
      </w:r>
      <w:r>
        <w:rPr>
          <w:spacing w:val="-1"/>
        </w:rPr>
        <w:t> </w:t>
      </w:r>
      <w:r>
        <w:rPr/>
        <w:t>m-44</w:t>
      </w:r>
      <w:r>
        <w:rPr>
          <w:spacing w:val="-1"/>
        </w:rPr>
        <w:t> </w:t>
      </w:r>
      <w:r>
        <w:rPr/>
        <w:t>ejector</w:t>
      </w:r>
      <w:r>
        <w:rPr>
          <w:spacing w:val="-3"/>
        </w:rPr>
        <w:t> </w:t>
      </w:r>
      <w:r>
        <w:rPr/>
        <w:t>for</w:t>
      </w:r>
      <w:r>
        <w:rPr>
          <w:spacing w:val="-3"/>
        </w:rPr>
        <w:t> </w:t>
      </w:r>
      <w:r>
        <w:rPr/>
        <w:t>the control of red foxes (</w:t>
      </w:r>
      <w:r>
        <w:rPr>
          <w:i/>
        </w:rPr>
        <w:t>Vulpes vulpes</w:t>
      </w:r>
      <w:r>
        <w:rPr/>
        <w:t>). </w:t>
      </w:r>
      <w:r>
        <w:rPr>
          <w:i/>
        </w:rPr>
        <w:t>Wildlife Research </w:t>
      </w:r>
      <w:r>
        <w:rPr>
          <w:b/>
        </w:rPr>
        <w:t>29</w:t>
      </w:r>
      <w:r>
        <w:rPr/>
        <w:t>:291–94.</w:t>
      </w:r>
    </w:p>
    <w:p>
      <w:pPr>
        <w:pStyle w:val="BodyText"/>
        <w:spacing w:before="10"/>
      </w:pPr>
    </w:p>
    <w:p>
      <w:pPr>
        <w:pStyle w:val="BodyText"/>
        <w:ind w:left="833" w:right="163" w:hanging="721"/>
      </w:pPr>
      <w:r>
        <w:rPr/>
        <w:t>Marks,</w:t>
      </w:r>
      <w:r>
        <w:rPr>
          <w:spacing w:val="-3"/>
        </w:rPr>
        <w:t> </w:t>
      </w:r>
      <w:r>
        <w:rPr/>
        <w:t>C.A.,</w:t>
      </w:r>
      <w:r>
        <w:rPr>
          <w:spacing w:val="-1"/>
        </w:rPr>
        <w:t> </w:t>
      </w:r>
      <w:r>
        <w:rPr/>
        <w:t>Gigliotti,</w:t>
      </w:r>
      <w:r>
        <w:rPr>
          <w:spacing w:val="-3"/>
        </w:rPr>
        <w:t> </w:t>
      </w:r>
      <w:r>
        <w:rPr/>
        <w:t>F.,</w:t>
      </w:r>
      <w:r>
        <w:rPr>
          <w:spacing w:val="-1"/>
        </w:rPr>
        <w:t> </w:t>
      </w:r>
      <w:r>
        <w:rPr/>
        <w:t>Busana,</w:t>
      </w:r>
      <w:r>
        <w:rPr>
          <w:spacing w:val="-3"/>
        </w:rPr>
        <w:t> </w:t>
      </w:r>
      <w:r>
        <w:rPr/>
        <w:t>F.,</w:t>
      </w:r>
      <w:r>
        <w:rPr>
          <w:spacing w:val="-3"/>
        </w:rPr>
        <w:t> </w:t>
      </w:r>
      <w:r>
        <w:rPr/>
        <w:t>Johnston,</w:t>
      </w:r>
      <w:r>
        <w:rPr>
          <w:spacing w:val="-1"/>
        </w:rPr>
        <w:t> </w:t>
      </w:r>
      <w:r>
        <w:rPr/>
        <w:t>M.,</w:t>
      </w:r>
      <w:r>
        <w:rPr>
          <w:spacing w:val="-1"/>
        </w:rPr>
        <w:t> </w:t>
      </w:r>
      <w:r>
        <w:rPr/>
        <w:t>and</w:t>
      </w:r>
      <w:r>
        <w:rPr>
          <w:spacing w:val="-3"/>
        </w:rPr>
        <w:t> </w:t>
      </w:r>
      <w:r>
        <w:rPr/>
        <w:t>Lindeman,</w:t>
      </w:r>
      <w:r>
        <w:rPr>
          <w:spacing w:val="-3"/>
        </w:rPr>
        <w:t> </w:t>
      </w:r>
      <w:r>
        <w:rPr/>
        <w:t>M.</w:t>
      </w:r>
      <w:r>
        <w:rPr>
          <w:spacing w:val="-1"/>
        </w:rPr>
        <w:t> </w:t>
      </w:r>
      <w:r>
        <w:rPr/>
        <w:t>(2004).</w:t>
      </w:r>
      <w:r>
        <w:rPr>
          <w:spacing w:val="-3"/>
        </w:rPr>
        <w:t> </w:t>
      </w:r>
      <w:r>
        <w:rPr/>
        <w:t>Fox</w:t>
      </w:r>
      <w:r>
        <w:rPr>
          <w:spacing w:val="-2"/>
        </w:rPr>
        <w:t> </w:t>
      </w:r>
      <w:r>
        <w:rPr/>
        <w:t>control</w:t>
      </w:r>
      <w:r>
        <w:rPr>
          <w:spacing w:val="-4"/>
        </w:rPr>
        <w:t> </w:t>
      </w:r>
      <w:r>
        <w:rPr/>
        <w:t>using</w:t>
      </w:r>
      <w:r>
        <w:rPr>
          <w:spacing w:val="-1"/>
        </w:rPr>
        <w:t> </w:t>
      </w:r>
      <w:r>
        <w:rPr/>
        <w:t>a</w:t>
      </w:r>
      <w:r>
        <w:rPr>
          <w:spacing w:val="-4"/>
        </w:rPr>
        <w:t> </w:t>
      </w:r>
      <w:r>
        <w:rPr/>
        <w:t>para- aminopropiophenone formulation with the m-44 ejector. </w:t>
      </w:r>
      <w:r>
        <w:rPr>
          <w:i/>
        </w:rPr>
        <w:t>Animal Welfare </w:t>
      </w:r>
      <w:r>
        <w:rPr>
          <w:b/>
        </w:rPr>
        <w:t>13</w:t>
      </w:r>
      <w:r>
        <w:rPr/>
        <w:t>(4):401–7.</w:t>
      </w:r>
    </w:p>
    <w:p>
      <w:pPr>
        <w:pStyle w:val="BodyText"/>
        <w:spacing w:before="9"/>
      </w:pPr>
    </w:p>
    <w:p>
      <w:pPr>
        <w:pStyle w:val="BodyText"/>
        <w:ind w:left="833" w:right="364" w:hanging="721"/>
      </w:pPr>
      <w:r>
        <w:rPr/>
        <w:t>Marks,</w:t>
      </w:r>
      <w:r>
        <w:rPr>
          <w:spacing w:val="-4"/>
        </w:rPr>
        <w:t> </w:t>
      </w:r>
      <w:r>
        <w:rPr/>
        <w:t>C.A.,</w:t>
      </w:r>
      <w:r>
        <w:rPr>
          <w:spacing w:val="-2"/>
        </w:rPr>
        <w:t> </w:t>
      </w:r>
      <w:r>
        <w:rPr/>
        <w:t>Allen,</w:t>
      </w:r>
      <w:r>
        <w:rPr>
          <w:spacing w:val="-2"/>
        </w:rPr>
        <w:t> </w:t>
      </w:r>
      <w:r>
        <w:rPr/>
        <w:t>L.,</w:t>
      </w:r>
      <w:r>
        <w:rPr>
          <w:spacing w:val="-4"/>
        </w:rPr>
        <w:t> </w:t>
      </w:r>
      <w:r>
        <w:rPr/>
        <w:t>and</w:t>
      </w:r>
      <w:r>
        <w:rPr>
          <w:spacing w:val="-2"/>
        </w:rPr>
        <w:t> </w:t>
      </w:r>
      <w:r>
        <w:rPr/>
        <w:t>Lindeberg,</w:t>
      </w:r>
      <w:r>
        <w:rPr>
          <w:spacing w:val="-4"/>
        </w:rPr>
        <w:t> </w:t>
      </w:r>
      <w:r>
        <w:rPr/>
        <w:t>H.</w:t>
      </w:r>
      <w:r>
        <w:rPr>
          <w:spacing w:val="-2"/>
        </w:rPr>
        <w:t> </w:t>
      </w:r>
      <w:r>
        <w:rPr/>
        <w:t>(2023).</w:t>
      </w:r>
      <w:r>
        <w:rPr>
          <w:spacing w:val="-4"/>
        </w:rPr>
        <w:t> </w:t>
      </w:r>
      <w:r>
        <w:rPr/>
        <w:t>Non-lethal</w:t>
      </w:r>
      <w:r>
        <w:rPr>
          <w:spacing w:val="-5"/>
        </w:rPr>
        <w:t> </w:t>
      </w:r>
      <w:r>
        <w:rPr/>
        <w:t>dose-response</w:t>
      </w:r>
      <w:r>
        <w:rPr>
          <w:spacing w:val="-2"/>
        </w:rPr>
        <w:t> </w:t>
      </w:r>
      <w:r>
        <w:rPr/>
        <w:t>models</w:t>
      </w:r>
      <w:r>
        <w:rPr>
          <w:spacing w:val="-3"/>
        </w:rPr>
        <w:t> </w:t>
      </w:r>
      <w:r>
        <w:rPr/>
        <w:t>replace</w:t>
      </w:r>
      <w:r>
        <w:rPr>
          <w:spacing w:val="-2"/>
        </w:rPr>
        <w:t> </w:t>
      </w:r>
      <w:r>
        <w:rPr/>
        <w:t>lethal</w:t>
      </w:r>
      <w:r>
        <w:rPr>
          <w:spacing w:val="-5"/>
        </w:rPr>
        <w:t> </w:t>
      </w:r>
      <w:r>
        <w:rPr/>
        <w:t>bioassays for predicting the hazard of para-aminopropiophenone to Australian wildlife. </w:t>
      </w:r>
      <w:r>
        <w:rPr>
          <w:i/>
        </w:rPr>
        <w:t>Animals </w:t>
      </w:r>
      <w:r>
        <w:rPr>
          <w:b/>
        </w:rPr>
        <w:t>13</w:t>
      </w:r>
      <w:r>
        <w:rPr/>
        <w:t>. </w:t>
      </w:r>
      <w:r>
        <w:rPr>
          <w:spacing w:val="-2"/>
        </w:rPr>
        <w:t>doi:</w:t>
      </w:r>
      <w:hyperlink r:id="rId101">
        <w:r>
          <w:rPr>
            <w:color w:val="0000FF"/>
            <w:spacing w:val="-2"/>
            <w:u w:val="single" w:color="0000FF"/>
          </w:rPr>
          <w:t>https://doi.org/10.3390/ani13030472.</w:t>
        </w:r>
      </w:hyperlink>
    </w:p>
    <w:p>
      <w:pPr>
        <w:pStyle w:val="BodyText"/>
        <w:spacing w:before="11"/>
      </w:pPr>
    </w:p>
    <w:p>
      <w:pPr>
        <w:pStyle w:val="BodyText"/>
        <w:ind w:left="833" w:right="544" w:hanging="721"/>
      </w:pPr>
      <w:r>
        <w:rPr/>
        <w:t>Marks,</w:t>
      </w:r>
      <w:r>
        <w:rPr>
          <w:spacing w:val="-4"/>
        </w:rPr>
        <w:t> </w:t>
      </w:r>
      <w:r>
        <w:rPr/>
        <w:t>C.A.,</w:t>
      </w:r>
      <w:r>
        <w:rPr>
          <w:spacing w:val="-2"/>
        </w:rPr>
        <w:t> </w:t>
      </w:r>
      <w:r>
        <w:rPr/>
        <w:t>and</w:t>
      </w:r>
      <w:r>
        <w:rPr>
          <w:spacing w:val="-4"/>
        </w:rPr>
        <w:t> </w:t>
      </w:r>
      <w:r>
        <w:rPr/>
        <w:t>Bloomfield,</w:t>
      </w:r>
      <w:r>
        <w:rPr>
          <w:spacing w:val="-4"/>
        </w:rPr>
        <w:t> </w:t>
      </w:r>
      <w:r>
        <w:rPr/>
        <w:t>T.E.</w:t>
      </w:r>
      <w:r>
        <w:rPr>
          <w:spacing w:val="-2"/>
        </w:rPr>
        <w:t> </w:t>
      </w:r>
      <w:r>
        <w:rPr/>
        <w:t>(2006).</w:t>
      </w:r>
      <w:r>
        <w:rPr>
          <w:spacing w:val="-4"/>
        </w:rPr>
        <w:t> </w:t>
      </w:r>
      <w:r>
        <w:rPr/>
        <w:t>Home-range</w:t>
      </w:r>
      <w:r>
        <w:rPr>
          <w:spacing w:val="-2"/>
        </w:rPr>
        <w:t> </w:t>
      </w:r>
      <w:r>
        <w:rPr/>
        <w:t>size</w:t>
      </w:r>
      <w:r>
        <w:rPr>
          <w:spacing w:val="-4"/>
        </w:rPr>
        <w:t> </w:t>
      </w:r>
      <w:r>
        <w:rPr/>
        <w:t>and</w:t>
      </w:r>
      <w:r>
        <w:rPr>
          <w:spacing w:val="-4"/>
        </w:rPr>
        <w:t> </w:t>
      </w:r>
      <w:r>
        <w:rPr/>
        <w:t>selection</w:t>
      </w:r>
      <w:r>
        <w:rPr>
          <w:spacing w:val="-4"/>
        </w:rPr>
        <w:t> </w:t>
      </w:r>
      <w:r>
        <w:rPr/>
        <w:t>of</w:t>
      </w:r>
      <w:r>
        <w:rPr>
          <w:spacing w:val="-2"/>
        </w:rPr>
        <w:t> </w:t>
      </w:r>
      <w:r>
        <w:rPr/>
        <w:t>natal</w:t>
      </w:r>
      <w:r>
        <w:rPr>
          <w:spacing w:val="-3"/>
        </w:rPr>
        <w:t> </w:t>
      </w:r>
      <w:r>
        <w:rPr/>
        <w:t>den</w:t>
      </w:r>
      <w:r>
        <w:rPr>
          <w:spacing w:val="-2"/>
        </w:rPr>
        <w:t> </w:t>
      </w:r>
      <w:r>
        <w:rPr/>
        <w:t>and</w:t>
      </w:r>
      <w:r>
        <w:rPr>
          <w:spacing w:val="-2"/>
        </w:rPr>
        <w:t> </w:t>
      </w:r>
      <w:r>
        <w:rPr/>
        <w:t>diurnal</w:t>
      </w:r>
      <w:r>
        <w:rPr>
          <w:spacing w:val="-5"/>
        </w:rPr>
        <w:t> </w:t>
      </w:r>
      <w:r>
        <w:rPr/>
        <w:t>shelter sites by urban red foxes (</w:t>
      </w:r>
      <w:r>
        <w:rPr>
          <w:i/>
        </w:rPr>
        <w:t>Vulpes vulpes</w:t>
      </w:r>
      <w:r>
        <w:rPr/>
        <w:t>) in Melbourne. </w:t>
      </w:r>
      <w:r>
        <w:rPr>
          <w:i/>
        </w:rPr>
        <w:t>Wildlife Research </w:t>
      </w:r>
      <w:r>
        <w:rPr>
          <w:b/>
        </w:rPr>
        <w:t>33</w:t>
      </w:r>
      <w:r>
        <w:rPr/>
        <w:t>(4):339. doi: </w:t>
      </w:r>
      <w:r>
        <w:rPr>
          <w:spacing w:val="-2"/>
        </w:rPr>
        <w:t>10.1071/WR04058.</w:t>
      </w:r>
    </w:p>
    <w:p>
      <w:pPr>
        <w:pStyle w:val="BodyText"/>
        <w:spacing w:before="9"/>
      </w:pPr>
    </w:p>
    <w:p>
      <w:pPr>
        <w:pStyle w:val="BodyText"/>
        <w:spacing w:before="1"/>
        <w:ind w:left="833" w:right="364" w:hanging="721"/>
      </w:pPr>
      <w:r>
        <w:rPr/>
        <w:t>Marks,</w:t>
      </w:r>
      <w:r>
        <w:rPr>
          <w:spacing w:val="-4"/>
        </w:rPr>
        <w:t> </w:t>
      </w:r>
      <w:r>
        <w:rPr/>
        <w:t>C.A.,</w:t>
      </w:r>
      <w:r>
        <w:rPr>
          <w:spacing w:val="-2"/>
        </w:rPr>
        <w:t> </w:t>
      </w:r>
      <w:r>
        <w:rPr/>
        <w:t>Busana,</w:t>
      </w:r>
      <w:r>
        <w:rPr>
          <w:spacing w:val="-2"/>
        </w:rPr>
        <w:t> </w:t>
      </w:r>
      <w:r>
        <w:rPr/>
        <w:t>F.,</w:t>
      </w:r>
      <w:r>
        <w:rPr>
          <w:spacing w:val="-4"/>
        </w:rPr>
        <w:t> </w:t>
      </w:r>
      <w:r>
        <w:rPr/>
        <w:t>and</w:t>
      </w:r>
      <w:r>
        <w:rPr>
          <w:spacing w:val="-4"/>
        </w:rPr>
        <w:t> </w:t>
      </w:r>
      <w:r>
        <w:rPr/>
        <w:t>Gigliotti,</w:t>
      </w:r>
      <w:r>
        <w:rPr>
          <w:spacing w:val="-4"/>
        </w:rPr>
        <w:t> </w:t>
      </w:r>
      <w:r>
        <w:rPr/>
        <w:t>F.</w:t>
      </w:r>
      <w:r>
        <w:rPr>
          <w:spacing w:val="-4"/>
        </w:rPr>
        <w:t> </w:t>
      </w:r>
      <w:r>
        <w:rPr/>
        <w:t>(1999).</w:t>
      </w:r>
      <w:r>
        <w:rPr>
          <w:spacing w:val="-1"/>
        </w:rPr>
        <w:t> </w:t>
      </w:r>
      <w:r>
        <w:rPr/>
        <w:t>Assessment</w:t>
      </w:r>
      <w:r>
        <w:rPr>
          <w:spacing w:val="-4"/>
        </w:rPr>
        <w:t> </w:t>
      </w:r>
      <w:r>
        <w:rPr/>
        <w:t>of</w:t>
      </w:r>
      <w:r>
        <w:rPr>
          <w:spacing w:val="-2"/>
        </w:rPr>
        <w:t> </w:t>
      </w:r>
      <w:r>
        <w:rPr/>
        <w:t>the</w:t>
      </w:r>
      <w:r>
        <w:rPr>
          <w:spacing w:val="-3"/>
        </w:rPr>
        <w:t> </w:t>
      </w:r>
      <w:r>
        <w:rPr/>
        <w:t>m-44</w:t>
      </w:r>
      <w:r>
        <w:rPr>
          <w:spacing w:val="-2"/>
        </w:rPr>
        <w:t> </w:t>
      </w:r>
      <w:r>
        <w:rPr/>
        <w:t>ejector</w:t>
      </w:r>
      <w:r>
        <w:rPr>
          <w:spacing w:val="-1"/>
        </w:rPr>
        <w:t> </w:t>
      </w:r>
      <w:r>
        <w:rPr/>
        <w:t>for</w:t>
      </w:r>
      <w:r>
        <w:rPr>
          <w:spacing w:val="-4"/>
        </w:rPr>
        <w:t> </w:t>
      </w:r>
      <w:r>
        <w:rPr/>
        <w:t>the</w:t>
      </w:r>
      <w:r>
        <w:rPr>
          <w:spacing w:val="-3"/>
        </w:rPr>
        <w:t> </w:t>
      </w:r>
      <w:r>
        <w:rPr/>
        <w:t>delivery</w:t>
      </w:r>
      <w:r>
        <w:rPr>
          <w:spacing w:val="-2"/>
        </w:rPr>
        <w:t> </w:t>
      </w:r>
      <w:r>
        <w:rPr/>
        <w:t>of</w:t>
      </w:r>
      <w:r>
        <w:rPr>
          <w:spacing w:val="-2"/>
        </w:rPr>
        <w:t> </w:t>
      </w:r>
      <w:r>
        <w:rPr/>
        <w:t>1080</w:t>
      </w:r>
      <w:r>
        <w:rPr>
          <w:spacing w:val="-4"/>
        </w:rPr>
        <w:t> </w:t>
      </w:r>
      <w:r>
        <w:rPr/>
        <w:t>for red fox (</w:t>
      </w:r>
      <w:r>
        <w:rPr>
          <w:i/>
        </w:rPr>
        <w:t>Vulpes vulpes</w:t>
      </w:r>
      <w:r>
        <w:rPr/>
        <w:t>) control. </w:t>
      </w:r>
      <w:r>
        <w:rPr>
          <w:i/>
        </w:rPr>
        <w:t>Wildlife Research </w:t>
      </w:r>
      <w:r>
        <w:rPr>
          <w:b/>
        </w:rPr>
        <w:t>26</w:t>
      </w:r>
      <w:r>
        <w:rPr/>
        <w:t>(1):101. doi: 10.1071/WR98014.</w:t>
      </w:r>
    </w:p>
    <w:p>
      <w:pPr>
        <w:pStyle w:val="BodyText"/>
        <w:spacing w:before="10"/>
      </w:pPr>
    </w:p>
    <w:p>
      <w:pPr>
        <w:pStyle w:val="BodyText"/>
        <w:ind w:left="833" w:right="163" w:hanging="721"/>
      </w:pPr>
      <w:r>
        <w:rPr/>
        <w:t>Marks,</w:t>
      </w:r>
      <w:r>
        <w:rPr>
          <w:spacing w:val="-3"/>
        </w:rPr>
        <w:t> </w:t>
      </w:r>
      <w:r>
        <w:rPr/>
        <w:t>C.A.,</w:t>
      </w:r>
      <w:r>
        <w:rPr>
          <w:spacing w:val="-1"/>
        </w:rPr>
        <w:t> </w:t>
      </w:r>
      <w:r>
        <w:rPr/>
        <w:t>Gigliotti,</w:t>
      </w:r>
      <w:r>
        <w:rPr>
          <w:spacing w:val="-3"/>
        </w:rPr>
        <w:t> </w:t>
      </w:r>
      <w:r>
        <w:rPr/>
        <w:t>F.,</w:t>
      </w:r>
      <w:r>
        <w:rPr>
          <w:spacing w:val="-3"/>
        </w:rPr>
        <w:t> </w:t>
      </w:r>
      <w:r>
        <w:rPr/>
        <w:t>and</w:t>
      </w:r>
      <w:r>
        <w:rPr>
          <w:spacing w:val="-3"/>
        </w:rPr>
        <w:t> </w:t>
      </w:r>
      <w:r>
        <w:rPr/>
        <w:t>Busana,</w:t>
      </w:r>
      <w:r>
        <w:rPr>
          <w:spacing w:val="-3"/>
        </w:rPr>
        <w:t> </w:t>
      </w:r>
      <w:r>
        <w:rPr/>
        <w:t>F.</w:t>
      </w:r>
      <w:r>
        <w:rPr>
          <w:spacing w:val="-3"/>
        </w:rPr>
        <w:t> </w:t>
      </w:r>
      <w:r>
        <w:rPr/>
        <w:t>(2003).</w:t>
      </w:r>
      <w:r>
        <w:rPr>
          <w:spacing w:val="-3"/>
        </w:rPr>
        <w:t> </w:t>
      </w:r>
      <w:r>
        <w:rPr/>
        <w:t>Field</w:t>
      </w:r>
      <w:r>
        <w:rPr>
          <w:spacing w:val="-1"/>
        </w:rPr>
        <w:t> </w:t>
      </w:r>
      <w:r>
        <w:rPr/>
        <w:t>performance</w:t>
      </w:r>
      <w:r>
        <w:rPr>
          <w:spacing w:val="-3"/>
        </w:rPr>
        <w:t> </w:t>
      </w:r>
      <w:r>
        <w:rPr/>
        <w:t>of</w:t>
      </w:r>
      <w:r>
        <w:rPr>
          <w:spacing w:val="-3"/>
        </w:rPr>
        <w:t> </w:t>
      </w:r>
      <w:r>
        <w:rPr/>
        <w:t>the</w:t>
      </w:r>
      <w:r>
        <w:rPr>
          <w:spacing w:val="-3"/>
        </w:rPr>
        <w:t> </w:t>
      </w:r>
      <w:r>
        <w:rPr/>
        <w:t>m-44</w:t>
      </w:r>
      <w:r>
        <w:rPr>
          <w:spacing w:val="-3"/>
        </w:rPr>
        <w:t> </w:t>
      </w:r>
      <w:r>
        <w:rPr/>
        <w:t>ejector</w:t>
      </w:r>
      <w:r>
        <w:rPr>
          <w:spacing w:val="-3"/>
        </w:rPr>
        <w:t> </w:t>
      </w:r>
      <w:r>
        <w:rPr/>
        <w:t>for</w:t>
      </w:r>
      <w:r>
        <w:rPr>
          <w:spacing w:val="-3"/>
        </w:rPr>
        <w:t> </w:t>
      </w:r>
      <w:r>
        <w:rPr/>
        <w:t>red</w:t>
      </w:r>
      <w:r>
        <w:rPr>
          <w:spacing w:val="-2"/>
        </w:rPr>
        <w:t> </w:t>
      </w:r>
      <w:r>
        <w:rPr/>
        <w:t>fox</w:t>
      </w:r>
      <w:r>
        <w:rPr>
          <w:spacing w:val="-2"/>
        </w:rPr>
        <w:t> </w:t>
      </w:r>
      <w:r>
        <w:rPr/>
        <w:t>(vulpes vulpes) control. </w:t>
      </w:r>
      <w:r>
        <w:rPr>
          <w:i/>
        </w:rPr>
        <w:t>Wildlife Research </w:t>
      </w:r>
      <w:r>
        <w:rPr>
          <w:b/>
        </w:rPr>
        <w:t>30</w:t>
      </w:r>
      <w:r>
        <w:rPr/>
        <w:t>(6):601–9.</w:t>
      </w:r>
    </w:p>
    <w:p>
      <w:pPr>
        <w:pStyle w:val="BodyText"/>
        <w:spacing w:before="11"/>
      </w:pPr>
    </w:p>
    <w:p>
      <w:pPr>
        <w:pStyle w:val="BodyText"/>
        <w:ind w:left="833" w:right="422" w:hanging="721"/>
        <w:jc w:val="both"/>
      </w:pPr>
      <w:r>
        <w:rPr/>
        <w:t>Marks,</w:t>
      </w:r>
      <w:r>
        <w:rPr>
          <w:spacing w:val="-4"/>
        </w:rPr>
        <w:t> </w:t>
      </w:r>
      <w:r>
        <w:rPr/>
        <w:t>C.A.,</w:t>
      </w:r>
      <w:r>
        <w:rPr>
          <w:spacing w:val="-2"/>
        </w:rPr>
        <w:t> </w:t>
      </w:r>
      <w:r>
        <w:rPr/>
        <w:t>Trought,</w:t>
      </w:r>
      <w:r>
        <w:rPr>
          <w:spacing w:val="-2"/>
        </w:rPr>
        <w:t> </w:t>
      </w:r>
      <w:r>
        <w:rPr/>
        <w:t>K.,</w:t>
      </w:r>
      <w:r>
        <w:rPr>
          <w:spacing w:val="-2"/>
        </w:rPr>
        <w:t> </w:t>
      </w:r>
      <w:r>
        <w:rPr/>
        <w:t>Brown,</w:t>
      </w:r>
      <w:r>
        <w:rPr>
          <w:spacing w:val="-2"/>
        </w:rPr>
        <w:t> </w:t>
      </w:r>
      <w:r>
        <w:rPr/>
        <w:t>S.,</w:t>
      </w:r>
      <w:r>
        <w:rPr>
          <w:spacing w:val="-2"/>
        </w:rPr>
        <w:t> </w:t>
      </w:r>
      <w:r>
        <w:rPr/>
        <w:t>Arrow,</w:t>
      </w:r>
      <w:r>
        <w:rPr>
          <w:spacing w:val="-4"/>
        </w:rPr>
        <w:t> </w:t>
      </w:r>
      <w:r>
        <w:rPr/>
        <w:t>J.,</w:t>
      </w:r>
      <w:r>
        <w:rPr>
          <w:spacing w:val="-2"/>
        </w:rPr>
        <w:t> </w:t>
      </w:r>
      <w:r>
        <w:rPr/>
        <w:t>and</w:t>
      </w:r>
      <w:r>
        <w:rPr>
          <w:spacing w:val="-2"/>
        </w:rPr>
        <w:t> </w:t>
      </w:r>
      <w:r>
        <w:rPr/>
        <w:t>Hopkins,</w:t>
      </w:r>
      <w:r>
        <w:rPr>
          <w:spacing w:val="-4"/>
        </w:rPr>
        <w:t> </w:t>
      </w:r>
      <w:r>
        <w:rPr/>
        <w:t>B.</w:t>
      </w:r>
      <w:r>
        <w:rPr>
          <w:spacing w:val="-4"/>
        </w:rPr>
        <w:t> </w:t>
      </w:r>
      <w:r>
        <w:rPr/>
        <w:t>(2023).</w:t>
      </w:r>
      <w:r>
        <w:rPr>
          <w:spacing w:val="-4"/>
        </w:rPr>
        <w:t> </w:t>
      </w:r>
      <w:r>
        <w:rPr/>
        <w:t>Sensitivity</w:t>
      </w:r>
      <w:r>
        <w:rPr>
          <w:spacing w:val="-1"/>
        </w:rPr>
        <w:t> </w:t>
      </w:r>
      <w:r>
        <w:rPr/>
        <w:t>of</w:t>
      </w:r>
      <w:r>
        <w:rPr>
          <w:spacing w:val="-4"/>
        </w:rPr>
        <w:t> </w:t>
      </w:r>
      <w:r>
        <w:rPr/>
        <w:t>high</w:t>
      </w:r>
      <w:r>
        <w:rPr>
          <w:spacing w:val="-5"/>
        </w:rPr>
        <w:t> </w:t>
      </w:r>
      <w:r>
        <w:rPr/>
        <w:t>conservation</w:t>
      </w:r>
      <w:r>
        <w:rPr>
          <w:spacing w:val="-5"/>
        </w:rPr>
        <w:t> </w:t>
      </w:r>
      <w:r>
        <w:rPr/>
        <w:t>value birds</w:t>
      </w:r>
      <w:r>
        <w:rPr>
          <w:spacing w:val="-4"/>
        </w:rPr>
        <w:t> </w:t>
      </w:r>
      <w:r>
        <w:rPr/>
        <w:t>to</w:t>
      </w:r>
      <w:r>
        <w:rPr>
          <w:spacing w:val="-4"/>
        </w:rPr>
        <w:t> </w:t>
      </w:r>
      <w:r>
        <w:rPr/>
        <w:t>para-aminopropiophenone</w:t>
      </w:r>
      <w:r>
        <w:rPr>
          <w:spacing w:val="-6"/>
        </w:rPr>
        <w:t> </w:t>
      </w:r>
      <w:r>
        <w:rPr/>
        <w:t>(PAPP)</w:t>
      </w:r>
      <w:r>
        <w:rPr>
          <w:spacing w:val="-2"/>
        </w:rPr>
        <w:t> </w:t>
      </w:r>
      <w:r>
        <w:rPr/>
        <w:t>determined</w:t>
      </w:r>
      <w:r>
        <w:rPr>
          <w:spacing w:val="-3"/>
        </w:rPr>
        <w:t> </w:t>
      </w:r>
      <w:r>
        <w:rPr/>
        <w:t>by</w:t>
      </w:r>
      <w:r>
        <w:rPr>
          <w:spacing w:val="-4"/>
        </w:rPr>
        <w:t> </w:t>
      </w:r>
      <w:r>
        <w:rPr/>
        <w:t>sub-lethal</w:t>
      </w:r>
      <w:r>
        <w:rPr>
          <w:spacing w:val="-6"/>
        </w:rPr>
        <w:t> </w:t>
      </w:r>
      <w:r>
        <w:rPr/>
        <w:t>dose–response</w:t>
      </w:r>
      <w:r>
        <w:rPr>
          <w:spacing w:val="-5"/>
        </w:rPr>
        <w:t> </w:t>
      </w:r>
      <w:r>
        <w:rPr/>
        <w:t>assay.</w:t>
      </w:r>
      <w:r>
        <w:rPr>
          <w:spacing w:val="-3"/>
        </w:rPr>
        <w:t> </w:t>
      </w:r>
      <w:r>
        <w:rPr>
          <w:i/>
        </w:rPr>
        <w:t>Animals</w:t>
      </w:r>
      <w:r>
        <w:rPr>
          <w:i/>
        </w:rPr>
        <w:t> </w:t>
      </w:r>
      <w:r>
        <w:rPr>
          <w:b/>
          <w:spacing w:val="-2"/>
        </w:rPr>
        <w:t>13</w:t>
      </w:r>
      <w:r>
        <w:rPr>
          <w:spacing w:val="-2"/>
        </w:rPr>
        <w:t>:433.</w:t>
      </w:r>
    </w:p>
    <w:p>
      <w:pPr>
        <w:pStyle w:val="BodyText"/>
        <w:spacing w:before="9"/>
      </w:pPr>
    </w:p>
    <w:p>
      <w:pPr>
        <w:pStyle w:val="BodyText"/>
        <w:ind w:left="833" w:right="232" w:hanging="721"/>
      </w:pPr>
      <w:r>
        <w:rPr/>
        <w:t>Marks,</w:t>
      </w:r>
      <w:r>
        <w:rPr>
          <w:spacing w:val="-4"/>
        </w:rPr>
        <w:t> </w:t>
      </w:r>
      <w:r>
        <w:rPr/>
        <w:t>C.A.,</w:t>
      </w:r>
      <w:r>
        <w:rPr>
          <w:spacing w:val="-2"/>
        </w:rPr>
        <w:t> </w:t>
      </w:r>
      <w:r>
        <w:rPr/>
        <w:t>and</w:t>
      </w:r>
      <w:r>
        <w:rPr>
          <w:spacing w:val="-4"/>
        </w:rPr>
        <w:t> </w:t>
      </w:r>
      <w:r>
        <w:rPr/>
        <w:t>Wilson,</w:t>
      </w:r>
      <w:r>
        <w:rPr>
          <w:spacing w:val="-4"/>
        </w:rPr>
        <w:t> </w:t>
      </w:r>
      <w:r>
        <w:rPr/>
        <w:t>R.</w:t>
      </w:r>
      <w:r>
        <w:rPr>
          <w:spacing w:val="-1"/>
        </w:rPr>
        <w:t> </w:t>
      </w:r>
      <w:r>
        <w:rPr/>
        <w:t>(2005).</w:t>
      </w:r>
      <w:r>
        <w:rPr>
          <w:spacing w:val="-2"/>
        </w:rPr>
        <w:t> </w:t>
      </w:r>
      <w:r>
        <w:rPr/>
        <w:t>Predicting</w:t>
      </w:r>
      <w:r>
        <w:rPr>
          <w:spacing w:val="-3"/>
        </w:rPr>
        <w:t> </w:t>
      </w:r>
      <w:r>
        <w:rPr/>
        <w:t>mammalian</w:t>
      </w:r>
      <w:r>
        <w:rPr>
          <w:spacing w:val="-4"/>
        </w:rPr>
        <w:t> </w:t>
      </w:r>
      <w:r>
        <w:rPr/>
        <w:t>target-specificity</w:t>
      </w:r>
      <w:r>
        <w:rPr>
          <w:spacing w:val="-3"/>
        </w:rPr>
        <w:t> </w:t>
      </w:r>
      <w:r>
        <w:rPr/>
        <w:t>of</w:t>
      </w:r>
      <w:r>
        <w:rPr>
          <w:spacing w:val="-4"/>
        </w:rPr>
        <w:t> </w:t>
      </w:r>
      <w:r>
        <w:rPr/>
        <w:t>the</w:t>
      </w:r>
      <w:r>
        <w:rPr>
          <w:spacing w:val="-2"/>
        </w:rPr>
        <w:t> </w:t>
      </w:r>
      <w:r>
        <w:rPr/>
        <w:t>m-44</w:t>
      </w:r>
      <w:r>
        <w:rPr>
          <w:spacing w:val="-4"/>
        </w:rPr>
        <w:t> </w:t>
      </w:r>
      <w:r>
        <w:rPr/>
        <w:t>ejector</w:t>
      </w:r>
      <w:r>
        <w:rPr>
          <w:spacing w:val="-1"/>
        </w:rPr>
        <w:t> </w:t>
      </w:r>
      <w:r>
        <w:rPr/>
        <w:t>in</w:t>
      </w:r>
      <w:r>
        <w:rPr>
          <w:spacing w:val="-4"/>
        </w:rPr>
        <w:t> </w:t>
      </w:r>
      <w:r>
        <w:rPr/>
        <w:t>south- eastern Australia. </w:t>
      </w:r>
      <w:r>
        <w:rPr>
          <w:i/>
        </w:rPr>
        <w:t>Wildlife Research </w:t>
      </w:r>
      <w:r>
        <w:rPr>
          <w:b/>
        </w:rPr>
        <w:t>32</w:t>
      </w:r>
      <w:r>
        <w:rPr/>
        <w:t>(2):151. doi: 10.1071/WR03102.</w:t>
      </w:r>
    </w:p>
    <w:p>
      <w:pPr>
        <w:pStyle w:val="BodyText"/>
        <w:spacing w:before="11"/>
      </w:pPr>
    </w:p>
    <w:p>
      <w:pPr>
        <w:pStyle w:val="BodyText"/>
        <w:spacing w:line="229" w:lineRule="exact"/>
        <w:ind w:left="112"/>
      </w:pPr>
      <w:r>
        <w:rPr/>
        <w:t>Marlow,</w:t>
      </w:r>
      <w:r>
        <w:rPr>
          <w:spacing w:val="-8"/>
        </w:rPr>
        <w:t> </w:t>
      </w:r>
      <w:r>
        <w:rPr/>
        <w:t>N.J.,</w:t>
      </w:r>
      <w:r>
        <w:rPr>
          <w:spacing w:val="-7"/>
        </w:rPr>
        <w:t> </w:t>
      </w:r>
      <w:r>
        <w:rPr/>
        <w:t>Thomas,</w:t>
      </w:r>
      <w:r>
        <w:rPr>
          <w:spacing w:val="-6"/>
        </w:rPr>
        <w:t> </w:t>
      </w:r>
      <w:r>
        <w:rPr/>
        <w:t>N.D.,</w:t>
      </w:r>
      <w:r>
        <w:rPr>
          <w:spacing w:val="-7"/>
        </w:rPr>
        <w:t> </w:t>
      </w:r>
      <w:r>
        <w:rPr/>
        <w:t>Williams,</w:t>
      </w:r>
      <w:r>
        <w:rPr>
          <w:spacing w:val="-7"/>
        </w:rPr>
        <w:t> </w:t>
      </w:r>
      <w:r>
        <w:rPr/>
        <w:t>A.A.E.,</w:t>
      </w:r>
      <w:r>
        <w:rPr>
          <w:spacing w:val="-5"/>
        </w:rPr>
        <w:t> </w:t>
      </w:r>
      <w:r>
        <w:rPr/>
        <w:t>Macmahon,</w:t>
      </w:r>
      <w:r>
        <w:rPr>
          <w:spacing w:val="-6"/>
        </w:rPr>
        <w:t> </w:t>
      </w:r>
      <w:r>
        <w:rPr/>
        <w:t>B.,</w:t>
      </w:r>
      <w:r>
        <w:rPr>
          <w:spacing w:val="-7"/>
        </w:rPr>
        <w:t> </w:t>
      </w:r>
      <w:r>
        <w:rPr/>
        <w:t>Lawson,</w:t>
      </w:r>
      <w:r>
        <w:rPr>
          <w:spacing w:val="-5"/>
        </w:rPr>
        <w:t> </w:t>
      </w:r>
      <w:r>
        <w:rPr/>
        <w:t>J.,</w:t>
      </w:r>
      <w:r>
        <w:rPr>
          <w:spacing w:val="-7"/>
        </w:rPr>
        <w:t> </w:t>
      </w:r>
      <w:r>
        <w:rPr/>
        <w:t>Hitchen,</w:t>
      </w:r>
      <w:r>
        <w:rPr>
          <w:spacing w:val="-5"/>
        </w:rPr>
        <w:t> </w:t>
      </w:r>
      <w:r>
        <w:rPr/>
        <w:t>Y.,</w:t>
      </w:r>
      <w:r>
        <w:rPr>
          <w:spacing w:val="-6"/>
        </w:rPr>
        <w:t> </w:t>
      </w:r>
      <w:r>
        <w:rPr/>
        <w:t>Angus,</w:t>
      </w:r>
      <w:r>
        <w:rPr>
          <w:spacing w:val="-7"/>
        </w:rPr>
        <w:t> </w:t>
      </w:r>
      <w:r>
        <w:rPr/>
        <w:t>J.,</w:t>
      </w:r>
      <w:r>
        <w:rPr>
          <w:spacing w:val="-7"/>
        </w:rPr>
        <w:t> </w:t>
      </w:r>
      <w:r>
        <w:rPr/>
        <w:t>and</w:t>
      </w:r>
      <w:r>
        <w:rPr>
          <w:spacing w:val="-6"/>
        </w:rPr>
        <w:t> </w:t>
      </w:r>
      <w:r>
        <w:rPr>
          <w:spacing w:val="-2"/>
        </w:rPr>
        <w:t>Berry,</w:t>
      </w:r>
    </w:p>
    <w:p>
      <w:pPr>
        <w:spacing w:before="0"/>
        <w:ind w:left="833" w:right="360" w:firstLine="0"/>
        <w:jc w:val="left"/>
        <w:rPr>
          <w:sz w:val="20"/>
        </w:rPr>
      </w:pPr>
      <w:r>
        <w:rPr>
          <w:sz w:val="20"/>
        </w:rPr>
        <w:t>O. (2015). Lethal 1080 baiting continues to reduce European red fox (</w:t>
      </w:r>
      <w:r>
        <w:rPr>
          <w:i/>
          <w:sz w:val="20"/>
        </w:rPr>
        <w:t>Vulpes vulpes</w:t>
      </w:r>
      <w:r>
        <w:rPr>
          <w:sz w:val="20"/>
        </w:rPr>
        <w:t>) abundance</w:t>
      </w:r>
      <w:r>
        <w:rPr>
          <w:sz w:val="20"/>
        </w:rPr>
        <w:t> after</w:t>
      </w:r>
      <w:r>
        <w:rPr>
          <w:spacing w:val="-4"/>
          <w:sz w:val="20"/>
        </w:rPr>
        <w:t> </w:t>
      </w:r>
      <w:r>
        <w:rPr>
          <w:sz w:val="20"/>
        </w:rPr>
        <w:t>more</w:t>
      </w:r>
      <w:r>
        <w:rPr>
          <w:spacing w:val="-4"/>
          <w:sz w:val="20"/>
        </w:rPr>
        <w:t> </w:t>
      </w:r>
      <w:r>
        <w:rPr>
          <w:sz w:val="20"/>
        </w:rPr>
        <w:t>than</w:t>
      </w:r>
      <w:r>
        <w:rPr>
          <w:spacing w:val="-3"/>
          <w:sz w:val="20"/>
        </w:rPr>
        <w:t> </w:t>
      </w:r>
      <w:r>
        <w:rPr>
          <w:sz w:val="20"/>
        </w:rPr>
        <w:t>25</w:t>
      </w:r>
      <w:r>
        <w:rPr>
          <w:spacing w:val="-4"/>
          <w:sz w:val="20"/>
        </w:rPr>
        <w:t> </w:t>
      </w:r>
      <w:r>
        <w:rPr>
          <w:sz w:val="20"/>
        </w:rPr>
        <w:t>years</w:t>
      </w:r>
      <w:r>
        <w:rPr>
          <w:spacing w:val="-2"/>
          <w:sz w:val="20"/>
        </w:rPr>
        <w:t> </w:t>
      </w:r>
      <w:r>
        <w:rPr>
          <w:sz w:val="20"/>
        </w:rPr>
        <w:t>of</w:t>
      </w:r>
      <w:r>
        <w:rPr>
          <w:spacing w:val="-2"/>
          <w:sz w:val="20"/>
        </w:rPr>
        <w:t> </w:t>
      </w:r>
      <w:r>
        <w:rPr>
          <w:sz w:val="20"/>
        </w:rPr>
        <w:t>continuous</w:t>
      </w:r>
      <w:r>
        <w:rPr>
          <w:spacing w:val="-3"/>
          <w:sz w:val="20"/>
        </w:rPr>
        <w:t> </w:t>
      </w:r>
      <w:r>
        <w:rPr>
          <w:sz w:val="20"/>
        </w:rPr>
        <w:t>use</w:t>
      </w:r>
      <w:r>
        <w:rPr>
          <w:spacing w:val="-4"/>
          <w:sz w:val="20"/>
        </w:rPr>
        <w:t> </w:t>
      </w:r>
      <w:r>
        <w:rPr>
          <w:sz w:val="20"/>
        </w:rPr>
        <w:t>in</w:t>
      </w:r>
      <w:r>
        <w:rPr>
          <w:spacing w:val="-4"/>
          <w:sz w:val="20"/>
        </w:rPr>
        <w:t> </w:t>
      </w:r>
      <w:r>
        <w:rPr>
          <w:sz w:val="20"/>
        </w:rPr>
        <w:t>south-west</w:t>
      </w:r>
      <w:r>
        <w:rPr>
          <w:spacing w:val="-3"/>
          <w:sz w:val="20"/>
        </w:rPr>
        <w:t> </w:t>
      </w:r>
      <w:r>
        <w:rPr>
          <w:sz w:val="20"/>
        </w:rPr>
        <w:t>Western</w:t>
      </w:r>
      <w:r>
        <w:rPr>
          <w:spacing w:val="-3"/>
          <w:sz w:val="20"/>
        </w:rPr>
        <w:t> </w:t>
      </w:r>
      <w:r>
        <w:rPr>
          <w:sz w:val="20"/>
        </w:rPr>
        <w:t>Australia.</w:t>
      </w:r>
      <w:r>
        <w:rPr>
          <w:spacing w:val="-2"/>
          <w:sz w:val="20"/>
        </w:rPr>
        <w:t> </w:t>
      </w:r>
      <w:r>
        <w:rPr>
          <w:i/>
          <w:sz w:val="20"/>
        </w:rPr>
        <w:t>Ecological</w:t>
      </w:r>
      <w:r>
        <w:rPr>
          <w:i/>
          <w:spacing w:val="-5"/>
          <w:sz w:val="20"/>
        </w:rPr>
        <w:t> </w:t>
      </w:r>
      <w:r>
        <w:rPr>
          <w:i/>
          <w:sz w:val="20"/>
        </w:rPr>
        <w:t>Management</w:t>
      </w:r>
      <w:r>
        <w:rPr>
          <w:i/>
          <w:sz w:val="20"/>
        </w:rPr>
        <w:t> &amp; Restoration </w:t>
      </w:r>
      <w:r>
        <w:rPr>
          <w:b/>
          <w:sz w:val="20"/>
        </w:rPr>
        <w:t>16</w:t>
      </w:r>
      <w:r>
        <w:rPr>
          <w:sz w:val="20"/>
        </w:rPr>
        <w:t>(2):131–41.</w:t>
      </w:r>
    </w:p>
    <w:p>
      <w:pPr>
        <w:pStyle w:val="BodyText"/>
        <w:spacing w:before="11"/>
      </w:pPr>
    </w:p>
    <w:p>
      <w:pPr>
        <w:pStyle w:val="BodyText"/>
        <w:ind w:left="833" w:right="544" w:hanging="721"/>
      </w:pPr>
      <w:r>
        <w:rPr/>
        <w:t>Marlow,</w:t>
      </w:r>
      <w:r>
        <w:rPr>
          <w:spacing w:val="-3"/>
        </w:rPr>
        <w:t> </w:t>
      </w:r>
      <w:r>
        <w:rPr/>
        <w:t>N.J.</w:t>
      </w:r>
      <w:r>
        <w:rPr>
          <w:spacing w:val="-3"/>
        </w:rPr>
        <w:t> </w:t>
      </w:r>
      <w:r>
        <w:rPr/>
        <w:t>(1992).</w:t>
      </w:r>
      <w:r>
        <w:rPr>
          <w:spacing w:val="-1"/>
        </w:rPr>
        <w:t> </w:t>
      </w:r>
      <w:r>
        <w:rPr/>
        <w:t>‘The</w:t>
      </w:r>
      <w:r>
        <w:rPr>
          <w:spacing w:val="-3"/>
        </w:rPr>
        <w:t> </w:t>
      </w:r>
      <w:r>
        <w:rPr/>
        <w:t>ecology</w:t>
      </w:r>
      <w:r>
        <w:rPr>
          <w:spacing w:val="-3"/>
        </w:rPr>
        <w:t> </w:t>
      </w:r>
      <w:r>
        <w:rPr/>
        <w:t>of</w:t>
      </w:r>
      <w:r>
        <w:rPr>
          <w:spacing w:val="-3"/>
        </w:rPr>
        <w:t> </w:t>
      </w:r>
      <w:r>
        <w:rPr/>
        <w:t>the</w:t>
      </w:r>
      <w:r>
        <w:rPr>
          <w:spacing w:val="-3"/>
        </w:rPr>
        <w:t> </w:t>
      </w:r>
      <w:r>
        <w:rPr/>
        <w:t>introduced</w:t>
      </w:r>
      <w:r>
        <w:rPr>
          <w:spacing w:val="-4"/>
        </w:rPr>
        <w:t> </w:t>
      </w:r>
      <w:r>
        <w:rPr/>
        <w:t>red</w:t>
      </w:r>
      <w:r>
        <w:rPr>
          <w:spacing w:val="-3"/>
        </w:rPr>
        <w:t> </w:t>
      </w:r>
      <w:r>
        <w:rPr/>
        <w:t>fox</w:t>
      </w:r>
      <w:r>
        <w:rPr>
          <w:spacing w:val="-3"/>
        </w:rPr>
        <w:t> </w:t>
      </w:r>
      <w:r>
        <w:rPr/>
        <w:t>(</w:t>
      </w:r>
      <w:r>
        <w:rPr>
          <w:i/>
        </w:rPr>
        <w:t>Vulpes</w:t>
      </w:r>
      <w:r>
        <w:rPr>
          <w:i/>
          <w:spacing w:val="-3"/>
        </w:rPr>
        <w:t> </w:t>
      </w:r>
      <w:r>
        <w:rPr>
          <w:i/>
        </w:rPr>
        <w:t>vulpes</w:t>
      </w:r>
      <w:r>
        <w:rPr/>
        <w:t>)</w:t>
      </w:r>
      <w:r>
        <w:rPr>
          <w:spacing w:val="-3"/>
        </w:rPr>
        <w:t> </w:t>
      </w:r>
      <w:r>
        <w:rPr/>
        <w:t>in</w:t>
      </w:r>
      <w:r>
        <w:rPr>
          <w:spacing w:val="-2"/>
        </w:rPr>
        <w:t> </w:t>
      </w:r>
      <w:r>
        <w:rPr/>
        <w:t>arid</w:t>
      </w:r>
      <w:r>
        <w:rPr>
          <w:spacing w:val="-3"/>
        </w:rPr>
        <w:t> </w:t>
      </w:r>
      <w:r>
        <w:rPr/>
        <w:t>Australia’.</w:t>
      </w:r>
      <w:r>
        <w:rPr>
          <w:spacing w:val="-2"/>
        </w:rPr>
        <w:t> </w:t>
      </w:r>
      <w:r>
        <w:rPr/>
        <w:t>Ph.D., University of New South Wales.</w:t>
      </w:r>
    </w:p>
    <w:p>
      <w:pPr>
        <w:pStyle w:val="BodyText"/>
        <w:spacing w:before="10"/>
      </w:pPr>
    </w:p>
    <w:p>
      <w:pPr>
        <w:spacing w:before="1"/>
        <w:ind w:left="833" w:right="364" w:hanging="721"/>
        <w:jc w:val="left"/>
        <w:rPr>
          <w:sz w:val="20"/>
        </w:rPr>
      </w:pPr>
      <w:r>
        <w:rPr>
          <w:sz w:val="20"/>
        </w:rPr>
        <w:t>Marlow, N J, Williams, A., Thomas, N., Maxwell, M., Wilson, I., Wittred, B., Brazell, R., and Withnell, B. (2015). Assessing the impact of 1080 pro-baits on wild brush- tailed phascogales (</w:t>
      </w:r>
      <w:r>
        <w:rPr>
          <w:i/>
          <w:sz w:val="20"/>
        </w:rPr>
        <w:t>Phascogale</w:t>
      </w:r>
      <w:r>
        <w:rPr>
          <w:i/>
          <w:sz w:val="20"/>
        </w:rPr>
        <w:t> tapoatafa</w:t>
      </w:r>
      <w:r>
        <w:rPr>
          <w:sz w:val="20"/>
        </w:rPr>
        <w:t>)</w:t>
      </w:r>
      <w:r>
        <w:rPr>
          <w:spacing w:val="-9"/>
          <w:sz w:val="20"/>
        </w:rPr>
        <w:t> </w:t>
      </w:r>
      <w:r>
        <w:rPr>
          <w:sz w:val="20"/>
        </w:rPr>
        <w:t>during</w:t>
      </w:r>
      <w:r>
        <w:rPr>
          <w:spacing w:val="-9"/>
          <w:sz w:val="20"/>
        </w:rPr>
        <w:t> </w:t>
      </w:r>
      <w:r>
        <w:rPr>
          <w:sz w:val="20"/>
        </w:rPr>
        <w:t>an</w:t>
      </w:r>
      <w:r>
        <w:rPr>
          <w:spacing w:val="-11"/>
          <w:sz w:val="20"/>
        </w:rPr>
        <w:t> </w:t>
      </w:r>
      <w:r>
        <w:rPr>
          <w:sz w:val="20"/>
        </w:rPr>
        <w:t>operational</w:t>
      </w:r>
      <w:r>
        <w:rPr>
          <w:spacing w:val="-11"/>
          <w:sz w:val="20"/>
        </w:rPr>
        <w:t> </w:t>
      </w:r>
      <w:r>
        <w:rPr>
          <w:sz w:val="20"/>
        </w:rPr>
        <w:t>fox</w:t>
      </w:r>
      <w:r>
        <w:rPr>
          <w:spacing w:val="-9"/>
          <w:sz w:val="20"/>
        </w:rPr>
        <w:t> </w:t>
      </w:r>
      <w:r>
        <w:rPr>
          <w:sz w:val="20"/>
        </w:rPr>
        <w:t>baiting</w:t>
      </w:r>
      <w:r>
        <w:rPr>
          <w:spacing w:val="-10"/>
          <w:sz w:val="20"/>
        </w:rPr>
        <w:t> </w:t>
      </w:r>
      <w:r>
        <w:rPr>
          <w:sz w:val="20"/>
        </w:rPr>
        <w:t>campaign.</w:t>
      </w:r>
      <w:r>
        <w:rPr>
          <w:spacing w:val="-4"/>
          <w:sz w:val="20"/>
        </w:rPr>
        <w:t> </w:t>
      </w:r>
      <w:r>
        <w:rPr>
          <w:i/>
          <w:sz w:val="20"/>
        </w:rPr>
        <w:t>Conservation</w:t>
      </w:r>
      <w:r>
        <w:rPr>
          <w:i/>
          <w:spacing w:val="-9"/>
          <w:sz w:val="20"/>
        </w:rPr>
        <w:t> </w:t>
      </w:r>
      <w:r>
        <w:rPr>
          <w:i/>
          <w:sz w:val="20"/>
        </w:rPr>
        <w:t>Science</w:t>
      </w:r>
      <w:r>
        <w:rPr>
          <w:i/>
          <w:spacing w:val="-8"/>
          <w:sz w:val="20"/>
        </w:rPr>
        <w:t> </w:t>
      </w:r>
      <w:r>
        <w:rPr>
          <w:i/>
          <w:sz w:val="20"/>
        </w:rPr>
        <w:t>Western</w:t>
      </w:r>
      <w:r>
        <w:rPr>
          <w:i/>
          <w:spacing w:val="-10"/>
          <w:sz w:val="20"/>
        </w:rPr>
        <w:t> </w:t>
      </w:r>
      <w:r>
        <w:rPr>
          <w:i/>
          <w:sz w:val="20"/>
        </w:rPr>
        <w:t>Australia</w:t>
      </w:r>
      <w:r>
        <w:rPr>
          <w:i/>
          <w:spacing w:val="-5"/>
          <w:sz w:val="20"/>
        </w:rPr>
        <w:t> </w:t>
      </w:r>
      <w:r>
        <w:rPr>
          <w:b/>
          <w:spacing w:val="-2"/>
          <w:sz w:val="20"/>
        </w:rPr>
        <w:t>9</w:t>
      </w:r>
      <w:r>
        <w:rPr>
          <w:spacing w:val="-2"/>
          <w:sz w:val="20"/>
        </w:rPr>
        <w:t>(3).</w:t>
      </w:r>
    </w:p>
    <w:p>
      <w:pPr>
        <w:pStyle w:val="BodyText"/>
        <w:spacing w:before="8"/>
      </w:pPr>
    </w:p>
    <w:p>
      <w:pPr>
        <w:pStyle w:val="BodyText"/>
        <w:spacing w:before="1"/>
        <w:ind w:left="833" w:right="428" w:hanging="721"/>
        <w:jc w:val="both"/>
      </w:pPr>
      <w:r>
        <w:rPr/>
        <w:t>Martin,</w:t>
      </w:r>
      <w:r>
        <w:rPr>
          <w:spacing w:val="-4"/>
        </w:rPr>
        <w:t> </w:t>
      </w:r>
      <w:r>
        <w:rPr/>
        <w:t>J.T.,</w:t>
      </w:r>
      <w:r>
        <w:rPr>
          <w:spacing w:val="-4"/>
        </w:rPr>
        <w:t> </w:t>
      </w:r>
      <w:r>
        <w:rPr/>
        <w:t>and</w:t>
      </w:r>
      <w:r>
        <w:rPr>
          <w:spacing w:val="-3"/>
        </w:rPr>
        <w:t> </w:t>
      </w:r>
      <w:r>
        <w:rPr/>
        <w:t>Eveleigh,</w:t>
      </w:r>
      <w:r>
        <w:rPr>
          <w:spacing w:val="-2"/>
        </w:rPr>
        <w:t> </w:t>
      </w:r>
      <w:r>
        <w:rPr/>
        <w:t>J.N.</w:t>
      </w:r>
      <w:r>
        <w:rPr>
          <w:spacing w:val="-4"/>
        </w:rPr>
        <w:t> </w:t>
      </w:r>
      <w:r>
        <w:rPr/>
        <w:t>(1979).</w:t>
      </w:r>
      <w:r>
        <w:rPr>
          <w:spacing w:val="-2"/>
        </w:rPr>
        <w:t> </w:t>
      </w:r>
      <w:r>
        <w:rPr/>
        <w:t>Observations</w:t>
      </w:r>
      <w:r>
        <w:rPr>
          <w:spacing w:val="-3"/>
        </w:rPr>
        <w:t> </w:t>
      </w:r>
      <w:r>
        <w:rPr/>
        <w:t>on</w:t>
      </w:r>
      <w:r>
        <w:rPr>
          <w:spacing w:val="-4"/>
        </w:rPr>
        <w:t> </w:t>
      </w:r>
      <w:r>
        <w:rPr/>
        <w:t>the</w:t>
      </w:r>
      <w:r>
        <w:rPr>
          <w:spacing w:val="-2"/>
        </w:rPr>
        <w:t> </w:t>
      </w:r>
      <w:r>
        <w:rPr/>
        <w:t>effectiveness</w:t>
      </w:r>
      <w:r>
        <w:rPr>
          <w:spacing w:val="-3"/>
        </w:rPr>
        <w:t> </w:t>
      </w:r>
      <w:r>
        <w:rPr/>
        <w:t>of</w:t>
      </w:r>
      <w:r>
        <w:rPr>
          <w:spacing w:val="-4"/>
        </w:rPr>
        <w:t> </w:t>
      </w:r>
      <w:r>
        <w:rPr/>
        <w:t>warren</w:t>
      </w:r>
      <w:r>
        <w:rPr>
          <w:spacing w:val="-4"/>
        </w:rPr>
        <w:t> </w:t>
      </w:r>
      <w:r>
        <w:rPr/>
        <w:t>destruction</w:t>
      </w:r>
      <w:r>
        <w:rPr>
          <w:spacing w:val="-3"/>
        </w:rPr>
        <w:t> </w:t>
      </w:r>
      <w:r>
        <w:rPr/>
        <w:t>as</w:t>
      </w:r>
      <w:r>
        <w:rPr>
          <w:spacing w:val="-3"/>
        </w:rPr>
        <w:t> </w:t>
      </w:r>
      <w:r>
        <w:rPr/>
        <w:t>a</w:t>
      </w:r>
      <w:r>
        <w:rPr>
          <w:spacing w:val="-5"/>
        </w:rPr>
        <w:t> </w:t>
      </w:r>
      <w:r>
        <w:rPr/>
        <w:t>method of rabbit control in a semi-arid environment. </w:t>
      </w:r>
      <w:r>
        <w:rPr>
          <w:i/>
        </w:rPr>
        <w:t>Australian Rangeland Journal </w:t>
      </w:r>
      <w:r>
        <w:rPr>
          <w:b/>
        </w:rPr>
        <w:t>1</w:t>
      </w:r>
      <w:r>
        <w:rPr/>
        <w:t>(3):238.</w:t>
      </w:r>
    </w:p>
    <w:p>
      <w:pPr>
        <w:pStyle w:val="BodyText"/>
        <w:spacing w:before="10"/>
      </w:pPr>
    </w:p>
    <w:p>
      <w:pPr>
        <w:pStyle w:val="BodyText"/>
        <w:ind w:left="833" w:right="364" w:hanging="721"/>
      </w:pPr>
      <w:r>
        <w:rPr/>
        <w:t>Mason, L.R., Green, R.E., Hirons, G., Skinner, J.M., Andrew M.J., Peault, S.C., Upcott, E.V., Wells, E., Wilding, D.J., and Smart, J. (2021). Experimental diversionary feeding of red kites </w:t>
      </w:r>
      <w:r>
        <w:rPr>
          <w:i/>
        </w:rPr>
        <w:t>Milvus milvus</w:t>
      </w:r>
      <w:r>
        <w:rPr>
          <w:i/>
        </w:rPr>
        <w:t> </w:t>
      </w:r>
      <w:r>
        <w:rPr/>
        <w:t>reduces</w:t>
      </w:r>
      <w:r>
        <w:rPr>
          <w:spacing w:val="-4"/>
        </w:rPr>
        <w:t> </w:t>
      </w:r>
      <w:r>
        <w:rPr/>
        <w:t>chick</w:t>
      </w:r>
      <w:r>
        <w:rPr>
          <w:spacing w:val="-4"/>
        </w:rPr>
        <w:t> </w:t>
      </w:r>
      <w:r>
        <w:rPr/>
        <w:t>predation</w:t>
      </w:r>
      <w:r>
        <w:rPr>
          <w:spacing w:val="-4"/>
        </w:rPr>
        <w:t> </w:t>
      </w:r>
      <w:r>
        <w:rPr/>
        <w:t>and</w:t>
      </w:r>
      <w:r>
        <w:rPr>
          <w:spacing w:val="-5"/>
        </w:rPr>
        <w:t> </w:t>
      </w:r>
      <w:r>
        <w:rPr/>
        <w:t>enhances</w:t>
      </w:r>
      <w:r>
        <w:rPr>
          <w:spacing w:val="-4"/>
        </w:rPr>
        <w:t> </w:t>
      </w:r>
      <w:r>
        <w:rPr/>
        <w:t>breeding</w:t>
      </w:r>
      <w:r>
        <w:rPr>
          <w:spacing w:val="-3"/>
        </w:rPr>
        <w:t> </w:t>
      </w:r>
      <w:r>
        <w:rPr/>
        <w:t>productivity</w:t>
      </w:r>
      <w:r>
        <w:rPr>
          <w:spacing w:val="-4"/>
        </w:rPr>
        <w:t> </w:t>
      </w:r>
      <w:r>
        <w:rPr/>
        <w:t>of</w:t>
      </w:r>
      <w:r>
        <w:rPr>
          <w:spacing w:val="-3"/>
        </w:rPr>
        <w:t> </w:t>
      </w:r>
      <w:r>
        <w:rPr/>
        <w:t>northern</w:t>
      </w:r>
      <w:r>
        <w:rPr>
          <w:spacing w:val="-5"/>
        </w:rPr>
        <w:t> </w:t>
      </w:r>
      <w:r>
        <w:rPr/>
        <w:t>lapwings </w:t>
      </w:r>
      <w:r>
        <w:rPr>
          <w:i/>
        </w:rPr>
        <w:t>Vanellus</w:t>
      </w:r>
      <w:r>
        <w:rPr>
          <w:i/>
          <w:spacing w:val="-4"/>
        </w:rPr>
        <w:t> </w:t>
      </w:r>
      <w:r>
        <w:rPr>
          <w:i/>
        </w:rPr>
        <w:t>vanellus</w:t>
      </w:r>
      <w:r>
        <w:rPr/>
        <w:t>. </w:t>
      </w:r>
      <w:r>
        <w:rPr>
          <w:i/>
        </w:rPr>
        <w:t>Journal for Nature Conservation </w:t>
      </w:r>
      <w:r>
        <w:rPr>
          <w:b/>
        </w:rPr>
        <w:t>64</w:t>
      </w:r>
      <w:r>
        <w:rPr/>
        <w:t>:126051. doi: 10.1016/j.jnc.2021.126051.</w:t>
      </w:r>
    </w:p>
    <w:p>
      <w:pPr>
        <w:pStyle w:val="BodyText"/>
        <w:spacing w:before="10"/>
      </w:pPr>
    </w:p>
    <w:p>
      <w:pPr>
        <w:pStyle w:val="BodyText"/>
        <w:ind w:left="833" w:right="163" w:hanging="721"/>
      </w:pPr>
      <w:r>
        <w:rPr/>
        <w:t>Mason,</w:t>
      </w:r>
      <w:r>
        <w:rPr>
          <w:spacing w:val="-2"/>
        </w:rPr>
        <w:t> </w:t>
      </w:r>
      <w:r>
        <w:rPr/>
        <w:t>R.T.,</w:t>
      </w:r>
      <w:r>
        <w:rPr>
          <w:spacing w:val="-4"/>
        </w:rPr>
        <w:t> </w:t>
      </w:r>
      <w:r>
        <w:rPr/>
        <w:t>Rendall,</w:t>
      </w:r>
      <w:r>
        <w:rPr>
          <w:spacing w:val="-2"/>
        </w:rPr>
        <w:t> </w:t>
      </w:r>
      <w:r>
        <w:rPr/>
        <w:t>A.R.,</w:t>
      </w:r>
      <w:r>
        <w:rPr>
          <w:spacing w:val="-2"/>
        </w:rPr>
        <w:t> </w:t>
      </w:r>
      <w:r>
        <w:rPr/>
        <w:t>Sinclair,</w:t>
      </w:r>
      <w:r>
        <w:rPr>
          <w:spacing w:val="-4"/>
        </w:rPr>
        <w:t> </w:t>
      </w:r>
      <w:r>
        <w:rPr/>
        <w:t>R.D.,</w:t>
      </w:r>
      <w:r>
        <w:rPr>
          <w:spacing w:val="-4"/>
        </w:rPr>
        <w:t> </w:t>
      </w:r>
      <w:r>
        <w:rPr/>
        <w:t>Ritchie,</w:t>
      </w:r>
      <w:r>
        <w:rPr>
          <w:spacing w:val="-4"/>
        </w:rPr>
        <w:t> </w:t>
      </w:r>
      <w:r>
        <w:rPr/>
        <w:t>E.G.</w:t>
      </w:r>
      <w:r>
        <w:rPr>
          <w:spacing w:val="-2"/>
        </w:rPr>
        <w:t> </w:t>
      </w:r>
      <w:r>
        <w:rPr/>
        <w:t>(2025).</w:t>
      </w:r>
      <w:r>
        <w:rPr>
          <w:spacing w:val="-2"/>
        </w:rPr>
        <w:t> </w:t>
      </w:r>
      <w:r>
        <w:rPr/>
        <w:t>Assessing</w:t>
      </w:r>
      <w:r>
        <w:rPr>
          <w:spacing w:val="-3"/>
        </w:rPr>
        <w:t> </w:t>
      </w:r>
      <w:r>
        <w:rPr/>
        <w:t>target</w:t>
      </w:r>
      <w:r>
        <w:rPr>
          <w:spacing w:val="-2"/>
        </w:rPr>
        <w:t> </w:t>
      </w:r>
      <w:r>
        <w:rPr/>
        <w:t>and</w:t>
      </w:r>
      <w:r>
        <w:rPr>
          <w:spacing w:val="-5"/>
        </w:rPr>
        <w:t> </w:t>
      </w:r>
      <w:r>
        <w:rPr/>
        <w:t>non-target</w:t>
      </w:r>
      <w:r>
        <w:rPr>
          <w:spacing w:val="-4"/>
        </w:rPr>
        <w:t> </w:t>
      </w:r>
      <w:r>
        <w:rPr/>
        <w:t>species interactions with buried non-toxic meat baits across fire mosaics. </w:t>
      </w:r>
      <w:r>
        <w:rPr>
          <w:i/>
        </w:rPr>
        <w:t>Wildlife Research </w:t>
      </w:r>
      <w:r>
        <w:rPr>
          <w:b/>
        </w:rPr>
        <w:t>52</w:t>
      </w:r>
      <w:r>
        <w:rPr/>
        <w:t>. </w:t>
      </w:r>
      <w:r>
        <w:rPr>
          <w:spacing w:val="-2"/>
        </w:rPr>
        <w:t>doi:</w:t>
      </w:r>
      <w:hyperlink r:id="rId102">
        <w:r>
          <w:rPr>
            <w:color w:val="0000FF"/>
            <w:spacing w:val="-2"/>
            <w:u w:val="single" w:color="0000FF"/>
          </w:rPr>
          <w:t>10.1071/WR24117.</w:t>
        </w:r>
      </w:hyperlink>
    </w:p>
    <w:p>
      <w:pPr>
        <w:pStyle w:val="BodyText"/>
        <w:spacing w:before="11"/>
      </w:pPr>
    </w:p>
    <w:p>
      <w:pPr>
        <w:pStyle w:val="BodyText"/>
        <w:spacing w:before="1"/>
        <w:ind w:left="833" w:right="163" w:hanging="721"/>
      </w:pPr>
      <w:r>
        <w:rPr/>
        <w:t>Massei,</w:t>
      </w:r>
      <w:r>
        <w:rPr>
          <w:spacing w:val="-4"/>
        </w:rPr>
        <w:t> </w:t>
      </w:r>
      <w:r>
        <w:rPr/>
        <w:t>G.,</w:t>
      </w:r>
      <w:r>
        <w:rPr>
          <w:spacing w:val="-2"/>
        </w:rPr>
        <w:t> </w:t>
      </w:r>
      <w:r>
        <w:rPr/>
        <w:t>Roy,</w:t>
      </w:r>
      <w:r>
        <w:rPr>
          <w:spacing w:val="-2"/>
        </w:rPr>
        <w:t> </w:t>
      </w:r>
      <w:r>
        <w:rPr/>
        <w:t>S.,</w:t>
      </w:r>
      <w:r>
        <w:rPr>
          <w:spacing w:val="-4"/>
        </w:rPr>
        <w:t> </w:t>
      </w:r>
      <w:r>
        <w:rPr/>
        <w:t>and</w:t>
      </w:r>
      <w:r>
        <w:rPr>
          <w:spacing w:val="-3"/>
        </w:rPr>
        <w:t> </w:t>
      </w:r>
      <w:r>
        <w:rPr/>
        <w:t>Bunting,</w:t>
      </w:r>
      <w:r>
        <w:rPr>
          <w:spacing w:val="-2"/>
        </w:rPr>
        <w:t> </w:t>
      </w:r>
      <w:r>
        <w:rPr/>
        <w:t>R.</w:t>
      </w:r>
      <w:r>
        <w:rPr>
          <w:spacing w:val="-4"/>
        </w:rPr>
        <w:t> </w:t>
      </w:r>
      <w:r>
        <w:rPr/>
        <w:t>(2011).</w:t>
      </w:r>
      <w:r>
        <w:rPr>
          <w:spacing w:val="-4"/>
        </w:rPr>
        <w:t> </w:t>
      </w:r>
      <w:r>
        <w:rPr/>
        <w:t>Too</w:t>
      </w:r>
      <w:r>
        <w:rPr>
          <w:spacing w:val="-4"/>
        </w:rPr>
        <w:t> </w:t>
      </w:r>
      <w:r>
        <w:rPr/>
        <w:t>many</w:t>
      </w:r>
      <w:r>
        <w:rPr>
          <w:spacing w:val="-3"/>
        </w:rPr>
        <w:t> </w:t>
      </w:r>
      <w:r>
        <w:rPr/>
        <w:t>hogs?</w:t>
      </w:r>
      <w:r>
        <w:rPr>
          <w:spacing w:val="-4"/>
        </w:rPr>
        <w:t> </w:t>
      </w:r>
      <w:r>
        <w:rPr/>
        <w:t>a</w:t>
      </w:r>
      <w:r>
        <w:rPr>
          <w:spacing w:val="-2"/>
        </w:rPr>
        <w:t> </w:t>
      </w:r>
      <w:r>
        <w:rPr/>
        <w:t>review</w:t>
      </w:r>
      <w:r>
        <w:rPr>
          <w:spacing w:val="-2"/>
        </w:rPr>
        <w:t> </w:t>
      </w:r>
      <w:r>
        <w:rPr/>
        <w:t>of</w:t>
      </w:r>
      <w:r>
        <w:rPr>
          <w:spacing w:val="-2"/>
        </w:rPr>
        <w:t> </w:t>
      </w:r>
      <w:r>
        <w:rPr/>
        <w:t>methods</w:t>
      </w:r>
      <w:r>
        <w:rPr>
          <w:spacing w:val="-3"/>
        </w:rPr>
        <w:t> </w:t>
      </w:r>
      <w:r>
        <w:rPr/>
        <w:t>to</w:t>
      </w:r>
      <w:r>
        <w:rPr>
          <w:spacing w:val="-4"/>
        </w:rPr>
        <w:t> </w:t>
      </w:r>
      <w:r>
        <w:rPr/>
        <w:t>mitigate</w:t>
      </w:r>
      <w:r>
        <w:rPr>
          <w:spacing w:val="-3"/>
        </w:rPr>
        <w:t> </w:t>
      </w:r>
      <w:r>
        <w:rPr/>
        <w:t>impact</w:t>
      </w:r>
      <w:r>
        <w:rPr>
          <w:spacing w:val="-4"/>
        </w:rPr>
        <w:t> </w:t>
      </w:r>
      <w:r>
        <w:rPr/>
        <w:t>by</w:t>
      </w:r>
      <w:r>
        <w:rPr>
          <w:spacing w:val="-3"/>
        </w:rPr>
        <w:t> </w:t>
      </w:r>
      <w:r>
        <w:rPr/>
        <w:t>wild boar and feral hogs. </w:t>
      </w:r>
      <w:r>
        <w:rPr>
          <w:i/>
        </w:rPr>
        <w:t>Human-Wildlife Interactions </w:t>
      </w:r>
      <w:r>
        <w:rPr>
          <w:b/>
        </w:rPr>
        <w:t>5</w:t>
      </w:r>
      <w:r>
        <w:rPr/>
        <w:t>(1):79–99.</w:t>
      </w:r>
    </w:p>
    <w:p>
      <w:pPr>
        <w:pStyle w:val="BodyText"/>
        <w:spacing w:before="8"/>
      </w:pPr>
    </w:p>
    <w:p>
      <w:pPr>
        <w:pStyle w:val="BodyText"/>
        <w:ind w:left="112"/>
      </w:pPr>
      <w:r>
        <w:rPr/>
        <w:t>McCann,</w:t>
      </w:r>
      <w:r>
        <w:rPr>
          <w:spacing w:val="-7"/>
        </w:rPr>
        <w:t> </w:t>
      </w:r>
      <w:r>
        <w:rPr/>
        <w:t>B.E.,</w:t>
      </w:r>
      <w:r>
        <w:rPr>
          <w:spacing w:val="-6"/>
        </w:rPr>
        <w:t> </w:t>
      </w:r>
      <w:r>
        <w:rPr/>
        <w:t>and</w:t>
      </w:r>
      <w:r>
        <w:rPr>
          <w:spacing w:val="-6"/>
        </w:rPr>
        <w:t> </w:t>
      </w:r>
      <w:r>
        <w:rPr/>
        <w:t>Garcelon,</w:t>
      </w:r>
      <w:r>
        <w:rPr>
          <w:spacing w:val="-8"/>
        </w:rPr>
        <w:t> </w:t>
      </w:r>
      <w:r>
        <w:rPr/>
        <w:t>D.K.</w:t>
      </w:r>
      <w:r>
        <w:rPr>
          <w:spacing w:val="-8"/>
        </w:rPr>
        <w:t> </w:t>
      </w:r>
      <w:r>
        <w:rPr/>
        <w:t>(2008).</w:t>
      </w:r>
      <w:r>
        <w:rPr>
          <w:spacing w:val="-6"/>
        </w:rPr>
        <w:t> </w:t>
      </w:r>
      <w:r>
        <w:rPr/>
        <w:t>Eradication</w:t>
      </w:r>
      <w:r>
        <w:rPr>
          <w:spacing w:val="-7"/>
        </w:rPr>
        <w:t> </w:t>
      </w:r>
      <w:r>
        <w:rPr/>
        <w:t>of</w:t>
      </w:r>
      <w:r>
        <w:rPr>
          <w:spacing w:val="-8"/>
        </w:rPr>
        <w:t> </w:t>
      </w:r>
      <w:r>
        <w:rPr/>
        <w:t>feral</w:t>
      </w:r>
      <w:r>
        <w:rPr>
          <w:spacing w:val="-9"/>
        </w:rPr>
        <w:t> </w:t>
      </w:r>
      <w:r>
        <w:rPr/>
        <w:t>pigs</w:t>
      </w:r>
      <w:r>
        <w:rPr>
          <w:spacing w:val="-7"/>
        </w:rPr>
        <w:t> </w:t>
      </w:r>
      <w:r>
        <w:rPr/>
        <w:t>from</w:t>
      </w:r>
      <w:r>
        <w:rPr>
          <w:spacing w:val="-7"/>
        </w:rPr>
        <w:t> </w:t>
      </w:r>
      <w:r>
        <w:rPr/>
        <w:t>pinnacles</w:t>
      </w:r>
      <w:r>
        <w:rPr>
          <w:spacing w:val="-6"/>
        </w:rPr>
        <w:t> </w:t>
      </w:r>
      <w:r>
        <w:rPr/>
        <w:t>national</w:t>
      </w:r>
      <w:r>
        <w:rPr>
          <w:spacing w:val="-7"/>
        </w:rPr>
        <w:t> </w:t>
      </w:r>
      <w:r>
        <w:rPr>
          <w:spacing w:val="-2"/>
        </w:rPr>
        <w:t>monument.</w:t>
      </w:r>
    </w:p>
    <w:p>
      <w:pPr>
        <w:spacing w:before="0"/>
        <w:ind w:left="833" w:right="0" w:firstLine="0"/>
        <w:jc w:val="left"/>
        <w:rPr>
          <w:sz w:val="20"/>
        </w:rPr>
      </w:pPr>
      <w:r>
        <w:rPr>
          <w:i/>
          <w:sz w:val="20"/>
        </w:rPr>
        <w:t>Journal</w:t>
      </w:r>
      <w:r>
        <w:rPr>
          <w:i/>
          <w:spacing w:val="-9"/>
          <w:sz w:val="20"/>
        </w:rPr>
        <w:t> </w:t>
      </w:r>
      <w:r>
        <w:rPr>
          <w:i/>
          <w:sz w:val="20"/>
        </w:rPr>
        <w:t>of</w:t>
      </w:r>
      <w:r>
        <w:rPr>
          <w:i/>
          <w:spacing w:val="-8"/>
          <w:sz w:val="20"/>
        </w:rPr>
        <w:t> </w:t>
      </w:r>
      <w:r>
        <w:rPr>
          <w:i/>
          <w:sz w:val="20"/>
        </w:rPr>
        <w:t>Wildlife</w:t>
      </w:r>
      <w:r>
        <w:rPr>
          <w:i/>
          <w:spacing w:val="-9"/>
          <w:sz w:val="20"/>
        </w:rPr>
        <w:t> </w:t>
      </w:r>
      <w:r>
        <w:rPr>
          <w:i/>
          <w:sz w:val="20"/>
        </w:rPr>
        <w:t>Management</w:t>
      </w:r>
      <w:r>
        <w:rPr>
          <w:i/>
          <w:spacing w:val="-5"/>
          <w:sz w:val="20"/>
        </w:rPr>
        <w:t> </w:t>
      </w:r>
      <w:r>
        <w:rPr>
          <w:b/>
          <w:spacing w:val="-2"/>
          <w:sz w:val="20"/>
        </w:rPr>
        <w:t>72</w:t>
      </w:r>
      <w:r>
        <w:rPr>
          <w:spacing w:val="-2"/>
          <w:sz w:val="20"/>
        </w:rPr>
        <w:t>(6):1287–95.</w:t>
      </w:r>
    </w:p>
    <w:p>
      <w:pPr>
        <w:pStyle w:val="BodyText"/>
        <w:spacing w:before="11"/>
      </w:pPr>
    </w:p>
    <w:p>
      <w:pPr>
        <w:spacing w:before="0"/>
        <w:ind w:left="833" w:right="163" w:hanging="721"/>
        <w:jc w:val="left"/>
        <w:rPr>
          <w:sz w:val="20"/>
        </w:rPr>
      </w:pPr>
      <w:r>
        <w:rPr>
          <w:sz w:val="20"/>
        </w:rPr>
        <w:t>McFarlane,</w:t>
      </w:r>
      <w:r>
        <w:rPr>
          <w:spacing w:val="-3"/>
          <w:sz w:val="20"/>
        </w:rPr>
        <w:t> </w:t>
      </w:r>
      <w:r>
        <w:rPr>
          <w:sz w:val="20"/>
        </w:rPr>
        <w:t>D.</w:t>
      </w:r>
      <w:r>
        <w:rPr>
          <w:spacing w:val="-3"/>
          <w:sz w:val="20"/>
        </w:rPr>
        <w:t> </w:t>
      </w:r>
      <w:r>
        <w:rPr>
          <w:sz w:val="20"/>
        </w:rPr>
        <w:t>(1964).</w:t>
      </w:r>
      <w:r>
        <w:rPr>
          <w:spacing w:val="-3"/>
          <w:sz w:val="20"/>
        </w:rPr>
        <w:t> </w:t>
      </w:r>
      <w:r>
        <w:rPr>
          <w:sz w:val="20"/>
        </w:rPr>
        <w:t>The</w:t>
      </w:r>
      <w:r>
        <w:rPr>
          <w:spacing w:val="-2"/>
          <w:sz w:val="20"/>
        </w:rPr>
        <w:t> </w:t>
      </w:r>
      <w:r>
        <w:rPr>
          <w:sz w:val="20"/>
        </w:rPr>
        <w:t>effect</w:t>
      </w:r>
      <w:r>
        <w:rPr>
          <w:spacing w:val="-3"/>
          <w:sz w:val="20"/>
        </w:rPr>
        <w:t> </w:t>
      </w:r>
      <w:r>
        <w:rPr>
          <w:sz w:val="20"/>
        </w:rPr>
        <w:t>of</w:t>
      </w:r>
      <w:r>
        <w:rPr>
          <w:spacing w:val="-2"/>
          <w:sz w:val="20"/>
        </w:rPr>
        <w:t> </w:t>
      </w:r>
      <w:r>
        <w:rPr>
          <w:sz w:val="20"/>
        </w:rPr>
        <w:t>predators</w:t>
      </w:r>
      <w:r>
        <w:rPr>
          <w:spacing w:val="-2"/>
          <w:sz w:val="20"/>
        </w:rPr>
        <w:t> </w:t>
      </w:r>
      <w:r>
        <w:rPr>
          <w:sz w:val="20"/>
        </w:rPr>
        <w:t>on</w:t>
      </w:r>
      <w:r>
        <w:rPr>
          <w:spacing w:val="-3"/>
          <w:sz w:val="20"/>
        </w:rPr>
        <w:t> </w:t>
      </w:r>
      <w:r>
        <w:rPr>
          <w:sz w:val="20"/>
        </w:rPr>
        <w:t>perinatal</w:t>
      </w:r>
      <w:r>
        <w:rPr>
          <w:spacing w:val="-2"/>
          <w:sz w:val="20"/>
        </w:rPr>
        <w:t> </w:t>
      </w:r>
      <w:r>
        <w:rPr>
          <w:sz w:val="20"/>
        </w:rPr>
        <w:t>lamb</w:t>
      </w:r>
      <w:r>
        <w:rPr>
          <w:spacing w:val="-2"/>
          <w:sz w:val="20"/>
        </w:rPr>
        <w:t> </w:t>
      </w:r>
      <w:r>
        <w:rPr>
          <w:sz w:val="20"/>
        </w:rPr>
        <w:t>losses</w:t>
      </w:r>
      <w:r>
        <w:rPr>
          <w:spacing w:val="-2"/>
          <w:sz w:val="20"/>
        </w:rPr>
        <w:t> </w:t>
      </w:r>
      <w:r>
        <w:rPr>
          <w:sz w:val="20"/>
        </w:rPr>
        <w:t>in</w:t>
      </w:r>
      <w:r>
        <w:rPr>
          <w:spacing w:val="-3"/>
          <w:sz w:val="20"/>
        </w:rPr>
        <w:t> </w:t>
      </w:r>
      <w:r>
        <w:rPr>
          <w:sz w:val="20"/>
        </w:rPr>
        <w:t>the Monaro,</w:t>
      </w:r>
      <w:r>
        <w:rPr>
          <w:spacing w:val="-3"/>
          <w:sz w:val="20"/>
        </w:rPr>
        <w:t> </w:t>
      </w:r>
      <w:r>
        <w:rPr>
          <w:sz w:val="20"/>
        </w:rPr>
        <w:t>Oberon</w:t>
      </w:r>
      <w:r>
        <w:rPr>
          <w:spacing w:val="-2"/>
          <w:sz w:val="20"/>
        </w:rPr>
        <w:t> </w:t>
      </w:r>
      <w:r>
        <w:rPr>
          <w:sz w:val="20"/>
        </w:rPr>
        <w:t>and</w:t>
      </w:r>
      <w:r>
        <w:rPr>
          <w:spacing w:val="-3"/>
          <w:sz w:val="20"/>
        </w:rPr>
        <w:t> </w:t>
      </w:r>
      <w:r>
        <w:rPr>
          <w:sz w:val="20"/>
        </w:rPr>
        <w:t>Canberra districts. </w:t>
      </w:r>
      <w:r>
        <w:rPr>
          <w:i/>
          <w:sz w:val="20"/>
        </w:rPr>
        <w:t>Wool Technology and Sheep Breeding </w:t>
      </w:r>
      <w:r>
        <w:rPr>
          <w:b/>
          <w:sz w:val="20"/>
        </w:rPr>
        <w:t>11</w:t>
      </w:r>
      <w:r>
        <w:rPr>
          <w:sz w:val="20"/>
        </w:rPr>
        <w:t>(1).</w:t>
      </w:r>
    </w:p>
    <w:p>
      <w:pPr>
        <w:spacing w:after="0"/>
        <w:jc w:val="left"/>
        <w:rPr>
          <w:sz w:val="20"/>
        </w:rPr>
        <w:sectPr>
          <w:pgSz w:w="11910" w:h="16850"/>
          <w:pgMar w:header="0" w:footer="688" w:top="1060" w:bottom="880" w:left="1020" w:right="780"/>
        </w:sectPr>
      </w:pPr>
    </w:p>
    <w:p>
      <w:pPr>
        <w:pStyle w:val="BodyText"/>
        <w:spacing w:before="71"/>
        <w:ind w:left="833" w:right="364" w:hanging="721"/>
      </w:pPr>
      <w:r>
        <w:rPr/>
        <w:t>McIlroy,</w:t>
      </w:r>
      <w:r>
        <w:rPr>
          <w:spacing w:val="-3"/>
        </w:rPr>
        <w:t> </w:t>
      </w:r>
      <w:r>
        <w:rPr/>
        <w:t>J.C.</w:t>
      </w:r>
      <w:r>
        <w:rPr>
          <w:spacing w:val="-4"/>
        </w:rPr>
        <w:t> </w:t>
      </w:r>
      <w:r>
        <w:rPr/>
        <w:t>(1981).</w:t>
      </w:r>
      <w:r>
        <w:rPr>
          <w:spacing w:val="-3"/>
        </w:rPr>
        <w:t> </w:t>
      </w:r>
      <w:r>
        <w:rPr/>
        <w:t>The</w:t>
      </w:r>
      <w:r>
        <w:rPr>
          <w:spacing w:val="-4"/>
        </w:rPr>
        <w:t> </w:t>
      </w:r>
      <w:r>
        <w:rPr/>
        <w:t>sensitivity</w:t>
      </w:r>
      <w:r>
        <w:rPr>
          <w:spacing w:val="-3"/>
        </w:rPr>
        <w:t> </w:t>
      </w:r>
      <w:r>
        <w:rPr/>
        <w:t>of Australian</w:t>
      </w:r>
      <w:r>
        <w:rPr>
          <w:spacing w:val="-3"/>
        </w:rPr>
        <w:t> </w:t>
      </w:r>
      <w:r>
        <w:rPr/>
        <w:t>animals</w:t>
      </w:r>
      <w:r>
        <w:rPr>
          <w:spacing w:val="-3"/>
        </w:rPr>
        <w:t> </w:t>
      </w:r>
      <w:r>
        <w:rPr/>
        <w:t>to</w:t>
      </w:r>
      <w:r>
        <w:rPr>
          <w:spacing w:val="-3"/>
        </w:rPr>
        <w:t> </w:t>
      </w:r>
      <w:r>
        <w:rPr/>
        <w:t>1080</w:t>
      </w:r>
      <w:r>
        <w:rPr>
          <w:spacing w:val="-3"/>
        </w:rPr>
        <w:t> </w:t>
      </w:r>
      <w:r>
        <w:rPr/>
        <w:t>poison</w:t>
      </w:r>
      <w:r>
        <w:rPr>
          <w:spacing w:val="-2"/>
        </w:rPr>
        <w:t> </w:t>
      </w:r>
      <w:r>
        <w:rPr/>
        <w:t>ii.</w:t>
      </w:r>
      <w:r>
        <w:rPr>
          <w:spacing w:val="-3"/>
        </w:rPr>
        <w:t> </w:t>
      </w:r>
      <w:r>
        <w:rPr/>
        <w:t>marsupial</w:t>
      </w:r>
      <w:r>
        <w:rPr>
          <w:spacing w:val="-4"/>
        </w:rPr>
        <w:t> </w:t>
      </w:r>
      <w:r>
        <w:rPr/>
        <w:t>and</w:t>
      </w:r>
      <w:r>
        <w:rPr>
          <w:spacing w:val="-4"/>
        </w:rPr>
        <w:t> </w:t>
      </w:r>
      <w:r>
        <w:rPr/>
        <w:t>eutherian carnivores. </w:t>
      </w:r>
      <w:r>
        <w:rPr>
          <w:i/>
        </w:rPr>
        <w:t>Australian Wildlife Research </w:t>
      </w:r>
      <w:r>
        <w:rPr>
          <w:b/>
        </w:rPr>
        <w:t>8</w:t>
      </w:r>
      <w:r>
        <w:rPr/>
        <w:t>:385–99.</w:t>
      </w:r>
    </w:p>
    <w:p>
      <w:pPr>
        <w:pStyle w:val="BodyText"/>
        <w:spacing w:before="11"/>
      </w:pPr>
    </w:p>
    <w:p>
      <w:pPr>
        <w:pStyle w:val="BodyText"/>
        <w:spacing w:before="1"/>
        <w:ind w:left="112"/>
      </w:pPr>
      <w:r>
        <w:rPr/>
        <w:t>McIlroy,</w:t>
      </w:r>
      <w:r>
        <w:rPr>
          <w:spacing w:val="-8"/>
        </w:rPr>
        <w:t> </w:t>
      </w:r>
      <w:r>
        <w:rPr/>
        <w:t>J.C.</w:t>
      </w:r>
      <w:r>
        <w:rPr>
          <w:spacing w:val="-7"/>
        </w:rPr>
        <w:t> </w:t>
      </w:r>
      <w:r>
        <w:rPr/>
        <w:t>(1982).</w:t>
      </w:r>
      <w:r>
        <w:rPr>
          <w:spacing w:val="-7"/>
        </w:rPr>
        <w:t> </w:t>
      </w:r>
      <w:r>
        <w:rPr/>
        <w:t>The</w:t>
      </w:r>
      <w:r>
        <w:rPr>
          <w:spacing w:val="-8"/>
        </w:rPr>
        <w:t> </w:t>
      </w:r>
      <w:r>
        <w:rPr/>
        <w:t>sensitivity</w:t>
      </w:r>
      <w:r>
        <w:rPr>
          <w:spacing w:val="-6"/>
        </w:rPr>
        <w:t> </w:t>
      </w:r>
      <w:r>
        <w:rPr/>
        <w:t>of</w:t>
      </w:r>
      <w:r>
        <w:rPr>
          <w:spacing w:val="-1"/>
        </w:rPr>
        <w:t> </w:t>
      </w:r>
      <w:r>
        <w:rPr/>
        <w:t>Australian</w:t>
      </w:r>
      <w:r>
        <w:rPr>
          <w:spacing w:val="-7"/>
        </w:rPr>
        <w:t> </w:t>
      </w:r>
      <w:r>
        <w:rPr/>
        <w:t>animals</w:t>
      </w:r>
      <w:r>
        <w:rPr>
          <w:spacing w:val="-7"/>
        </w:rPr>
        <w:t> </w:t>
      </w:r>
      <w:r>
        <w:rPr/>
        <w:t>to</w:t>
      </w:r>
      <w:r>
        <w:rPr>
          <w:spacing w:val="-6"/>
        </w:rPr>
        <w:t> </w:t>
      </w:r>
      <w:r>
        <w:rPr/>
        <w:t>1080</w:t>
      </w:r>
      <w:r>
        <w:rPr>
          <w:spacing w:val="-7"/>
        </w:rPr>
        <w:t> </w:t>
      </w:r>
      <w:r>
        <w:rPr/>
        <w:t>poison</w:t>
      </w:r>
      <w:r>
        <w:rPr>
          <w:spacing w:val="-5"/>
        </w:rPr>
        <w:t> </w:t>
      </w:r>
      <w:r>
        <w:rPr/>
        <w:t>iv.</w:t>
      </w:r>
      <w:r>
        <w:rPr>
          <w:spacing w:val="-7"/>
        </w:rPr>
        <w:t> </w:t>
      </w:r>
      <w:r>
        <w:rPr/>
        <w:t>native</w:t>
      </w:r>
      <w:r>
        <w:rPr>
          <w:spacing w:val="-7"/>
        </w:rPr>
        <w:t> </w:t>
      </w:r>
      <w:r>
        <w:rPr/>
        <w:t>and</w:t>
      </w:r>
      <w:r>
        <w:rPr>
          <w:spacing w:val="-7"/>
        </w:rPr>
        <w:t> </w:t>
      </w:r>
      <w:r>
        <w:rPr/>
        <w:t>introduced</w:t>
      </w:r>
      <w:r>
        <w:rPr>
          <w:spacing w:val="-8"/>
        </w:rPr>
        <w:t> </w:t>
      </w:r>
      <w:r>
        <w:rPr>
          <w:spacing w:val="-2"/>
        </w:rPr>
        <w:t>rodents.</w:t>
      </w:r>
    </w:p>
    <w:p>
      <w:pPr>
        <w:spacing w:before="0"/>
        <w:ind w:left="833" w:right="0" w:firstLine="0"/>
        <w:jc w:val="left"/>
        <w:rPr>
          <w:sz w:val="20"/>
        </w:rPr>
      </w:pPr>
      <w:r>
        <w:rPr>
          <w:i/>
          <w:sz w:val="20"/>
        </w:rPr>
        <w:t>Wildlife</w:t>
      </w:r>
      <w:r>
        <w:rPr>
          <w:i/>
          <w:spacing w:val="-9"/>
          <w:sz w:val="20"/>
        </w:rPr>
        <w:t> </w:t>
      </w:r>
      <w:r>
        <w:rPr>
          <w:i/>
          <w:sz w:val="20"/>
        </w:rPr>
        <w:t>Research</w:t>
      </w:r>
      <w:r>
        <w:rPr>
          <w:i/>
          <w:spacing w:val="-7"/>
          <w:sz w:val="20"/>
        </w:rPr>
        <w:t> </w:t>
      </w:r>
      <w:r>
        <w:rPr>
          <w:b/>
          <w:sz w:val="20"/>
        </w:rPr>
        <w:t>9</w:t>
      </w:r>
      <w:r>
        <w:rPr>
          <w:sz w:val="20"/>
        </w:rPr>
        <w:t>(3):505.</w:t>
      </w:r>
      <w:r>
        <w:rPr>
          <w:spacing w:val="-7"/>
          <w:sz w:val="20"/>
        </w:rPr>
        <w:t> </w:t>
      </w:r>
      <w:r>
        <w:rPr>
          <w:sz w:val="20"/>
        </w:rPr>
        <w:t>doi:</w:t>
      </w:r>
      <w:r>
        <w:rPr>
          <w:spacing w:val="-8"/>
          <w:sz w:val="20"/>
        </w:rPr>
        <w:t> </w:t>
      </w:r>
      <w:r>
        <w:rPr>
          <w:spacing w:val="-2"/>
          <w:sz w:val="20"/>
        </w:rPr>
        <w:t>10.1071/WR9820505.</w:t>
      </w:r>
    </w:p>
    <w:p>
      <w:pPr>
        <w:pStyle w:val="BodyText"/>
        <w:spacing w:before="10"/>
      </w:pPr>
    </w:p>
    <w:p>
      <w:pPr>
        <w:pStyle w:val="BodyText"/>
        <w:ind w:left="833" w:right="575" w:hanging="721"/>
        <w:jc w:val="both"/>
      </w:pPr>
      <w:r>
        <w:rPr/>
        <w:t>McIlroy,</w:t>
      </w:r>
      <w:r>
        <w:rPr>
          <w:spacing w:val="-4"/>
        </w:rPr>
        <w:t> </w:t>
      </w:r>
      <w:r>
        <w:rPr/>
        <w:t>J.C.</w:t>
      </w:r>
      <w:r>
        <w:rPr>
          <w:spacing w:val="-4"/>
        </w:rPr>
        <w:t> </w:t>
      </w:r>
      <w:r>
        <w:rPr/>
        <w:t>(1983).</w:t>
      </w:r>
      <w:r>
        <w:rPr>
          <w:spacing w:val="-4"/>
        </w:rPr>
        <w:t> </w:t>
      </w:r>
      <w:r>
        <w:rPr/>
        <w:t>The</w:t>
      </w:r>
      <w:r>
        <w:rPr>
          <w:spacing w:val="-4"/>
        </w:rPr>
        <w:t> </w:t>
      </w:r>
      <w:r>
        <w:rPr/>
        <w:t>sensitivity</w:t>
      </w:r>
      <w:r>
        <w:rPr>
          <w:spacing w:val="-3"/>
        </w:rPr>
        <w:t> </w:t>
      </w:r>
      <w:r>
        <w:rPr/>
        <w:t>of Australian</w:t>
      </w:r>
      <w:r>
        <w:rPr>
          <w:spacing w:val="-4"/>
        </w:rPr>
        <w:t> </w:t>
      </w:r>
      <w:r>
        <w:rPr/>
        <w:t>animals</w:t>
      </w:r>
      <w:r>
        <w:rPr>
          <w:spacing w:val="-3"/>
        </w:rPr>
        <w:t> </w:t>
      </w:r>
      <w:r>
        <w:rPr/>
        <w:t>to</w:t>
      </w:r>
      <w:r>
        <w:rPr>
          <w:spacing w:val="-3"/>
        </w:rPr>
        <w:t> </w:t>
      </w:r>
      <w:r>
        <w:rPr/>
        <w:t>1080</w:t>
      </w:r>
      <w:r>
        <w:rPr>
          <w:spacing w:val="-4"/>
        </w:rPr>
        <w:t> </w:t>
      </w:r>
      <w:r>
        <w:rPr/>
        <w:t>poison</w:t>
      </w:r>
      <w:r>
        <w:rPr>
          <w:spacing w:val="-2"/>
        </w:rPr>
        <w:t> </w:t>
      </w:r>
      <w:r>
        <w:rPr/>
        <w:t>v.</w:t>
      </w:r>
      <w:r>
        <w:rPr>
          <w:spacing w:val="-4"/>
        </w:rPr>
        <w:t> </w:t>
      </w:r>
      <w:r>
        <w:rPr/>
        <w:t>the</w:t>
      </w:r>
      <w:r>
        <w:rPr>
          <w:spacing w:val="-2"/>
        </w:rPr>
        <w:t> </w:t>
      </w:r>
      <w:r>
        <w:rPr/>
        <w:t>sensitivity</w:t>
      </w:r>
      <w:r>
        <w:rPr>
          <w:spacing w:val="-3"/>
        </w:rPr>
        <w:t> </w:t>
      </w:r>
      <w:r>
        <w:rPr/>
        <w:t>of</w:t>
      </w:r>
      <w:r>
        <w:rPr>
          <w:spacing w:val="-4"/>
        </w:rPr>
        <w:t> </w:t>
      </w:r>
      <w:r>
        <w:rPr/>
        <w:t>feral</w:t>
      </w:r>
      <w:r>
        <w:rPr>
          <w:spacing w:val="-3"/>
        </w:rPr>
        <w:t> </w:t>
      </w:r>
      <w:r>
        <w:rPr/>
        <w:t>pigs, </w:t>
      </w:r>
      <w:r>
        <w:rPr>
          <w:i/>
        </w:rPr>
        <w:t>Sus</w:t>
      </w:r>
      <w:r>
        <w:rPr>
          <w:i/>
        </w:rPr>
        <w:t> scrofa</w:t>
      </w:r>
      <w:r>
        <w:rPr/>
        <w:t>,</w:t>
      </w:r>
      <w:r>
        <w:rPr>
          <w:spacing w:val="-3"/>
        </w:rPr>
        <w:t> </w:t>
      </w:r>
      <w:r>
        <w:rPr/>
        <w:t>to</w:t>
      </w:r>
      <w:r>
        <w:rPr>
          <w:spacing w:val="-4"/>
        </w:rPr>
        <w:t> </w:t>
      </w:r>
      <w:r>
        <w:rPr/>
        <w:t>1080</w:t>
      </w:r>
      <w:r>
        <w:rPr>
          <w:spacing w:val="-1"/>
        </w:rPr>
        <w:t> </w:t>
      </w:r>
      <w:r>
        <w:rPr/>
        <w:t>and</w:t>
      </w:r>
      <w:r>
        <w:rPr>
          <w:spacing w:val="-3"/>
        </w:rPr>
        <w:t> </w:t>
      </w:r>
      <w:r>
        <w:rPr/>
        <w:t>its</w:t>
      </w:r>
      <w:r>
        <w:rPr>
          <w:spacing w:val="-1"/>
        </w:rPr>
        <w:t> </w:t>
      </w:r>
      <w:r>
        <w:rPr/>
        <w:t>implications</w:t>
      </w:r>
      <w:r>
        <w:rPr>
          <w:spacing w:val="-2"/>
        </w:rPr>
        <w:t> </w:t>
      </w:r>
      <w:r>
        <w:rPr/>
        <w:t>for</w:t>
      </w:r>
      <w:r>
        <w:rPr>
          <w:spacing w:val="-3"/>
        </w:rPr>
        <w:t> </w:t>
      </w:r>
      <w:r>
        <w:rPr/>
        <w:t>poisoning</w:t>
      </w:r>
      <w:r>
        <w:rPr>
          <w:spacing w:val="-1"/>
        </w:rPr>
        <w:t> </w:t>
      </w:r>
      <w:r>
        <w:rPr/>
        <w:t>campaigns. </w:t>
      </w:r>
      <w:r>
        <w:rPr>
          <w:i/>
        </w:rPr>
        <w:t>Australian</w:t>
      </w:r>
      <w:r>
        <w:rPr>
          <w:i/>
          <w:spacing w:val="-2"/>
        </w:rPr>
        <w:t> </w:t>
      </w:r>
      <w:r>
        <w:rPr>
          <w:i/>
        </w:rPr>
        <w:t>Wildlife</w:t>
      </w:r>
      <w:r>
        <w:rPr>
          <w:i/>
          <w:spacing w:val="-4"/>
        </w:rPr>
        <w:t> </w:t>
      </w:r>
      <w:r>
        <w:rPr>
          <w:i/>
        </w:rPr>
        <w:t>Research</w:t>
      </w:r>
      <w:r>
        <w:rPr>
          <w:i/>
          <w:spacing w:val="-1"/>
        </w:rPr>
        <w:t> </w:t>
      </w:r>
      <w:r>
        <w:rPr>
          <w:b/>
        </w:rPr>
        <w:t>10</w:t>
      </w:r>
      <w:r>
        <w:rPr/>
        <w:t>:139– </w:t>
      </w:r>
      <w:r>
        <w:rPr>
          <w:spacing w:val="-4"/>
        </w:rPr>
        <w:t>48.</w:t>
      </w:r>
    </w:p>
    <w:p>
      <w:pPr>
        <w:pStyle w:val="BodyText"/>
        <w:spacing w:before="9"/>
      </w:pPr>
    </w:p>
    <w:p>
      <w:pPr>
        <w:pStyle w:val="BodyText"/>
        <w:ind w:left="112"/>
      </w:pPr>
      <w:r>
        <w:rPr/>
        <w:t>McIlroy,</w:t>
      </w:r>
      <w:r>
        <w:rPr>
          <w:spacing w:val="-8"/>
        </w:rPr>
        <w:t> </w:t>
      </w:r>
      <w:r>
        <w:rPr/>
        <w:t>J.C.</w:t>
      </w:r>
      <w:r>
        <w:rPr>
          <w:spacing w:val="-7"/>
        </w:rPr>
        <w:t> </w:t>
      </w:r>
      <w:r>
        <w:rPr/>
        <w:t>(1984).</w:t>
      </w:r>
      <w:r>
        <w:rPr>
          <w:spacing w:val="-7"/>
        </w:rPr>
        <w:t> </w:t>
      </w:r>
      <w:r>
        <w:rPr/>
        <w:t>The</w:t>
      </w:r>
      <w:r>
        <w:rPr>
          <w:spacing w:val="-8"/>
        </w:rPr>
        <w:t> </w:t>
      </w:r>
      <w:r>
        <w:rPr/>
        <w:t>sensitivity</w:t>
      </w:r>
      <w:r>
        <w:rPr>
          <w:spacing w:val="-6"/>
        </w:rPr>
        <w:t> </w:t>
      </w:r>
      <w:r>
        <w:rPr/>
        <w:t>of</w:t>
      </w:r>
      <w:r>
        <w:rPr>
          <w:spacing w:val="-6"/>
        </w:rPr>
        <w:t> </w:t>
      </w:r>
      <w:r>
        <w:rPr/>
        <w:t>Australian</w:t>
      </w:r>
      <w:r>
        <w:rPr>
          <w:spacing w:val="-8"/>
        </w:rPr>
        <w:t> </w:t>
      </w:r>
      <w:r>
        <w:rPr/>
        <w:t>animals</w:t>
      </w:r>
      <w:r>
        <w:rPr>
          <w:spacing w:val="-6"/>
        </w:rPr>
        <w:t> </w:t>
      </w:r>
      <w:r>
        <w:rPr/>
        <w:t>to</w:t>
      </w:r>
      <w:r>
        <w:rPr>
          <w:spacing w:val="-6"/>
        </w:rPr>
        <w:t> </w:t>
      </w:r>
      <w:r>
        <w:rPr/>
        <w:t>1080</w:t>
      </w:r>
      <w:r>
        <w:rPr>
          <w:spacing w:val="-7"/>
        </w:rPr>
        <w:t> </w:t>
      </w:r>
      <w:r>
        <w:rPr/>
        <w:t>poison</w:t>
      </w:r>
      <w:r>
        <w:rPr>
          <w:spacing w:val="-6"/>
        </w:rPr>
        <w:t> </w:t>
      </w:r>
      <w:r>
        <w:rPr/>
        <w:t>VII.</w:t>
      </w:r>
      <w:r>
        <w:rPr>
          <w:spacing w:val="-7"/>
        </w:rPr>
        <w:t> </w:t>
      </w:r>
      <w:r>
        <w:rPr/>
        <w:t>Native</w:t>
      </w:r>
      <w:r>
        <w:rPr>
          <w:spacing w:val="-7"/>
        </w:rPr>
        <w:t> </w:t>
      </w:r>
      <w:r>
        <w:rPr/>
        <w:t>and</w:t>
      </w:r>
      <w:r>
        <w:rPr>
          <w:spacing w:val="-6"/>
        </w:rPr>
        <w:t> </w:t>
      </w:r>
      <w:r>
        <w:rPr/>
        <w:t>introduced</w:t>
      </w:r>
      <w:r>
        <w:rPr>
          <w:spacing w:val="-7"/>
        </w:rPr>
        <w:t> </w:t>
      </w:r>
      <w:r>
        <w:rPr>
          <w:spacing w:val="-2"/>
        </w:rPr>
        <w:t>birds.</w:t>
      </w:r>
    </w:p>
    <w:p>
      <w:pPr>
        <w:spacing w:before="1"/>
        <w:ind w:left="833" w:right="0" w:firstLine="0"/>
        <w:jc w:val="left"/>
        <w:rPr>
          <w:sz w:val="20"/>
        </w:rPr>
      </w:pPr>
      <w:r>
        <w:rPr>
          <w:i/>
          <w:sz w:val="20"/>
        </w:rPr>
        <w:t>Australian</w:t>
      </w:r>
      <w:r>
        <w:rPr>
          <w:i/>
          <w:spacing w:val="-11"/>
          <w:sz w:val="20"/>
        </w:rPr>
        <w:t> </w:t>
      </w:r>
      <w:r>
        <w:rPr>
          <w:i/>
          <w:sz w:val="20"/>
        </w:rPr>
        <w:t>Wildlife</w:t>
      </w:r>
      <w:r>
        <w:rPr>
          <w:i/>
          <w:spacing w:val="-9"/>
          <w:sz w:val="20"/>
        </w:rPr>
        <w:t> </w:t>
      </w:r>
      <w:r>
        <w:rPr>
          <w:i/>
          <w:sz w:val="20"/>
        </w:rPr>
        <w:t>Research</w:t>
      </w:r>
      <w:r>
        <w:rPr>
          <w:i/>
          <w:spacing w:val="-8"/>
          <w:sz w:val="20"/>
        </w:rPr>
        <w:t> </w:t>
      </w:r>
      <w:r>
        <w:rPr>
          <w:b/>
          <w:sz w:val="20"/>
        </w:rPr>
        <w:t>11</w:t>
      </w:r>
      <w:r>
        <w:rPr>
          <w:sz w:val="20"/>
        </w:rPr>
        <w:t>:</w:t>
      </w:r>
      <w:r>
        <w:rPr>
          <w:spacing w:val="-9"/>
          <w:sz w:val="20"/>
        </w:rPr>
        <w:t> </w:t>
      </w:r>
      <w:r>
        <w:rPr>
          <w:sz w:val="20"/>
        </w:rPr>
        <w:t>373-</w:t>
      </w:r>
      <w:r>
        <w:rPr>
          <w:spacing w:val="-5"/>
          <w:sz w:val="20"/>
        </w:rPr>
        <w:t>85.</w:t>
      </w:r>
    </w:p>
    <w:p>
      <w:pPr>
        <w:pStyle w:val="BodyText"/>
        <w:spacing w:before="10"/>
      </w:pPr>
    </w:p>
    <w:p>
      <w:pPr>
        <w:pStyle w:val="BodyText"/>
        <w:ind w:left="833" w:right="420" w:hanging="721"/>
        <w:jc w:val="both"/>
      </w:pPr>
      <w:r>
        <w:rPr/>
        <w:t>McIlroy,</w:t>
      </w:r>
      <w:r>
        <w:rPr>
          <w:spacing w:val="-3"/>
        </w:rPr>
        <w:t> </w:t>
      </w:r>
      <w:r>
        <w:rPr/>
        <w:t>J.C.</w:t>
      </w:r>
      <w:r>
        <w:rPr>
          <w:spacing w:val="-3"/>
        </w:rPr>
        <w:t> </w:t>
      </w:r>
      <w:r>
        <w:rPr/>
        <w:t>(1986).</w:t>
      </w:r>
      <w:r>
        <w:rPr>
          <w:spacing w:val="-3"/>
        </w:rPr>
        <w:t> </w:t>
      </w:r>
      <w:r>
        <w:rPr/>
        <w:t>The</w:t>
      </w:r>
      <w:r>
        <w:rPr>
          <w:spacing w:val="-4"/>
        </w:rPr>
        <w:t> </w:t>
      </w:r>
      <w:r>
        <w:rPr/>
        <w:t>sensitivity</w:t>
      </w:r>
      <w:r>
        <w:rPr>
          <w:spacing w:val="-2"/>
        </w:rPr>
        <w:t> </w:t>
      </w:r>
      <w:r>
        <w:rPr/>
        <w:t>of Australian</w:t>
      </w:r>
      <w:r>
        <w:rPr>
          <w:spacing w:val="-3"/>
        </w:rPr>
        <w:t> </w:t>
      </w:r>
      <w:r>
        <w:rPr/>
        <w:t>animals</w:t>
      </w:r>
      <w:r>
        <w:rPr>
          <w:spacing w:val="-2"/>
        </w:rPr>
        <w:t> </w:t>
      </w:r>
      <w:r>
        <w:rPr/>
        <w:t>to</w:t>
      </w:r>
      <w:r>
        <w:rPr>
          <w:spacing w:val="-2"/>
        </w:rPr>
        <w:t> </w:t>
      </w:r>
      <w:r>
        <w:rPr/>
        <w:t>1080</w:t>
      </w:r>
      <w:r>
        <w:rPr>
          <w:spacing w:val="-3"/>
        </w:rPr>
        <w:t> </w:t>
      </w:r>
      <w:r>
        <w:rPr/>
        <w:t>poison</w:t>
      </w:r>
      <w:r>
        <w:rPr>
          <w:spacing w:val="-1"/>
        </w:rPr>
        <w:t> </w:t>
      </w:r>
      <w:r>
        <w:rPr/>
        <w:t>.9.</w:t>
      </w:r>
      <w:r>
        <w:rPr>
          <w:spacing w:val="-3"/>
        </w:rPr>
        <w:t> </w:t>
      </w:r>
      <w:r>
        <w:rPr/>
        <w:t>comparisons</w:t>
      </w:r>
      <w:r>
        <w:rPr>
          <w:spacing w:val="-2"/>
        </w:rPr>
        <w:t> </w:t>
      </w:r>
      <w:r>
        <w:rPr/>
        <w:t>between</w:t>
      </w:r>
      <w:r>
        <w:rPr>
          <w:spacing w:val="-4"/>
        </w:rPr>
        <w:t> </w:t>
      </w:r>
      <w:r>
        <w:rPr/>
        <w:t>the</w:t>
      </w:r>
      <w:r>
        <w:rPr>
          <w:spacing w:val="-4"/>
        </w:rPr>
        <w:t> </w:t>
      </w:r>
      <w:r>
        <w:rPr/>
        <w:t>major groups</w:t>
      </w:r>
      <w:r>
        <w:rPr>
          <w:spacing w:val="-4"/>
        </w:rPr>
        <w:t> </w:t>
      </w:r>
      <w:r>
        <w:rPr/>
        <w:t>of</w:t>
      </w:r>
      <w:r>
        <w:rPr>
          <w:spacing w:val="-3"/>
        </w:rPr>
        <w:t> </w:t>
      </w:r>
      <w:r>
        <w:rPr/>
        <w:t>animals,</w:t>
      </w:r>
      <w:r>
        <w:rPr>
          <w:spacing w:val="-5"/>
        </w:rPr>
        <w:t> </w:t>
      </w:r>
      <w:r>
        <w:rPr/>
        <w:t>and</w:t>
      </w:r>
      <w:r>
        <w:rPr>
          <w:spacing w:val="-6"/>
        </w:rPr>
        <w:t> </w:t>
      </w:r>
      <w:r>
        <w:rPr/>
        <w:t>the</w:t>
      </w:r>
      <w:r>
        <w:rPr>
          <w:spacing w:val="-4"/>
        </w:rPr>
        <w:t> </w:t>
      </w:r>
      <w:r>
        <w:rPr/>
        <w:t>potential</w:t>
      </w:r>
      <w:r>
        <w:rPr>
          <w:spacing w:val="-4"/>
        </w:rPr>
        <w:t> </w:t>
      </w:r>
      <w:r>
        <w:rPr/>
        <w:t>danger</w:t>
      </w:r>
      <w:r>
        <w:rPr>
          <w:spacing w:val="-4"/>
        </w:rPr>
        <w:t> </w:t>
      </w:r>
      <w:r>
        <w:rPr/>
        <w:t>nontarget</w:t>
      </w:r>
      <w:r>
        <w:rPr>
          <w:spacing w:val="-3"/>
        </w:rPr>
        <w:t> </w:t>
      </w:r>
      <w:r>
        <w:rPr/>
        <w:t>species</w:t>
      </w:r>
      <w:r>
        <w:rPr>
          <w:spacing w:val="-4"/>
        </w:rPr>
        <w:t> </w:t>
      </w:r>
      <w:r>
        <w:rPr/>
        <w:t>face</w:t>
      </w:r>
      <w:r>
        <w:rPr>
          <w:spacing w:val="-3"/>
        </w:rPr>
        <w:t> </w:t>
      </w:r>
      <w:r>
        <w:rPr/>
        <w:t>from</w:t>
      </w:r>
      <w:r>
        <w:rPr>
          <w:spacing w:val="-3"/>
        </w:rPr>
        <w:t> </w:t>
      </w:r>
      <w:r>
        <w:rPr/>
        <w:t>1080</w:t>
      </w:r>
      <w:r>
        <w:rPr>
          <w:spacing w:val="-5"/>
        </w:rPr>
        <w:t> </w:t>
      </w:r>
      <w:r>
        <w:rPr/>
        <w:t>poisoning</w:t>
      </w:r>
      <w:r>
        <w:rPr>
          <w:spacing w:val="-5"/>
        </w:rPr>
        <w:t> </w:t>
      </w:r>
      <w:r>
        <w:rPr/>
        <w:t>campaigns. </w:t>
      </w:r>
      <w:r>
        <w:rPr>
          <w:i/>
        </w:rPr>
        <w:t>Wildlife Research </w:t>
      </w:r>
      <w:r>
        <w:rPr>
          <w:b/>
        </w:rPr>
        <w:t>13</w:t>
      </w:r>
      <w:r>
        <w:rPr/>
        <w:t>(1):39–48. doi: 10.1071/wr9860039.</w:t>
      </w:r>
    </w:p>
    <w:p>
      <w:pPr>
        <w:pStyle w:val="BodyText"/>
        <w:spacing w:before="9"/>
      </w:pPr>
    </w:p>
    <w:p>
      <w:pPr>
        <w:pStyle w:val="BodyText"/>
        <w:spacing w:before="1"/>
        <w:ind w:right="1373"/>
        <w:jc w:val="right"/>
      </w:pPr>
      <w:r>
        <w:rPr/>
        <w:t>McIlroy,</w:t>
      </w:r>
      <w:r>
        <w:rPr>
          <w:spacing w:val="-8"/>
        </w:rPr>
        <w:t> </w:t>
      </w:r>
      <w:r>
        <w:rPr/>
        <w:t>J.C.</w:t>
      </w:r>
      <w:r>
        <w:rPr>
          <w:spacing w:val="-7"/>
        </w:rPr>
        <w:t> </w:t>
      </w:r>
      <w:r>
        <w:rPr/>
        <w:t>(1992).</w:t>
      </w:r>
      <w:r>
        <w:rPr>
          <w:spacing w:val="-7"/>
        </w:rPr>
        <w:t> </w:t>
      </w:r>
      <w:r>
        <w:rPr/>
        <w:t>The</w:t>
      </w:r>
      <w:r>
        <w:rPr>
          <w:spacing w:val="-8"/>
        </w:rPr>
        <w:t> </w:t>
      </w:r>
      <w:r>
        <w:rPr/>
        <w:t>effect</w:t>
      </w:r>
      <w:r>
        <w:rPr>
          <w:spacing w:val="-7"/>
        </w:rPr>
        <w:t> </w:t>
      </w:r>
      <w:r>
        <w:rPr/>
        <w:t>on</w:t>
      </w:r>
      <w:r>
        <w:rPr>
          <w:spacing w:val="-2"/>
        </w:rPr>
        <w:t> </w:t>
      </w:r>
      <w:r>
        <w:rPr/>
        <w:t>Australia</w:t>
      </w:r>
      <w:r>
        <w:rPr>
          <w:spacing w:val="-6"/>
        </w:rPr>
        <w:t> </w:t>
      </w:r>
      <w:r>
        <w:rPr/>
        <w:t>animals</w:t>
      </w:r>
      <w:r>
        <w:rPr>
          <w:spacing w:val="-7"/>
        </w:rPr>
        <w:t> </w:t>
      </w:r>
      <w:r>
        <w:rPr/>
        <w:t>of</w:t>
      </w:r>
      <w:r>
        <w:rPr>
          <w:spacing w:val="-5"/>
        </w:rPr>
        <w:t> </w:t>
      </w:r>
      <w:r>
        <w:rPr/>
        <w:t>1080-poisoning</w:t>
      </w:r>
      <w:r>
        <w:rPr>
          <w:spacing w:val="-8"/>
        </w:rPr>
        <w:t> </w:t>
      </w:r>
      <w:r>
        <w:rPr/>
        <w:t>campaigns.</w:t>
      </w:r>
      <w:r>
        <w:rPr>
          <w:spacing w:val="-7"/>
        </w:rPr>
        <w:t> </w:t>
      </w:r>
      <w:r>
        <w:rPr/>
        <w:t>Pp.</w:t>
      </w:r>
      <w:r>
        <w:rPr>
          <w:spacing w:val="-6"/>
        </w:rPr>
        <w:t> </w:t>
      </w:r>
      <w:r>
        <w:rPr/>
        <w:t>356–59</w:t>
      </w:r>
      <w:r>
        <w:rPr>
          <w:spacing w:val="-7"/>
        </w:rPr>
        <w:t> </w:t>
      </w:r>
      <w:r>
        <w:rPr>
          <w:spacing w:val="-5"/>
        </w:rPr>
        <w:t>in</w:t>
      </w:r>
    </w:p>
    <w:p>
      <w:pPr>
        <w:spacing w:before="0"/>
        <w:ind w:left="0" w:right="1439" w:firstLine="0"/>
        <w:jc w:val="right"/>
        <w:rPr>
          <w:sz w:val="20"/>
        </w:rPr>
      </w:pPr>
      <w:r>
        <w:rPr>
          <w:i/>
          <w:sz w:val="20"/>
        </w:rPr>
        <w:t>Proceedings</w:t>
      </w:r>
      <w:r>
        <w:rPr>
          <w:i/>
          <w:spacing w:val="-8"/>
          <w:sz w:val="20"/>
        </w:rPr>
        <w:t> </w:t>
      </w:r>
      <w:r>
        <w:rPr>
          <w:i/>
          <w:sz w:val="20"/>
        </w:rPr>
        <w:t>of</w:t>
      </w:r>
      <w:r>
        <w:rPr>
          <w:i/>
          <w:spacing w:val="-8"/>
          <w:sz w:val="20"/>
        </w:rPr>
        <w:t> </w:t>
      </w:r>
      <w:r>
        <w:rPr>
          <w:i/>
          <w:sz w:val="20"/>
        </w:rPr>
        <w:t>the</w:t>
      </w:r>
      <w:r>
        <w:rPr>
          <w:i/>
          <w:spacing w:val="-9"/>
          <w:sz w:val="20"/>
        </w:rPr>
        <w:t> </w:t>
      </w:r>
      <w:r>
        <w:rPr>
          <w:i/>
          <w:sz w:val="20"/>
        </w:rPr>
        <w:t>15th</w:t>
      </w:r>
      <w:r>
        <w:rPr>
          <w:i/>
          <w:spacing w:val="-8"/>
          <w:sz w:val="20"/>
        </w:rPr>
        <w:t> </w:t>
      </w:r>
      <w:r>
        <w:rPr>
          <w:i/>
          <w:sz w:val="20"/>
        </w:rPr>
        <w:t>Vertebrate</w:t>
      </w:r>
      <w:r>
        <w:rPr>
          <w:i/>
          <w:spacing w:val="-7"/>
          <w:sz w:val="20"/>
        </w:rPr>
        <w:t> </w:t>
      </w:r>
      <w:r>
        <w:rPr>
          <w:i/>
          <w:sz w:val="20"/>
        </w:rPr>
        <w:t>Pest</w:t>
      </w:r>
      <w:r>
        <w:rPr>
          <w:i/>
          <w:spacing w:val="-9"/>
          <w:sz w:val="20"/>
        </w:rPr>
        <w:t> </w:t>
      </w:r>
      <w:r>
        <w:rPr>
          <w:i/>
          <w:sz w:val="20"/>
        </w:rPr>
        <w:t>Conference</w:t>
      </w:r>
      <w:r>
        <w:rPr>
          <w:sz w:val="20"/>
        </w:rPr>
        <w:t>.</w:t>
      </w:r>
      <w:r>
        <w:rPr>
          <w:spacing w:val="-6"/>
          <w:sz w:val="20"/>
        </w:rPr>
        <w:t> </w:t>
      </w:r>
      <w:r>
        <w:rPr>
          <w:sz w:val="20"/>
        </w:rPr>
        <w:t>University</w:t>
      </w:r>
      <w:r>
        <w:rPr>
          <w:spacing w:val="-8"/>
          <w:sz w:val="20"/>
        </w:rPr>
        <w:t> </w:t>
      </w:r>
      <w:r>
        <w:rPr>
          <w:sz w:val="20"/>
        </w:rPr>
        <w:t>of</w:t>
      </w:r>
      <w:r>
        <w:rPr>
          <w:spacing w:val="-6"/>
          <w:sz w:val="20"/>
        </w:rPr>
        <w:t> </w:t>
      </w:r>
      <w:r>
        <w:rPr>
          <w:sz w:val="20"/>
        </w:rPr>
        <w:t>California</w:t>
      </w:r>
      <w:r>
        <w:rPr>
          <w:spacing w:val="-9"/>
          <w:sz w:val="20"/>
        </w:rPr>
        <w:t> </w:t>
      </w:r>
      <w:r>
        <w:rPr>
          <w:sz w:val="20"/>
        </w:rPr>
        <w:t>Davis</w:t>
      </w:r>
      <w:r>
        <w:rPr>
          <w:spacing w:val="-7"/>
          <w:sz w:val="20"/>
        </w:rPr>
        <w:t> </w:t>
      </w:r>
      <w:r>
        <w:rPr>
          <w:spacing w:val="-4"/>
          <w:sz w:val="20"/>
        </w:rPr>
        <w:t>USA.</w:t>
      </w:r>
    </w:p>
    <w:p>
      <w:pPr>
        <w:pStyle w:val="BodyText"/>
        <w:spacing w:before="10"/>
      </w:pPr>
    </w:p>
    <w:p>
      <w:pPr>
        <w:pStyle w:val="BodyText"/>
        <w:ind w:left="112"/>
      </w:pPr>
      <w:r>
        <w:rPr/>
        <w:t>McIlroy,</w:t>
      </w:r>
      <w:r>
        <w:rPr>
          <w:spacing w:val="-6"/>
        </w:rPr>
        <w:t> </w:t>
      </w:r>
      <w:r>
        <w:rPr/>
        <w:t>J.C.</w:t>
      </w:r>
      <w:r>
        <w:rPr>
          <w:spacing w:val="-6"/>
        </w:rPr>
        <w:t> </w:t>
      </w:r>
      <w:r>
        <w:rPr/>
        <w:t>(1995).</w:t>
      </w:r>
      <w:r>
        <w:rPr>
          <w:spacing w:val="-4"/>
        </w:rPr>
        <w:t> </w:t>
      </w:r>
      <w:r>
        <w:rPr/>
        <w:t>New</w:t>
      </w:r>
      <w:r>
        <w:rPr>
          <w:spacing w:val="-5"/>
        </w:rPr>
        <w:t> </w:t>
      </w:r>
      <w:r>
        <w:rPr/>
        <w:t>techniques</w:t>
      </w:r>
      <w:r>
        <w:rPr>
          <w:spacing w:val="-5"/>
        </w:rPr>
        <w:t> </w:t>
      </w:r>
      <w:r>
        <w:rPr/>
        <w:t>for</w:t>
      </w:r>
      <w:r>
        <w:rPr>
          <w:spacing w:val="-6"/>
        </w:rPr>
        <w:t> </w:t>
      </w:r>
      <w:r>
        <w:rPr/>
        <w:t>an</w:t>
      </w:r>
      <w:r>
        <w:rPr>
          <w:spacing w:val="-4"/>
        </w:rPr>
        <w:t> </w:t>
      </w:r>
      <w:r>
        <w:rPr/>
        <w:t>old</w:t>
      </w:r>
      <w:r>
        <w:rPr>
          <w:spacing w:val="-6"/>
        </w:rPr>
        <w:t> </w:t>
      </w:r>
      <w:r>
        <w:rPr/>
        <w:t>problem</w:t>
      </w:r>
      <w:r>
        <w:rPr>
          <w:spacing w:val="-2"/>
        </w:rPr>
        <w:t> </w:t>
      </w:r>
      <w:r>
        <w:rPr/>
        <w:t>–</w:t>
      </w:r>
      <w:r>
        <w:rPr>
          <w:spacing w:val="-6"/>
        </w:rPr>
        <w:t> </w:t>
      </w:r>
      <w:r>
        <w:rPr/>
        <w:t>recent</w:t>
      </w:r>
      <w:r>
        <w:rPr>
          <w:spacing w:val="-6"/>
        </w:rPr>
        <w:t> </w:t>
      </w:r>
      <w:r>
        <w:rPr/>
        <w:t>advances</w:t>
      </w:r>
      <w:r>
        <w:rPr>
          <w:spacing w:val="-5"/>
        </w:rPr>
        <w:t> </w:t>
      </w:r>
      <w:r>
        <w:rPr/>
        <w:t>in</w:t>
      </w:r>
      <w:r>
        <w:rPr>
          <w:spacing w:val="-6"/>
        </w:rPr>
        <w:t> </w:t>
      </w:r>
      <w:r>
        <w:rPr/>
        <w:t>feral</w:t>
      </w:r>
      <w:r>
        <w:rPr>
          <w:spacing w:val="-6"/>
        </w:rPr>
        <w:t> </w:t>
      </w:r>
      <w:r>
        <w:rPr/>
        <w:t>pig</w:t>
      </w:r>
      <w:r>
        <w:rPr>
          <w:spacing w:val="-6"/>
        </w:rPr>
        <w:t> </w:t>
      </w:r>
      <w:r>
        <w:rPr/>
        <w:t>control</w:t>
      </w:r>
      <w:r>
        <w:rPr>
          <w:spacing w:val="-7"/>
        </w:rPr>
        <w:t> </w:t>
      </w:r>
      <w:r>
        <w:rPr/>
        <w:t>in</w:t>
      </w:r>
      <w:r>
        <w:rPr>
          <w:spacing w:val="-2"/>
        </w:rPr>
        <w:t> Australia.</w:t>
      </w:r>
    </w:p>
    <w:p>
      <w:pPr>
        <w:spacing w:before="1"/>
        <w:ind w:left="833" w:right="0" w:firstLine="0"/>
        <w:jc w:val="left"/>
        <w:rPr>
          <w:sz w:val="20"/>
        </w:rPr>
      </w:pPr>
      <w:r>
        <w:rPr>
          <w:i/>
          <w:sz w:val="20"/>
        </w:rPr>
        <w:t>Journal</w:t>
      </w:r>
      <w:r>
        <w:rPr>
          <w:i/>
          <w:spacing w:val="-8"/>
          <w:sz w:val="20"/>
        </w:rPr>
        <w:t> </w:t>
      </w:r>
      <w:r>
        <w:rPr>
          <w:i/>
          <w:sz w:val="20"/>
        </w:rPr>
        <w:t>of</w:t>
      </w:r>
      <w:r>
        <w:rPr>
          <w:i/>
          <w:spacing w:val="-7"/>
          <w:sz w:val="20"/>
        </w:rPr>
        <w:t> </w:t>
      </w:r>
      <w:r>
        <w:rPr>
          <w:i/>
          <w:sz w:val="20"/>
        </w:rPr>
        <w:t>Mountain</w:t>
      </w:r>
      <w:r>
        <w:rPr>
          <w:i/>
          <w:spacing w:val="-7"/>
          <w:sz w:val="20"/>
        </w:rPr>
        <w:t> </w:t>
      </w:r>
      <w:r>
        <w:rPr>
          <w:i/>
          <w:sz w:val="20"/>
        </w:rPr>
        <w:t>Ecology</w:t>
      </w:r>
      <w:r>
        <w:rPr>
          <w:i/>
          <w:spacing w:val="-5"/>
          <w:sz w:val="20"/>
        </w:rPr>
        <w:t> </w:t>
      </w:r>
      <w:r>
        <w:rPr>
          <w:b/>
          <w:spacing w:val="-2"/>
          <w:sz w:val="20"/>
        </w:rPr>
        <w:t>3</w:t>
      </w:r>
      <w:r>
        <w:rPr>
          <w:spacing w:val="-2"/>
          <w:sz w:val="20"/>
        </w:rPr>
        <w:t>:241–44.</w:t>
      </w:r>
    </w:p>
    <w:p>
      <w:pPr>
        <w:pStyle w:val="BodyText"/>
        <w:spacing w:before="10"/>
      </w:pPr>
    </w:p>
    <w:p>
      <w:pPr>
        <w:pStyle w:val="BodyText"/>
        <w:ind w:left="833" w:right="491" w:hanging="721"/>
        <w:jc w:val="both"/>
      </w:pPr>
      <w:r>
        <w:rPr/>
        <w:t>McIlroy,</w:t>
      </w:r>
      <w:r>
        <w:rPr>
          <w:spacing w:val="-4"/>
        </w:rPr>
        <w:t> </w:t>
      </w:r>
      <w:r>
        <w:rPr/>
        <w:t>J.C.,</w:t>
      </w:r>
      <w:r>
        <w:rPr>
          <w:spacing w:val="-2"/>
        </w:rPr>
        <w:t> </w:t>
      </w:r>
      <w:r>
        <w:rPr/>
        <w:t>and</w:t>
      </w:r>
      <w:r>
        <w:rPr>
          <w:spacing w:val="-2"/>
        </w:rPr>
        <w:t> </w:t>
      </w:r>
      <w:r>
        <w:rPr/>
        <w:t>Archer,</w:t>
      </w:r>
      <w:r>
        <w:rPr>
          <w:spacing w:val="-2"/>
        </w:rPr>
        <w:t> </w:t>
      </w:r>
      <w:r>
        <w:rPr/>
        <w:t>M.</w:t>
      </w:r>
      <w:r>
        <w:rPr>
          <w:spacing w:val="-4"/>
        </w:rPr>
        <w:t> </w:t>
      </w:r>
      <w:r>
        <w:rPr/>
        <w:t>(1982).</w:t>
      </w:r>
      <w:r>
        <w:rPr>
          <w:spacing w:val="-4"/>
        </w:rPr>
        <w:t> </w:t>
      </w:r>
      <w:r>
        <w:rPr/>
        <w:t>The</w:t>
      </w:r>
      <w:r>
        <w:rPr>
          <w:spacing w:val="-4"/>
        </w:rPr>
        <w:t> </w:t>
      </w:r>
      <w:r>
        <w:rPr/>
        <w:t>sensitivity</w:t>
      </w:r>
      <w:r>
        <w:rPr>
          <w:spacing w:val="-3"/>
        </w:rPr>
        <w:t> </w:t>
      </w:r>
      <w:r>
        <w:rPr/>
        <w:t>of Australian</w:t>
      </w:r>
      <w:r>
        <w:rPr>
          <w:spacing w:val="-3"/>
        </w:rPr>
        <w:t> </w:t>
      </w:r>
      <w:r>
        <w:rPr/>
        <w:t>carnivorous</w:t>
      </w:r>
      <w:r>
        <w:rPr>
          <w:spacing w:val="-3"/>
        </w:rPr>
        <w:t> </w:t>
      </w:r>
      <w:r>
        <w:rPr/>
        <w:t>mammals</w:t>
      </w:r>
      <w:r>
        <w:rPr>
          <w:spacing w:val="-3"/>
        </w:rPr>
        <w:t> </w:t>
      </w:r>
      <w:r>
        <w:rPr/>
        <w:t>to</w:t>
      </w:r>
      <w:r>
        <w:rPr>
          <w:spacing w:val="-3"/>
        </w:rPr>
        <w:t> </w:t>
      </w:r>
      <w:r>
        <w:rPr/>
        <w:t>1080</w:t>
      </w:r>
      <w:r>
        <w:rPr>
          <w:spacing w:val="-4"/>
        </w:rPr>
        <w:t> </w:t>
      </w:r>
      <w:r>
        <w:rPr/>
        <w:t>poison.</w:t>
      </w:r>
      <w:r>
        <w:rPr>
          <w:spacing w:val="-2"/>
        </w:rPr>
        <w:t> </w:t>
      </w:r>
      <w:r>
        <w:rPr/>
        <w:t>Pp. 267–71 in </w:t>
      </w:r>
      <w:r>
        <w:rPr>
          <w:i/>
        </w:rPr>
        <w:t>Carnivorous marsupials</w:t>
      </w:r>
      <w:r>
        <w:rPr/>
        <w:t>. Mosman, NSW: Royal Zoological Society of New South Wales.</w:t>
      </w:r>
    </w:p>
    <w:p>
      <w:pPr>
        <w:pStyle w:val="BodyText"/>
        <w:spacing w:before="9"/>
      </w:pPr>
    </w:p>
    <w:p>
      <w:pPr>
        <w:pStyle w:val="BodyText"/>
        <w:ind w:left="833" w:right="163" w:hanging="721"/>
      </w:pPr>
      <w:r>
        <w:rPr/>
        <w:t>McIlroy, J.C., Cooper, R.J., Gifford, E.J, Green, B.F., and Newgrain, K.W. (1986). The effect on wild dogs, </w:t>
      </w:r>
      <w:r>
        <w:rPr>
          <w:i/>
        </w:rPr>
        <w:t>Canis</w:t>
      </w:r>
      <w:r>
        <w:rPr>
          <w:i/>
          <w:spacing w:val="-4"/>
        </w:rPr>
        <w:t> </w:t>
      </w:r>
      <w:r>
        <w:rPr>
          <w:i/>
        </w:rPr>
        <w:t>f</w:t>
      </w:r>
      <w:r>
        <w:rPr>
          <w:i/>
          <w:spacing w:val="-3"/>
        </w:rPr>
        <w:t> </w:t>
      </w:r>
      <w:r>
        <w:rPr>
          <w:i/>
        </w:rPr>
        <w:t>familiaris</w:t>
      </w:r>
      <w:r>
        <w:rPr/>
        <w:t>,</w:t>
      </w:r>
      <w:r>
        <w:rPr>
          <w:spacing w:val="-5"/>
        </w:rPr>
        <w:t> </w:t>
      </w:r>
      <w:r>
        <w:rPr/>
        <w:t>of</w:t>
      </w:r>
      <w:r>
        <w:rPr>
          <w:spacing w:val="-3"/>
        </w:rPr>
        <w:t> </w:t>
      </w:r>
      <w:r>
        <w:rPr/>
        <w:t>1080</w:t>
      </w:r>
      <w:r>
        <w:rPr>
          <w:spacing w:val="-5"/>
        </w:rPr>
        <w:t> </w:t>
      </w:r>
      <w:r>
        <w:rPr/>
        <w:t>poisoning</w:t>
      </w:r>
      <w:r>
        <w:rPr>
          <w:spacing w:val="-3"/>
        </w:rPr>
        <w:t> </w:t>
      </w:r>
      <w:r>
        <w:rPr/>
        <w:t>campaigns</w:t>
      </w:r>
      <w:r>
        <w:rPr>
          <w:spacing w:val="-4"/>
        </w:rPr>
        <w:t> </w:t>
      </w:r>
      <w:r>
        <w:rPr/>
        <w:t>in</w:t>
      </w:r>
      <w:r>
        <w:rPr>
          <w:spacing w:val="-2"/>
        </w:rPr>
        <w:t> </w:t>
      </w:r>
      <w:r>
        <w:rPr/>
        <w:t>Kosciusko</w:t>
      </w:r>
      <w:r>
        <w:rPr>
          <w:spacing w:val="-4"/>
        </w:rPr>
        <w:t> </w:t>
      </w:r>
      <w:r>
        <w:rPr/>
        <w:t>national</w:t>
      </w:r>
      <w:r>
        <w:rPr>
          <w:spacing w:val="-4"/>
        </w:rPr>
        <w:t> </w:t>
      </w:r>
      <w:r>
        <w:rPr/>
        <w:t>park,</w:t>
      </w:r>
      <w:r>
        <w:rPr>
          <w:spacing w:val="-4"/>
        </w:rPr>
        <w:t> </w:t>
      </w:r>
      <w:r>
        <w:rPr/>
        <w:t>NSW.</w:t>
      </w:r>
      <w:r>
        <w:rPr>
          <w:spacing w:val="-3"/>
        </w:rPr>
        <w:t> </w:t>
      </w:r>
      <w:r>
        <w:rPr>
          <w:i/>
        </w:rPr>
        <w:t>Wildlife</w:t>
      </w:r>
      <w:r>
        <w:rPr>
          <w:i/>
          <w:spacing w:val="-5"/>
        </w:rPr>
        <w:t> </w:t>
      </w:r>
      <w:r>
        <w:rPr>
          <w:i/>
        </w:rPr>
        <w:t>Research</w:t>
      </w:r>
      <w:r>
        <w:rPr>
          <w:i/>
        </w:rPr>
        <w:t> </w:t>
      </w:r>
      <w:r>
        <w:rPr>
          <w:b/>
        </w:rPr>
        <w:t>13</w:t>
      </w:r>
      <w:r>
        <w:rPr/>
        <w:t>(4):535. doi: 10.1071/WR9860535.</w:t>
      </w:r>
    </w:p>
    <w:p>
      <w:pPr>
        <w:pStyle w:val="BodyText"/>
        <w:spacing w:before="11"/>
      </w:pPr>
    </w:p>
    <w:p>
      <w:pPr>
        <w:pStyle w:val="BodyText"/>
        <w:ind w:left="833" w:right="364" w:hanging="721"/>
      </w:pPr>
      <w:r>
        <w:rPr/>
        <w:t>McIlroy,</w:t>
      </w:r>
      <w:r>
        <w:rPr>
          <w:spacing w:val="-4"/>
        </w:rPr>
        <w:t> </w:t>
      </w:r>
      <w:r>
        <w:rPr/>
        <w:t>J.C.,</w:t>
      </w:r>
      <w:r>
        <w:rPr>
          <w:spacing w:val="-2"/>
        </w:rPr>
        <w:t> </w:t>
      </w:r>
      <w:r>
        <w:rPr/>
        <w:t>and</w:t>
      </w:r>
      <w:r>
        <w:rPr>
          <w:spacing w:val="-2"/>
        </w:rPr>
        <w:t> </w:t>
      </w:r>
      <w:r>
        <w:rPr/>
        <w:t>Gifford,</w:t>
      </w:r>
      <w:r>
        <w:rPr>
          <w:spacing w:val="-2"/>
        </w:rPr>
        <w:t> </w:t>
      </w:r>
      <w:r>
        <w:rPr/>
        <w:t>E.J.</w:t>
      </w:r>
      <w:r>
        <w:rPr>
          <w:spacing w:val="-4"/>
        </w:rPr>
        <w:t> </w:t>
      </w:r>
      <w:r>
        <w:rPr/>
        <w:t>(1991).</w:t>
      </w:r>
      <w:r>
        <w:rPr>
          <w:spacing w:val="-2"/>
        </w:rPr>
        <w:t> </w:t>
      </w:r>
      <w:r>
        <w:rPr/>
        <w:t>Effect</w:t>
      </w:r>
      <w:r>
        <w:rPr>
          <w:spacing w:val="-2"/>
        </w:rPr>
        <w:t> </w:t>
      </w:r>
      <w:r>
        <w:rPr/>
        <w:t>on</w:t>
      </w:r>
      <w:r>
        <w:rPr>
          <w:spacing w:val="-5"/>
        </w:rPr>
        <w:t> </w:t>
      </w:r>
      <w:r>
        <w:rPr/>
        <w:t>non-target</w:t>
      </w:r>
      <w:r>
        <w:rPr>
          <w:spacing w:val="-4"/>
        </w:rPr>
        <w:t> </w:t>
      </w:r>
      <w:r>
        <w:rPr/>
        <w:t>animal</w:t>
      </w:r>
      <w:r>
        <w:rPr>
          <w:spacing w:val="-4"/>
        </w:rPr>
        <w:t> </w:t>
      </w:r>
      <w:r>
        <w:rPr/>
        <w:t>populations of</w:t>
      </w:r>
      <w:r>
        <w:rPr>
          <w:spacing w:val="-2"/>
        </w:rPr>
        <w:t> </w:t>
      </w:r>
      <w:r>
        <w:rPr/>
        <w:t>a</w:t>
      </w:r>
      <w:r>
        <w:rPr>
          <w:spacing w:val="-5"/>
        </w:rPr>
        <w:t> </w:t>
      </w:r>
      <w:r>
        <w:rPr/>
        <w:t>rabbit</w:t>
      </w:r>
      <w:r>
        <w:rPr>
          <w:spacing w:val="-4"/>
        </w:rPr>
        <w:t> </w:t>
      </w:r>
      <w:r>
        <w:rPr/>
        <w:t>trail-baiting campaign with 1080 poison. </w:t>
      </w:r>
      <w:r>
        <w:rPr>
          <w:i/>
        </w:rPr>
        <w:t>Wildlife Research </w:t>
      </w:r>
      <w:r>
        <w:rPr/>
        <w:t>18:315–25.</w:t>
      </w:r>
    </w:p>
    <w:p>
      <w:pPr>
        <w:pStyle w:val="BodyText"/>
        <w:spacing w:before="9"/>
      </w:pPr>
    </w:p>
    <w:p>
      <w:pPr>
        <w:spacing w:before="0"/>
        <w:ind w:left="833" w:right="232" w:hanging="721"/>
        <w:jc w:val="left"/>
        <w:rPr>
          <w:sz w:val="20"/>
        </w:rPr>
      </w:pPr>
      <w:r>
        <w:rPr>
          <w:sz w:val="20"/>
        </w:rPr>
        <w:t>McIlroy,</w:t>
      </w:r>
      <w:r>
        <w:rPr>
          <w:spacing w:val="-4"/>
          <w:sz w:val="20"/>
        </w:rPr>
        <w:t> </w:t>
      </w:r>
      <w:r>
        <w:rPr>
          <w:sz w:val="20"/>
        </w:rPr>
        <w:t>J.C.,</w:t>
      </w:r>
      <w:r>
        <w:rPr>
          <w:spacing w:val="-2"/>
          <w:sz w:val="20"/>
        </w:rPr>
        <w:t> </w:t>
      </w:r>
      <w:r>
        <w:rPr>
          <w:sz w:val="20"/>
        </w:rPr>
        <w:t>and</w:t>
      </w:r>
      <w:r>
        <w:rPr>
          <w:spacing w:val="-2"/>
          <w:sz w:val="20"/>
        </w:rPr>
        <w:t> </w:t>
      </w:r>
      <w:r>
        <w:rPr>
          <w:sz w:val="20"/>
        </w:rPr>
        <w:t>Gifford,</w:t>
      </w:r>
      <w:r>
        <w:rPr>
          <w:spacing w:val="-2"/>
          <w:sz w:val="20"/>
        </w:rPr>
        <w:t> </w:t>
      </w:r>
      <w:r>
        <w:rPr>
          <w:sz w:val="20"/>
        </w:rPr>
        <w:t>E.J.</w:t>
      </w:r>
      <w:r>
        <w:rPr>
          <w:spacing w:val="-4"/>
          <w:sz w:val="20"/>
        </w:rPr>
        <w:t> </w:t>
      </w:r>
      <w:r>
        <w:rPr>
          <w:sz w:val="20"/>
        </w:rPr>
        <w:t>(1992).</w:t>
      </w:r>
      <w:r>
        <w:rPr>
          <w:spacing w:val="-2"/>
          <w:sz w:val="20"/>
        </w:rPr>
        <w:t> </w:t>
      </w:r>
      <w:r>
        <w:rPr>
          <w:sz w:val="20"/>
        </w:rPr>
        <w:t>Secondary</w:t>
      </w:r>
      <w:r>
        <w:rPr>
          <w:spacing w:val="-3"/>
          <w:sz w:val="20"/>
        </w:rPr>
        <w:t> </w:t>
      </w:r>
      <w:r>
        <w:rPr>
          <w:sz w:val="20"/>
        </w:rPr>
        <w:t>poisoning</w:t>
      </w:r>
      <w:r>
        <w:rPr>
          <w:spacing w:val="-4"/>
          <w:sz w:val="20"/>
        </w:rPr>
        <w:t> </w:t>
      </w:r>
      <w:r>
        <w:rPr>
          <w:sz w:val="20"/>
        </w:rPr>
        <w:t>hazards</w:t>
      </w:r>
      <w:r>
        <w:rPr>
          <w:spacing w:val="-3"/>
          <w:sz w:val="20"/>
        </w:rPr>
        <w:t> </w:t>
      </w:r>
      <w:r>
        <w:rPr>
          <w:sz w:val="20"/>
        </w:rPr>
        <w:t>associated</w:t>
      </w:r>
      <w:r>
        <w:rPr>
          <w:spacing w:val="-2"/>
          <w:sz w:val="20"/>
        </w:rPr>
        <w:t> </w:t>
      </w:r>
      <w:r>
        <w:rPr>
          <w:sz w:val="20"/>
        </w:rPr>
        <w:t>with</w:t>
      </w:r>
      <w:r>
        <w:rPr>
          <w:spacing w:val="-2"/>
          <w:sz w:val="20"/>
        </w:rPr>
        <w:t> </w:t>
      </w:r>
      <w:r>
        <w:rPr>
          <w:sz w:val="20"/>
        </w:rPr>
        <w:t>1080-treated</w:t>
      </w:r>
      <w:r>
        <w:rPr>
          <w:spacing w:val="-5"/>
          <w:sz w:val="20"/>
        </w:rPr>
        <w:t> </w:t>
      </w:r>
      <w:r>
        <w:rPr>
          <w:sz w:val="20"/>
        </w:rPr>
        <w:t>carrot- baiting campaigns against rabbits (</w:t>
      </w:r>
      <w:r>
        <w:rPr>
          <w:i/>
          <w:sz w:val="20"/>
        </w:rPr>
        <w:t>Oryctolagus cuniculus</w:t>
      </w:r>
      <w:r>
        <w:rPr>
          <w:sz w:val="20"/>
        </w:rPr>
        <w:t>). </w:t>
      </w:r>
      <w:r>
        <w:rPr>
          <w:i/>
          <w:sz w:val="20"/>
        </w:rPr>
        <w:t>Wildlife Research </w:t>
      </w:r>
      <w:r>
        <w:rPr>
          <w:b/>
          <w:sz w:val="20"/>
        </w:rPr>
        <w:t>19</w:t>
      </w:r>
      <w:r>
        <w:rPr>
          <w:sz w:val="20"/>
        </w:rPr>
        <w:t>:629–41.</w:t>
      </w:r>
    </w:p>
    <w:p>
      <w:pPr>
        <w:pStyle w:val="BodyText"/>
        <w:spacing w:before="11"/>
      </w:pPr>
    </w:p>
    <w:p>
      <w:pPr>
        <w:pStyle w:val="BodyText"/>
        <w:ind w:left="833" w:right="163" w:hanging="721"/>
      </w:pPr>
      <w:r>
        <w:rPr/>
        <w:t>McIlroy,</w:t>
      </w:r>
      <w:r>
        <w:rPr>
          <w:spacing w:val="-4"/>
        </w:rPr>
        <w:t> </w:t>
      </w:r>
      <w:r>
        <w:rPr/>
        <w:t>J.C.,</w:t>
      </w:r>
      <w:r>
        <w:rPr>
          <w:spacing w:val="-2"/>
        </w:rPr>
        <w:t> </w:t>
      </w:r>
      <w:r>
        <w:rPr/>
        <w:t>and</w:t>
      </w:r>
      <w:r>
        <w:rPr>
          <w:spacing w:val="-2"/>
        </w:rPr>
        <w:t> </w:t>
      </w:r>
      <w:r>
        <w:rPr/>
        <w:t>Gifford,</w:t>
      </w:r>
      <w:r>
        <w:rPr>
          <w:spacing w:val="-2"/>
        </w:rPr>
        <w:t> </w:t>
      </w:r>
      <w:r>
        <w:rPr/>
        <w:t>E.J.</w:t>
      </w:r>
      <w:r>
        <w:rPr>
          <w:spacing w:val="-4"/>
        </w:rPr>
        <w:t> </w:t>
      </w:r>
      <w:r>
        <w:rPr/>
        <w:t>(1997).</w:t>
      </w:r>
      <w:r>
        <w:rPr>
          <w:spacing w:val="-4"/>
        </w:rPr>
        <w:t> </w:t>
      </w:r>
      <w:r>
        <w:rPr/>
        <w:t>The</w:t>
      </w:r>
      <w:r>
        <w:rPr>
          <w:spacing w:val="-4"/>
        </w:rPr>
        <w:t> </w:t>
      </w:r>
      <w:r>
        <w:rPr/>
        <w:t>‘judas’</w:t>
      </w:r>
      <w:r>
        <w:rPr>
          <w:spacing w:val="-5"/>
        </w:rPr>
        <w:t> </w:t>
      </w:r>
      <w:r>
        <w:rPr/>
        <w:t>pig</w:t>
      </w:r>
      <w:r>
        <w:rPr>
          <w:spacing w:val="-2"/>
        </w:rPr>
        <w:t> </w:t>
      </w:r>
      <w:r>
        <w:rPr/>
        <w:t>technique:</w:t>
      </w:r>
      <w:r>
        <w:rPr>
          <w:spacing w:val="-4"/>
        </w:rPr>
        <w:t> </w:t>
      </w:r>
      <w:r>
        <w:rPr/>
        <w:t>a</w:t>
      </w:r>
      <w:r>
        <w:rPr>
          <w:spacing w:val="-3"/>
        </w:rPr>
        <w:t> </w:t>
      </w:r>
      <w:r>
        <w:rPr/>
        <w:t>method</w:t>
      </w:r>
      <w:r>
        <w:rPr>
          <w:spacing w:val="-2"/>
        </w:rPr>
        <w:t> </w:t>
      </w:r>
      <w:r>
        <w:rPr/>
        <w:t>that</w:t>
      </w:r>
      <w:r>
        <w:rPr>
          <w:spacing w:val="-2"/>
        </w:rPr>
        <w:t> </w:t>
      </w:r>
      <w:r>
        <w:rPr/>
        <w:t>could</w:t>
      </w:r>
      <w:r>
        <w:rPr>
          <w:spacing w:val="-4"/>
        </w:rPr>
        <w:t> </w:t>
      </w:r>
      <w:r>
        <w:rPr/>
        <w:t>enhance</w:t>
      </w:r>
      <w:r>
        <w:rPr>
          <w:spacing w:val="-2"/>
        </w:rPr>
        <w:t> </w:t>
      </w:r>
      <w:r>
        <w:rPr/>
        <w:t>control programmes against feral pigs, </w:t>
      </w:r>
      <w:r>
        <w:rPr>
          <w:i/>
        </w:rPr>
        <w:t>Sus scrofa</w:t>
      </w:r>
      <w:r>
        <w:rPr/>
        <w:t>. </w:t>
      </w:r>
      <w:r>
        <w:rPr>
          <w:i/>
        </w:rPr>
        <w:t>Wildlife Research </w:t>
      </w:r>
      <w:r>
        <w:rPr>
          <w:b/>
        </w:rPr>
        <w:t>24</w:t>
      </w:r>
      <w:r>
        <w:rPr/>
        <w:t>(4):483–91.</w:t>
      </w:r>
    </w:p>
    <w:p>
      <w:pPr>
        <w:pStyle w:val="BodyText"/>
        <w:spacing w:before="10"/>
      </w:pPr>
    </w:p>
    <w:p>
      <w:pPr>
        <w:pStyle w:val="BodyText"/>
        <w:spacing w:before="1"/>
        <w:ind w:left="833" w:right="544" w:hanging="721"/>
      </w:pPr>
      <w:r>
        <w:rPr/>
        <w:t>McIlroy,</w:t>
      </w:r>
      <w:r>
        <w:rPr>
          <w:spacing w:val="-4"/>
        </w:rPr>
        <w:t> </w:t>
      </w:r>
      <w:r>
        <w:rPr/>
        <w:t>J.C.,</w:t>
      </w:r>
      <w:r>
        <w:rPr>
          <w:spacing w:val="-4"/>
        </w:rPr>
        <w:t> </w:t>
      </w:r>
      <w:r>
        <w:rPr/>
        <w:t>Gifford,</w:t>
      </w:r>
      <w:r>
        <w:rPr>
          <w:spacing w:val="-4"/>
        </w:rPr>
        <w:t> </w:t>
      </w:r>
      <w:r>
        <w:rPr/>
        <w:t>E.J., and</w:t>
      </w:r>
      <w:r>
        <w:rPr>
          <w:spacing w:val="-4"/>
        </w:rPr>
        <w:t> </w:t>
      </w:r>
      <w:r>
        <w:rPr/>
        <w:t>Forrester,</w:t>
      </w:r>
      <w:r>
        <w:rPr>
          <w:spacing w:val="-1"/>
        </w:rPr>
        <w:t> </w:t>
      </w:r>
      <w:r>
        <w:rPr/>
        <w:t>R.I.</w:t>
      </w:r>
      <w:r>
        <w:rPr>
          <w:spacing w:val="-4"/>
        </w:rPr>
        <w:t> </w:t>
      </w:r>
      <w:r>
        <w:rPr/>
        <w:t>(1993).</w:t>
      </w:r>
      <w:r>
        <w:rPr>
          <w:spacing w:val="-1"/>
        </w:rPr>
        <w:t> </w:t>
      </w:r>
      <w:r>
        <w:rPr/>
        <w:t>Seasonal</w:t>
      </w:r>
      <w:r>
        <w:rPr>
          <w:spacing w:val="-5"/>
        </w:rPr>
        <w:t> </w:t>
      </w:r>
      <w:r>
        <w:rPr/>
        <w:t>patterns</w:t>
      </w:r>
      <w:r>
        <w:rPr>
          <w:spacing w:val="-3"/>
        </w:rPr>
        <w:t> </w:t>
      </w:r>
      <w:r>
        <w:rPr/>
        <w:t>in</w:t>
      </w:r>
      <w:r>
        <w:rPr>
          <w:spacing w:val="-4"/>
        </w:rPr>
        <w:t> </w:t>
      </w:r>
      <w:r>
        <w:rPr/>
        <w:t>bait</w:t>
      </w:r>
      <w:r>
        <w:rPr>
          <w:spacing w:val="-2"/>
        </w:rPr>
        <w:t> </w:t>
      </w:r>
      <w:r>
        <w:rPr/>
        <w:t>consumption</w:t>
      </w:r>
      <w:r>
        <w:rPr>
          <w:spacing w:val="-5"/>
        </w:rPr>
        <w:t> </w:t>
      </w:r>
      <w:r>
        <w:rPr/>
        <w:t>by</w:t>
      </w:r>
      <w:r>
        <w:rPr>
          <w:spacing w:val="-3"/>
        </w:rPr>
        <w:t> </w:t>
      </w:r>
      <w:r>
        <w:rPr/>
        <w:t>feral</w:t>
      </w:r>
      <w:r>
        <w:rPr>
          <w:spacing w:val="-3"/>
        </w:rPr>
        <w:t> </w:t>
      </w:r>
      <w:r>
        <w:rPr/>
        <w:t>pigs (sus scrofa) in the hill country of south-eastern Australia. </w:t>
      </w:r>
      <w:r>
        <w:rPr>
          <w:i/>
        </w:rPr>
        <w:t>Wildlife Research </w:t>
      </w:r>
      <w:r>
        <w:rPr>
          <w:b/>
        </w:rPr>
        <w:t>20</w:t>
      </w:r>
      <w:r>
        <w:rPr/>
        <w:t>(5):637–51. doi: </w:t>
      </w:r>
      <w:r>
        <w:rPr>
          <w:spacing w:val="-2"/>
        </w:rPr>
        <w:t>10.1071/wr9930637.</w:t>
      </w:r>
    </w:p>
    <w:p>
      <w:pPr>
        <w:pStyle w:val="BodyText"/>
        <w:spacing w:before="8"/>
      </w:pPr>
    </w:p>
    <w:p>
      <w:pPr>
        <w:pStyle w:val="BodyText"/>
        <w:spacing w:before="1"/>
        <w:ind w:left="833" w:right="163" w:hanging="721"/>
      </w:pPr>
      <w:r>
        <w:rPr/>
        <w:t>McIlroy,</w:t>
      </w:r>
      <w:r>
        <w:rPr>
          <w:spacing w:val="-4"/>
        </w:rPr>
        <w:t> </w:t>
      </w:r>
      <w:r>
        <w:rPr/>
        <w:t>J.C.,</w:t>
      </w:r>
      <w:r>
        <w:rPr>
          <w:spacing w:val="-2"/>
        </w:rPr>
        <w:t> </w:t>
      </w:r>
      <w:r>
        <w:rPr/>
        <w:t>King,</w:t>
      </w:r>
      <w:r>
        <w:rPr>
          <w:spacing w:val="-2"/>
        </w:rPr>
        <w:t> </w:t>
      </w:r>
      <w:r>
        <w:rPr/>
        <w:t>D.R.,</w:t>
      </w:r>
      <w:r>
        <w:rPr>
          <w:spacing w:val="-2"/>
        </w:rPr>
        <w:t> </w:t>
      </w:r>
      <w:r>
        <w:rPr/>
        <w:t>and</w:t>
      </w:r>
      <w:r>
        <w:rPr>
          <w:spacing w:val="-5"/>
        </w:rPr>
        <w:t> </w:t>
      </w:r>
      <w:r>
        <w:rPr/>
        <w:t>Oliver,</w:t>
      </w:r>
      <w:r>
        <w:rPr>
          <w:spacing w:val="-4"/>
        </w:rPr>
        <w:t> </w:t>
      </w:r>
      <w:r>
        <w:rPr/>
        <w:t>A.J.</w:t>
      </w:r>
      <w:r>
        <w:rPr>
          <w:spacing w:val="-4"/>
        </w:rPr>
        <w:t> </w:t>
      </w:r>
      <w:r>
        <w:rPr/>
        <w:t>(1985).</w:t>
      </w:r>
      <w:r>
        <w:rPr>
          <w:spacing w:val="-4"/>
        </w:rPr>
        <w:t> </w:t>
      </w:r>
      <w:r>
        <w:rPr/>
        <w:t>The</w:t>
      </w:r>
      <w:r>
        <w:rPr>
          <w:spacing w:val="-3"/>
        </w:rPr>
        <w:t> </w:t>
      </w:r>
      <w:r>
        <w:rPr/>
        <w:t>sensitivity</w:t>
      </w:r>
      <w:r>
        <w:rPr>
          <w:spacing w:val="-3"/>
        </w:rPr>
        <w:t> </w:t>
      </w:r>
      <w:r>
        <w:rPr/>
        <w:t>of Australian</w:t>
      </w:r>
      <w:r>
        <w:rPr>
          <w:spacing w:val="-3"/>
        </w:rPr>
        <w:t> </w:t>
      </w:r>
      <w:r>
        <w:rPr/>
        <w:t>animals</w:t>
      </w:r>
      <w:r>
        <w:rPr>
          <w:spacing w:val="-3"/>
        </w:rPr>
        <w:t> </w:t>
      </w:r>
      <w:r>
        <w:rPr/>
        <w:t>to</w:t>
      </w:r>
      <w:r>
        <w:rPr>
          <w:spacing w:val="-4"/>
        </w:rPr>
        <w:t> </w:t>
      </w:r>
      <w:r>
        <w:rPr/>
        <w:t>1080</w:t>
      </w:r>
      <w:r>
        <w:rPr>
          <w:spacing w:val="-2"/>
        </w:rPr>
        <w:t> </w:t>
      </w:r>
      <w:r>
        <w:rPr/>
        <w:t>poison</w:t>
      </w:r>
      <w:r>
        <w:rPr>
          <w:spacing w:val="-5"/>
        </w:rPr>
        <w:t> </w:t>
      </w:r>
      <w:r>
        <w:rPr/>
        <w:t>viii. amphibians and reptiles. </w:t>
      </w:r>
      <w:r>
        <w:rPr>
          <w:i/>
        </w:rPr>
        <w:t>Wildlife Research </w:t>
      </w:r>
      <w:r>
        <w:rPr/>
        <w:t>12(1):113. doi: 10.1071/WR9850113.</w:t>
      </w:r>
    </w:p>
    <w:p>
      <w:pPr>
        <w:pStyle w:val="BodyText"/>
        <w:spacing w:before="10"/>
      </w:pPr>
    </w:p>
    <w:p>
      <w:pPr>
        <w:pStyle w:val="BodyText"/>
        <w:ind w:left="833" w:right="364" w:hanging="721"/>
      </w:pPr>
      <w:r>
        <w:rPr/>
        <w:t>Mcilroy, J.C., and Saillard, R.J. (1989). The effect of hunting with dogs on the numbers and movements of feral</w:t>
      </w:r>
      <w:r>
        <w:rPr>
          <w:spacing w:val="-3"/>
        </w:rPr>
        <w:t> </w:t>
      </w:r>
      <w:r>
        <w:rPr/>
        <w:t>pigs,</w:t>
      </w:r>
      <w:r>
        <w:rPr>
          <w:spacing w:val="-4"/>
        </w:rPr>
        <w:t> </w:t>
      </w:r>
      <w:r>
        <w:rPr/>
        <w:t>sus-scrofa,</w:t>
      </w:r>
      <w:r>
        <w:rPr>
          <w:spacing w:val="-2"/>
        </w:rPr>
        <w:t> </w:t>
      </w:r>
      <w:r>
        <w:rPr/>
        <w:t>and</w:t>
      </w:r>
      <w:r>
        <w:rPr>
          <w:spacing w:val="-2"/>
        </w:rPr>
        <w:t> </w:t>
      </w:r>
      <w:r>
        <w:rPr/>
        <w:t>the</w:t>
      </w:r>
      <w:r>
        <w:rPr>
          <w:spacing w:val="-5"/>
        </w:rPr>
        <w:t> </w:t>
      </w:r>
      <w:r>
        <w:rPr/>
        <w:t>subsequent</w:t>
      </w:r>
      <w:r>
        <w:rPr>
          <w:spacing w:val="-4"/>
        </w:rPr>
        <w:t> </w:t>
      </w:r>
      <w:r>
        <w:rPr/>
        <w:t>success</w:t>
      </w:r>
      <w:r>
        <w:rPr>
          <w:spacing w:val="-3"/>
        </w:rPr>
        <w:t> </w:t>
      </w:r>
      <w:r>
        <w:rPr/>
        <w:t>of</w:t>
      </w:r>
      <w:r>
        <w:rPr>
          <w:spacing w:val="-2"/>
        </w:rPr>
        <w:t> </w:t>
      </w:r>
      <w:r>
        <w:rPr/>
        <w:t>poisoning</w:t>
      </w:r>
      <w:r>
        <w:rPr>
          <w:spacing w:val="-4"/>
        </w:rPr>
        <w:t> </w:t>
      </w:r>
      <w:r>
        <w:rPr/>
        <w:t>exercises</w:t>
      </w:r>
      <w:r>
        <w:rPr>
          <w:spacing w:val="-1"/>
        </w:rPr>
        <w:t> </w:t>
      </w:r>
      <w:r>
        <w:rPr/>
        <w:t>in Namadgi</w:t>
      </w:r>
      <w:r>
        <w:rPr>
          <w:spacing w:val="-5"/>
        </w:rPr>
        <w:t> </w:t>
      </w:r>
      <w:r>
        <w:rPr/>
        <w:t>National</w:t>
      </w:r>
      <w:r>
        <w:rPr>
          <w:spacing w:val="-2"/>
        </w:rPr>
        <w:t> </w:t>
      </w:r>
      <w:r>
        <w:rPr/>
        <w:t>Park, ACT. </w:t>
      </w:r>
      <w:r>
        <w:rPr>
          <w:i/>
        </w:rPr>
        <w:t>Wildlife Research </w:t>
      </w:r>
      <w:r>
        <w:rPr>
          <w:b/>
        </w:rPr>
        <w:t>16</w:t>
      </w:r>
      <w:r>
        <w:rPr/>
        <w:t>(3):353. doi: 10.1071/WR9890353.</w:t>
      </w:r>
    </w:p>
    <w:p>
      <w:pPr>
        <w:pStyle w:val="BodyText"/>
        <w:spacing w:before="10"/>
      </w:pPr>
    </w:p>
    <w:p>
      <w:pPr>
        <w:pStyle w:val="BodyText"/>
        <w:ind w:left="112"/>
      </w:pPr>
      <w:r>
        <w:rPr/>
        <w:t>McIlroy,</w:t>
      </w:r>
      <w:r>
        <w:rPr>
          <w:spacing w:val="-7"/>
        </w:rPr>
        <w:t> </w:t>
      </w:r>
      <w:r>
        <w:rPr/>
        <w:t>J.C.,</w:t>
      </w:r>
      <w:r>
        <w:rPr>
          <w:spacing w:val="-5"/>
        </w:rPr>
        <w:t> </w:t>
      </w:r>
      <w:r>
        <w:rPr/>
        <w:t>and</w:t>
      </w:r>
      <w:r>
        <w:rPr>
          <w:spacing w:val="-4"/>
        </w:rPr>
        <w:t> </w:t>
      </w:r>
      <w:r>
        <w:rPr/>
        <w:t>Saunders,</w:t>
      </w:r>
      <w:r>
        <w:rPr>
          <w:spacing w:val="-7"/>
        </w:rPr>
        <w:t> </w:t>
      </w:r>
      <w:r>
        <w:rPr/>
        <w:t>G.R.</w:t>
      </w:r>
      <w:r>
        <w:rPr>
          <w:spacing w:val="-6"/>
        </w:rPr>
        <w:t> </w:t>
      </w:r>
      <w:r>
        <w:rPr/>
        <w:t>(1998).</w:t>
      </w:r>
      <w:r>
        <w:rPr>
          <w:spacing w:val="-6"/>
        </w:rPr>
        <w:t> </w:t>
      </w:r>
      <w:r>
        <w:rPr/>
        <w:t>What</w:t>
      </w:r>
      <w:r>
        <w:rPr>
          <w:spacing w:val="-5"/>
        </w:rPr>
        <w:t> </w:t>
      </w:r>
      <w:r>
        <w:rPr/>
        <w:t>is</w:t>
      </w:r>
      <w:r>
        <w:rPr>
          <w:spacing w:val="-5"/>
        </w:rPr>
        <w:t> </w:t>
      </w:r>
      <w:r>
        <w:rPr/>
        <w:t>the</w:t>
      </w:r>
      <w:r>
        <w:rPr>
          <w:spacing w:val="-5"/>
        </w:rPr>
        <w:t> </w:t>
      </w:r>
      <w:r>
        <w:rPr/>
        <w:t>future</w:t>
      </w:r>
      <w:r>
        <w:rPr>
          <w:spacing w:val="-5"/>
        </w:rPr>
        <w:t> </w:t>
      </w:r>
      <w:r>
        <w:rPr/>
        <w:t>of</w:t>
      </w:r>
      <w:r>
        <w:rPr>
          <w:spacing w:val="-6"/>
        </w:rPr>
        <w:t> </w:t>
      </w:r>
      <w:r>
        <w:rPr/>
        <w:t>fox</w:t>
      </w:r>
      <w:r>
        <w:rPr>
          <w:spacing w:val="-4"/>
        </w:rPr>
        <w:t> </w:t>
      </w:r>
      <w:r>
        <w:rPr/>
        <w:t>management</w:t>
      </w:r>
      <w:r>
        <w:rPr>
          <w:spacing w:val="-6"/>
        </w:rPr>
        <w:t> </w:t>
      </w:r>
      <w:r>
        <w:rPr/>
        <w:t>in Australia.</w:t>
      </w:r>
      <w:r>
        <w:rPr>
          <w:spacing w:val="-5"/>
        </w:rPr>
        <w:t> </w:t>
      </w:r>
      <w:r>
        <w:rPr/>
        <w:t>Pp.</w:t>
      </w:r>
      <w:r>
        <w:rPr>
          <w:spacing w:val="-4"/>
        </w:rPr>
        <w:t> </w:t>
      </w:r>
      <w:r>
        <w:rPr/>
        <w:t>429–34</w:t>
      </w:r>
      <w:r>
        <w:rPr>
          <w:spacing w:val="-5"/>
        </w:rPr>
        <w:t> in.</w:t>
      </w:r>
    </w:p>
    <w:p>
      <w:pPr>
        <w:pStyle w:val="BodyText"/>
        <w:ind w:left="833"/>
      </w:pPr>
      <w:r>
        <w:rPr/>
        <w:t>Agriculture</w:t>
      </w:r>
      <w:r>
        <w:rPr>
          <w:spacing w:val="-11"/>
        </w:rPr>
        <w:t> </w:t>
      </w:r>
      <w:r>
        <w:rPr/>
        <w:t>Western</w:t>
      </w:r>
      <w:r>
        <w:rPr>
          <w:spacing w:val="-11"/>
        </w:rPr>
        <w:t> </w:t>
      </w:r>
      <w:r>
        <w:rPr/>
        <w:t>Australia,</w:t>
      </w:r>
      <w:r>
        <w:rPr>
          <w:spacing w:val="-11"/>
        </w:rPr>
        <w:t> </w:t>
      </w:r>
      <w:r>
        <w:rPr/>
        <w:t>Bunbury,</w:t>
      </w:r>
      <w:r>
        <w:rPr>
          <w:spacing w:val="-12"/>
        </w:rPr>
        <w:t> </w:t>
      </w:r>
      <w:r>
        <w:rPr>
          <w:spacing w:val="-2"/>
        </w:rPr>
        <w:t>Australia.</w:t>
      </w:r>
    </w:p>
    <w:p>
      <w:pPr>
        <w:pStyle w:val="BodyText"/>
        <w:spacing w:before="11"/>
      </w:pPr>
    </w:p>
    <w:p>
      <w:pPr>
        <w:spacing w:before="0"/>
        <w:ind w:left="833" w:right="163" w:hanging="721"/>
        <w:jc w:val="left"/>
        <w:rPr>
          <w:sz w:val="20"/>
        </w:rPr>
      </w:pPr>
      <w:r>
        <w:rPr>
          <w:sz w:val="20"/>
        </w:rPr>
        <w:t>McIlroy,</w:t>
      </w:r>
      <w:r>
        <w:rPr>
          <w:spacing w:val="-4"/>
          <w:sz w:val="20"/>
        </w:rPr>
        <w:t> </w:t>
      </w:r>
      <w:r>
        <w:rPr>
          <w:sz w:val="20"/>
        </w:rPr>
        <w:t>J.C.,</w:t>
      </w:r>
      <w:r>
        <w:rPr>
          <w:spacing w:val="-2"/>
          <w:sz w:val="20"/>
        </w:rPr>
        <w:t> </w:t>
      </w:r>
      <w:r>
        <w:rPr>
          <w:sz w:val="20"/>
        </w:rPr>
        <w:t>Saunders,</w:t>
      </w:r>
      <w:r>
        <w:rPr>
          <w:spacing w:val="-4"/>
          <w:sz w:val="20"/>
        </w:rPr>
        <w:t> </w:t>
      </w:r>
      <w:r>
        <w:rPr>
          <w:sz w:val="20"/>
        </w:rPr>
        <w:t>G.R.,</w:t>
      </w:r>
      <w:r>
        <w:rPr>
          <w:spacing w:val="-4"/>
          <w:sz w:val="20"/>
        </w:rPr>
        <w:t> </w:t>
      </w:r>
      <w:r>
        <w:rPr>
          <w:sz w:val="20"/>
        </w:rPr>
        <w:t>and</w:t>
      </w:r>
      <w:r>
        <w:rPr>
          <w:spacing w:val="-4"/>
          <w:sz w:val="20"/>
        </w:rPr>
        <w:t> </w:t>
      </w:r>
      <w:r>
        <w:rPr>
          <w:sz w:val="20"/>
        </w:rPr>
        <w:t>Pech,</w:t>
      </w:r>
      <w:r>
        <w:rPr>
          <w:spacing w:val="-4"/>
          <w:sz w:val="20"/>
        </w:rPr>
        <w:t> </w:t>
      </w:r>
      <w:r>
        <w:rPr>
          <w:sz w:val="20"/>
        </w:rPr>
        <w:t>R.P.</w:t>
      </w:r>
      <w:r>
        <w:rPr>
          <w:spacing w:val="-4"/>
          <w:sz w:val="20"/>
        </w:rPr>
        <w:t> </w:t>
      </w:r>
      <w:r>
        <w:rPr>
          <w:sz w:val="20"/>
        </w:rPr>
        <w:t>(1994).</w:t>
      </w:r>
      <w:r>
        <w:rPr>
          <w:spacing w:val="-1"/>
          <w:sz w:val="20"/>
        </w:rPr>
        <w:t> </w:t>
      </w:r>
      <w:r>
        <w:rPr>
          <w:sz w:val="20"/>
        </w:rPr>
        <w:t>Immunocontraception</w:t>
      </w:r>
      <w:r>
        <w:rPr>
          <w:spacing w:val="-2"/>
          <w:sz w:val="20"/>
        </w:rPr>
        <w:t> </w:t>
      </w:r>
      <w:r>
        <w:rPr>
          <w:sz w:val="20"/>
        </w:rPr>
        <w:t>of</w:t>
      </w:r>
      <w:r>
        <w:rPr>
          <w:spacing w:val="-4"/>
          <w:sz w:val="20"/>
        </w:rPr>
        <w:t> </w:t>
      </w:r>
      <w:r>
        <w:rPr>
          <w:sz w:val="20"/>
        </w:rPr>
        <w:t>foxes</w:t>
      </w:r>
      <w:r>
        <w:rPr>
          <w:spacing w:val="-3"/>
          <w:sz w:val="20"/>
        </w:rPr>
        <w:t> </w:t>
      </w:r>
      <w:r>
        <w:rPr>
          <w:sz w:val="20"/>
        </w:rPr>
        <w:t>in Australia —</w:t>
      </w:r>
      <w:r>
        <w:rPr>
          <w:spacing w:val="-4"/>
          <w:sz w:val="20"/>
        </w:rPr>
        <w:t> </w:t>
      </w:r>
      <w:r>
        <w:rPr>
          <w:sz w:val="20"/>
        </w:rPr>
        <w:t>progress and problems. in </w:t>
      </w:r>
      <w:r>
        <w:rPr>
          <w:i/>
          <w:sz w:val="20"/>
        </w:rPr>
        <w:t>Proceedings of the 7th Annual Conference, Australasian Wildlife Management</w:t>
      </w:r>
      <w:r>
        <w:rPr>
          <w:i/>
          <w:sz w:val="20"/>
        </w:rPr>
        <w:t> Society</w:t>
      </w:r>
      <w:r>
        <w:rPr>
          <w:sz w:val="20"/>
        </w:rPr>
        <w:t>. Alice Springs.</w:t>
      </w:r>
    </w:p>
    <w:p>
      <w:pPr>
        <w:pStyle w:val="BodyText"/>
        <w:spacing w:before="8"/>
      </w:pPr>
    </w:p>
    <w:p>
      <w:pPr>
        <w:pStyle w:val="BodyText"/>
        <w:spacing w:before="1"/>
        <w:ind w:left="833" w:right="163" w:hanging="721"/>
      </w:pPr>
      <w:r>
        <w:rPr/>
        <w:t>McKillop,</w:t>
      </w:r>
      <w:r>
        <w:rPr>
          <w:spacing w:val="-4"/>
        </w:rPr>
        <w:t> </w:t>
      </w:r>
      <w:r>
        <w:rPr/>
        <w:t>I.</w:t>
      </w:r>
      <w:r>
        <w:rPr>
          <w:spacing w:val="-4"/>
        </w:rPr>
        <w:t> </w:t>
      </w:r>
      <w:r>
        <w:rPr/>
        <w:t>G.,</w:t>
      </w:r>
      <w:r>
        <w:rPr>
          <w:spacing w:val="-2"/>
        </w:rPr>
        <w:t> </w:t>
      </w:r>
      <w:r>
        <w:rPr/>
        <w:t>Pepper,</w:t>
      </w:r>
      <w:r>
        <w:rPr>
          <w:spacing w:val="-4"/>
        </w:rPr>
        <w:t> </w:t>
      </w:r>
      <w:r>
        <w:rPr/>
        <w:t>H.W.,</w:t>
      </w:r>
      <w:r>
        <w:rPr>
          <w:spacing w:val="-4"/>
        </w:rPr>
        <w:t> </w:t>
      </w:r>
      <w:r>
        <w:rPr/>
        <w:t>and</w:t>
      </w:r>
      <w:r>
        <w:rPr>
          <w:spacing w:val="-3"/>
        </w:rPr>
        <w:t> </w:t>
      </w:r>
      <w:r>
        <w:rPr/>
        <w:t>Wilson,</w:t>
      </w:r>
      <w:r>
        <w:rPr>
          <w:spacing w:val="-4"/>
        </w:rPr>
        <w:t> </w:t>
      </w:r>
      <w:r>
        <w:rPr/>
        <w:t>C.J.</w:t>
      </w:r>
      <w:r>
        <w:rPr>
          <w:spacing w:val="-4"/>
        </w:rPr>
        <w:t> </w:t>
      </w:r>
      <w:r>
        <w:rPr/>
        <w:t>(1988).</w:t>
      </w:r>
      <w:r>
        <w:rPr>
          <w:spacing w:val="-4"/>
        </w:rPr>
        <w:t> </w:t>
      </w:r>
      <w:r>
        <w:rPr/>
        <w:t>Improved</w:t>
      </w:r>
      <w:r>
        <w:rPr>
          <w:spacing w:val="-4"/>
        </w:rPr>
        <w:t> </w:t>
      </w:r>
      <w:r>
        <w:rPr/>
        <w:t>specifications</w:t>
      </w:r>
      <w:r>
        <w:rPr>
          <w:spacing w:val="-3"/>
        </w:rPr>
        <w:t> </w:t>
      </w:r>
      <w:r>
        <w:rPr/>
        <w:t>for</w:t>
      </w:r>
      <w:r>
        <w:rPr>
          <w:spacing w:val="-3"/>
        </w:rPr>
        <w:t> </w:t>
      </w:r>
      <w:r>
        <w:rPr/>
        <w:t>rabbit</w:t>
      </w:r>
      <w:r>
        <w:rPr>
          <w:spacing w:val="-2"/>
        </w:rPr>
        <w:t> </w:t>
      </w:r>
      <w:r>
        <w:rPr/>
        <w:t>fencing</w:t>
      </w:r>
      <w:r>
        <w:rPr>
          <w:spacing w:val="-3"/>
        </w:rPr>
        <w:t> </w:t>
      </w:r>
      <w:r>
        <w:rPr/>
        <w:t>for</w:t>
      </w:r>
      <w:r>
        <w:rPr>
          <w:spacing w:val="-4"/>
        </w:rPr>
        <w:t> </w:t>
      </w:r>
      <w:r>
        <w:rPr/>
        <w:t>tree protection. </w:t>
      </w:r>
      <w:r>
        <w:rPr>
          <w:i/>
        </w:rPr>
        <w:t>Forestry </w:t>
      </w:r>
      <w:r>
        <w:rPr>
          <w:b/>
        </w:rPr>
        <w:t>61</w:t>
      </w:r>
      <w:r>
        <w:rPr/>
        <w:t>:359–68.</w:t>
      </w:r>
    </w:p>
    <w:p>
      <w:pPr>
        <w:pStyle w:val="BodyText"/>
        <w:spacing w:before="10"/>
      </w:pPr>
    </w:p>
    <w:p>
      <w:pPr>
        <w:spacing w:before="0"/>
        <w:ind w:left="833" w:right="430" w:hanging="721"/>
        <w:jc w:val="both"/>
        <w:rPr>
          <w:sz w:val="20"/>
        </w:rPr>
      </w:pPr>
      <w:r>
        <w:rPr>
          <w:sz w:val="20"/>
        </w:rPr>
        <w:t>McLeod,</w:t>
      </w:r>
      <w:r>
        <w:rPr>
          <w:spacing w:val="-4"/>
          <w:sz w:val="20"/>
        </w:rPr>
        <w:t> </w:t>
      </w:r>
      <w:r>
        <w:rPr>
          <w:sz w:val="20"/>
        </w:rPr>
        <w:t>L.,</w:t>
      </w:r>
      <w:r>
        <w:rPr>
          <w:spacing w:val="-2"/>
          <w:sz w:val="20"/>
        </w:rPr>
        <w:t> </w:t>
      </w:r>
      <w:r>
        <w:rPr>
          <w:sz w:val="20"/>
        </w:rPr>
        <w:t>and</w:t>
      </w:r>
      <w:r>
        <w:rPr>
          <w:spacing w:val="-4"/>
          <w:sz w:val="20"/>
        </w:rPr>
        <w:t> </w:t>
      </w:r>
      <w:r>
        <w:rPr>
          <w:sz w:val="20"/>
        </w:rPr>
        <w:t>Saunders,</w:t>
      </w:r>
      <w:r>
        <w:rPr>
          <w:spacing w:val="-2"/>
          <w:sz w:val="20"/>
        </w:rPr>
        <w:t> </w:t>
      </w:r>
      <w:r>
        <w:rPr>
          <w:sz w:val="20"/>
        </w:rPr>
        <w:t>G.</w:t>
      </w:r>
      <w:r>
        <w:rPr>
          <w:spacing w:val="-4"/>
          <w:sz w:val="20"/>
        </w:rPr>
        <w:t> </w:t>
      </w:r>
      <w:r>
        <w:rPr>
          <w:sz w:val="20"/>
        </w:rPr>
        <w:t>(2013). </w:t>
      </w:r>
      <w:r>
        <w:rPr>
          <w:i/>
          <w:sz w:val="20"/>
        </w:rPr>
        <w:t>Pesticides</w:t>
      </w:r>
      <w:r>
        <w:rPr>
          <w:i/>
          <w:spacing w:val="-3"/>
          <w:sz w:val="20"/>
        </w:rPr>
        <w:t> </w:t>
      </w:r>
      <w:r>
        <w:rPr>
          <w:i/>
          <w:sz w:val="20"/>
        </w:rPr>
        <w:t>used</w:t>
      </w:r>
      <w:r>
        <w:rPr>
          <w:i/>
          <w:spacing w:val="-2"/>
          <w:sz w:val="20"/>
        </w:rPr>
        <w:t> </w:t>
      </w:r>
      <w:r>
        <w:rPr>
          <w:i/>
          <w:sz w:val="20"/>
        </w:rPr>
        <w:t>in</w:t>
      </w:r>
      <w:r>
        <w:rPr>
          <w:i/>
          <w:spacing w:val="-4"/>
          <w:sz w:val="20"/>
        </w:rPr>
        <w:t> </w:t>
      </w:r>
      <w:r>
        <w:rPr>
          <w:i/>
          <w:sz w:val="20"/>
        </w:rPr>
        <w:t>the</w:t>
      </w:r>
      <w:r>
        <w:rPr>
          <w:i/>
          <w:spacing w:val="-3"/>
          <w:sz w:val="20"/>
        </w:rPr>
        <w:t> </w:t>
      </w:r>
      <w:r>
        <w:rPr>
          <w:i/>
          <w:sz w:val="20"/>
        </w:rPr>
        <w:t>management</w:t>
      </w:r>
      <w:r>
        <w:rPr>
          <w:i/>
          <w:spacing w:val="-4"/>
          <w:sz w:val="20"/>
        </w:rPr>
        <w:t> </w:t>
      </w:r>
      <w:r>
        <w:rPr>
          <w:i/>
          <w:sz w:val="20"/>
        </w:rPr>
        <w:t>of</w:t>
      </w:r>
      <w:r>
        <w:rPr>
          <w:i/>
          <w:spacing w:val="-4"/>
          <w:sz w:val="20"/>
        </w:rPr>
        <w:t> </w:t>
      </w:r>
      <w:r>
        <w:rPr>
          <w:i/>
          <w:sz w:val="20"/>
        </w:rPr>
        <w:t>vertebrate</w:t>
      </w:r>
      <w:r>
        <w:rPr>
          <w:i/>
          <w:spacing w:val="-3"/>
          <w:sz w:val="20"/>
        </w:rPr>
        <w:t> </w:t>
      </w:r>
      <w:r>
        <w:rPr>
          <w:i/>
          <w:sz w:val="20"/>
        </w:rPr>
        <w:t>pests</w:t>
      </w:r>
      <w:r>
        <w:rPr>
          <w:i/>
          <w:spacing w:val="-3"/>
          <w:sz w:val="20"/>
        </w:rPr>
        <w:t> </w:t>
      </w:r>
      <w:r>
        <w:rPr>
          <w:i/>
          <w:sz w:val="20"/>
        </w:rPr>
        <w:t>in Australia:</w:t>
      </w:r>
      <w:r>
        <w:rPr>
          <w:i/>
          <w:spacing w:val="-2"/>
          <w:sz w:val="20"/>
        </w:rPr>
        <w:t> </w:t>
      </w:r>
      <w:r>
        <w:rPr>
          <w:i/>
          <w:sz w:val="20"/>
        </w:rPr>
        <w:t>a</w:t>
      </w:r>
      <w:r>
        <w:rPr>
          <w:i/>
          <w:sz w:val="20"/>
        </w:rPr>
        <w:t> review</w:t>
      </w:r>
      <w:r>
        <w:rPr>
          <w:sz w:val="20"/>
        </w:rPr>
        <w:t>. New South Wales Department of Primary Industries.</w:t>
      </w:r>
    </w:p>
    <w:p>
      <w:pPr>
        <w:spacing w:after="0"/>
        <w:jc w:val="both"/>
        <w:rPr>
          <w:sz w:val="20"/>
        </w:rPr>
        <w:sectPr>
          <w:pgSz w:w="11910" w:h="16850"/>
          <w:pgMar w:header="0" w:footer="688" w:top="1060" w:bottom="880" w:left="1020" w:right="780"/>
        </w:sectPr>
      </w:pPr>
    </w:p>
    <w:p>
      <w:pPr>
        <w:pStyle w:val="BodyText"/>
        <w:spacing w:before="71"/>
        <w:ind w:left="833" w:right="398" w:hanging="721"/>
      </w:pPr>
      <w:r>
        <w:rPr/>
        <w:t>Mcleod. L.J., Saunders. G.R., and Kabat. T.J. (2008). Do control interventions effectively reduce the impact of</w:t>
      </w:r>
      <w:r>
        <w:rPr>
          <w:spacing w:val="-4"/>
        </w:rPr>
        <w:t> </w:t>
      </w:r>
      <w:r>
        <w:rPr/>
        <w:t>European</w:t>
      </w:r>
      <w:r>
        <w:rPr>
          <w:spacing w:val="-5"/>
        </w:rPr>
        <w:t> </w:t>
      </w:r>
      <w:r>
        <w:rPr/>
        <w:t>Red</w:t>
      </w:r>
      <w:r>
        <w:rPr>
          <w:spacing w:val="-5"/>
        </w:rPr>
        <w:t> </w:t>
      </w:r>
      <w:r>
        <w:rPr/>
        <w:t>Foxes</w:t>
      </w:r>
      <w:r>
        <w:rPr>
          <w:spacing w:val="-3"/>
        </w:rPr>
        <w:t> </w:t>
      </w:r>
      <w:r>
        <w:rPr/>
        <w:t>on</w:t>
      </w:r>
      <w:r>
        <w:rPr>
          <w:spacing w:val="-3"/>
        </w:rPr>
        <w:t> </w:t>
      </w:r>
      <w:r>
        <w:rPr/>
        <w:t>conservation</w:t>
      </w:r>
      <w:r>
        <w:rPr>
          <w:spacing w:val="-4"/>
        </w:rPr>
        <w:t> </w:t>
      </w:r>
      <w:r>
        <w:rPr/>
        <w:t>values</w:t>
      </w:r>
      <w:r>
        <w:rPr>
          <w:spacing w:val="-3"/>
        </w:rPr>
        <w:t> </w:t>
      </w:r>
      <w:r>
        <w:rPr/>
        <w:t>and</w:t>
      </w:r>
      <w:r>
        <w:rPr>
          <w:spacing w:val="-4"/>
        </w:rPr>
        <w:t> </w:t>
      </w:r>
      <w:r>
        <w:rPr/>
        <w:t>agricultural</w:t>
      </w:r>
      <w:r>
        <w:rPr>
          <w:spacing w:val="-5"/>
        </w:rPr>
        <w:t> </w:t>
      </w:r>
      <w:r>
        <w:rPr/>
        <w:t>production</w:t>
      </w:r>
      <w:r>
        <w:rPr>
          <w:spacing w:val="-3"/>
        </w:rPr>
        <w:t> </w:t>
      </w:r>
      <w:r>
        <w:rPr/>
        <w:t>in</w:t>
      </w:r>
      <w:r>
        <w:rPr>
          <w:spacing w:val="-2"/>
        </w:rPr>
        <w:t> </w:t>
      </w:r>
      <w:r>
        <w:rPr/>
        <w:t>Australia?</w:t>
      </w:r>
      <w:r>
        <w:rPr>
          <w:spacing w:val="-4"/>
        </w:rPr>
        <w:t> </w:t>
      </w:r>
      <w:r>
        <w:rPr/>
        <w:t>CEE</w:t>
      </w:r>
      <w:r>
        <w:rPr>
          <w:spacing w:val="-2"/>
        </w:rPr>
        <w:t> </w:t>
      </w:r>
      <w:r>
        <w:rPr/>
        <w:t>review 06-003 (SR24). Collaboration for Environmental Evidence. Available at: </w:t>
      </w:r>
      <w:hyperlink r:id="rId103">
        <w:r>
          <w:rPr>
            <w:color w:val="0000FF"/>
            <w:spacing w:val="-2"/>
            <w:u w:val="single" w:color="0000FF"/>
          </w:rPr>
          <w:t>www.environmentalevidence.org/SR24.html.</w:t>
        </w:r>
      </w:hyperlink>
    </w:p>
    <w:p>
      <w:pPr>
        <w:pStyle w:val="BodyText"/>
        <w:spacing w:before="12"/>
      </w:pPr>
    </w:p>
    <w:p>
      <w:pPr>
        <w:pStyle w:val="BodyText"/>
        <w:ind w:left="833" w:right="163" w:hanging="721"/>
      </w:pPr>
      <w:r>
        <w:rPr/>
        <w:t>McLeod, L.J., Saunders, G.R., McLeod, S.R., Dawson, M., and Van De Ven, R. (2010). The potential for participatory</w:t>
      </w:r>
      <w:r>
        <w:rPr>
          <w:spacing w:val="-2"/>
        </w:rPr>
        <w:t> </w:t>
      </w:r>
      <w:r>
        <w:rPr/>
        <w:t>landscape</w:t>
      </w:r>
      <w:r>
        <w:rPr>
          <w:spacing w:val="-2"/>
        </w:rPr>
        <w:t> </w:t>
      </w:r>
      <w:r>
        <w:rPr/>
        <w:t>management</w:t>
      </w:r>
      <w:r>
        <w:rPr>
          <w:spacing w:val="-4"/>
        </w:rPr>
        <w:t> </w:t>
      </w:r>
      <w:r>
        <w:rPr/>
        <w:t>to</w:t>
      </w:r>
      <w:r>
        <w:rPr>
          <w:spacing w:val="-5"/>
        </w:rPr>
        <w:t> </w:t>
      </w:r>
      <w:r>
        <w:rPr/>
        <w:t>reduce</w:t>
      </w:r>
      <w:r>
        <w:rPr>
          <w:spacing w:val="-2"/>
        </w:rPr>
        <w:t> </w:t>
      </w:r>
      <w:r>
        <w:rPr/>
        <w:t>the</w:t>
      </w:r>
      <w:r>
        <w:rPr>
          <w:spacing w:val="-3"/>
        </w:rPr>
        <w:t> </w:t>
      </w:r>
      <w:r>
        <w:rPr/>
        <w:t>impact</w:t>
      </w:r>
      <w:r>
        <w:rPr>
          <w:spacing w:val="-4"/>
        </w:rPr>
        <w:t> </w:t>
      </w:r>
      <w:r>
        <w:rPr/>
        <w:t>of</w:t>
      </w:r>
      <w:r>
        <w:rPr>
          <w:spacing w:val="-4"/>
        </w:rPr>
        <w:t> </w:t>
      </w:r>
      <w:r>
        <w:rPr/>
        <w:t>the</w:t>
      </w:r>
      <w:r>
        <w:rPr>
          <w:spacing w:val="-5"/>
        </w:rPr>
        <w:t> </w:t>
      </w:r>
      <w:r>
        <w:rPr/>
        <w:t>red</w:t>
      </w:r>
      <w:r>
        <w:rPr>
          <w:spacing w:val="-4"/>
        </w:rPr>
        <w:t> </w:t>
      </w:r>
      <w:r>
        <w:rPr/>
        <w:t>fox</w:t>
      </w:r>
      <w:r>
        <w:rPr>
          <w:spacing w:val="-3"/>
        </w:rPr>
        <w:t> </w:t>
      </w:r>
      <w:r>
        <w:rPr/>
        <w:t>(</w:t>
      </w:r>
      <w:r>
        <w:rPr>
          <w:i/>
        </w:rPr>
        <w:t>Vulpes</w:t>
      </w:r>
      <w:r>
        <w:rPr>
          <w:i/>
          <w:spacing w:val="-1"/>
        </w:rPr>
        <w:t> </w:t>
      </w:r>
      <w:r>
        <w:rPr>
          <w:i/>
        </w:rPr>
        <w:t>vulpes</w:t>
      </w:r>
      <w:r>
        <w:rPr/>
        <w:t>)</w:t>
      </w:r>
      <w:r>
        <w:rPr>
          <w:spacing w:val="-3"/>
        </w:rPr>
        <w:t> </w:t>
      </w:r>
      <w:r>
        <w:rPr/>
        <w:t>on</w:t>
      </w:r>
      <w:r>
        <w:rPr>
          <w:spacing w:val="-4"/>
        </w:rPr>
        <w:t> </w:t>
      </w:r>
      <w:r>
        <w:rPr/>
        <w:t>lamb production. </w:t>
      </w:r>
      <w:r>
        <w:rPr>
          <w:i/>
        </w:rPr>
        <w:t>Wildlife Research </w:t>
      </w:r>
      <w:r>
        <w:rPr>
          <w:b/>
        </w:rPr>
        <w:t>37</w:t>
      </w:r>
      <w:r>
        <w:rPr/>
        <w:t>(8):695. doi: 10.1071/WR10082.</w:t>
      </w:r>
    </w:p>
    <w:p>
      <w:pPr>
        <w:pStyle w:val="BodyText"/>
        <w:spacing w:before="9"/>
      </w:pPr>
    </w:p>
    <w:p>
      <w:pPr>
        <w:pStyle w:val="BodyText"/>
        <w:ind w:left="833" w:right="232" w:hanging="721"/>
      </w:pPr>
      <w:r>
        <w:rPr/>
        <w:t>McLeod, L.J., Saunders, G.R., and Miners, A. (2011). Can shooting be an effective management tool for foxes?</w:t>
      </w:r>
      <w:r>
        <w:rPr>
          <w:spacing w:val="-6"/>
        </w:rPr>
        <w:t> </w:t>
      </w:r>
      <w:r>
        <w:rPr/>
        <w:t>preliminary</w:t>
      </w:r>
      <w:r>
        <w:rPr>
          <w:spacing w:val="-4"/>
        </w:rPr>
        <w:t> </w:t>
      </w:r>
      <w:r>
        <w:rPr/>
        <w:t>insights</w:t>
      </w:r>
      <w:r>
        <w:rPr>
          <w:spacing w:val="-3"/>
        </w:rPr>
        <w:t> </w:t>
      </w:r>
      <w:r>
        <w:rPr/>
        <w:t>from</w:t>
      </w:r>
      <w:r>
        <w:rPr>
          <w:spacing w:val="-6"/>
        </w:rPr>
        <w:t> </w:t>
      </w:r>
      <w:r>
        <w:rPr/>
        <w:t>a</w:t>
      </w:r>
      <w:r>
        <w:rPr>
          <w:spacing w:val="-4"/>
        </w:rPr>
        <w:t> </w:t>
      </w:r>
      <w:r>
        <w:rPr/>
        <w:t>management</w:t>
      </w:r>
      <w:r>
        <w:rPr>
          <w:spacing w:val="-6"/>
        </w:rPr>
        <w:t> </w:t>
      </w:r>
      <w:r>
        <w:rPr/>
        <w:t>programme: </w:t>
      </w:r>
      <w:r>
        <w:rPr>
          <w:i/>
        </w:rPr>
        <w:t>Ecological</w:t>
      </w:r>
      <w:r>
        <w:rPr>
          <w:i/>
          <w:spacing w:val="-5"/>
        </w:rPr>
        <w:t> </w:t>
      </w:r>
      <w:r>
        <w:rPr>
          <w:i/>
        </w:rPr>
        <w:t>Management</w:t>
      </w:r>
      <w:r>
        <w:rPr>
          <w:i/>
          <w:spacing w:val="-4"/>
        </w:rPr>
        <w:t> </w:t>
      </w:r>
      <w:r>
        <w:rPr>
          <w:i/>
        </w:rPr>
        <w:t>&amp;</w:t>
      </w:r>
      <w:r>
        <w:rPr>
          <w:i/>
          <w:spacing w:val="-6"/>
        </w:rPr>
        <w:t> </w:t>
      </w:r>
      <w:r>
        <w:rPr>
          <w:i/>
        </w:rPr>
        <w:t>Restoration</w:t>
      </w:r>
      <w:r>
        <w:rPr>
          <w:i/>
        </w:rPr>
        <w:t> </w:t>
      </w:r>
      <w:r>
        <w:rPr>
          <w:b/>
        </w:rPr>
        <w:t>12</w:t>
      </w:r>
      <w:r>
        <w:rPr/>
        <w:t>(3):224–26. doi: 10.1111/j.1442-8903.2011.00613.x.</w:t>
      </w:r>
    </w:p>
    <w:p>
      <w:pPr>
        <w:pStyle w:val="BodyText"/>
        <w:spacing w:before="11"/>
      </w:pPr>
    </w:p>
    <w:p>
      <w:pPr>
        <w:spacing w:before="1"/>
        <w:ind w:left="833" w:right="379" w:hanging="721"/>
        <w:jc w:val="left"/>
        <w:rPr>
          <w:sz w:val="20"/>
        </w:rPr>
      </w:pPr>
      <w:r>
        <w:rPr>
          <w:sz w:val="20"/>
        </w:rPr>
        <w:t>McLeod, L., Saunders, G., McLeod, S., and Walter, M. (2007). </w:t>
      </w:r>
      <w:r>
        <w:rPr>
          <w:i/>
          <w:sz w:val="20"/>
        </w:rPr>
        <w:t>Effective implementation of regional fox</w:t>
      </w:r>
      <w:r>
        <w:rPr>
          <w:i/>
          <w:sz w:val="20"/>
        </w:rPr>
        <w:t> control</w:t>
      </w:r>
      <w:r>
        <w:rPr>
          <w:i/>
          <w:spacing w:val="-3"/>
          <w:sz w:val="20"/>
        </w:rPr>
        <w:t> </w:t>
      </w:r>
      <w:r>
        <w:rPr>
          <w:i/>
          <w:sz w:val="20"/>
        </w:rPr>
        <w:t>programs.</w:t>
      </w:r>
      <w:r>
        <w:rPr>
          <w:i/>
          <w:spacing w:val="-4"/>
          <w:sz w:val="20"/>
        </w:rPr>
        <w:t> </w:t>
      </w:r>
      <w:r>
        <w:rPr>
          <w:i/>
          <w:sz w:val="20"/>
        </w:rPr>
        <w:t>final</w:t>
      </w:r>
      <w:r>
        <w:rPr>
          <w:i/>
          <w:spacing w:val="-3"/>
          <w:sz w:val="20"/>
        </w:rPr>
        <w:t> </w:t>
      </w:r>
      <w:r>
        <w:rPr>
          <w:i/>
          <w:sz w:val="20"/>
        </w:rPr>
        <w:t>report</w:t>
      </w:r>
      <w:r>
        <w:rPr>
          <w:i/>
          <w:spacing w:val="-4"/>
          <w:sz w:val="20"/>
        </w:rPr>
        <w:t> </w:t>
      </w:r>
      <w:r>
        <w:rPr>
          <w:i/>
          <w:sz w:val="20"/>
        </w:rPr>
        <w:t>to</w:t>
      </w:r>
      <w:r>
        <w:rPr>
          <w:i/>
          <w:spacing w:val="-5"/>
          <w:sz w:val="20"/>
        </w:rPr>
        <w:t> </w:t>
      </w:r>
      <w:r>
        <w:rPr>
          <w:i/>
          <w:sz w:val="20"/>
        </w:rPr>
        <w:t>the</w:t>
      </w:r>
      <w:r>
        <w:rPr>
          <w:i/>
          <w:spacing w:val="-4"/>
          <w:sz w:val="20"/>
        </w:rPr>
        <w:t> </w:t>
      </w:r>
      <w:r>
        <w:rPr>
          <w:i/>
          <w:sz w:val="20"/>
        </w:rPr>
        <w:t>bureau</w:t>
      </w:r>
      <w:r>
        <w:rPr>
          <w:i/>
          <w:spacing w:val="-2"/>
          <w:sz w:val="20"/>
        </w:rPr>
        <w:t> </w:t>
      </w:r>
      <w:r>
        <w:rPr>
          <w:i/>
          <w:sz w:val="20"/>
        </w:rPr>
        <w:t>of</w:t>
      </w:r>
      <w:r>
        <w:rPr>
          <w:i/>
          <w:spacing w:val="-4"/>
          <w:sz w:val="20"/>
        </w:rPr>
        <w:t> </w:t>
      </w:r>
      <w:r>
        <w:rPr>
          <w:i/>
          <w:sz w:val="20"/>
        </w:rPr>
        <w:t>rural</w:t>
      </w:r>
      <w:r>
        <w:rPr>
          <w:i/>
          <w:spacing w:val="-5"/>
          <w:sz w:val="20"/>
        </w:rPr>
        <w:t> </w:t>
      </w:r>
      <w:r>
        <w:rPr>
          <w:i/>
          <w:sz w:val="20"/>
        </w:rPr>
        <w:t>sciences,</w:t>
      </w:r>
      <w:r>
        <w:rPr>
          <w:i/>
          <w:spacing w:val="-4"/>
          <w:sz w:val="20"/>
        </w:rPr>
        <w:t> </w:t>
      </w:r>
      <w:r>
        <w:rPr>
          <w:i/>
          <w:sz w:val="20"/>
        </w:rPr>
        <w:t>department</w:t>
      </w:r>
      <w:r>
        <w:rPr>
          <w:i/>
          <w:spacing w:val="-4"/>
          <w:sz w:val="20"/>
        </w:rPr>
        <w:t> </w:t>
      </w:r>
      <w:r>
        <w:rPr>
          <w:i/>
          <w:sz w:val="20"/>
        </w:rPr>
        <w:t>of</w:t>
      </w:r>
      <w:r>
        <w:rPr>
          <w:i/>
          <w:spacing w:val="-4"/>
          <w:sz w:val="20"/>
        </w:rPr>
        <w:t> </w:t>
      </w:r>
      <w:r>
        <w:rPr>
          <w:i/>
          <w:sz w:val="20"/>
        </w:rPr>
        <w:t>agriculture,</w:t>
      </w:r>
      <w:r>
        <w:rPr>
          <w:i/>
          <w:spacing w:val="-4"/>
          <w:sz w:val="20"/>
        </w:rPr>
        <w:t> </w:t>
      </w:r>
      <w:r>
        <w:rPr>
          <w:i/>
          <w:sz w:val="20"/>
        </w:rPr>
        <w:t>fisheries</w:t>
      </w:r>
      <w:r>
        <w:rPr>
          <w:i/>
          <w:spacing w:val="-3"/>
          <w:sz w:val="20"/>
        </w:rPr>
        <w:t> </w:t>
      </w:r>
      <w:r>
        <w:rPr>
          <w:i/>
          <w:sz w:val="20"/>
        </w:rPr>
        <w:t>and forestry. </w:t>
      </w:r>
      <w:r>
        <w:rPr>
          <w:sz w:val="20"/>
        </w:rPr>
        <w:t>Vertebrate Pest Research Unit, NSW Department of Primary Industries.</w:t>
      </w:r>
    </w:p>
    <w:p>
      <w:pPr>
        <w:pStyle w:val="BodyText"/>
        <w:spacing w:before="9"/>
      </w:pPr>
    </w:p>
    <w:p>
      <w:pPr>
        <w:spacing w:before="0"/>
        <w:ind w:left="833" w:right="364" w:hanging="721"/>
        <w:jc w:val="left"/>
        <w:rPr>
          <w:sz w:val="20"/>
        </w:rPr>
      </w:pPr>
      <w:r>
        <w:rPr>
          <w:sz w:val="20"/>
        </w:rPr>
        <w:t>McLeod,</w:t>
      </w:r>
      <w:r>
        <w:rPr>
          <w:spacing w:val="-4"/>
          <w:sz w:val="20"/>
        </w:rPr>
        <w:t> </w:t>
      </w:r>
      <w:r>
        <w:rPr>
          <w:sz w:val="20"/>
        </w:rPr>
        <w:t>R.</w:t>
      </w:r>
      <w:r>
        <w:rPr>
          <w:spacing w:val="-4"/>
          <w:sz w:val="20"/>
        </w:rPr>
        <w:t> </w:t>
      </w:r>
      <w:r>
        <w:rPr>
          <w:sz w:val="20"/>
        </w:rPr>
        <w:t>(2004).</w:t>
      </w:r>
      <w:r>
        <w:rPr>
          <w:spacing w:val="-1"/>
          <w:sz w:val="20"/>
        </w:rPr>
        <w:t> </w:t>
      </w:r>
      <w:r>
        <w:rPr>
          <w:i/>
          <w:sz w:val="20"/>
        </w:rPr>
        <w:t>Counting</w:t>
      </w:r>
      <w:r>
        <w:rPr>
          <w:i/>
          <w:spacing w:val="-5"/>
          <w:sz w:val="20"/>
        </w:rPr>
        <w:t> </w:t>
      </w:r>
      <w:r>
        <w:rPr>
          <w:i/>
          <w:sz w:val="20"/>
        </w:rPr>
        <w:t>the</w:t>
      </w:r>
      <w:r>
        <w:rPr>
          <w:i/>
          <w:spacing w:val="-4"/>
          <w:sz w:val="20"/>
        </w:rPr>
        <w:t> </w:t>
      </w:r>
      <w:r>
        <w:rPr>
          <w:i/>
          <w:sz w:val="20"/>
        </w:rPr>
        <w:t>cost:</w:t>
      </w:r>
      <w:r>
        <w:rPr>
          <w:i/>
          <w:spacing w:val="-2"/>
          <w:sz w:val="20"/>
        </w:rPr>
        <w:t> </w:t>
      </w:r>
      <w:r>
        <w:rPr>
          <w:i/>
          <w:sz w:val="20"/>
        </w:rPr>
        <w:t>impact</w:t>
      </w:r>
      <w:r>
        <w:rPr>
          <w:i/>
          <w:spacing w:val="-4"/>
          <w:sz w:val="20"/>
        </w:rPr>
        <w:t> </w:t>
      </w:r>
      <w:r>
        <w:rPr>
          <w:i/>
          <w:sz w:val="20"/>
        </w:rPr>
        <w:t>of</w:t>
      </w:r>
      <w:r>
        <w:rPr>
          <w:i/>
          <w:spacing w:val="-2"/>
          <w:sz w:val="20"/>
        </w:rPr>
        <w:t> </w:t>
      </w:r>
      <w:r>
        <w:rPr>
          <w:i/>
          <w:sz w:val="20"/>
        </w:rPr>
        <w:t>invasive</w:t>
      </w:r>
      <w:r>
        <w:rPr>
          <w:i/>
          <w:spacing w:val="-4"/>
          <w:sz w:val="20"/>
        </w:rPr>
        <w:t> </w:t>
      </w:r>
      <w:r>
        <w:rPr>
          <w:i/>
          <w:sz w:val="20"/>
        </w:rPr>
        <w:t>animals</w:t>
      </w:r>
      <w:r>
        <w:rPr>
          <w:i/>
          <w:spacing w:val="-2"/>
          <w:sz w:val="20"/>
        </w:rPr>
        <w:t> </w:t>
      </w:r>
      <w:r>
        <w:rPr>
          <w:i/>
          <w:sz w:val="20"/>
        </w:rPr>
        <w:t>in Australia</w:t>
      </w:r>
      <w:r>
        <w:rPr>
          <w:sz w:val="20"/>
        </w:rPr>
        <w:t>.</w:t>
      </w:r>
      <w:r>
        <w:rPr>
          <w:spacing w:val="-2"/>
          <w:sz w:val="20"/>
        </w:rPr>
        <w:t> </w:t>
      </w:r>
      <w:r>
        <w:rPr>
          <w:sz w:val="20"/>
        </w:rPr>
        <w:t>Cooperative</w:t>
      </w:r>
      <w:r>
        <w:rPr>
          <w:spacing w:val="-4"/>
          <w:sz w:val="20"/>
        </w:rPr>
        <w:t> </w:t>
      </w:r>
      <w:r>
        <w:rPr>
          <w:sz w:val="20"/>
        </w:rPr>
        <w:t>Research</w:t>
      </w:r>
      <w:r>
        <w:rPr>
          <w:spacing w:val="-4"/>
          <w:sz w:val="20"/>
        </w:rPr>
        <w:t> </w:t>
      </w:r>
      <w:r>
        <w:rPr>
          <w:sz w:val="20"/>
        </w:rPr>
        <w:t>Centre for Pest Animal Control. Canberra.</w:t>
      </w:r>
    </w:p>
    <w:p>
      <w:pPr>
        <w:pStyle w:val="BodyText"/>
        <w:spacing w:before="11"/>
      </w:pPr>
    </w:p>
    <w:p>
      <w:pPr>
        <w:pStyle w:val="BodyText"/>
        <w:ind w:left="833" w:right="544" w:hanging="721"/>
      </w:pPr>
      <w:r>
        <w:rPr/>
        <w:t>McPhee,</w:t>
      </w:r>
      <w:r>
        <w:rPr>
          <w:spacing w:val="-2"/>
        </w:rPr>
        <w:t> </w:t>
      </w:r>
      <w:r>
        <w:rPr/>
        <w:t>S.R.,</w:t>
      </w:r>
      <w:r>
        <w:rPr>
          <w:spacing w:val="-2"/>
        </w:rPr>
        <w:t> </w:t>
      </w:r>
      <w:r>
        <w:rPr/>
        <w:t>and</w:t>
      </w:r>
      <w:r>
        <w:rPr>
          <w:spacing w:val="-2"/>
        </w:rPr>
        <w:t> </w:t>
      </w:r>
      <w:r>
        <w:rPr/>
        <w:t>Butler,</w:t>
      </w:r>
      <w:r>
        <w:rPr>
          <w:spacing w:val="-1"/>
        </w:rPr>
        <w:t> </w:t>
      </w:r>
      <w:r>
        <w:rPr/>
        <w:t>K.L.</w:t>
      </w:r>
      <w:r>
        <w:rPr>
          <w:spacing w:val="-4"/>
        </w:rPr>
        <w:t> </w:t>
      </w:r>
      <w:r>
        <w:rPr/>
        <w:t>(2010).</w:t>
      </w:r>
      <w:r>
        <w:rPr>
          <w:spacing w:val="-4"/>
        </w:rPr>
        <w:t> </w:t>
      </w:r>
      <w:r>
        <w:rPr/>
        <w:t>Long-term</w:t>
      </w:r>
      <w:r>
        <w:rPr>
          <w:spacing w:val="-1"/>
        </w:rPr>
        <w:t> </w:t>
      </w:r>
      <w:r>
        <w:rPr/>
        <w:t>impact</w:t>
      </w:r>
      <w:r>
        <w:rPr>
          <w:spacing w:val="-4"/>
        </w:rPr>
        <w:t> </w:t>
      </w:r>
      <w:r>
        <w:rPr/>
        <w:t>of</w:t>
      </w:r>
      <w:r>
        <w:rPr>
          <w:spacing w:val="-4"/>
        </w:rPr>
        <w:t> </w:t>
      </w:r>
      <w:r>
        <w:rPr/>
        <w:t>coordinated</w:t>
      </w:r>
      <w:r>
        <w:rPr>
          <w:spacing w:val="-4"/>
        </w:rPr>
        <w:t> </w:t>
      </w:r>
      <w:r>
        <w:rPr/>
        <w:t>warren</w:t>
      </w:r>
      <w:r>
        <w:rPr>
          <w:spacing w:val="-2"/>
        </w:rPr>
        <w:t> </w:t>
      </w:r>
      <w:r>
        <w:rPr/>
        <w:t>ripping</w:t>
      </w:r>
      <w:r>
        <w:rPr>
          <w:spacing w:val="-5"/>
        </w:rPr>
        <w:t> </w:t>
      </w:r>
      <w:r>
        <w:rPr/>
        <w:t>programmes</w:t>
      </w:r>
      <w:r>
        <w:rPr>
          <w:spacing w:val="-3"/>
        </w:rPr>
        <w:t> </w:t>
      </w:r>
      <w:r>
        <w:rPr/>
        <w:t>on rabbit populations. </w:t>
      </w:r>
      <w:r>
        <w:rPr>
          <w:i/>
        </w:rPr>
        <w:t>Wildlife Research </w:t>
      </w:r>
      <w:r>
        <w:rPr>
          <w:b/>
        </w:rPr>
        <w:t>37</w:t>
      </w:r>
      <w:r>
        <w:rPr/>
        <w:t>(1):68. doi: 10.1071/WR09103.</w:t>
      </w:r>
    </w:p>
    <w:p>
      <w:pPr>
        <w:pStyle w:val="BodyText"/>
        <w:spacing w:before="8"/>
      </w:pPr>
    </w:p>
    <w:p>
      <w:pPr>
        <w:pStyle w:val="BodyText"/>
        <w:ind w:left="833" w:right="163" w:hanging="721"/>
      </w:pPr>
      <w:r>
        <w:rPr/>
        <w:t>Meade,</w:t>
      </w:r>
      <w:r>
        <w:rPr>
          <w:spacing w:val="-4"/>
        </w:rPr>
        <w:t> </w:t>
      </w:r>
      <w:r>
        <w:rPr/>
        <w:t>T.</w:t>
      </w:r>
      <w:r>
        <w:rPr>
          <w:spacing w:val="-4"/>
        </w:rPr>
        <w:t> </w:t>
      </w:r>
      <w:r>
        <w:rPr/>
        <w:t>(2015).</w:t>
      </w:r>
      <w:r>
        <w:rPr>
          <w:spacing w:val="-1"/>
        </w:rPr>
        <w:t> </w:t>
      </w:r>
      <w:r>
        <w:rPr/>
        <w:t>Protect</w:t>
      </w:r>
      <w:r>
        <w:rPr>
          <w:spacing w:val="-4"/>
        </w:rPr>
        <w:t> </w:t>
      </w:r>
      <w:r>
        <w:rPr/>
        <w:t>your</w:t>
      </w:r>
      <w:r>
        <w:rPr>
          <w:spacing w:val="-3"/>
        </w:rPr>
        <w:t> </w:t>
      </w:r>
      <w:r>
        <w:rPr/>
        <w:t>flock</w:t>
      </w:r>
      <w:r>
        <w:rPr>
          <w:spacing w:val="-3"/>
        </w:rPr>
        <w:t> </w:t>
      </w:r>
      <w:r>
        <w:rPr/>
        <w:t>with</w:t>
      </w:r>
      <w:r>
        <w:rPr>
          <w:spacing w:val="-2"/>
        </w:rPr>
        <w:t> </w:t>
      </w:r>
      <w:r>
        <w:rPr/>
        <w:t>guard</w:t>
      </w:r>
      <w:r>
        <w:rPr>
          <w:spacing w:val="-4"/>
        </w:rPr>
        <w:t> </w:t>
      </w:r>
      <w:r>
        <w:rPr/>
        <w:t>donkeys:</w:t>
      </w:r>
      <w:r>
        <w:rPr>
          <w:spacing w:val="-4"/>
        </w:rPr>
        <w:t> </w:t>
      </w:r>
      <w:r>
        <w:rPr/>
        <w:t>Kick</w:t>
      </w:r>
      <w:r>
        <w:rPr>
          <w:spacing w:val="-3"/>
        </w:rPr>
        <w:t> </w:t>
      </w:r>
      <w:r>
        <w:rPr/>
        <w:t>up</w:t>
      </w:r>
      <w:r>
        <w:rPr>
          <w:spacing w:val="-3"/>
        </w:rPr>
        <w:t> </w:t>
      </w:r>
      <w:r>
        <w:rPr/>
        <w:t>herd</w:t>
      </w:r>
      <w:r>
        <w:rPr>
          <w:spacing w:val="-2"/>
        </w:rPr>
        <w:t> </w:t>
      </w:r>
      <w:r>
        <w:rPr/>
        <w:t>protection</w:t>
      </w:r>
      <w:r>
        <w:rPr>
          <w:spacing w:val="-2"/>
        </w:rPr>
        <w:t> </w:t>
      </w:r>
      <w:r>
        <w:rPr/>
        <w:t>on</w:t>
      </w:r>
      <w:r>
        <w:rPr>
          <w:spacing w:val="-4"/>
        </w:rPr>
        <w:t> </w:t>
      </w:r>
      <w:r>
        <w:rPr/>
        <w:t>your</w:t>
      </w:r>
      <w:r>
        <w:rPr>
          <w:spacing w:val="-3"/>
        </w:rPr>
        <w:t> </w:t>
      </w:r>
      <w:r>
        <w:rPr/>
        <w:t>hobby</w:t>
      </w:r>
      <w:r>
        <w:rPr>
          <w:spacing w:val="-3"/>
        </w:rPr>
        <w:t> </w:t>
      </w:r>
      <w:r>
        <w:rPr/>
        <w:t>farm</w:t>
      </w:r>
      <w:r>
        <w:rPr>
          <w:spacing w:val="-4"/>
        </w:rPr>
        <w:t> </w:t>
      </w:r>
      <w:r>
        <w:rPr/>
        <w:t>with</w:t>
      </w:r>
      <w:r>
        <w:rPr>
          <w:spacing w:val="-2"/>
        </w:rPr>
        <w:t> </w:t>
      </w:r>
      <w:r>
        <w:rPr/>
        <w:t>a guard donkey. Available at: </w:t>
      </w:r>
      <w:hyperlink r:id="rId104">
        <w:r>
          <w:rPr>
            <w:color w:val="0000FF"/>
            <w:u w:val="single" w:color="0000FF"/>
          </w:rPr>
          <w:t>http://www.hobbyfarms. com/livestock-and-pets/guard-donkeys.aspx</w:t>
        </w:r>
      </w:hyperlink>
      <w:r>
        <w:rPr>
          <w:color w:val="0000FF"/>
          <w:u w:val="none"/>
        </w:rPr>
        <w:t> </w:t>
      </w:r>
      <w:r>
        <w:rPr>
          <w:u w:val="none"/>
        </w:rPr>
        <w:t>[accessed 25 October 2024].</w:t>
      </w:r>
    </w:p>
    <w:p>
      <w:pPr>
        <w:pStyle w:val="BodyText"/>
        <w:spacing w:before="11"/>
      </w:pPr>
    </w:p>
    <w:p>
      <w:pPr>
        <w:pStyle w:val="BodyText"/>
        <w:spacing w:before="1"/>
        <w:ind w:right="266"/>
        <w:jc w:val="center"/>
      </w:pPr>
      <w:r>
        <w:rPr/>
        <w:t>Meek,</w:t>
      </w:r>
      <w:r>
        <w:rPr>
          <w:spacing w:val="-5"/>
        </w:rPr>
        <w:t> </w:t>
      </w:r>
      <w:r>
        <w:rPr/>
        <w:t>P.D.,</w:t>
      </w:r>
      <w:r>
        <w:rPr>
          <w:spacing w:val="-5"/>
        </w:rPr>
        <w:t> </w:t>
      </w:r>
      <w:r>
        <w:rPr/>
        <w:t>Brown,</w:t>
      </w:r>
      <w:r>
        <w:rPr>
          <w:spacing w:val="-5"/>
        </w:rPr>
        <w:t> </w:t>
      </w:r>
      <w:r>
        <w:rPr/>
        <w:t>S.C.,</w:t>
      </w:r>
      <w:r>
        <w:rPr>
          <w:spacing w:val="-5"/>
        </w:rPr>
        <w:t> </w:t>
      </w:r>
      <w:r>
        <w:rPr/>
        <w:t>Wishart,</w:t>
      </w:r>
      <w:r>
        <w:rPr>
          <w:spacing w:val="-7"/>
        </w:rPr>
        <w:t> </w:t>
      </w:r>
      <w:r>
        <w:rPr/>
        <w:t>J.,</w:t>
      </w:r>
      <w:r>
        <w:rPr>
          <w:spacing w:val="-7"/>
        </w:rPr>
        <w:t> </w:t>
      </w:r>
      <w:r>
        <w:rPr/>
        <w:t>Milne,</w:t>
      </w:r>
      <w:r>
        <w:rPr>
          <w:spacing w:val="-4"/>
        </w:rPr>
        <w:t> </w:t>
      </w:r>
      <w:r>
        <w:rPr/>
        <w:t>H.,</w:t>
      </w:r>
      <w:r>
        <w:rPr>
          <w:spacing w:val="-5"/>
        </w:rPr>
        <w:t> </w:t>
      </w:r>
      <w:r>
        <w:rPr/>
        <w:t>Aylett,</w:t>
      </w:r>
      <w:r>
        <w:rPr>
          <w:spacing w:val="-7"/>
        </w:rPr>
        <w:t> </w:t>
      </w:r>
      <w:r>
        <w:rPr/>
        <w:t>P.,</w:t>
      </w:r>
      <w:r>
        <w:rPr>
          <w:spacing w:val="-5"/>
        </w:rPr>
        <w:t> </w:t>
      </w:r>
      <w:r>
        <w:rPr/>
        <w:t>Humphrys,</w:t>
      </w:r>
      <w:r>
        <w:rPr>
          <w:spacing w:val="-7"/>
        </w:rPr>
        <w:t> </w:t>
      </w:r>
      <w:r>
        <w:rPr/>
        <w:t>S.,</w:t>
      </w:r>
      <w:r>
        <w:rPr>
          <w:spacing w:val="-5"/>
        </w:rPr>
        <w:t> </w:t>
      </w:r>
      <w:r>
        <w:rPr/>
        <w:t>Ballard,</w:t>
      </w:r>
      <w:r>
        <w:rPr>
          <w:spacing w:val="-4"/>
        </w:rPr>
        <w:t> </w:t>
      </w:r>
      <w:r>
        <w:rPr/>
        <w:t>G.,</w:t>
      </w:r>
      <w:r>
        <w:rPr>
          <w:spacing w:val="-6"/>
        </w:rPr>
        <w:t> </w:t>
      </w:r>
      <w:r>
        <w:rPr/>
        <w:t>and</w:t>
      </w:r>
      <w:r>
        <w:rPr>
          <w:spacing w:val="-5"/>
        </w:rPr>
        <w:t> </w:t>
      </w:r>
      <w:r>
        <w:rPr/>
        <w:t>Fleming,</w:t>
      </w:r>
      <w:r>
        <w:rPr>
          <w:spacing w:val="-5"/>
        </w:rPr>
        <w:t> </w:t>
      </w:r>
      <w:r>
        <w:rPr/>
        <w:t>P.</w:t>
      </w:r>
      <w:r>
        <w:rPr>
          <w:spacing w:val="-7"/>
        </w:rPr>
        <w:t> </w:t>
      </w:r>
      <w:r>
        <w:rPr>
          <w:spacing w:val="-2"/>
        </w:rPr>
        <w:t>(2019).</w:t>
      </w:r>
    </w:p>
    <w:p>
      <w:pPr>
        <w:pStyle w:val="BodyText"/>
        <w:ind w:right="301"/>
        <w:jc w:val="center"/>
        <w:rPr>
          <w:i/>
        </w:rPr>
      </w:pPr>
      <w:r>
        <w:rPr/>
        <w:t>Efficacy</w:t>
      </w:r>
      <w:r>
        <w:rPr>
          <w:spacing w:val="-7"/>
        </w:rPr>
        <w:t> </w:t>
      </w:r>
      <w:r>
        <w:rPr/>
        <w:t>of</w:t>
      </w:r>
      <w:r>
        <w:rPr>
          <w:spacing w:val="-6"/>
        </w:rPr>
        <w:t> </w:t>
      </w:r>
      <w:r>
        <w:rPr/>
        <w:t>lethal-trap</w:t>
      </w:r>
      <w:r>
        <w:rPr>
          <w:spacing w:val="-7"/>
        </w:rPr>
        <w:t> </w:t>
      </w:r>
      <w:r>
        <w:rPr/>
        <w:t>devices</w:t>
      </w:r>
      <w:r>
        <w:rPr>
          <w:spacing w:val="-7"/>
        </w:rPr>
        <w:t> </w:t>
      </w:r>
      <w:r>
        <w:rPr/>
        <w:t>to</w:t>
      </w:r>
      <w:r>
        <w:rPr>
          <w:spacing w:val="-9"/>
        </w:rPr>
        <w:t> </w:t>
      </w:r>
      <w:r>
        <w:rPr/>
        <w:t>improve</w:t>
      </w:r>
      <w:r>
        <w:rPr>
          <w:spacing w:val="-6"/>
        </w:rPr>
        <w:t> </w:t>
      </w:r>
      <w:r>
        <w:rPr/>
        <w:t>the</w:t>
      </w:r>
      <w:r>
        <w:rPr>
          <w:spacing w:val="-7"/>
        </w:rPr>
        <w:t> </w:t>
      </w:r>
      <w:r>
        <w:rPr/>
        <w:t>welfare</w:t>
      </w:r>
      <w:r>
        <w:rPr>
          <w:spacing w:val="-6"/>
        </w:rPr>
        <w:t> </w:t>
      </w:r>
      <w:r>
        <w:rPr/>
        <w:t>of</w:t>
      </w:r>
      <w:r>
        <w:rPr>
          <w:spacing w:val="-8"/>
        </w:rPr>
        <w:t> </w:t>
      </w:r>
      <w:r>
        <w:rPr/>
        <w:t>trapped</w:t>
      </w:r>
      <w:r>
        <w:rPr>
          <w:spacing w:val="-8"/>
        </w:rPr>
        <w:t> </w:t>
      </w:r>
      <w:r>
        <w:rPr/>
        <w:t>wild</w:t>
      </w:r>
      <w:r>
        <w:rPr>
          <w:spacing w:val="-8"/>
        </w:rPr>
        <w:t> </w:t>
      </w:r>
      <w:r>
        <w:rPr/>
        <w:t>dogs.</w:t>
      </w:r>
      <w:r>
        <w:rPr>
          <w:spacing w:val="-1"/>
        </w:rPr>
        <w:t> </w:t>
      </w:r>
      <w:r>
        <w:rPr>
          <w:i/>
        </w:rPr>
        <w:t>Wildlife</w:t>
      </w:r>
      <w:r>
        <w:rPr>
          <w:i/>
          <w:spacing w:val="-6"/>
        </w:rPr>
        <w:t> </w:t>
      </w:r>
      <w:r>
        <w:rPr>
          <w:i/>
          <w:spacing w:val="-2"/>
        </w:rPr>
        <w:t>Research</w:t>
      </w:r>
    </w:p>
    <w:p>
      <w:pPr>
        <w:pStyle w:val="BodyText"/>
        <w:ind w:right="5149"/>
        <w:jc w:val="center"/>
      </w:pPr>
      <w:r>
        <w:rPr>
          <w:b/>
        </w:rPr>
        <w:t>46</w:t>
      </w:r>
      <w:r>
        <w:rPr/>
        <w:t>(1):89–95.</w:t>
      </w:r>
      <w:r>
        <w:rPr>
          <w:spacing w:val="-10"/>
        </w:rPr>
        <w:t> </w:t>
      </w:r>
      <w:r>
        <w:rPr/>
        <w:t>doi:</w:t>
      </w:r>
      <w:r>
        <w:rPr>
          <w:spacing w:val="-7"/>
        </w:rPr>
        <w:t> </w:t>
      </w:r>
      <w:r>
        <w:rPr>
          <w:spacing w:val="-2"/>
        </w:rPr>
        <w:t>10.1071/WR18129.</w:t>
      </w:r>
    </w:p>
    <w:p>
      <w:pPr>
        <w:pStyle w:val="BodyText"/>
        <w:spacing w:before="8"/>
      </w:pPr>
    </w:p>
    <w:p>
      <w:pPr>
        <w:pStyle w:val="BodyText"/>
        <w:spacing w:before="1"/>
        <w:ind w:left="833" w:right="544" w:hanging="721"/>
      </w:pPr>
      <w:r>
        <w:rPr/>
        <w:t>Meek,</w:t>
      </w:r>
      <w:r>
        <w:rPr>
          <w:spacing w:val="-2"/>
        </w:rPr>
        <w:t> </w:t>
      </w:r>
      <w:r>
        <w:rPr/>
        <w:t>P.D.</w:t>
      </w:r>
      <w:r>
        <w:rPr>
          <w:spacing w:val="-4"/>
        </w:rPr>
        <w:t> </w:t>
      </w:r>
      <w:r>
        <w:rPr/>
        <w:t>(1998).</w:t>
      </w:r>
      <w:r>
        <w:rPr>
          <w:spacing w:val="-1"/>
        </w:rPr>
        <w:t> </w:t>
      </w:r>
      <w:r>
        <w:rPr/>
        <w:t>The</w:t>
      </w:r>
      <w:r>
        <w:rPr>
          <w:spacing w:val="-2"/>
        </w:rPr>
        <w:t> </w:t>
      </w:r>
      <w:r>
        <w:rPr/>
        <w:t>biology</w:t>
      </w:r>
      <w:r>
        <w:rPr>
          <w:spacing w:val="-3"/>
        </w:rPr>
        <w:t> </w:t>
      </w:r>
      <w:r>
        <w:rPr/>
        <w:t>of</w:t>
      </w:r>
      <w:r>
        <w:rPr>
          <w:spacing w:val="-4"/>
        </w:rPr>
        <w:t> </w:t>
      </w:r>
      <w:r>
        <w:rPr/>
        <w:t>the European</w:t>
      </w:r>
      <w:r>
        <w:rPr>
          <w:spacing w:val="-4"/>
        </w:rPr>
        <w:t> </w:t>
      </w:r>
      <w:r>
        <w:rPr/>
        <w:t>red</w:t>
      </w:r>
      <w:r>
        <w:rPr>
          <w:spacing w:val="-3"/>
        </w:rPr>
        <w:t> </w:t>
      </w:r>
      <w:r>
        <w:rPr/>
        <w:t>fox</w:t>
      </w:r>
      <w:r>
        <w:rPr>
          <w:spacing w:val="-3"/>
        </w:rPr>
        <w:t> </w:t>
      </w:r>
      <w:r>
        <w:rPr/>
        <w:t>and</w:t>
      </w:r>
      <w:r>
        <w:rPr>
          <w:spacing w:val="-4"/>
        </w:rPr>
        <w:t> </w:t>
      </w:r>
      <w:r>
        <w:rPr/>
        <w:t>free</w:t>
      </w:r>
      <w:r>
        <w:rPr>
          <w:spacing w:val="-4"/>
        </w:rPr>
        <w:t> </w:t>
      </w:r>
      <w:r>
        <w:rPr/>
        <w:t>roaming</w:t>
      </w:r>
      <w:r>
        <w:rPr>
          <w:spacing w:val="-5"/>
        </w:rPr>
        <w:t> </w:t>
      </w:r>
      <w:r>
        <w:rPr/>
        <w:t>dog</w:t>
      </w:r>
      <w:r>
        <w:rPr>
          <w:spacing w:val="-3"/>
        </w:rPr>
        <w:t> </w:t>
      </w:r>
      <w:r>
        <w:rPr/>
        <w:t>on Bherwerre</w:t>
      </w:r>
      <w:r>
        <w:rPr>
          <w:spacing w:val="-3"/>
        </w:rPr>
        <w:t> </w:t>
      </w:r>
      <w:r>
        <w:rPr/>
        <w:t>Peninsula, Jervis Bay. M.Sc., University of Canberra, ACT.</w:t>
      </w:r>
    </w:p>
    <w:p>
      <w:pPr>
        <w:pStyle w:val="BodyText"/>
        <w:spacing w:before="11"/>
      </w:pPr>
    </w:p>
    <w:p>
      <w:pPr>
        <w:pStyle w:val="BodyText"/>
        <w:ind w:left="833" w:right="364" w:hanging="721"/>
      </w:pPr>
      <w:r>
        <w:rPr/>
        <w:t>Meek,</w:t>
      </w:r>
      <w:r>
        <w:rPr>
          <w:spacing w:val="-2"/>
        </w:rPr>
        <w:t> </w:t>
      </w:r>
      <w:r>
        <w:rPr/>
        <w:t>P.D.,</w:t>
      </w:r>
      <w:r>
        <w:rPr>
          <w:spacing w:val="-3"/>
        </w:rPr>
        <w:t> </w:t>
      </w:r>
      <w:r>
        <w:rPr/>
        <w:t>Jenkins,</w:t>
      </w:r>
      <w:r>
        <w:rPr>
          <w:spacing w:val="-2"/>
        </w:rPr>
        <w:t> </w:t>
      </w:r>
      <w:r>
        <w:rPr/>
        <w:t>D.J.,</w:t>
      </w:r>
      <w:r>
        <w:rPr>
          <w:spacing w:val="-2"/>
        </w:rPr>
        <w:t> </w:t>
      </w:r>
      <w:r>
        <w:rPr/>
        <w:t>Morris,</w:t>
      </w:r>
      <w:r>
        <w:rPr>
          <w:spacing w:val="-3"/>
        </w:rPr>
        <w:t> </w:t>
      </w:r>
      <w:r>
        <w:rPr/>
        <w:t>B.,</w:t>
      </w:r>
      <w:r>
        <w:rPr>
          <w:spacing w:val="-3"/>
        </w:rPr>
        <w:t> </w:t>
      </w:r>
      <w:r>
        <w:rPr/>
        <w:t>Ardler,</w:t>
      </w:r>
      <w:r>
        <w:rPr>
          <w:spacing w:val="-1"/>
        </w:rPr>
        <w:t> </w:t>
      </w:r>
      <w:r>
        <w:rPr/>
        <w:t>A.J.,</w:t>
      </w:r>
      <w:r>
        <w:rPr>
          <w:spacing w:val="-2"/>
        </w:rPr>
        <w:t> </w:t>
      </w:r>
      <w:r>
        <w:rPr/>
        <w:t>and</w:t>
      </w:r>
      <w:r>
        <w:rPr>
          <w:spacing w:val="-2"/>
        </w:rPr>
        <w:t> </w:t>
      </w:r>
      <w:r>
        <w:rPr/>
        <w:t>Hawksby,</w:t>
      </w:r>
      <w:r>
        <w:rPr>
          <w:spacing w:val="-3"/>
        </w:rPr>
        <w:t> </w:t>
      </w:r>
      <w:r>
        <w:rPr/>
        <w:t>R.J.</w:t>
      </w:r>
      <w:r>
        <w:rPr>
          <w:spacing w:val="-3"/>
        </w:rPr>
        <w:t> </w:t>
      </w:r>
      <w:r>
        <w:rPr/>
        <w:t>(1995).</w:t>
      </w:r>
      <w:r>
        <w:rPr>
          <w:spacing w:val="-3"/>
        </w:rPr>
        <w:t> </w:t>
      </w:r>
      <w:r>
        <w:rPr/>
        <w:t>Use</w:t>
      </w:r>
      <w:r>
        <w:rPr>
          <w:spacing w:val="-2"/>
        </w:rPr>
        <w:t> </w:t>
      </w:r>
      <w:r>
        <w:rPr/>
        <w:t>of</w:t>
      </w:r>
      <w:r>
        <w:rPr>
          <w:spacing w:val="-3"/>
        </w:rPr>
        <w:t> </w:t>
      </w:r>
      <w:r>
        <w:rPr/>
        <w:t>two</w:t>
      </w:r>
      <w:r>
        <w:rPr>
          <w:spacing w:val="-3"/>
        </w:rPr>
        <w:t> </w:t>
      </w:r>
      <w:r>
        <w:rPr/>
        <w:t>humane</w:t>
      </w:r>
      <w:r>
        <w:rPr>
          <w:spacing w:val="-3"/>
        </w:rPr>
        <w:t> </w:t>
      </w:r>
      <w:r>
        <w:rPr/>
        <w:t>leg-hold traps for catching pest species. </w:t>
      </w:r>
      <w:r>
        <w:rPr>
          <w:i/>
        </w:rPr>
        <w:t>Wildlife Research </w:t>
      </w:r>
      <w:r>
        <w:rPr>
          <w:b/>
        </w:rPr>
        <w:t>22</w:t>
      </w:r>
      <w:r>
        <w:rPr/>
        <w:t>(6):733. doi: 10.1071/WR9950733.</w:t>
      </w:r>
    </w:p>
    <w:p>
      <w:pPr>
        <w:pStyle w:val="BodyText"/>
        <w:spacing w:before="10"/>
      </w:pPr>
    </w:p>
    <w:p>
      <w:pPr>
        <w:pStyle w:val="BodyText"/>
        <w:spacing w:before="1"/>
        <w:ind w:left="833" w:right="163" w:hanging="721"/>
      </w:pPr>
      <w:r>
        <w:rPr/>
        <w:t>Meek,</w:t>
      </w:r>
      <w:r>
        <w:rPr>
          <w:spacing w:val="-2"/>
        </w:rPr>
        <w:t> </w:t>
      </w:r>
      <w:r>
        <w:rPr/>
        <w:t>P.D.,</w:t>
      </w:r>
      <w:r>
        <w:rPr>
          <w:spacing w:val="-2"/>
        </w:rPr>
        <w:t> </w:t>
      </w:r>
      <w:r>
        <w:rPr/>
        <w:t>Ballard,</w:t>
      </w:r>
      <w:r>
        <w:rPr>
          <w:spacing w:val="-3"/>
        </w:rPr>
        <w:t> </w:t>
      </w:r>
      <w:r>
        <w:rPr/>
        <w:t>G.,</w:t>
      </w:r>
      <w:r>
        <w:rPr>
          <w:spacing w:val="-2"/>
        </w:rPr>
        <w:t> </w:t>
      </w:r>
      <w:r>
        <w:rPr/>
        <w:t>Milne,</w:t>
      </w:r>
      <w:r>
        <w:rPr>
          <w:spacing w:val="-3"/>
        </w:rPr>
        <w:t> </w:t>
      </w:r>
      <w:r>
        <w:rPr/>
        <w:t>H.,</w:t>
      </w:r>
      <w:r>
        <w:rPr>
          <w:spacing w:val="-3"/>
        </w:rPr>
        <w:t> </w:t>
      </w:r>
      <w:r>
        <w:rPr/>
        <w:t>Croft,</w:t>
      </w:r>
      <w:r>
        <w:rPr>
          <w:spacing w:val="-2"/>
        </w:rPr>
        <w:t> </w:t>
      </w:r>
      <w:r>
        <w:rPr/>
        <w:t>S.,</w:t>
      </w:r>
      <w:r>
        <w:rPr>
          <w:spacing w:val="-2"/>
        </w:rPr>
        <w:t> </w:t>
      </w:r>
      <w:r>
        <w:rPr/>
        <w:t>Lawson,</w:t>
      </w:r>
      <w:r>
        <w:rPr>
          <w:spacing w:val="-3"/>
        </w:rPr>
        <w:t> </w:t>
      </w:r>
      <w:r>
        <w:rPr/>
        <w:t>G.,</w:t>
      </w:r>
      <w:r>
        <w:rPr>
          <w:spacing w:val="-3"/>
        </w:rPr>
        <w:t> </w:t>
      </w:r>
      <w:r>
        <w:rPr/>
        <w:t>and</w:t>
      </w:r>
      <w:r>
        <w:rPr>
          <w:spacing w:val="-3"/>
        </w:rPr>
        <w:t> </w:t>
      </w:r>
      <w:r>
        <w:rPr/>
        <w:t>Fleming,</w:t>
      </w:r>
      <w:r>
        <w:rPr>
          <w:spacing w:val="-2"/>
        </w:rPr>
        <w:t> </w:t>
      </w:r>
      <w:r>
        <w:rPr/>
        <w:t>P.J.S.</w:t>
      </w:r>
      <w:r>
        <w:rPr>
          <w:spacing w:val="-3"/>
        </w:rPr>
        <w:t> </w:t>
      </w:r>
      <w:r>
        <w:rPr/>
        <w:t>(2020).</w:t>
      </w:r>
      <w:r>
        <w:rPr>
          <w:spacing w:val="-3"/>
        </w:rPr>
        <w:t> </w:t>
      </w:r>
      <w:r>
        <w:rPr/>
        <w:t>Satellite</w:t>
      </w:r>
      <w:r>
        <w:rPr>
          <w:spacing w:val="-4"/>
        </w:rPr>
        <w:t> </w:t>
      </w:r>
      <w:r>
        <w:rPr/>
        <w:t>and telecommunication alert system for foothold trapping. </w:t>
      </w:r>
      <w:r>
        <w:rPr>
          <w:i/>
        </w:rPr>
        <w:t>Wildlife Research </w:t>
      </w:r>
      <w:r>
        <w:rPr>
          <w:b/>
        </w:rPr>
        <w:t>48</w:t>
      </w:r>
      <w:r>
        <w:rPr/>
        <w:t>, 97–104.</w:t>
      </w:r>
    </w:p>
    <w:p>
      <w:pPr>
        <w:pStyle w:val="BodyText"/>
        <w:spacing w:before="8"/>
      </w:pPr>
    </w:p>
    <w:p>
      <w:pPr>
        <w:pStyle w:val="BodyText"/>
        <w:ind w:left="833" w:right="795" w:hanging="721"/>
      </w:pPr>
      <w:r>
        <w:rPr/>
        <w:t>Meldrum,</w:t>
      </w:r>
      <w:r>
        <w:rPr>
          <w:spacing w:val="-4"/>
        </w:rPr>
        <w:t> </w:t>
      </w:r>
      <w:r>
        <w:rPr/>
        <w:t>G.K.,</w:t>
      </w:r>
      <w:r>
        <w:rPr>
          <w:spacing w:val="-2"/>
        </w:rPr>
        <w:t> </w:t>
      </w:r>
      <w:r>
        <w:rPr/>
        <w:t>Bignell,</w:t>
      </w:r>
      <w:r>
        <w:rPr>
          <w:spacing w:val="-4"/>
        </w:rPr>
        <w:t> </w:t>
      </w:r>
      <w:r>
        <w:rPr/>
        <w:t>J.T.,</w:t>
      </w:r>
      <w:r>
        <w:rPr>
          <w:spacing w:val="-4"/>
        </w:rPr>
        <w:t> </w:t>
      </w:r>
      <w:r>
        <w:rPr/>
        <w:t>and</w:t>
      </w:r>
      <w:r>
        <w:rPr>
          <w:spacing w:val="-2"/>
        </w:rPr>
        <w:t> </w:t>
      </w:r>
      <w:r>
        <w:rPr/>
        <w:t>Rowley,</w:t>
      </w:r>
      <w:r>
        <w:rPr>
          <w:spacing w:val="-4"/>
        </w:rPr>
        <w:t> </w:t>
      </w:r>
      <w:r>
        <w:rPr/>
        <w:t>Ian.</w:t>
      </w:r>
      <w:r>
        <w:rPr>
          <w:spacing w:val="-4"/>
        </w:rPr>
        <w:t> </w:t>
      </w:r>
      <w:r>
        <w:rPr/>
        <w:t>(1957).</w:t>
      </w:r>
      <w:r>
        <w:rPr>
          <w:spacing w:val="-1"/>
        </w:rPr>
        <w:t> </w:t>
      </w:r>
      <w:r>
        <w:rPr/>
        <w:t>The</w:t>
      </w:r>
      <w:r>
        <w:rPr>
          <w:spacing w:val="-5"/>
        </w:rPr>
        <w:t> </w:t>
      </w:r>
      <w:r>
        <w:rPr/>
        <w:t>use</w:t>
      </w:r>
      <w:r>
        <w:rPr>
          <w:spacing w:val="-2"/>
        </w:rPr>
        <w:t> </w:t>
      </w:r>
      <w:r>
        <w:rPr/>
        <w:t>of</w:t>
      </w:r>
      <w:r>
        <w:rPr>
          <w:spacing w:val="-4"/>
        </w:rPr>
        <w:t> </w:t>
      </w:r>
      <w:r>
        <w:rPr/>
        <w:t>sodium</w:t>
      </w:r>
      <w:r>
        <w:rPr>
          <w:spacing w:val="-4"/>
        </w:rPr>
        <w:t> </w:t>
      </w:r>
      <w:r>
        <w:rPr/>
        <w:t>monofluoroacetate</w:t>
      </w:r>
      <w:r>
        <w:rPr>
          <w:spacing w:val="-4"/>
        </w:rPr>
        <w:t> </w:t>
      </w:r>
      <w:r>
        <w:rPr/>
        <w:t>(compound 1080) for the control of the rabbit in Tasmania. </w:t>
      </w:r>
      <w:r>
        <w:rPr>
          <w:i/>
        </w:rPr>
        <w:t>Australian Veterinary Journal </w:t>
      </w:r>
      <w:r>
        <w:rPr>
          <w:b/>
        </w:rPr>
        <w:t>33</w:t>
      </w:r>
      <w:r>
        <w:rPr/>
        <w:t>(8):186–96. doi: </w:t>
      </w:r>
      <w:r>
        <w:rPr>
          <w:spacing w:val="-2"/>
        </w:rPr>
        <w:t>10.1111/j.1751-0813.1957.tb05738.x.</w:t>
      </w:r>
    </w:p>
    <w:p>
      <w:pPr>
        <w:pStyle w:val="BodyText"/>
        <w:spacing w:before="11"/>
      </w:pPr>
    </w:p>
    <w:p>
      <w:pPr>
        <w:spacing w:before="0"/>
        <w:ind w:left="833" w:right="544" w:hanging="721"/>
        <w:jc w:val="left"/>
        <w:rPr>
          <w:sz w:val="20"/>
        </w:rPr>
      </w:pPr>
      <w:r>
        <w:rPr>
          <w:sz w:val="20"/>
        </w:rPr>
        <w:t>Mellor, D.J., and Reid, C.S.W. (1994). Concepts of animal well-being and predicting the impact of procedures on experimental animals. Pp. 3–18 in </w:t>
      </w:r>
      <w:r>
        <w:rPr>
          <w:i/>
          <w:sz w:val="20"/>
        </w:rPr>
        <w:t>Improving the Well-being of Animals in the</w:t>
      </w:r>
      <w:r>
        <w:rPr>
          <w:i/>
          <w:sz w:val="20"/>
        </w:rPr>
        <w:t> Research</w:t>
      </w:r>
      <w:r>
        <w:rPr>
          <w:i/>
          <w:spacing w:val="-4"/>
          <w:sz w:val="20"/>
        </w:rPr>
        <w:t> </w:t>
      </w:r>
      <w:r>
        <w:rPr>
          <w:i/>
          <w:sz w:val="20"/>
        </w:rPr>
        <w:t>Environment</w:t>
      </w:r>
      <w:r>
        <w:rPr>
          <w:sz w:val="20"/>
        </w:rPr>
        <w:t>,</w:t>
      </w:r>
      <w:r>
        <w:rPr>
          <w:spacing w:val="-4"/>
          <w:sz w:val="20"/>
        </w:rPr>
        <w:t> </w:t>
      </w:r>
      <w:r>
        <w:rPr>
          <w:sz w:val="20"/>
        </w:rPr>
        <w:t>edited</w:t>
      </w:r>
      <w:r>
        <w:rPr>
          <w:spacing w:val="-5"/>
          <w:sz w:val="20"/>
        </w:rPr>
        <w:t> </w:t>
      </w:r>
      <w:r>
        <w:rPr>
          <w:sz w:val="20"/>
        </w:rPr>
        <w:t>by</w:t>
      </w:r>
      <w:r>
        <w:rPr>
          <w:spacing w:val="-3"/>
          <w:sz w:val="20"/>
        </w:rPr>
        <w:t> </w:t>
      </w:r>
      <w:r>
        <w:rPr>
          <w:sz w:val="20"/>
        </w:rPr>
        <w:t>R.</w:t>
      </w:r>
      <w:r>
        <w:rPr>
          <w:spacing w:val="-4"/>
          <w:sz w:val="20"/>
        </w:rPr>
        <w:t> </w:t>
      </w:r>
      <w:r>
        <w:rPr>
          <w:sz w:val="20"/>
        </w:rPr>
        <w:t>M.</w:t>
      </w:r>
      <w:r>
        <w:rPr>
          <w:spacing w:val="-2"/>
          <w:sz w:val="20"/>
        </w:rPr>
        <w:t> </w:t>
      </w:r>
      <w:r>
        <w:rPr>
          <w:sz w:val="20"/>
        </w:rPr>
        <w:t>Baker,</w:t>
      </w:r>
      <w:r>
        <w:rPr>
          <w:spacing w:val="-4"/>
          <w:sz w:val="20"/>
        </w:rPr>
        <w:t> </w:t>
      </w:r>
      <w:r>
        <w:rPr>
          <w:sz w:val="20"/>
        </w:rPr>
        <w:t>G.</w:t>
      </w:r>
      <w:r>
        <w:rPr>
          <w:spacing w:val="-2"/>
          <w:sz w:val="20"/>
        </w:rPr>
        <w:t> </w:t>
      </w:r>
      <w:r>
        <w:rPr>
          <w:sz w:val="20"/>
        </w:rPr>
        <w:t>Jenkin,</w:t>
      </w:r>
      <w:r>
        <w:rPr>
          <w:spacing w:val="-4"/>
          <w:sz w:val="20"/>
        </w:rPr>
        <w:t> </w:t>
      </w:r>
      <w:r>
        <w:rPr>
          <w:sz w:val="20"/>
        </w:rPr>
        <w:t>and</w:t>
      </w:r>
      <w:r>
        <w:rPr>
          <w:spacing w:val="-5"/>
          <w:sz w:val="20"/>
        </w:rPr>
        <w:t> </w:t>
      </w:r>
      <w:r>
        <w:rPr>
          <w:sz w:val="20"/>
        </w:rPr>
        <w:t>D.</w:t>
      </w:r>
      <w:r>
        <w:rPr>
          <w:spacing w:val="-2"/>
          <w:sz w:val="20"/>
        </w:rPr>
        <w:t> </w:t>
      </w:r>
      <w:r>
        <w:rPr>
          <w:sz w:val="20"/>
        </w:rPr>
        <w:t>J.</w:t>
      </w:r>
      <w:r>
        <w:rPr>
          <w:spacing w:val="-4"/>
          <w:sz w:val="20"/>
        </w:rPr>
        <w:t> </w:t>
      </w:r>
      <w:r>
        <w:rPr>
          <w:sz w:val="20"/>
        </w:rPr>
        <w:t>Mellor.</w:t>
      </w:r>
      <w:r>
        <w:rPr>
          <w:spacing w:val="-4"/>
          <w:sz w:val="20"/>
        </w:rPr>
        <w:t> </w:t>
      </w:r>
      <w:r>
        <w:rPr>
          <w:sz w:val="20"/>
        </w:rPr>
        <w:t>Glen</w:t>
      </w:r>
      <w:r>
        <w:rPr>
          <w:spacing w:val="-2"/>
          <w:sz w:val="20"/>
        </w:rPr>
        <w:t> </w:t>
      </w:r>
      <w:r>
        <w:rPr>
          <w:sz w:val="20"/>
        </w:rPr>
        <w:t>Osmond</w:t>
      </w:r>
      <w:r>
        <w:rPr>
          <w:spacing w:val="-3"/>
          <w:sz w:val="20"/>
        </w:rPr>
        <w:t> </w:t>
      </w:r>
      <w:r>
        <w:rPr>
          <w:sz w:val="20"/>
        </w:rPr>
        <w:t>South Australia: ANZCAART.</w:t>
      </w:r>
    </w:p>
    <w:p>
      <w:pPr>
        <w:pStyle w:val="BodyText"/>
        <w:spacing w:before="10"/>
      </w:pPr>
    </w:p>
    <w:p>
      <w:pPr>
        <w:pStyle w:val="BodyText"/>
        <w:ind w:left="833" w:right="232" w:hanging="721"/>
      </w:pPr>
      <w:r>
        <w:rPr/>
        <w:t>Millar, A., Gentle, M., and Leung, L.K-P. (2015). Non-target species interaction with sodium fluoroacetate (1080)</w:t>
      </w:r>
      <w:r>
        <w:rPr>
          <w:spacing w:val="-4"/>
        </w:rPr>
        <w:t> </w:t>
      </w:r>
      <w:r>
        <w:rPr/>
        <w:t>meat</w:t>
      </w:r>
      <w:r>
        <w:rPr>
          <w:spacing w:val="-3"/>
        </w:rPr>
        <w:t> </w:t>
      </w:r>
      <w:r>
        <w:rPr/>
        <w:t>bait</w:t>
      </w:r>
      <w:r>
        <w:rPr>
          <w:spacing w:val="-4"/>
        </w:rPr>
        <w:t> </w:t>
      </w:r>
      <w:r>
        <w:rPr/>
        <w:t>for</w:t>
      </w:r>
      <w:r>
        <w:rPr>
          <w:spacing w:val="-4"/>
        </w:rPr>
        <w:t> </w:t>
      </w:r>
      <w:r>
        <w:rPr/>
        <w:t>controlling</w:t>
      </w:r>
      <w:r>
        <w:rPr>
          <w:spacing w:val="-4"/>
        </w:rPr>
        <w:t> </w:t>
      </w:r>
      <w:r>
        <w:rPr/>
        <w:t>feral</w:t>
      </w:r>
      <w:r>
        <w:rPr>
          <w:spacing w:val="-4"/>
        </w:rPr>
        <w:t> </w:t>
      </w:r>
      <w:r>
        <w:rPr/>
        <w:t>pigs</w:t>
      </w:r>
      <w:r>
        <w:rPr>
          <w:spacing w:val="-4"/>
        </w:rPr>
        <w:t> </w:t>
      </w:r>
      <w:r>
        <w:rPr/>
        <w:t>(</w:t>
      </w:r>
      <w:r>
        <w:rPr>
          <w:i/>
        </w:rPr>
        <w:t>Sus</w:t>
      </w:r>
      <w:r>
        <w:rPr>
          <w:i/>
          <w:spacing w:val="-4"/>
        </w:rPr>
        <w:t> </w:t>
      </w:r>
      <w:r>
        <w:rPr>
          <w:i/>
        </w:rPr>
        <w:t>scrofa</w:t>
      </w:r>
      <w:r>
        <w:rPr/>
        <w:t>).</w:t>
      </w:r>
      <w:r>
        <w:rPr>
          <w:spacing w:val="-2"/>
        </w:rPr>
        <w:t> </w:t>
      </w:r>
      <w:r>
        <w:rPr>
          <w:i/>
        </w:rPr>
        <w:t>Pacific</w:t>
      </w:r>
      <w:r>
        <w:rPr>
          <w:i/>
          <w:spacing w:val="-4"/>
        </w:rPr>
        <w:t> </w:t>
      </w:r>
      <w:r>
        <w:rPr>
          <w:i/>
        </w:rPr>
        <w:t>Conservation</w:t>
      </w:r>
      <w:r>
        <w:rPr>
          <w:i/>
          <w:spacing w:val="-4"/>
        </w:rPr>
        <w:t> </w:t>
      </w:r>
      <w:r>
        <w:rPr>
          <w:i/>
        </w:rPr>
        <w:t>Biology</w:t>
      </w:r>
      <w:r>
        <w:rPr>
          <w:i/>
          <w:spacing w:val="-1"/>
        </w:rPr>
        <w:t> </w:t>
      </w:r>
      <w:r>
        <w:rPr>
          <w:b/>
        </w:rPr>
        <w:t>21</w:t>
      </w:r>
      <w:r>
        <w:rPr/>
        <w:t>(2):158.</w:t>
      </w:r>
      <w:r>
        <w:rPr>
          <w:spacing w:val="-4"/>
        </w:rPr>
        <w:t> </w:t>
      </w:r>
      <w:r>
        <w:rPr/>
        <w:t>doi: </w:t>
      </w:r>
      <w:r>
        <w:rPr>
          <w:spacing w:val="-2"/>
        </w:rPr>
        <w:t>10.1071/PC14915.</w:t>
      </w:r>
    </w:p>
    <w:p>
      <w:pPr>
        <w:pStyle w:val="BodyText"/>
        <w:spacing w:before="11"/>
      </w:pPr>
    </w:p>
    <w:p>
      <w:pPr>
        <w:spacing w:before="1"/>
        <w:ind w:left="833" w:right="163" w:hanging="721"/>
        <w:jc w:val="left"/>
        <w:rPr>
          <w:sz w:val="20"/>
        </w:rPr>
      </w:pPr>
      <w:r>
        <w:rPr>
          <w:sz w:val="20"/>
        </w:rPr>
        <w:t>Miller,</w:t>
      </w:r>
      <w:r>
        <w:rPr>
          <w:spacing w:val="-4"/>
          <w:sz w:val="20"/>
        </w:rPr>
        <w:t> </w:t>
      </w:r>
      <w:r>
        <w:rPr>
          <w:sz w:val="20"/>
        </w:rPr>
        <w:t>G.D.</w:t>
      </w:r>
      <w:r>
        <w:rPr>
          <w:spacing w:val="-4"/>
          <w:sz w:val="20"/>
        </w:rPr>
        <w:t> </w:t>
      </w:r>
      <w:r>
        <w:rPr>
          <w:sz w:val="20"/>
        </w:rPr>
        <w:t>(1983).</w:t>
      </w:r>
      <w:r>
        <w:rPr>
          <w:spacing w:val="-3"/>
          <w:sz w:val="20"/>
        </w:rPr>
        <w:t> </w:t>
      </w:r>
      <w:r>
        <w:rPr>
          <w:i/>
          <w:sz w:val="20"/>
        </w:rPr>
        <w:t>Responses</w:t>
      </w:r>
      <w:r>
        <w:rPr>
          <w:i/>
          <w:spacing w:val="-3"/>
          <w:sz w:val="20"/>
        </w:rPr>
        <w:t> </w:t>
      </w:r>
      <w:r>
        <w:rPr>
          <w:i/>
          <w:sz w:val="20"/>
        </w:rPr>
        <w:t>of</w:t>
      </w:r>
      <w:r>
        <w:rPr>
          <w:i/>
          <w:spacing w:val="-4"/>
          <w:sz w:val="20"/>
        </w:rPr>
        <w:t> </w:t>
      </w:r>
      <w:r>
        <w:rPr>
          <w:i/>
          <w:sz w:val="20"/>
        </w:rPr>
        <w:t>captive</w:t>
      </w:r>
      <w:r>
        <w:rPr>
          <w:i/>
          <w:spacing w:val="-4"/>
          <w:sz w:val="20"/>
        </w:rPr>
        <w:t> </w:t>
      </w:r>
      <w:r>
        <w:rPr>
          <w:i/>
          <w:sz w:val="20"/>
        </w:rPr>
        <w:t>grizzly</w:t>
      </w:r>
      <w:r>
        <w:rPr>
          <w:i/>
          <w:spacing w:val="-3"/>
          <w:sz w:val="20"/>
        </w:rPr>
        <w:t> </w:t>
      </w:r>
      <w:r>
        <w:rPr>
          <w:i/>
          <w:sz w:val="20"/>
        </w:rPr>
        <w:t>and</w:t>
      </w:r>
      <w:r>
        <w:rPr>
          <w:i/>
          <w:spacing w:val="-3"/>
          <w:sz w:val="20"/>
        </w:rPr>
        <w:t> </w:t>
      </w:r>
      <w:r>
        <w:rPr>
          <w:i/>
          <w:sz w:val="20"/>
        </w:rPr>
        <w:t>polar</w:t>
      </w:r>
      <w:r>
        <w:rPr>
          <w:i/>
          <w:spacing w:val="-4"/>
          <w:sz w:val="20"/>
        </w:rPr>
        <w:t> </w:t>
      </w:r>
      <w:r>
        <w:rPr>
          <w:i/>
          <w:sz w:val="20"/>
        </w:rPr>
        <w:t>bears</w:t>
      </w:r>
      <w:r>
        <w:rPr>
          <w:i/>
          <w:spacing w:val="-3"/>
          <w:sz w:val="20"/>
        </w:rPr>
        <w:t> </w:t>
      </w:r>
      <w:r>
        <w:rPr>
          <w:i/>
          <w:sz w:val="20"/>
        </w:rPr>
        <w:t>to</w:t>
      </w:r>
      <w:r>
        <w:rPr>
          <w:i/>
          <w:spacing w:val="-3"/>
          <w:sz w:val="20"/>
        </w:rPr>
        <w:t> </w:t>
      </w:r>
      <w:r>
        <w:rPr>
          <w:i/>
          <w:sz w:val="20"/>
        </w:rPr>
        <w:t>potential</w:t>
      </w:r>
      <w:r>
        <w:rPr>
          <w:i/>
          <w:spacing w:val="-3"/>
          <w:sz w:val="20"/>
        </w:rPr>
        <w:t> </w:t>
      </w:r>
      <w:r>
        <w:rPr>
          <w:i/>
          <w:sz w:val="20"/>
        </w:rPr>
        <w:t>repellents</w:t>
      </w:r>
      <w:r>
        <w:rPr>
          <w:sz w:val="20"/>
        </w:rPr>
        <w:t>.</w:t>
      </w:r>
      <w:r>
        <w:rPr>
          <w:spacing w:val="-2"/>
          <w:sz w:val="20"/>
        </w:rPr>
        <w:t> </w:t>
      </w:r>
      <w:r>
        <w:rPr>
          <w:sz w:val="20"/>
        </w:rPr>
        <w:t>International Conference of Bear Restoration and Management. pp. 275-279. doi</w:t>
      </w:r>
      <w:hyperlink r:id="rId105">
        <w:r>
          <w:rPr>
            <w:sz w:val="20"/>
          </w:rPr>
          <w:t>:</w:t>
        </w:r>
        <w:r>
          <w:rPr>
            <w:color w:val="0000FF"/>
            <w:sz w:val="20"/>
            <w:u w:val="single" w:color="0000FF"/>
          </w:rPr>
          <w:t>10.2307/3872549</w:t>
        </w:r>
        <w:r>
          <w:rPr>
            <w:sz w:val="20"/>
            <w:u w:val="none"/>
          </w:rPr>
          <w:t>.</w:t>
        </w:r>
      </w:hyperlink>
    </w:p>
    <w:p>
      <w:pPr>
        <w:pStyle w:val="BodyText"/>
        <w:spacing w:before="8"/>
      </w:pPr>
    </w:p>
    <w:p>
      <w:pPr>
        <w:pStyle w:val="BodyText"/>
        <w:ind w:left="833" w:right="232" w:hanging="721"/>
      </w:pPr>
      <w:r>
        <w:rPr/>
        <w:t>Miller, J., Stoner, K., Cejtin, M., Meyer, T., Middleton, A., and Schmitz, O. (2016). Effectiveness of contemporary</w:t>
      </w:r>
      <w:r>
        <w:rPr>
          <w:spacing w:val="-4"/>
        </w:rPr>
        <w:t> </w:t>
      </w:r>
      <w:r>
        <w:rPr/>
        <w:t>techniques</w:t>
      </w:r>
      <w:r>
        <w:rPr>
          <w:spacing w:val="-5"/>
        </w:rPr>
        <w:t> </w:t>
      </w:r>
      <w:r>
        <w:rPr/>
        <w:t>for</w:t>
      </w:r>
      <w:r>
        <w:rPr>
          <w:spacing w:val="-6"/>
        </w:rPr>
        <w:t> </w:t>
      </w:r>
      <w:r>
        <w:rPr/>
        <w:t>reducing</w:t>
      </w:r>
      <w:r>
        <w:rPr>
          <w:spacing w:val="-5"/>
        </w:rPr>
        <w:t> </w:t>
      </w:r>
      <w:r>
        <w:rPr/>
        <w:t>livestock</w:t>
      </w:r>
      <w:r>
        <w:rPr>
          <w:spacing w:val="-5"/>
        </w:rPr>
        <w:t> </w:t>
      </w:r>
      <w:r>
        <w:rPr/>
        <w:t>depredations</w:t>
      </w:r>
      <w:r>
        <w:rPr>
          <w:spacing w:val="-5"/>
        </w:rPr>
        <w:t> </w:t>
      </w:r>
      <w:r>
        <w:rPr/>
        <w:t>by</w:t>
      </w:r>
      <w:r>
        <w:rPr>
          <w:spacing w:val="-3"/>
        </w:rPr>
        <w:t> </w:t>
      </w:r>
      <w:r>
        <w:rPr/>
        <w:t>large</w:t>
      </w:r>
      <w:r>
        <w:rPr>
          <w:spacing w:val="-4"/>
        </w:rPr>
        <w:t> </w:t>
      </w:r>
      <w:r>
        <w:rPr/>
        <w:t>carnivores:</w:t>
      </w:r>
      <w:r>
        <w:rPr>
          <w:spacing w:val="-4"/>
        </w:rPr>
        <w:t> </w:t>
      </w:r>
      <w:r>
        <w:rPr/>
        <w:t>human-carnivore coexistence. </w:t>
      </w:r>
      <w:r>
        <w:rPr>
          <w:i/>
        </w:rPr>
        <w:t>Wildlife Society Bulletin </w:t>
      </w:r>
      <w:r>
        <w:rPr>
          <w:b/>
        </w:rPr>
        <w:t>40</w:t>
      </w:r>
      <w:r>
        <w:rPr/>
        <w:t>. doi: 10.1002/wsb.720.</w:t>
      </w:r>
    </w:p>
    <w:p>
      <w:pPr>
        <w:pStyle w:val="BodyText"/>
        <w:spacing w:before="11"/>
      </w:pPr>
    </w:p>
    <w:p>
      <w:pPr>
        <w:pStyle w:val="BodyText"/>
        <w:ind w:left="833" w:right="416" w:hanging="721"/>
      </w:pPr>
      <w:r>
        <w:rPr/>
        <w:t>Miloš,</w:t>
      </w:r>
      <w:r>
        <w:rPr>
          <w:spacing w:val="-3"/>
        </w:rPr>
        <w:t> </w:t>
      </w:r>
      <w:r>
        <w:rPr/>
        <w:t>J.,</w:t>
      </w:r>
      <w:r>
        <w:rPr>
          <w:spacing w:val="-3"/>
        </w:rPr>
        <w:t> </w:t>
      </w:r>
      <w:r>
        <w:rPr/>
        <w:t>Michaela,</w:t>
      </w:r>
      <w:r>
        <w:rPr>
          <w:spacing w:val="-3"/>
        </w:rPr>
        <w:t> </w:t>
      </w:r>
      <w:r>
        <w:rPr/>
        <w:t>H.,</w:t>
      </w:r>
      <w:r>
        <w:rPr>
          <w:spacing w:val="-3"/>
        </w:rPr>
        <w:t> </w:t>
      </w:r>
      <w:r>
        <w:rPr/>
        <w:t>Tomáš,</w:t>
      </w:r>
      <w:r>
        <w:rPr>
          <w:spacing w:val="-3"/>
        </w:rPr>
        <w:t> </w:t>
      </w:r>
      <w:r>
        <w:rPr/>
        <w:t>K.,</w:t>
      </w:r>
      <w:r>
        <w:rPr>
          <w:spacing w:val="-3"/>
        </w:rPr>
        <w:t> </w:t>
      </w:r>
      <w:r>
        <w:rPr/>
        <w:t>and</w:t>
      </w:r>
      <w:r>
        <w:rPr>
          <w:spacing w:val="-4"/>
        </w:rPr>
        <w:t> </w:t>
      </w:r>
      <w:r>
        <w:rPr/>
        <w:t>Jaroslav,</w:t>
      </w:r>
      <w:r>
        <w:rPr>
          <w:spacing w:val="-3"/>
        </w:rPr>
        <w:t> </w:t>
      </w:r>
      <w:r>
        <w:rPr/>
        <w:t>Č.</w:t>
      </w:r>
      <w:r>
        <w:rPr>
          <w:spacing w:val="-3"/>
        </w:rPr>
        <w:t> </w:t>
      </w:r>
      <w:r>
        <w:rPr/>
        <w:t>(2016).</w:t>
      </w:r>
      <w:r>
        <w:rPr>
          <w:spacing w:val="-1"/>
        </w:rPr>
        <w:t> </w:t>
      </w:r>
      <w:r>
        <w:rPr/>
        <w:t>Creeping</w:t>
      </w:r>
      <w:r>
        <w:rPr>
          <w:spacing w:val="-3"/>
        </w:rPr>
        <w:t> </w:t>
      </w:r>
      <w:r>
        <w:rPr/>
        <w:t>into</w:t>
      </w:r>
      <w:r>
        <w:rPr>
          <w:spacing w:val="-2"/>
        </w:rPr>
        <w:t> </w:t>
      </w:r>
      <w:r>
        <w:rPr/>
        <w:t>a</w:t>
      </w:r>
      <w:r>
        <w:rPr>
          <w:spacing w:val="-3"/>
        </w:rPr>
        <w:t> </w:t>
      </w:r>
      <w:r>
        <w:rPr/>
        <w:t>wild boar</w:t>
      </w:r>
      <w:r>
        <w:rPr>
          <w:spacing w:val="-3"/>
        </w:rPr>
        <w:t> </w:t>
      </w:r>
      <w:r>
        <w:rPr/>
        <w:t>stomach</w:t>
      </w:r>
      <w:r>
        <w:rPr>
          <w:spacing w:val="-3"/>
        </w:rPr>
        <w:t> </w:t>
      </w:r>
      <w:r>
        <w:rPr/>
        <w:t>to</w:t>
      </w:r>
      <w:r>
        <w:rPr>
          <w:spacing w:val="-3"/>
        </w:rPr>
        <w:t> </w:t>
      </w:r>
      <w:r>
        <w:rPr/>
        <w:t>find</w:t>
      </w:r>
      <w:r>
        <w:rPr>
          <w:spacing w:val="-4"/>
        </w:rPr>
        <w:t> </w:t>
      </w:r>
      <w:r>
        <w:rPr/>
        <w:t>traces of supplementary feeding. </w:t>
      </w:r>
      <w:r>
        <w:rPr>
          <w:i/>
        </w:rPr>
        <w:t>Wildlife Research </w:t>
      </w:r>
      <w:r>
        <w:rPr>
          <w:b/>
        </w:rPr>
        <w:t>43</w:t>
      </w:r>
      <w:r>
        <w:rPr/>
        <w:t>(7):590–98. doi: 10.1071/WR16065.</w:t>
      </w:r>
    </w:p>
    <w:p>
      <w:pPr>
        <w:spacing w:after="0"/>
        <w:sectPr>
          <w:pgSz w:w="11910" w:h="16850"/>
          <w:pgMar w:header="0" w:footer="688" w:top="1060" w:bottom="880" w:left="1020" w:right="780"/>
        </w:sectPr>
      </w:pPr>
    </w:p>
    <w:p>
      <w:pPr>
        <w:spacing w:before="71"/>
        <w:ind w:left="833" w:right="364" w:hanging="721"/>
        <w:jc w:val="left"/>
        <w:rPr>
          <w:sz w:val="20"/>
        </w:rPr>
      </w:pPr>
      <w:r>
        <w:rPr>
          <w:sz w:val="20"/>
        </w:rPr>
        <w:t>Mitchell,</w:t>
      </w:r>
      <w:r>
        <w:rPr>
          <w:spacing w:val="-3"/>
          <w:sz w:val="20"/>
        </w:rPr>
        <w:t> </w:t>
      </w:r>
      <w:r>
        <w:rPr>
          <w:sz w:val="20"/>
        </w:rPr>
        <w:t>J.</w:t>
      </w:r>
      <w:r>
        <w:rPr>
          <w:spacing w:val="-3"/>
          <w:sz w:val="20"/>
        </w:rPr>
        <w:t> </w:t>
      </w:r>
      <w:r>
        <w:rPr>
          <w:sz w:val="20"/>
        </w:rPr>
        <w:t>(1998).</w:t>
      </w:r>
      <w:r>
        <w:rPr>
          <w:spacing w:val="-3"/>
          <w:sz w:val="20"/>
        </w:rPr>
        <w:t> </w:t>
      </w:r>
      <w:r>
        <w:rPr>
          <w:sz w:val="20"/>
        </w:rPr>
        <w:t>The</w:t>
      </w:r>
      <w:r>
        <w:rPr>
          <w:spacing w:val="-3"/>
          <w:sz w:val="20"/>
        </w:rPr>
        <w:t> </w:t>
      </w:r>
      <w:r>
        <w:rPr>
          <w:sz w:val="20"/>
        </w:rPr>
        <w:t>effectiveness</w:t>
      </w:r>
      <w:r>
        <w:rPr>
          <w:spacing w:val="-2"/>
          <w:sz w:val="20"/>
        </w:rPr>
        <w:t> </w:t>
      </w:r>
      <w:r>
        <w:rPr>
          <w:sz w:val="20"/>
        </w:rPr>
        <w:t>of</w:t>
      </w:r>
      <w:r>
        <w:rPr>
          <w:spacing w:val="-1"/>
          <w:sz w:val="20"/>
        </w:rPr>
        <w:t> </w:t>
      </w:r>
      <w:r>
        <w:rPr>
          <w:sz w:val="20"/>
        </w:rPr>
        <w:t>aerial</w:t>
      </w:r>
      <w:r>
        <w:rPr>
          <w:spacing w:val="-2"/>
          <w:sz w:val="20"/>
        </w:rPr>
        <w:t> </w:t>
      </w:r>
      <w:r>
        <w:rPr>
          <w:sz w:val="20"/>
        </w:rPr>
        <w:t>baiting</w:t>
      </w:r>
      <w:r>
        <w:rPr>
          <w:spacing w:val="-3"/>
          <w:sz w:val="20"/>
        </w:rPr>
        <w:t> </w:t>
      </w:r>
      <w:r>
        <w:rPr>
          <w:sz w:val="20"/>
        </w:rPr>
        <w:t>for</w:t>
      </w:r>
      <w:r>
        <w:rPr>
          <w:spacing w:val="-3"/>
          <w:sz w:val="20"/>
        </w:rPr>
        <w:t> </w:t>
      </w:r>
      <w:r>
        <w:rPr>
          <w:sz w:val="20"/>
        </w:rPr>
        <w:t>control</w:t>
      </w:r>
      <w:r>
        <w:rPr>
          <w:spacing w:val="-2"/>
          <w:sz w:val="20"/>
        </w:rPr>
        <w:t> </w:t>
      </w:r>
      <w:r>
        <w:rPr>
          <w:sz w:val="20"/>
        </w:rPr>
        <w:t>of</w:t>
      </w:r>
      <w:r>
        <w:rPr>
          <w:spacing w:val="-3"/>
          <w:sz w:val="20"/>
        </w:rPr>
        <w:t> </w:t>
      </w:r>
      <w:r>
        <w:rPr>
          <w:sz w:val="20"/>
        </w:rPr>
        <w:t>feral</w:t>
      </w:r>
      <w:r>
        <w:rPr>
          <w:spacing w:val="-2"/>
          <w:sz w:val="20"/>
        </w:rPr>
        <w:t> </w:t>
      </w:r>
      <w:r>
        <w:rPr>
          <w:sz w:val="20"/>
        </w:rPr>
        <w:t>pigs</w:t>
      </w:r>
      <w:r>
        <w:rPr>
          <w:spacing w:val="-2"/>
          <w:sz w:val="20"/>
        </w:rPr>
        <w:t> </w:t>
      </w:r>
      <w:r>
        <w:rPr>
          <w:sz w:val="20"/>
        </w:rPr>
        <w:t>(</w:t>
      </w:r>
      <w:r>
        <w:rPr>
          <w:i/>
          <w:sz w:val="20"/>
        </w:rPr>
        <w:t>Sus scrofa</w:t>
      </w:r>
      <w:r>
        <w:rPr>
          <w:sz w:val="20"/>
        </w:rPr>
        <w:t>)</w:t>
      </w:r>
      <w:r>
        <w:rPr>
          <w:spacing w:val="-2"/>
          <w:sz w:val="20"/>
        </w:rPr>
        <w:t> </w:t>
      </w:r>
      <w:r>
        <w:rPr>
          <w:sz w:val="20"/>
        </w:rPr>
        <w:t>in</w:t>
      </w:r>
      <w:r>
        <w:rPr>
          <w:spacing w:val="-3"/>
          <w:sz w:val="20"/>
        </w:rPr>
        <w:t> </w:t>
      </w:r>
      <w:r>
        <w:rPr>
          <w:sz w:val="20"/>
        </w:rPr>
        <w:t>north Queensland. </w:t>
      </w:r>
      <w:r>
        <w:rPr>
          <w:i/>
          <w:sz w:val="20"/>
        </w:rPr>
        <w:t>Wildlife Research </w:t>
      </w:r>
      <w:r>
        <w:rPr>
          <w:b/>
          <w:sz w:val="20"/>
        </w:rPr>
        <w:t>25</w:t>
      </w:r>
      <w:r>
        <w:rPr>
          <w:sz w:val="20"/>
        </w:rPr>
        <w:t>:297–303.</w:t>
      </w:r>
    </w:p>
    <w:p>
      <w:pPr>
        <w:pStyle w:val="BodyText"/>
        <w:spacing w:before="11"/>
      </w:pPr>
    </w:p>
    <w:p>
      <w:pPr>
        <w:pStyle w:val="BodyText"/>
        <w:spacing w:before="1"/>
        <w:ind w:left="112"/>
      </w:pPr>
      <w:r>
        <w:rPr/>
        <w:t>Mitchell,</w:t>
      </w:r>
      <w:r>
        <w:rPr>
          <w:spacing w:val="-7"/>
        </w:rPr>
        <w:t> </w:t>
      </w:r>
      <w:r>
        <w:rPr/>
        <w:t>T.D.,</w:t>
      </w:r>
      <w:r>
        <w:rPr>
          <w:spacing w:val="-4"/>
        </w:rPr>
        <w:t> </w:t>
      </w:r>
      <w:r>
        <w:rPr/>
        <w:t>Kearins,</w:t>
      </w:r>
      <w:r>
        <w:rPr>
          <w:spacing w:val="-5"/>
        </w:rPr>
        <w:t> </w:t>
      </w:r>
      <w:r>
        <w:rPr/>
        <w:t>R.D.,</w:t>
      </w:r>
      <w:r>
        <w:rPr>
          <w:spacing w:val="-7"/>
        </w:rPr>
        <w:t> </w:t>
      </w:r>
      <w:r>
        <w:rPr/>
        <w:t>Marchant,</w:t>
      </w:r>
      <w:r>
        <w:rPr>
          <w:spacing w:val="-7"/>
        </w:rPr>
        <w:t> </w:t>
      </w:r>
      <w:r>
        <w:rPr/>
        <w:t>R.S.,</w:t>
      </w:r>
      <w:r>
        <w:rPr>
          <w:spacing w:val="-5"/>
        </w:rPr>
        <w:t> </w:t>
      </w:r>
      <w:r>
        <w:rPr/>
        <w:t>and</w:t>
      </w:r>
      <w:r>
        <w:rPr>
          <w:spacing w:val="-7"/>
        </w:rPr>
        <w:t> </w:t>
      </w:r>
      <w:r>
        <w:rPr/>
        <w:t>Plant,</w:t>
      </w:r>
      <w:r>
        <w:rPr>
          <w:spacing w:val="-6"/>
        </w:rPr>
        <w:t> </w:t>
      </w:r>
      <w:r>
        <w:rPr/>
        <w:t>J.W.</w:t>
      </w:r>
      <w:r>
        <w:rPr>
          <w:spacing w:val="-7"/>
        </w:rPr>
        <w:t> </w:t>
      </w:r>
      <w:r>
        <w:rPr/>
        <w:t>(1977).</w:t>
      </w:r>
      <w:r>
        <w:rPr>
          <w:spacing w:val="-4"/>
        </w:rPr>
        <w:t> </w:t>
      </w:r>
      <w:r>
        <w:rPr/>
        <w:t>Electric</w:t>
      </w:r>
      <w:r>
        <w:rPr>
          <w:spacing w:val="-6"/>
        </w:rPr>
        <w:t> </w:t>
      </w:r>
      <w:r>
        <w:rPr/>
        <w:t>fences</w:t>
      </w:r>
      <w:r>
        <w:rPr>
          <w:spacing w:val="-6"/>
        </w:rPr>
        <w:t> </w:t>
      </w:r>
      <w:r>
        <w:rPr/>
        <w:t>to</w:t>
      </w:r>
      <w:r>
        <w:rPr>
          <w:spacing w:val="-8"/>
        </w:rPr>
        <w:t> </w:t>
      </w:r>
      <w:r>
        <w:rPr/>
        <w:t>control</w:t>
      </w:r>
      <w:r>
        <w:rPr>
          <w:spacing w:val="-7"/>
        </w:rPr>
        <w:t> </w:t>
      </w:r>
      <w:r>
        <w:rPr/>
        <w:t>feral</w:t>
      </w:r>
      <w:r>
        <w:rPr>
          <w:spacing w:val="-6"/>
        </w:rPr>
        <w:t> </w:t>
      </w:r>
      <w:r>
        <w:rPr>
          <w:spacing w:val="-2"/>
        </w:rPr>
        <w:t>pigs.</w:t>
      </w:r>
    </w:p>
    <w:p>
      <w:pPr>
        <w:spacing w:before="0"/>
        <w:ind w:left="833" w:right="0" w:firstLine="0"/>
        <w:jc w:val="left"/>
        <w:rPr>
          <w:sz w:val="20"/>
        </w:rPr>
      </w:pPr>
      <w:r>
        <w:rPr>
          <w:i/>
          <w:sz w:val="20"/>
        </w:rPr>
        <w:t>Agricultural</w:t>
      </w:r>
      <w:r>
        <w:rPr>
          <w:i/>
          <w:spacing w:val="-9"/>
          <w:sz w:val="20"/>
        </w:rPr>
        <w:t> </w:t>
      </w:r>
      <w:r>
        <w:rPr>
          <w:i/>
          <w:sz w:val="20"/>
        </w:rPr>
        <w:t>Gazette</w:t>
      </w:r>
      <w:r>
        <w:rPr>
          <w:i/>
          <w:spacing w:val="-9"/>
          <w:sz w:val="20"/>
        </w:rPr>
        <w:t> </w:t>
      </w:r>
      <w:r>
        <w:rPr>
          <w:i/>
          <w:sz w:val="20"/>
        </w:rPr>
        <w:t>of</w:t>
      </w:r>
      <w:r>
        <w:rPr>
          <w:i/>
          <w:spacing w:val="-8"/>
          <w:sz w:val="20"/>
        </w:rPr>
        <w:t> </w:t>
      </w:r>
      <w:r>
        <w:rPr>
          <w:i/>
          <w:sz w:val="20"/>
        </w:rPr>
        <w:t>New</w:t>
      </w:r>
      <w:r>
        <w:rPr>
          <w:i/>
          <w:spacing w:val="-6"/>
          <w:sz w:val="20"/>
        </w:rPr>
        <w:t> </w:t>
      </w:r>
      <w:r>
        <w:rPr>
          <w:i/>
          <w:sz w:val="20"/>
        </w:rPr>
        <w:t>South</w:t>
      </w:r>
      <w:r>
        <w:rPr>
          <w:i/>
          <w:spacing w:val="-6"/>
          <w:sz w:val="20"/>
        </w:rPr>
        <w:t> </w:t>
      </w:r>
      <w:r>
        <w:rPr>
          <w:i/>
          <w:sz w:val="20"/>
        </w:rPr>
        <w:t>Wales</w:t>
      </w:r>
      <w:r>
        <w:rPr>
          <w:i/>
          <w:spacing w:val="-4"/>
          <w:sz w:val="20"/>
        </w:rPr>
        <w:t> </w:t>
      </w:r>
      <w:r>
        <w:rPr>
          <w:b/>
          <w:spacing w:val="-2"/>
          <w:sz w:val="20"/>
        </w:rPr>
        <w:t>88</w:t>
      </w:r>
      <w:r>
        <w:rPr>
          <w:spacing w:val="-2"/>
          <w:sz w:val="20"/>
        </w:rPr>
        <w:t>:10–13.</w:t>
      </w:r>
    </w:p>
    <w:p>
      <w:pPr>
        <w:pStyle w:val="BodyText"/>
        <w:spacing w:before="10"/>
      </w:pPr>
    </w:p>
    <w:p>
      <w:pPr>
        <w:pStyle w:val="BodyText"/>
        <w:ind w:left="833" w:right="1479" w:hanging="721"/>
      </w:pPr>
      <w:r>
        <w:rPr/>
        <w:t>MLA. (2024). Industry-projections 2024 - September update. Meat and Livestock Australia. </w:t>
      </w:r>
      <w:hyperlink r:id="rId106">
        <w:r>
          <w:rPr>
            <w:color w:val="0000FF"/>
            <w:spacing w:val="-2"/>
            <w:u w:val="single" w:color="0000FF"/>
          </w:rPr>
          <w:t>https://www.mla.com.au/globalassets/mla-corporate/prices--markets/documents/trends--</w:t>
        </w:r>
      </w:hyperlink>
      <w:r>
        <w:rPr>
          <w:color w:val="0000FF"/>
          <w:spacing w:val="-2"/>
          <w:u w:val="none"/>
        </w:rPr>
        <w:t> </w:t>
      </w:r>
      <w:hyperlink r:id="rId106">
        <w:r>
          <w:rPr>
            <w:color w:val="0000FF"/>
            <w:spacing w:val="-2"/>
            <w:u w:val="single" w:color="0000FF"/>
          </w:rPr>
          <w:t>analysis/sheep-projections/september-2024-update_mla-australian-sheep-industry-</w:t>
        </w:r>
      </w:hyperlink>
      <w:r>
        <w:rPr>
          <w:color w:val="0000FF"/>
          <w:spacing w:val="-2"/>
          <w:u w:val="none"/>
        </w:rPr>
        <w:t> </w:t>
      </w:r>
      <w:hyperlink r:id="rId106">
        <w:r>
          <w:rPr>
            <w:color w:val="0000FF"/>
            <w:spacing w:val="-2"/>
            <w:u w:val="single" w:color="0000FF"/>
          </w:rPr>
          <w:t>projections_0209242.pdf</w:t>
        </w:r>
        <w:r>
          <w:rPr>
            <w:spacing w:val="-2"/>
            <w:u w:val="none"/>
          </w:rPr>
          <w:t>.</w:t>
        </w:r>
      </w:hyperlink>
    </w:p>
    <w:p>
      <w:pPr>
        <w:pStyle w:val="BodyText"/>
        <w:spacing w:before="10"/>
      </w:pPr>
    </w:p>
    <w:p>
      <w:pPr>
        <w:pStyle w:val="BodyText"/>
        <w:ind w:left="833" w:right="232" w:hanging="721"/>
      </w:pPr>
      <w:r>
        <w:rPr/>
        <w:t>Moreira-Arce,</w:t>
      </w:r>
      <w:r>
        <w:rPr>
          <w:spacing w:val="-4"/>
        </w:rPr>
        <w:t> </w:t>
      </w:r>
      <w:r>
        <w:rPr/>
        <w:t>D.,</w:t>
      </w:r>
      <w:r>
        <w:rPr>
          <w:spacing w:val="-2"/>
        </w:rPr>
        <w:t> </w:t>
      </w:r>
      <w:r>
        <w:rPr/>
        <w:t>Ugarte,</w:t>
      </w:r>
      <w:r>
        <w:rPr>
          <w:spacing w:val="-4"/>
        </w:rPr>
        <w:t> </w:t>
      </w:r>
      <w:r>
        <w:rPr/>
        <w:t>C.S.,</w:t>
      </w:r>
      <w:r>
        <w:rPr>
          <w:spacing w:val="-4"/>
        </w:rPr>
        <w:t> </w:t>
      </w:r>
      <w:r>
        <w:rPr/>
        <w:t>Zorondo-Rodríguez,</w:t>
      </w:r>
      <w:r>
        <w:rPr>
          <w:spacing w:val="-4"/>
        </w:rPr>
        <w:t> </w:t>
      </w:r>
      <w:r>
        <w:rPr/>
        <w:t>F.,</w:t>
      </w:r>
      <w:r>
        <w:rPr>
          <w:spacing w:val="-2"/>
        </w:rPr>
        <w:t> </w:t>
      </w:r>
      <w:r>
        <w:rPr/>
        <w:t>and</w:t>
      </w:r>
      <w:r>
        <w:rPr>
          <w:spacing w:val="-2"/>
        </w:rPr>
        <w:t> </w:t>
      </w:r>
      <w:r>
        <w:rPr/>
        <w:t>Simonetti,</w:t>
      </w:r>
      <w:r>
        <w:rPr>
          <w:spacing w:val="-4"/>
        </w:rPr>
        <w:t> </w:t>
      </w:r>
      <w:r>
        <w:rPr/>
        <w:t>J.A.</w:t>
      </w:r>
      <w:r>
        <w:rPr>
          <w:spacing w:val="-4"/>
        </w:rPr>
        <w:t> </w:t>
      </w:r>
      <w:r>
        <w:rPr/>
        <w:t>(2018).</w:t>
      </w:r>
      <w:r>
        <w:rPr>
          <w:spacing w:val="-2"/>
        </w:rPr>
        <w:t> </w:t>
      </w:r>
      <w:r>
        <w:rPr/>
        <w:t>Management</w:t>
      </w:r>
      <w:r>
        <w:rPr>
          <w:spacing w:val="-4"/>
        </w:rPr>
        <w:t> </w:t>
      </w:r>
      <w:r>
        <w:rPr/>
        <w:t>tools</w:t>
      </w:r>
      <w:r>
        <w:rPr>
          <w:spacing w:val="-3"/>
        </w:rPr>
        <w:t> </w:t>
      </w:r>
      <w:r>
        <w:rPr/>
        <w:t>to reduce carnivore-livestock conflicts: current gap and future challenges. </w:t>
      </w:r>
      <w:r>
        <w:rPr>
          <w:i/>
        </w:rPr>
        <w:t>Rangeland Ecology &amp;</w:t>
      </w:r>
      <w:r>
        <w:rPr>
          <w:i/>
        </w:rPr>
        <w:t> Management </w:t>
      </w:r>
      <w:r>
        <w:rPr>
          <w:b/>
        </w:rPr>
        <w:t>71</w:t>
      </w:r>
      <w:r>
        <w:rPr/>
        <w:t>(3):389–94. doi: 10.1016/j.rama.2018.02.005.</w:t>
      </w:r>
    </w:p>
    <w:p>
      <w:pPr>
        <w:pStyle w:val="BodyText"/>
        <w:spacing w:before="8"/>
      </w:pPr>
    </w:p>
    <w:p>
      <w:pPr>
        <w:pStyle w:val="BodyText"/>
        <w:spacing w:before="1"/>
        <w:ind w:left="833" w:right="163" w:hanging="721"/>
      </w:pPr>
      <w:r>
        <w:rPr/>
        <w:t>Mori,</w:t>
      </w:r>
      <w:r>
        <w:rPr>
          <w:spacing w:val="-1"/>
        </w:rPr>
        <w:t> </w:t>
      </w:r>
      <w:r>
        <w:rPr/>
        <w:t>E.</w:t>
      </w:r>
      <w:r>
        <w:rPr>
          <w:spacing w:val="-3"/>
        </w:rPr>
        <w:t> </w:t>
      </w:r>
      <w:r>
        <w:rPr/>
        <w:t>(2017). Porcupines</w:t>
      </w:r>
      <w:r>
        <w:rPr>
          <w:spacing w:val="-2"/>
        </w:rPr>
        <w:t> </w:t>
      </w:r>
      <w:r>
        <w:rPr/>
        <w:t>in</w:t>
      </w:r>
      <w:r>
        <w:rPr>
          <w:spacing w:val="-3"/>
        </w:rPr>
        <w:t> </w:t>
      </w:r>
      <w:r>
        <w:rPr/>
        <w:t>the</w:t>
      </w:r>
      <w:r>
        <w:rPr>
          <w:spacing w:val="-2"/>
        </w:rPr>
        <w:t> </w:t>
      </w:r>
      <w:r>
        <w:rPr/>
        <w:t>landscape</w:t>
      </w:r>
      <w:r>
        <w:rPr>
          <w:spacing w:val="-1"/>
        </w:rPr>
        <w:t> </w:t>
      </w:r>
      <w:r>
        <w:rPr/>
        <w:t>of</w:t>
      </w:r>
      <w:r>
        <w:rPr>
          <w:spacing w:val="-3"/>
        </w:rPr>
        <w:t> </w:t>
      </w:r>
      <w:r>
        <w:rPr/>
        <w:t>fear:</w:t>
      </w:r>
      <w:r>
        <w:rPr>
          <w:spacing w:val="-3"/>
        </w:rPr>
        <w:t> </w:t>
      </w:r>
      <w:r>
        <w:rPr/>
        <w:t>effect</w:t>
      </w:r>
      <w:r>
        <w:rPr>
          <w:spacing w:val="-3"/>
        </w:rPr>
        <w:t> </w:t>
      </w:r>
      <w:r>
        <w:rPr/>
        <w:t>of</w:t>
      </w:r>
      <w:r>
        <w:rPr>
          <w:spacing w:val="-3"/>
        </w:rPr>
        <w:t> </w:t>
      </w:r>
      <w:r>
        <w:rPr/>
        <w:t>hunting</w:t>
      </w:r>
      <w:r>
        <w:rPr>
          <w:spacing w:val="-3"/>
        </w:rPr>
        <w:t> </w:t>
      </w:r>
      <w:r>
        <w:rPr/>
        <w:t>with</w:t>
      </w:r>
      <w:r>
        <w:rPr>
          <w:spacing w:val="-4"/>
        </w:rPr>
        <w:t> </w:t>
      </w:r>
      <w:r>
        <w:rPr/>
        <w:t>dogs</w:t>
      </w:r>
      <w:r>
        <w:rPr>
          <w:spacing w:val="-2"/>
        </w:rPr>
        <w:t> </w:t>
      </w:r>
      <w:r>
        <w:rPr/>
        <w:t>on</w:t>
      </w:r>
      <w:r>
        <w:rPr>
          <w:spacing w:val="-1"/>
        </w:rPr>
        <w:t> </w:t>
      </w:r>
      <w:r>
        <w:rPr/>
        <w:t>the</w:t>
      </w:r>
      <w:r>
        <w:rPr>
          <w:spacing w:val="-1"/>
        </w:rPr>
        <w:t> </w:t>
      </w:r>
      <w:r>
        <w:rPr/>
        <w:t>behaviour of</w:t>
      </w:r>
      <w:r>
        <w:rPr>
          <w:spacing w:val="-3"/>
        </w:rPr>
        <w:t> </w:t>
      </w:r>
      <w:r>
        <w:rPr/>
        <w:t>a</w:t>
      </w:r>
      <w:r>
        <w:rPr>
          <w:spacing w:val="-1"/>
        </w:rPr>
        <w:t> </w:t>
      </w:r>
      <w:r>
        <w:rPr/>
        <w:t>non- target species. </w:t>
      </w:r>
      <w:r>
        <w:rPr>
          <w:i/>
        </w:rPr>
        <w:t>Mammal Research </w:t>
      </w:r>
      <w:r>
        <w:rPr>
          <w:b/>
        </w:rPr>
        <w:t>62</w:t>
      </w:r>
      <w:r>
        <w:rPr/>
        <w:t>(3):251–58. doi: 10.1007/s13364-017-0313-5.</w:t>
      </w:r>
    </w:p>
    <w:p>
      <w:pPr>
        <w:pStyle w:val="BodyText"/>
        <w:spacing w:before="11"/>
      </w:pPr>
    </w:p>
    <w:p>
      <w:pPr>
        <w:pStyle w:val="BodyText"/>
        <w:ind w:left="833" w:right="163" w:hanging="721"/>
      </w:pPr>
      <w:r>
        <w:rPr/>
        <w:t>Moseby,</w:t>
      </w:r>
      <w:r>
        <w:rPr>
          <w:spacing w:val="-2"/>
        </w:rPr>
        <w:t> </w:t>
      </w:r>
      <w:r>
        <w:rPr/>
        <w:t>K.E.,</w:t>
      </w:r>
      <w:r>
        <w:rPr>
          <w:spacing w:val="-3"/>
        </w:rPr>
        <w:t> </w:t>
      </w:r>
      <w:r>
        <w:rPr/>
        <w:t>and</w:t>
      </w:r>
      <w:r>
        <w:rPr>
          <w:spacing w:val="-4"/>
        </w:rPr>
        <w:t> </w:t>
      </w:r>
      <w:r>
        <w:rPr/>
        <w:t>Hill,</w:t>
      </w:r>
      <w:r>
        <w:rPr>
          <w:spacing w:val="-2"/>
        </w:rPr>
        <w:t> </w:t>
      </w:r>
      <w:r>
        <w:rPr/>
        <w:t>B.M.</w:t>
      </w:r>
      <w:r>
        <w:rPr>
          <w:spacing w:val="-3"/>
        </w:rPr>
        <w:t> </w:t>
      </w:r>
      <w:r>
        <w:rPr/>
        <w:t>(2011).</w:t>
      </w:r>
      <w:r>
        <w:rPr>
          <w:spacing w:val="-2"/>
        </w:rPr>
        <w:t> </w:t>
      </w:r>
      <w:r>
        <w:rPr/>
        <w:t>The</w:t>
      </w:r>
      <w:r>
        <w:rPr>
          <w:spacing w:val="-2"/>
        </w:rPr>
        <w:t> </w:t>
      </w:r>
      <w:r>
        <w:rPr/>
        <w:t>use</w:t>
      </w:r>
      <w:r>
        <w:rPr>
          <w:spacing w:val="-3"/>
        </w:rPr>
        <w:t> </w:t>
      </w:r>
      <w:r>
        <w:rPr/>
        <w:t>of</w:t>
      </w:r>
      <w:r>
        <w:rPr>
          <w:spacing w:val="-2"/>
        </w:rPr>
        <w:t> </w:t>
      </w:r>
      <w:r>
        <w:rPr/>
        <w:t>poison</w:t>
      </w:r>
      <w:r>
        <w:rPr>
          <w:spacing w:val="-2"/>
        </w:rPr>
        <w:t> </w:t>
      </w:r>
      <w:r>
        <w:rPr/>
        <w:t>baits</w:t>
      </w:r>
      <w:r>
        <w:rPr>
          <w:spacing w:val="-2"/>
        </w:rPr>
        <w:t> </w:t>
      </w:r>
      <w:r>
        <w:rPr/>
        <w:t>to</w:t>
      </w:r>
      <w:r>
        <w:rPr>
          <w:spacing w:val="-3"/>
        </w:rPr>
        <w:t> </w:t>
      </w:r>
      <w:r>
        <w:rPr/>
        <w:t>control</w:t>
      </w:r>
      <w:r>
        <w:rPr>
          <w:spacing w:val="-4"/>
        </w:rPr>
        <w:t> </w:t>
      </w:r>
      <w:r>
        <w:rPr/>
        <w:t>feral</w:t>
      </w:r>
      <w:r>
        <w:rPr>
          <w:spacing w:val="-4"/>
        </w:rPr>
        <w:t> </w:t>
      </w:r>
      <w:r>
        <w:rPr/>
        <w:t>cats</w:t>
      </w:r>
      <w:r>
        <w:rPr>
          <w:spacing w:val="-2"/>
        </w:rPr>
        <w:t> </w:t>
      </w:r>
      <w:r>
        <w:rPr/>
        <w:t>and</w:t>
      </w:r>
      <w:r>
        <w:rPr>
          <w:spacing w:val="-3"/>
        </w:rPr>
        <w:t> </w:t>
      </w:r>
      <w:r>
        <w:rPr/>
        <w:t>red</w:t>
      </w:r>
      <w:r>
        <w:rPr>
          <w:spacing w:val="-3"/>
        </w:rPr>
        <w:t> </w:t>
      </w:r>
      <w:r>
        <w:rPr/>
        <w:t>foxes</w:t>
      </w:r>
      <w:r>
        <w:rPr>
          <w:spacing w:val="-2"/>
        </w:rPr>
        <w:t> </w:t>
      </w:r>
      <w:r>
        <w:rPr/>
        <w:t>in</w:t>
      </w:r>
      <w:r>
        <w:rPr>
          <w:spacing w:val="-2"/>
        </w:rPr>
        <w:t> </w:t>
      </w:r>
      <w:r>
        <w:rPr/>
        <w:t>arid</w:t>
      </w:r>
      <w:r>
        <w:rPr>
          <w:spacing w:val="-2"/>
        </w:rPr>
        <w:t> </w:t>
      </w:r>
      <w:r>
        <w:rPr/>
        <w:t>south Australia I. aerial baiting trials. </w:t>
      </w:r>
      <w:r>
        <w:rPr>
          <w:i/>
        </w:rPr>
        <w:t>Wildlife Research </w:t>
      </w:r>
      <w:r>
        <w:rPr>
          <w:b/>
        </w:rPr>
        <w:t>38</w:t>
      </w:r>
      <w:r>
        <w:rPr/>
        <w:t>(4):338–49.</w:t>
      </w:r>
    </w:p>
    <w:p>
      <w:pPr>
        <w:pStyle w:val="BodyText"/>
        <w:spacing w:before="11"/>
      </w:pPr>
    </w:p>
    <w:p>
      <w:pPr>
        <w:pStyle w:val="BodyText"/>
        <w:ind w:left="833" w:right="163" w:hanging="721"/>
      </w:pPr>
      <w:r>
        <w:rPr/>
        <w:t>Moseby,</w:t>
      </w:r>
      <w:r>
        <w:rPr>
          <w:spacing w:val="-2"/>
        </w:rPr>
        <w:t> </w:t>
      </w:r>
      <w:r>
        <w:rPr/>
        <w:t>K.E.,</w:t>
      </w:r>
      <w:r>
        <w:rPr>
          <w:spacing w:val="-4"/>
        </w:rPr>
        <w:t> </w:t>
      </w:r>
      <w:r>
        <w:rPr/>
        <w:t>and</w:t>
      </w:r>
      <w:r>
        <w:rPr>
          <w:spacing w:val="-5"/>
        </w:rPr>
        <w:t> </w:t>
      </w:r>
      <w:r>
        <w:rPr/>
        <w:t>Read,</w:t>
      </w:r>
      <w:r>
        <w:rPr>
          <w:spacing w:val="-4"/>
        </w:rPr>
        <w:t> </w:t>
      </w:r>
      <w:r>
        <w:rPr/>
        <w:t>J.L.</w:t>
      </w:r>
      <w:r>
        <w:rPr>
          <w:spacing w:val="-4"/>
        </w:rPr>
        <w:t> </w:t>
      </w:r>
      <w:r>
        <w:rPr/>
        <w:t>(2006).</w:t>
      </w:r>
      <w:r>
        <w:rPr>
          <w:spacing w:val="-4"/>
        </w:rPr>
        <w:t> </w:t>
      </w:r>
      <w:r>
        <w:rPr/>
        <w:t>The</w:t>
      </w:r>
      <w:r>
        <w:rPr>
          <w:spacing w:val="-2"/>
        </w:rPr>
        <w:t> </w:t>
      </w:r>
      <w:r>
        <w:rPr/>
        <w:t>efficacy</w:t>
      </w:r>
      <w:r>
        <w:rPr>
          <w:spacing w:val="-3"/>
        </w:rPr>
        <w:t> </w:t>
      </w:r>
      <w:r>
        <w:rPr/>
        <w:t>of</w:t>
      </w:r>
      <w:r>
        <w:rPr>
          <w:spacing w:val="-4"/>
        </w:rPr>
        <w:t> </w:t>
      </w:r>
      <w:r>
        <w:rPr/>
        <w:t>feral</w:t>
      </w:r>
      <w:r>
        <w:rPr>
          <w:spacing w:val="-5"/>
        </w:rPr>
        <w:t> </w:t>
      </w:r>
      <w:r>
        <w:rPr/>
        <w:t>cat,</w:t>
      </w:r>
      <w:r>
        <w:rPr>
          <w:spacing w:val="-4"/>
        </w:rPr>
        <w:t> </w:t>
      </w:r>
      <w:r>
        <w:rPr/>
        <w:t>fox</w:t>
      </w:r>
      <w:r>
        <w:rPr>
          <w:spacing w:val="-3"/>
        </w:rPr>
        <w:t> </w:t>
      </w:r>
      <w:r>
        <w:rPr/>
        <w:t>and</w:t>
      </w:r>
      <w:r>
        <w:rPr>
          <w:spacing w:val="-4"/>
        </w:rPr>
        <w:t> </w:t>
      </w:r>
      <w:r>
        <w:rPr/>
        <w:t>rabbit</w:t>
      </w:r>
      <w:r>
        <w:rPr>
          <w:spacing w:val="-2"/>
        </w:rPr>
        <w:t> </w:t>
      </w:r>
      <w:r>
        <w:rPr/>
        <w:t>exclusion</w:t>
      </w:r>
      <w:r>
        <w:rPr>
          <w:spacing w:val="-5"/>
        </w:rPr>
        <w:t> </w:t>
      </w:r>
      <w:r>
        <w:rPr/>
        <w:t>fence</w:t>
      </w:r>
      <w:r>
        <w:rPr>
          <w:spacing w:val="-4"/>
        </w:rPr>
        <w:t> </w:t>
      </w:r>
      <w:r>
        <w:rPr/>
        <w:t>designs</w:t>
      </w:r>
      <w:r>
        <w:rPr>
          <w:spacing w:val="-3"/>
        </w:rPr>
        <w:t> </w:t>
      </w:r>
      <w:r>
        <w:rPr/>
        <w:t>for threatened species protection. </w:t>
      </w:r>
      <w:r>
        <w:rPr>
          <w:i/>
        </w:rPr>
        <w:t>Biological Conservation </w:t>
      </w:r>
      <w:r>
        <w:rPr>
          <w:b/>
        </w:rPr>
        <w:t>127</w:t>
      </w:r>
      <w:r>
        <w:rPr/>
        <w:t>(4):429–37. doi: </w:t>
      </w:r>
      <w:r>
        <w:rPr>
          <w:spacing w:val="-2"/>
        </w:rPr>
        <w:t>https://doi.org/10.1016/j.biocon.2005.09.002.</w:t>
      </w:r>
    </w:p>
    <w:p>
      <w:pPr>
        <w:pStyle w:val="BodyText"/>
        <w:spacing w:before="9"/>
      </w:pPr>
    </w:p>
    <w:p>
      <w:pPr>
        <w:pStyle w:val="BodyText"/>
        <w:ind w:left="112"/>
      </w:pPr>
      <w:r>
        <w:rPr/>
        <w:t>Mutze,</w:t>
      </w:r>
      <w:r>
        <w:rPr>
          <w:spacing w:val="-6"/>
        </w:rPr>
        <w:t> </w:t>
      </w:r>
      <w:r>
        <w:rPr/>
        <w:t>G.,</w:t>
      </w:r>
      <w:r>
        <w:rPr>
          <w:spacing w:val="-5"/>
        </w:rPr>
        <w:t> </w:t>
      </w:r>
      <w:r>
        <w:rPr/>
        <w:t>Bird,</w:t>
      </w:r>
      <w:r>
        <w:rPr>
          <w:spacing w:val="-4"/>
        </w:rPr>
        <w:t> </w:t>
      </w:r>
      <w:r>
        <w:rPr/>
        <w:t>P.,</w:t>
      </w:r>
      <w:r>
        <w:rPr>
          <w:spacing w:val="-6"/>
        </w:rPr>
        <w:t> </w:t>
      </w:r>
      <w:r>
        <w:rPr/>
        <w:t>Jennings,</w:t>
      </w:r>
      <w:r>
        <w:rPr>
          <w:spacing w:val="-5"/>
        </w:rPr>
        <w:t> </w:t>
      </w:r>
      <w:r>
        <w:rPr/>
        <w:t>S.,</w:t>
      </w:r>
      <w:r>
        <w:rPr>
          <w:spacing w:val="-5"/>
        </w:rPr>
        <w:t> </w:t>
      </w:r>
      <w:r>
        <w:rPr/>
        <w:t>Peacock,</w:t>
      </w:r>
      <w:r>
        <w:rPr>
          <w:spacing w:val="-5"/>
        </w:rPr>
        <w:t> </w:t>
      </w:r>
      <w:r>
        <w:rPr/>
        <w:t>D.,</w:t>
      </w:r>
      <w:r>
        <w:rPr>
          <w:spacing w:val="-5"/>
        </w:rPr>
        <w:t> </w:t>
      </w:r>
      <w:r>
        <w:rPr/>
        <w:t>de</w:t>
      </w:r>
      <w:r>
        <w:rPr>
          <w:spacing w:val="-5"/>
        </w:rPr>
        <w:t> </w:t>
      </w:r>
      <w:r>
        <w:rPr/>
        <w:t>Preu,</w:t>
      </w:r>
      <w:r>
        <w:rPr>
          <w:spacing w:val="-5"/>
        </w:rPr>
        <w:t> </w:t>
      </w:r>
      <w:r>
        <w:rPr/>
        <w:t>N.,</w:t>
      </w:r>
      <w:r>
        <w:rPr>
          <w:spacing w:val="-5"/>
        </w:rPr>
        <w:t> </w:t>
      </w:r>
      <w:r>
        <w:rPr/>
        <w:t>Kovaliski,</w:t>
      </w:r>
      <w:r>
        <w:rPr>
          <w:spacing w:val="-6"/>
        </w:rPr>
        <w:t> </w:t>
      </w:r>
      <w:r>
        <w:rPr/>
        <w:t>J.,</w:t>
      </w:r>
      <w:r>
        <w:rPr>
          <w:spacing w:val="-5"/>
        </w:rPr>
        <w:t> </w:t>
      </w:r>
      <w:r>
        <w:rPr/>
        <w:t>Cooke,</w:t>
      </w:r>
      <w:r>
        <w:rPr>
          <w:spacing w:val="-5"/>
        </w:rPr>
        <w:t> </w:t>
      </w:r>
      <w:r>
        <w:rPr/>
        <w:t>B.,</w:t>
      </w:r>
      <w:r>
        <w:rPr>
          <w:spacing w:val="-5"/>
        </w:rPr>
        <w:t> </w:t>
      </w:r>
      <w:r>
        <w:rPr/>
        <w:t>and</w:t>
      </w:r>
      <w:r>
        <w:rPr>
          <w:spacing w:val="-6"/>
        </w:rPr>
        <w:t> </w:t>
      </w:r>
      <w:r>
        <w:rPr/>
        <w:t>Capucci,</w:t>
      </w:r>
      <w:r>
        <w:rPr>
          <w:spacing w:val="-6"/>
        </w:rPr>
        <w:t> </w:t>
      </w:r>
      <w:r>
        <w:rPr/>
        <w:t>L.</w:t>
      </w:r>
      <w:r>
        <w:rPr>
          <w:spacing w:val="-6"/>
        </w:rPr>
        <w:t> </w:t>
      </w:r>
      <w:r>
        <w:rPr>
          <w:spacing w:val="-2"/>
        </w:rPr>
        <w:t>(2014).</w:t>
      </w:r>
    </w:p>
    <w:p>
      <w:pPr>
        <w:pStyle w:val="BodyText"/>
        <w:ind w:left="833"/>
      </w:pPr>
      <w:r>
        <w:rPr/>
        <w:t>Recovery</w:t>
      </w:r>
      <w:r>
        <w:rPr>
          <w:spacing w:val="-7"/>
        </w:rPr>
        <w:t> </w:t>
      </w:r>
      <w:r>
        <w:rPr/>
        <w:t>of</w:t>
      </w:r>
      <w:r>
        <w:rPr>
          <w:spacing w:val="-8"/>
        </w:rPr>
        <w:t> </w:t>
      </w:r>
      <w:r>
        <w:rPr/>
        <w:t>south</w:t>
      </w:r>
      <w:r>
        <w:rPr>
          <w:spacing w:val="-8"/>
        </w:rPr>
        <w:t> </w:t>
      </w:r>
      <w:r>
        <w:rPr/>
        <w:t>Australian</w:t>
      </w:r>
      <w:r>
        <w:rPr>
          <w:spacing w:val="-7"/>
        </w:rPr>
        <w:t> </w:t>
      </w:r>
      <w:r>
        <w:rPr/>
        <w:t>rabbit</w:t>
      </w:r>
      <w:r>
        <w:rPr>
          <w:spacing w:val="-8"/>
        </w:rPr>
        <w:t> </w:t>
      </w:r>
      <w:r>
        <w:rPr/>
        <w:t>populations</w:t>
      </w:r>
      <w:r>
        <w:rPr>
          <w:spacing w:val="-8"/>
        </w:rPr>
        <w:t> </w:t>
      </w:r>
      <w:r>
        <w:rPr/>
        <w:t>from</w:t>
      </w:r>
      <w:r>
        <w:rPr>
          <w:spacing w:val="-6"/>
        </w:rPr>
        <w:t> </w:t>
      </w:r>
      <w:r>
        <w:rPr/>
        <w:t>the</w:t>
      </w:r>
      <w:r>
        <w:rPr>
          <w:spacing w:val="-9"/>
        </w:rPr>
        <w:t> </w:t>
      </w:r>
      <w:r>
        <w:rPr/>
        <w:t>impact</w:t>
      </w:r>
      <w:r>
        <w:rPr>
          <w:spacing w:val="-8"/>
        </w:rPr>
        <w:t> </w:t>
      </w:r>
      <w:r>
        <w:rPr/>
        <w:t>of</w:t>
      </w:r>
      <w:r>
        <w:rPr>
          <w:spacing w:val="-8"/>
        </w:rPr>
        <w:t> </w:t>
      </w:r>
      <w:r>
        <w:rPr/>
        <w:t>rabbit</w:t>
      </w:r>
      <w:r>
        <w:rPr>
          <w:spacing w:val="-7"/>
        </w:rPr>
        <w:t> </w:t>
      </w:r>
      <w:r>
        <w:rPr/>
        <w:t>haemorrhagic</w:t>
      </w:r>
      <w:r>
        <w:rPr>
          <w:spacing w:val="-7"/>
        </w:rPr>
        <w:t> </w:t>
      </w:r>
      <w:r>
        <w:rPr>
          <w:spacing w:val="-2"/>
        </w:rPr>
        <w:t>disease.</w:t>
      </w:r>
    </w:p>
    <w:p>
      <w:pPr>
        <w:spacing w:before="1"/>
        <w:ind w:left="833" w:right="0" w:firstLine="0"/>
        <w:jc w:val="left"/>
        <w:rPr>
          <w:sz w:val="20"/>
        </w:rPr>
      </w:pPr>
      <w:r>
        <w:rPr>
          <w:i/>
          <w:sz w:val="20"/>
        </w:rPr>
        <w:t>Wildlife</w:t>
      </w:r>
      <w:r>
        <w:rPr>
          <w:i/>
          <w:spacing w:val="-12"/>
          <w:sz w:val="20"/>
        </w:rPr>
        <w:t> </w:t>
      </w:r>
      <w:r>
        <w:rPr>
          <w:i/>
          <w:sz w:val="20"/>
        </w:rPr>
        <w:t>Research</w:t>
      </w:r>
      <w:r>
        <w:rPr>
          <w:i/>
          <w:spacing w:val="-8"/>
          <w:sz w:val="20"/>
        </w:rPr>
        <w:t> </w:t>
      </w:r>
      <w:r>
        <w:rPr>
          <w:b/>
          <w:spacing w:val="-2"/>
          <w:sz w:val="20"/>
        </w:rPr>
        <w:t>41</w:t>
      </w:r>
      <w:r>
        <w:rPr>
          <w:spacing w:val="-2"/>
          <w:sz w:val="20"/>
        </w:rPr>
        <w:t>(7):552–59.</w:t>
      </w:r>
    </w:p>
    <w:p>
      <w:pPr>
        <w:pStyle w:val="BodyText"/>
        <w:spacing w:before="10"/>
      </w:pPr>
    </w:p>
    <w:p>
      <w:pPr>
        <w:pStyle w:val="BodyText"/>
        <w:ind w:left="833" w:right="364" w:hanging="721"/>
      </w:pPr>
      <w:r>
        <w:rPr/>
        <w:t>Mutze,</w:t>
      </w:r>
      <w:r>
        <w:rPr>
          <w:spacing w:val="-4"/>
        </w:rPr>
        <w:t> </w:t>
      </w:r>
      <w:r>
        <w:rPr/>
        <w:t>G.,</w:t>
      </w:r>
      <w:r>
        <w:rPr>
          <w:spacing w:val="-2"/>
        </w:rPr>
        <w:t> </w:t>
      </w:r>
      <w:r>
        <w:rPr/>
        <w:t>Cooke,</w:t>
      </w:r>
      <w:r>
        <w:rPr>
          <w:spacing w:val="-4"/>
        </w:rPr>
        <w:t> </w:t>
      </w:r>
      <w:r>
        <w:rPr/>
        <w:t>B.,</w:t>
      </w:r>
      <w:r>
        <w:rPr>
          <w:spacing w:val="-4"/>
        </w:rPr>
        <w:t> </w:t>
      </w:r>
      <w:r>
        <w:rPr/>
        <w:t>and</w:t>
      </w:r>
      <w:r>
        <w:rPr>
          <w:spacing w:val="-3"/>
        </w:rPr>
        <w:t> </w:t>
      </w:r>
      <w:r>
        <w:rPr/>
        <w:t>Alexander,</w:t>
      </w:r>
      <w:r>
        <w:rPr>
          <w:spacing w:val="-4"/>
        </w:rPr>
        <w:t> </w:t>
      </w:r>
      <w:r>
        <w:rPr/>
        <w:t>P.</w:t>
      </w:r>
      <w:r>
        <w:rPr>
          <w:spacing w:val="-4"/>
        </w:rPr>
        <w:t> </w:t>
      </w:r>
      <w:r>
        <w:rPr/>
        <w:t>(1998).</w:t>
      </w:r>
      <w:r>
        <w:rPr>
          <w:spacing w:val="-4"/>
        </w:rPr>
        <w:t> </w:t>
      </w:r>
      <w:r>
        <w:rPr/>
        <w:t>The</w:t>
      </w:r>
      <w:r>
        <w:rPr>
          <w:spacing w:val="-3"/>
        </w:rPr>
        <w:t> </w:t>
      </w:r>
      <w:r>
        <w:rPr/>
        <w:t>initial</w:t>
      </w:r>
      <w:r>
        <w:rPr>
          <w:spacing w:val="-3"/>
        </w:rPr>
        <w:t> </w:t>
      </w:r>
      <w:r>
        <w:rPr/>
        <w:t>impact</w:t>
      </w:r>
      <w:r>
        <w:rPr>
          <w:spacing w:val="-2"/>
        </w:rPr>
        <w:t> </w:t>
      </w:r>
      <w:r>
        <w:rPr/>
        <w:t>of</w:t>
      </w:r>
      <w:r>
        <w:rPr>
          <w:spacing w:val="-4"/>
        </w:rPr>
        <w:t> </w:t>
      </w:r>
      <w:r>
        <w:rPr/>
        <w:t>rabbit</w:t>
      </w:r>
      <w:r>
        <w:rPr>
          <w:spacing w:val="-2"/>
        </w:rPr>
        <w:t> </w:t>
      </w:r>
      <w:r>
        <w:rPr/>
        <w:t>haemorrhagic</w:t>
      </w:r>
      <w:r>
        <w:rPr>
          <w:spacing w:val="-1"/>
        </w:rPr>
        <w:t> </w:t>
      </w:r>
      <w:r>
        <w:rPr/>
        <w:t>disease</w:t>
      </w:r>
      <w:r>
        <w:rPr>
          <w:spacing w:val="-2"/>
        </w:rPr>
        <w:t> </w:t>
      </w:r>
      <w:r>
        <w:rPr/>
        <w:t>on European rabbit populations in south Australia. </w:t>
      </w:r>
      <w:r>
        <w:rPr>
          <w:i/>
        </w:rPr>
        <w:t>Journal of Wildlife Diseases </w:t>
      </w:r>
      <w:r>
        <w:rPr>
          <w:b/>
        </w:rPr>
        <w:t>34</w:t>
      </w:r>
      <w:r>
        <w:rPr/>
        <w:t>(2):221–27.</w:t>
      </w:r>
    </w:p>
    <w:p>
      <w:pPr>
        <w:pStyle w:val="BodyText"/>
        <w:spacing w:before="8"/>
      </w:pPr>
    </w:p>
    <w:p>
      <w:pPr>
        <w:pStyle w:val="BodyText"/>
        <w:spacing w:before="1"/>
        <w:ind w:left="833" w:right="163" w:hanging="721"/>
      </w:pPr>
      <w:r>
        <w:rPr/>
        <w:t>Mutze,</w:t>
      </w:r>
      <w:r>
        <w:rPr>
          <w:spacing w:val="-4"/>
        </w:rPr>
        <w:t> </w:t>
      </w:r>
      <w:r>
        <w:rPr/>
        <w:t>G.J.</w:t>
      </w:r>
      <w:r>
        <w:rPr>
          <w:spacing w:val="-4"/>
        </w:rPr>
        <w:t> </w:t>
      </w:r>
      <w:r>
        <w:rPr/>
        <w:t>(1991).</w:t>
      </w:r>
      <w:r>
        <w:rPr>
          <w:spacing w:val="-1"/>
        </w:rPr>
        <w:t> </w:t>
      </w:r>
      <w:r>
        <w:rPr/>
        <w:t>Long-term</w:t>
      </w:r>
      <w:r>
        <w:rPr>
          <w:spacing w:val="-4"/>
        </w:rPr>
        <w:t> </w:t>
      </w:r>
      <w:r>
        <w:rPr/>
        <w:t>effects</w:t>
      </w:r>
      <w:r>
        <w:rPr>
          <w:spacing w:val="-3"/>
        </w:rPr>
        <w:t> </w:t>
      </w:r>
      <w:r>
        <w:rPr/>
        <w:t>of</w:t>
      </w:r>
      <w:r>
        <w:rPr>
          <w:spacing w:val="-2"/>
        </w:rPr>
        <w:t> </w:t>
      </w:r>
      <w:r>
        <w:rPr/>
        <w:t>warren</w:t>
      </w:r>
      <w:r>
        <w:rPr>
          <w:spacing w:val="-2"/>
        </w:rPr>
        <w:t> </w:t>
      </w:r>
      <w:r>
        <w:rPr/>
        <w:t>ripping</w:t>
      </w:r>
      <w:r>
        <w:rPr>
          <w:spacing w:val="-2"/>
        </w:rPr>
        <w:t> </w:t>
      </w:r>
      <w:r>
        <w:rPr/>
        <w:t>for</w:t>
      </w:r>
      <w:r>
        <w:rPr>
          <w:spacing w:val="-3"/>
        </w:rPr>
        <w:t> </w:t>
      </w:r>
      <w:r>
        <w:rPr/>
        <w:t>rabbit</w:t>
      </w:r>
      <w:r>
        <w:rPr>
          <w:spacing w:val="-4"/>
        </w:rPr>
        <w:t> </w:t>
      </w:r>
      <w:r>
        <w:rPr/>
        <w:t>control</w:t>
      </w:r>
      <w:r>
        <w:rPr>
          <w:spacing w:val="-3"/>
        </w:rPr>
        <w:t> </w:t>
      </w:r>
      <w:r>
        <w:rPr/>
        <w:t>in</w:t>
      </w:r>
      <w:r>
        <w:rPr>
          <w:spacing w:val="-2"/>
        </w:rPr>
        <w:t> </w:t>
      </w:r>
      <w:r>
        <w:rPr/>
        <w:t>semi-arid</w:t>
      </w:r>
      <w:r>
        <w:rPr>
          <w:spacing w:val="-5"/>
        </w:rPr>
        <w:t> </w:t>
      </w:r>
      <w:r>
        <w:rPr/>
        <w:t>south</w:t>
      </w:r>
      <w:r>
        <w:rPr>
          <w:spacing w:val="-1"/>
        </w:rPr>
        <w:t> </w:t>
      </w:r>
      <w:r>
        <w:rPr/>
        <w:t>Australia.</w:t>
      </w:r>
      <w:r>
        <w:rPr>
          <w:spacing w:val="-2"/>
        </w:rPr>
        <w:t> </w:t>
      </w:r>
      <w:r>
        <w:rPr>
          <w:i/>
        </w:rPr>
        <w:t>The</w:t>
      </w:r>
      <w:r>
        <w:rPr>
          <w:i/>
        </w:rPr>
        <w:t> Rangeland Journal </w:t>
      </w:r>
      <w:r>
        <w:rPr>
          <w:b/>
        </w:rPr>
        <w:t>13</w:t>
      </w:r>
      <w:r>
        <w:rPr/>
        <w:t>(2):96–106.</w:t>
      </w:r>
    </w:p>
    <w:p>
      <w:pPr>
        <w:pStyle w:val="BodyText"/>
        <w:spacing w:before="11"/>
      </w:pPr>
    </w:p>
    <w:p>
      <w:pPr>
        <w:pStyle w:val="BodyText"/>
        <w:ind w:left="833" w:right="232" w:hanging="721"/>
      </w:pPr>
      <w:r>
        <w:rPr/>
        <w:t>Mutze, G., Bird, P., Cooke, B., and Henzell, R. (2008). Geographic and seasonal variation in the impact of rabbit haemorrhagic disease on European rabbits, </w:t>
      </w:r>
      <w:r>
        <w:rPr>
          <w:i/>
        </w:rPr>
        <w:t>Oryctolagus cuniculus</w:t>
      </w:r>
      <w:r>
        <w:rPr/>
        <w:t>, and rabbit damage in Australia.</w:t>
      </w:r>
      <w:r>
        <w:rPr>
          <w:spacing w:val="-2"/>
        </w:rPr>
        <w:t> </w:t>
      </w:r>
      <w:r>
        <w:rPr/>
        <w:t>Pp.</w:t>
      </w:r>
      <w:r>
        <w:rPr>
          <w:spacing w:val="-4"/>
        </w:rPr>
        <w:t> </w:t>
      </w:r>
      <w:r>
        <w:rPr/>
        <w:t>279–93</w:t>
      </w:r>
      <w:r>
        <w:rPr>
          <w:spacing w:val="-2"/>
        </w:rPr>
        <w:t> </w:t>
      </w:r>
      <w:r>
        <w:rPr/>
        <w:t>in</w:t>
      </w:r>
      <w:r>
        <w:rPr>
          <w:spacing w:val="-3"/>
        </w:rPr>
        <w:t> </w:t>
      </w:r>
      <w:r>
        <w:rPr>
          <w:i/>
        </w:rPr>
        <w:t>Lagomorph</w:t>
      </w:r>
      <w:r>
        <w:rPr>
          <w:i/>
          <w:spacing w:val="-3"/>
        </w:rPr>
        <w:t> </w:t>
      </w:r>
      <w:r>
        <w:rPr>
          <w:i/>
        </w:rPr>
        <w:t>Biology</w:t>
      </w:r>
      <w:r>
        <w:rPr/>
        <w:t>,</w:t>
      </w:r>
      <w:r>
        <w:rPr>
          <w:spacing w:val="-4"/>
        </w:rPr>
        <w:t> </w:t>
      </w:r>
      <w:r>
        <w:rPr/>
        <w:t>edited</w:t>
      </w:r>
      <w:r>
        <w:rPr>
          <w:spacing w:val="-4"/>
        </w:rPr>
        <w:t> </w:t>
      </w:r>
      <w:r>
        <w:rPr/>
        <w:t>by P.</w:t>
      </w:r>
      <w:r>
        <w:rPr>
          <w:spacing w:val="-4"/>
        </w:rPr>
        <w:t> </w:t>
      </w:r>
      <w:r>
        <w:rPr/>
        <w:t>C.</w:t>
      </w:r>
      <w:r>
        <w:rPr>
          <w:spacing w:val="-2"/>
        </w:rPr>
        <w:t> </w:t>
      </w:r>
      <w:r>
        <w:rPr/>
        <w:t>Alves,</w:t>
      </w:r>
      <w:r>
        <w:rPr>
          <w:spacing w:val="-4"/>
        </w:rPr>
        <w:t> </w:t>
      </w:r>
      <w:r>
        <w:rPr/>
        <w:t>N.</w:t>
      </w:r>
      <w:r>
        <w:rPr>
          <w:spacing w:val="-4"/>
        </w:rPr>
        <w:t> </w:t>
      </w:r>
      <w:r>
        <w:rPr/>
        <w:t>Ferrand,</w:t>
      </w:r>
      <w:r>
        <w:rPr>
          <w:spacing w:val="-2"/>
        </w:rPr>
        <w:t> </w:t>
      </w:r>
      <w:r>
        <w:rPr/>
        <w:t>and</w:t>
      </w:r>
      <w:r>
        <w:rPr>
          <w:spacing w:val="-4"/>
        </w:rPr>
        <w:t> </w:t>
      </w:r>
      <w:r>
        <w:rPr/>
        <w:t>K.</w:t>
      </w:r>
      <w:r>
        <w:rPr>
          <w:spacing w:val="-2"/>
        </w:rPr>
        <w:t> </w:t>
      </w:r>
      <w:r>
        <w:rPr/>
        <w:t>Hackländer. Berlin, Heidelberg: Springer Berlin Heidelberg.</w:t>
      </w:r>
    </w:p>
    <w:p>
      <w:pPr>
        <w:pStyle w:val="BodyText"/>
        <w:spacing w:before="9"/>
      </w:pPr>
    </w:p>
    <w:p>
      <w:pPr>
        <w:pStyle w:val="BodyText"/>
        <w:ind w:left="833" w:right="163" w:hanging="721"/>
      </w:pPr>
      <w:r>
        <w:rPr/>
        <w:t>Mutze, G., Preu, N.D., Mooney, T., Koerner, D., McKenzie, D., Sinclair, R., Kovaliskli, J., and Peacock, D.E. (2018).</w:t>
      </w:r>
      <w:r>
        <w:rPr>
          <w:spacing w:val="-1"/>
        </w:rPr>
        <w:t> </w:t>
      </w:r>
      <w:r>
        <w:rPr/>
        <w:t>Substantial</w:t>
      </w:r>
      <w:r>
        <w:rPr>
          <w:spacing w:val="-5"/>
        </w:rPr>
        <w:t> </w:t>
      </w:r>
      <w:r>
        <w:rPr/>
        <w:t>numerical</w:t>
      </w:r>
      <w:r>
        <w:rPr>
          <w:spacing w:val="-5"/>
        </w:rPr>
        <w:t> </w:t>
      </w:r>
      <w:r>
        <w:rPr/>
        <w:t>decline</w:t>
      </w:r>
      <w:r>
        <w:rPr>
          <w:spacing w:val="-3"/>
        </w:rPr>
        <w:t> </w:t>
      </w:r>
      <w:r>
        <w:rPr/>
        <w:t>in</w:t>
      </w:r>
      <w:r>
        <w:rPr>
          <w:spacing w:val="-4"/>
        </w:rPr>
        <w:t> </w:t>
      </w:r>
      <w:r>
        <w:rPr/>
        <w:t>south Australian</w:t>
      </w:r>
      <w:r>
        <w:rPr>
          <w:spacing w:val="-3"/>
        </w:rPr>
        <w:t> </w:t>
      </w:r>
      <w:r>
        <w:rPr/>
        <w:t>rabbit</w:t>
      </w:r>
      <w:r>
        <w:rPr>
          <w:spacing w:val="-4"/>
        </w:rPr>
        <w:t> </w:t>
      </w:r>
      <w:r>
        <w:rPr/>
        <w:t>populations</w:t>
      </w:r>
      <w:r>
        <w:rPr>
          <w:spacing w:val="-3"/>
        </w:rPr>
        <w:t> </w:t>
      </w:r>
      <w:r>
        <w:rPr/>
        <w:t>following</w:t>
      </w:r>
      <w:r>
        <w:rPr>
          <w:spacing w:val="-5"/>
        </w:rPr>
        <w:t> </w:t>
      </w:r>
      <w:r>
        <w:rPr/>
        <w:t>the</w:t>
      </w:r>
      <w:r>
        <w:rPr>
          <w:spacing w:val="-4"/>
        </w:rPr>
        <w:t> </w:t>
      </w:r>
      <w:r>
        <w:rPr/>
        <w:t>detection</w:t>
      </w:r>
      <w:r>
        <w:rPr>
          <w:spacing w:val="-3"/>
        </w:rPr>
        <w:t> </w:t>
      </w:r>
      <w:r>
        <w:rPr/>
        <w:t>of rabbit haemorrhagic disease virus 2. </w:t>
      </w:r>
      <w:r>
        <w:rPr>
          <w:i/>
        </w:rPr>
        <w:t>Veterinary Record </w:t>
      </w:r>
      <w:r>
        <w:rPr>
          <w:b/>
        </w:rPr>
        <w:t>182</w:t>
      </w:r>
      <w:r>
        <w:rPr/>
        <w:t>:574–574.</w:t>
      </w:r>
    </w:p>
    <w:p>
      <w:pPr>
        <w:pStyle w:val="BodyText"/>
        <w:spacing w:before="11"/>
      </w:pPr>
    </w:p>
    <w:p>
      <w:pPr>
        <w:pStyle w:val="BodyText"/>
        <w:ind w:left="833" w:right="544" w:hanging="721"/>
      </w:pPr>
      <w:r>
        <w:rPr/>
        <w:t>Mutze,</w:t>
      </w:r>
      <w:r>
        <w:rPr>
          <w:spacing w:val="-4"/>
        </w:rPr>
        <w:t> </w:t>
      </w:r>
      <w:r>
        <w:rPr/>
        <w:t>G.,</w:t>
      </w:r>
      <w:r>
        <w:rPr>
          <w:spacing w:val="-2"/>
        </w:rPr>
        <w:t> </w:t>
      </w:r>
      <w:r>
        <w:rPr/>
        <w:t>Kovaliski,</w:t>
      </w:r>
      <w:r>
        <w:rPr>
          <w:spacing w:val="-4"/>
        </w:rPr>
        <w:t> </w:t>
      </w:r>
      <w:r>
        <w:rPr/>
        <w:t>J.,</w:t>
      </w:r>
      <w:r>
        <w:rPr>
          <w:spacing w:val="-4"/>
        </w:rPr>
        <w:t> </w:t>
      </w:r>
      <w:r>
        <w:rPr/>
        <w:t>Butler,</w:t>
      </w:r>
      <w:r>
        <w:rPr>
          <w:spacing w:val="-1"/>
        </w:rPr>
        <w:t> </w:t>
      </w:r>
      <w:r>
        <w:rPr/>
        <w:t>K.,</w:t>
      </w:r>
      <w:r>
        <w:rPr>
          <w:spacing w:val="-4"/>
        </w:rPr>
        <w:t> </w:t>
      </w:r>
      <w:r>
        <w:rPr/>
        <w:t>Capucci,</w:t>
      </w:r>
      <w:r>
        <w:rPr>
          <w:spacing w:val="-2"/>
        </w:rPr>
        <w:t> </w:t>
      </w:r>
      <w:r>
        <w:rPr/>
        <w:t>L.,</w:t>
      </w:r>
      <w:r>
        <w:rPr>
          <w:spacing w:val="-2"/>
        </w:rPr>
        <w:t> </w:t>
      </w:r>
      <w:r>
        <w:rPr/>
        <w:t>and</w:t>
      </w:r>
      <w:r>
        <w:rPr>
          <w:spacing w:val="-2"/>
        </w:rPr>
        <w:t> </w:t>
      </w:r>
      <w:r>
        <w:rPr/>
        <w:t>McPhee,</w:t>
      </w:r>
      <w:r>
        <w:rPr>
          <w:spacing w:val="-2"/>
        </w:rPr>
        <w:t> </w:t>
      </w:r>
      <w:r>
        <w:rPr/>
        <w:t>S.</w:t>
      </w:r>
      <w:r>
        <w:rPr>
          <w:spacing w:val="-4"/>
        </w:rPr>
        <w:t> </w:t>
      </w:r>
      <w:r>
        <w:rPr/>
        <w:t>(2010).</w:t>
      </w:r>
      <w:r>
        <w:rPr>
          <w:spacing w:val="-4"/>
        </w:rPr>
        <w:t> </w:t>
      </w:r>
      <w:r>
        <w:rPr/>
        <w:t>The</w:t>
      </w:r>
      <w:r>
        <w:rPr>
          <w:spacing w:val="-4"/>
        </w:rPr>
        <w:t> </w:t>
      </w:r>
      <w:r>
        <w:rPr/>
        <w:t>effect</w:t>
      </w:r>
      <w:r>
        <w:rPr>
          <w:spacing w:val="-2"/>
        </w:rPr>
        <w:t> </w:t>
      </w:r>
      <w:r>
        <w:rPr/>
        <w:t>of</w:t>
      </w:r>
      <w:r>
        <w:rPr>
          <w:spacing w:val="-4"/>
        </w:rPr>
        <w:t> </w:t>
      </w:r>
      <w:r>
        <w:rPr/>
        <w:t>rabbit</w:t>
      </w:r>
      <w:r>
        <w:rPr>
          <w:spacing w:val="-2"/>
        </w:rPr>
        <w:t> </w:t>
      </w:r>
      <w:r>
        <w:rPr/>
        <w:t>population control programmes on the impact of rabbit haemorrhagic disease in south-eastern Australia. </w:t>
      </w:r>
      <w:r>
        <w:rPr>
          <w:i/>
        </w:rPr>
        <w:t>Journal of Applied Ecology </w:t>
      </w:r>
      <w:r>
        <w:rPr>
          <w:b/>
        </w:rPr>
        <w:t>47</w:t>
      </w:r>
      <w:r>
        <w:rPr/>
        <w:t>(5):1137–46. doi: 10.1111/j.1365-2664.2010.01844.x.</w:t>
      </w:r>
    </w:p>
    <w:p>
      <w:pPr>
        <w:pStyle w:val="BodyText"/>
        <w:spacing w:before="10"/>
      </w:pPr>
    </w:p>
    <w:p>
      <w:pPr>
        <w:pStyle w:val="BodyText"/>
        <w:ind w:left="833" w:right="163" w:hanging="721"/>
      </w:pPr>
      <w:r>
        <w:rPr/>
        <w:t>Myers,</w:t>
      </w:r>
      <w:r>
        <w:rPr>
          <w:spacing w:val="-4"/>
        </w:rPr>
        <w:t> </w:t>
      </w:r>
      <w:r>
        <w:rPr/>
        <w:t>K.,</w:t>
      </w:r>
      <w:r>
        <w:rPr>
          <w:spacing w:val="-2"/>
        </w:rPr>
        <w:t> </w:t>
      </w:r>
      <w:r>
        <w:rPr/>
        <w:t>and</w:t>
      </w:r>
      <w:r>
        <w:rPr>
          <w:spacing w:val="-2"/>
        </w:rPr>
        <w:t> </w:t>
      </w:r>
      <w:r>
        <w:rPr/>
        <w:t>Parker,</w:t>
      </w:r>
      <w:r>
        <w:rPr>
          <w:spacing w:val="-1"/>
        </w:rPr>
        <w:t> </w:t>
      </w:r>
      <w:r>
        <w:rPr/>
        <w:t>B.S.</w:t>
      </w:r>
      <w:r>
        <w:rPr>
          <w:spacing w:val="-2"/>
        </w:rPr>
        <w:t> </w:t>
      </w:r>
      <w:r>
        <w:rPr/>
        <w:t>(1975).</w:t>
      </w:r>
      <w:r>
        <w:rPr>
          <w:spacing w:val="-2"/>
        </w:rPr>
        <w:t> </w:t>
      </w:r>
      <w:r>
        <w:rPr/>
        <w:t>A</w:t>
      </w:r>
      <w:r>
        <w:rPr>
          <w:spacing w:val="-4"/>
        </w:rPr>
        <w:t> </w:t>
      </w:r>
      <w:r>
        <w:rPr/>
        <w:t>study</w:t>
      </w:r>
      <w:r>
        <w:rPr>
          <w:spacing w:val="-3"/>
        </w:rPr>
        <w:t> </w:t>
      </w:r>
      <w:r>
        <w:rPr/>
        <w:t>of</w:t>
      </w:r>
      <w:r>
        <w:rPr>
          <w:spacing w:val="-4"/>
        </w:rPr>
        <w:t> </w:t>
      </w:r>
      <w:r>
        <w:rPr/>
        <w:t>the</w:t>
      </w:r>
      <w:r>
        <w:rPr>
          <w:spacing w:val="-5"/>
        </w:rPr>
        <w:t> </w:t>
      </w:r>
      <w:r>
        <w:rPr/>
        <w:t>biology</w:t>
      </w:r>
      <w:r>
        <w:rPr>
          <w:spacing w:val="-3"/>
        </w:rPr>
        <w:t> </w:t>
      </w:r>
      <w:r>
        <w:rPr/>
        <w:t>of</w:t>
      </w:r>
      <w:r>
        <w:rPr>
          <w:spacing w:val="-4"/>
        </w:rPr>
        <w:t> </w:t>
      </w:r>
      <w:r>
        <w:rPr/>
        <w:t>the</w:t>
      </w:r>
      <w:r>
        <w:rPr>
          <w:spacing w:val="-4"/>
        </w:rPr>
        <w:t> </w:t>
      </w:r>
      <w:r>
        <w:rPr/>
        <w:t>wild</w:t>
      </w:r>
      <w:r>
        <w:rPr>
          <w:spacing w:val="-2"/>
        </w:rPr>
        <w:t> </w:t>
      </w:r>
      <w:r>
        <w:rPr/>
        <w:t>rabbit</w:t>
      </w:r>
      <w:r>
        <w:rPr>
          <w:spacing w:val="-2"/>
        </w:rPr>
        <w:t> </w:t>
      </w:r>
      <w:r>
        <w:rPr/>
        <w:t>in</w:t>
      </w:r>
      <w:r>
        <w:rPr>
          <w:spacing w:val="-4"/>
        </w:rPr>
        <w:t> </w:t>
      </w:r>
      <w:r>
        <w:rPr/>
        <w:t>climatically</w:t>
      </w:r>
      <w:r>
        <w:rPr>
          <w:spacing w:val="-3"/>
        </w:rPr>
        <w:t> </w:t>
      </w:r>
      <w:r>
        <w:rPr/>
        <w:t>different</w:t>
      </w:r>
      <w:r>
        <w:rPr>
          <w:spacing w:val="-4"/>
        </w:rPr>
        <w:t> </w:t>
      </w:r>
      <w:r>
        <w:rPr/>
        <w:t>regions</w:t>
      </w:r>
      <w:r>
        <w:rPr>
          <w:spacing w:val="-3"/>
        </w:rPr>
        <w:t> </w:t>
      </w:r>
      <w:r>
        <w:rPr/>
        <w:t>in eastern Australia. vi. Changes in numbers and distribution related to climate and land systems in semiarid north-western New South Wales. </w:t>
      </w:r>
      <w:r>
        <w:rPr>
          <w:i/>
        </w:rPr>
        <w:t>Australian Wildlife Research </w:t>
      </w:r>
      <w:r>
        <w:rPr>
          <w:b/>
        </w:rPr>
        <w:t>2</w:t>
      </w:r>
      <w:r>
        <w:rPr/>
        <w:t>:11–52.</w:t>
      </w:r>
    </w:p>
    <w:p>
      <w:pPr>
        <w:pStyle w:val="BodyText"/>
        <w:spacing w:before="11"/>
      </w:pPr>
    </w:p>
    <w:p>
      <w:pPr>
        <w:pStyle w:val="BodyText"/>
        <w:ind w:left="833" w:right="364" w:hanging="721"/>
      </w:pPr>
      <w:r>
        <w:rPr/>
        <w:t>Myers,</w:t>
      </w:r>
      <w:r>
        <w:rPr>
          <w:spacing w:val="-4"/>
        </w:rPr>
        <w:t> </w:t>
      </w:r>
      <w:r>
        <w:rPr/>
        <w:t>K.,</w:t>
      </w:r>
      <w:r>
        <w:rPr>
          <w:spacing w:val="-2"/>
        </w:rPr>
        <w:t> </w:t>
      </w:r>
      <w:r>
        <w:rPr/>
        <w:t>and</w:t>
      </w:r>
      <w:r>
        <w:rPr>
          <w:spacing w:val="-2"/>
        </w:rPr>
        <w:t> </w:t>
      </w:r>
      <w:r>
        <w:rPr/>
        <w:t>Parker,</w:t>
      </w:r>
      <w:r>
        <w:rPr>
          <w:spacing w:val="-1"/>
        </w:rPr>
        <w:t> </w:t>
      </w:r>
      <w:r>
        <w:rPr/>
        <w:t>B.S.</w:t>
      </w:r>
      <w:r>
        <w:rPr>
          <w:spacing w:val="-1"/>
        </w:rPr>
        <w:t> </w:t>
      </w:r>
      <w:r>
        <w:rPr/>
        <w:t>(1975).</w:t>
      </w:r>
      <w:r>
        <w:rPr>
          <w:spacing w:val="-2"/>
        </w:rPr>
        <w:t> </w:t>
      </w:r>
      <w:r>
        <w:rPr/>
        <w:t>Effect</w:t>
      </w:r>
      <w:r>
        <w:rPr>
          <w:spacing w:val="-4"/>
        </w:rPr>
        <w:t> </w:t>
      </w:r>
      <w:r>
        <w:rPr/>
        <w:t>of</w:t>
      </w:r>
      <w:r>
        <w:rPr>
          <w:spacing w:val="-4"/>
        </w:rPr>
        <w:t> </w:t>
      </w:r>
      <w:r>
        <w:rPr/>
        <w:t>severe</w:t>
      </w:r>
      <w:r>
        <w:rPr>
          <w:spacing w:val="-1"/>
        </w:rPr>
        <w:t> </w:t>
      </w:r>
      <w:r>
        <w:rPr/>
        <w:t>drought</w:t>
      </w:r>
      <w:r>
        <w:rPr>
          <w:spacing w:val="-4"/>
        </w:rPr>
        <w:t> </w:t>
      </w:r>
      <w:r>
        <w:rPr/>
        <w:t>on</w:t>
      </w:r>
      <w:r>
        <w:rPr>
          <w:spacing w:val="-2"/>
        </w:rPr>
        <w:t> </w:t>
      </w:r>
      <w:r>
        <w:rPr/>
        <w:t>rabbit</w:t>
      </w:r>
      <w:r>
        <w:rPr>
          <w:spacing w:val="-2"/>
        </w:rPr>
        <w:t> </w:t>
      </w:r>
      <w:r>
        <w:rPr/>
        <w:t>numbers</w:t>
      </w:r>
      <w:r>
        <w:rPr>
          <w:spacing w:val="-3"/>
        </w:rPr>
        <w:t> </w:t>
      </w:r>
      <w:r>
        <w:rPr/>
        <w:t>and</w:t>
      </w:r>
      <w:r>
        <w:rPr>
          <w:spacing w:val="-4"/>
        </w:rPr>
        <w:t> </w:t>
      </w:r>
      <w:r>
        <w:rPr/>
        <w:t>distribution</w:t>
      </w:r>
      <w:r>
        <w:rPr>
          <w:spacing w:val="-4"/>
        </w:rPr>
        <w:t> </w:t>
      </w:r>
      <w:r>
        <w:rPr/>
        <w:t>in</w:t>
      </w:r>
      <w:r>
        <w:rPr>
          <w:spacing w:val="-4"/>
        </w:rPr>
        <w:t> </w:t>
      </w:r>
      <w:r>
        <w:rPr/>
        <w:t>a</w:t>
      </w:r>
      <w:r>
        <w:rPr>
          <w:spacing w:val="-5"/>
        </w:rPr>
        <w:t> </w:t>
      </w:r>
      <w:r>
        <w:rPr/>
        <w:t>refuge area in semiarid north-western New South Wales. </w:t>
      </w:r>
      <w:r>
        <w:rPr>
          <w:i/>
        </w:rPr>
        <w:t>Wildlife Research </w:t>
      </w:r>
      <w:r>
        <w:rPr>
          <w:b/>
        </w:rPr>
        <w:t>2</w:t>
      </w:r>
      <w:r>
        <w:rPr/>
        <w:t>(2):103. doi: </w:t>
      </w:r>
      <w:r>
        <w:rPr>
          <w:spacing w:val="-2"/>
        </w:rPr>
        <w:t>10.1071/WR9750103.</w:t>
      </w:r>
    </w:p>
    <w:p>
      <w:pPr>
        <w:pStyle w:val="BodyText"/>
        <w:spacing w:before="9"/>
      </w:pPr>
    </w:p>
    <w:p>
      <w:pPr>
        <w:spacing w:before="0"/>
        <w:ind w:left="833" w:right="163" w:hanging="721"/>
        <w:jc w:val="left"/>
        <w:rPr>
          <w:sz w:val="20"/>
        </w:rPr>
      </w:pPr>
      <w:r>
        <w:rPr>
          <w:sz w:val="20"/>
        </w:rPr>
        <w:t>Myers,</w:t>
      </w:r>
      <w:r>
        <w:rPr>
          <w:spacing w:val="-4"/>
          <w:sz w:val="20"/>
        </w:rPr>
        <w:t> </w:t>
      </w:r>
      <w:r>
        <w:rPr>
          <w:sz w:val="20"/>
        </w:rPr>
        <w:t>K.,</w:t>
      </w:r>
      <w:r>
        <w:rPr>
          <w:spacing w:val="-2"/>
          <w:sz w:val="20"/>
        </w:rPr>
        <w:t> </w:t>
      </w:r>
      <w:r>
        <w:rPr>
          <w:sz w:val="20"/>
        </w:rPr>
        <w:t>and</w:t>
      </w:r>
      <w:r>
        <w:rPr>
          <w:spacing w:val="-2"/>
          <w:sz w:val="20"/>
        </w:rPr>
        <w:t> </w:t>
      </w:r>
      <w:r>
        <w:rPr>
          <w:sz w:val="20"/>
        </w:rPr>
        <w:t>Poole,</w:t>
      </w:r>
      <w:r>
        <w:rPr>
          <w:spacing w:val="-2"/>
          <w:sz w:val="20"/>
        </w:rPr>
        <w:t> </w:t>
      </w:r>
      <w:r>
        <w:rPr>
          <w:sz w:val="20"/>
        </w:rPr>
        <w:t>W.E.</w:t>
      </w:r>
      <w:r>
        <w:rPr>
          <w:spacing w:val="-2"/>
          <w:sz w:val="20"/>
        </w:rPr>
        <w:t> </w:t>
      </w:r>
      <w:r>
        <w:rPr>
          <w:sz w:val="20"/>
        </w:rPr>
        <w:t>(1962).</w:t>
      </w:r>
      <w:r>
        <w:rPr>
          <w:spacing w:val="-2"/>
          <w:sz w:val="20"/>
        </w:rPr>
        <w:t> </w:t>
      </w:r>
      <w:r>
        <w:rPr>
          <w:sz w:val="20"/>
        </w:rPr>
        <w:t>A</w:t>
      </w:r>
      <w:r>
        <w:rPr>
          <w:spacing w:val="-4"/>
          <w:sz w:val="20"/>
        </w:rPr>
        <w:t> </w:t>
      </w:r>
      <w:r>
        <w:rPr>
          <w:sz w:val="20"/>
        </w:rPr>
        <w:t>study</w:t>
      </w:r>
      <w:r>
        <w:rPr>
          <w:spacing w:val="-3"/>
          <w:sz w:val="20"/>
        </w:rPr>
        <w:t> </w:t>
      </w:r>
      <w:r>
        <w:rPr>
          <w:sz w:val="20"/>
        </w:rPr>
        <w:t>of</w:t>
      </w:r>
      <w:r>
        <w:rPr>
          <w:spacing w:val="-4"/>
          <w:sz w:val="20"/>
        </w:rPr>
        <w:t> </w:t>
      </w:r>
      <w:r>
        <w:rPr>
          <w:sz w:val="20"/>
        </w:rPr>
        <w:t>the</w:t>
      </w:r>
      <w:r>
        <w:rPr>
          <w:spacing w:val="-5"/>
          <w:sz w:val="20"/>
        </w:rPr>
        <w:t> </w:t>
      </w:r>
      <w:r>
        <w:rPr>
          <w:sz w:val="20"/>
        </w:rPr>
        <w:t>biology</w:t>
      </w:r>
      <w:r>
        <w:rPr>
          <w:spacing w:val="-3"/>
          <w:sz w:val="20"/>
        </w:rPr>
        <w:t> </w:t>
      </w:r>
      <w:r>
        <w:rPr>
          <w:sz w:val="20"/>
        </w:rPr>
        <w:t>of</w:t>
      </w:r>
      <w:r>
        <w:rPr>
          <w:spacing w:val="-4"/>
          <w:sz w:val="20"/>
        </w:rPr>
        <w:t> </w:t>
      </w:r>
      <w:r>
        <w:rPr>
          <w:sz w:val="20"/>
        </w:rPr>
        <w:t>the</w:t>
      </w:r>
      <w:r>
        <w:rPr>
          <w:spacing w:val="-4"/>
          <w:sz w:val="20"/>
        </w:rPr>
        <w:t> </w:t>
      </w:r>
      <w:r>
        <w:rPr>
          <w:sz w:val="20"/>
        </w:rPr>
        <w:t>wild</w:t>
      </w:r>
      <w:r>
        <w:rPr>
          <w:spacing w:val="-2"/>
          <w:sz w:val="20"/>
        </w:rPr>
        <w:t> </w:t>
      </w:r>
      <w:r>
        <w:rPr>
          <w:sz w:val="20"/>
        </w:rPr>
        <w:t>rabbit, </w:t>
      </w:r>
      <w:r>
        <w:rPr>
          <w:i/>
          <w:sz w:val="20"/>
        </w:rPr>
        <w:t>Oryctolagus</w:t>
      </w:r>
      <w:r>
        <w:rPr>
          <w:i/>
          <w:spacing w:val="-3"/>
          <w:sz w:val="20"/>
        </w:rPr>
        <w:t> </w:t>
      </w:r>
      <w:r>
        <w:rPr>
          <w:i/>
          <w:sz w:val="20"/>
        </w:rPr>
        <w:t>cuniculus </w:t>
      </w:r>
      <w:r>
        <w:rPr>
          <w:sz w:val="20"/>
        </w:rPr>
        <w:t>(l.),</w:t>
      </w:r>
      <w:r>
        <w:rPr>
          <w:spacing w:val="-2"/>
          <w:sz w:val="20"/>
        </w:rPr>
        <w:t> </w:t>
      </w:r>
      <w:r>
        <w:rPr>
          <w:sz w:val="20"/>
        </w:rPr>
        <w:t>in confined populations. III. reproduction. </w:t>
      </w:r>
      <w:r>
        <w:rPr>
          <w:i/>
          <w:sz w:val="20"/>
        </w:rPr>
        <w:t>Australian Journal of Zoology </w:t>
      </w:r>
      <w:r>
        <w:rPr>
          <w:b/>
          <w:sz w:val="20"/>
        </w:rPr>
        <w:t>10</w:t>
      </w:r>
      <w:r>
        <w:rPr>
          <w:sz w:val="20"/>
        </w:rPr>
        <w:t>(2):225–67.</w:t>
      </w:r>
    </w:p>
    <w:p>
      <w:pPr>
        <w:pStyle w:val="BodyText"/>
        <w:spacing w:before="11"/>
      </w:pPr>
    </w:p>
    <w:p>
      <w:pPr>
        <w:pStyle w:val="BodyText"/>
        <w:ind w:left="112"/>
      </w:pPr>
      <w:r>
        <w:rPr/>
        <w:t>Mykytowcyz,</w:t>
      </w:r>
      <w:r>
        <w:rPr>
          <w:spacing w:val="-8"/>
        </w:rPr>
        <w:t> </w:t>
      </w:r>
      <w:r>
        <w:rPr/>
        <w:t>R.</w:t>
      </w:r>
      <w:r>
        <w:rPr>
          <w:spacing w:val="-8"/>
        </w:rPr>
        <w:t> </w:t>
      </w:r>
      <w:r>
        <w:rPr/>
        <w:t>(1960).</w:t>
      </w:r>
      <w:r>
        <w:rPr>
          <w:spacing w:val="-5"/>
        </w:rPr>
        <w:t> </w:t>
      </w:r>
      <w:r>
        <w:rPr/>
        <w:t>Social</w:t>
      </w:r>
      <w:r>
        <w:rPr>
          <w:spacing w:val="-7"/>
        </w:rPr>
        <w:t> </w:t>
      </w:r>
      <w:r>
        <w:rPr/>
        <w:t>behaviour</w:t>
      </w:r>
      <w:r>
        <w:rPr>
          <w:spacing w:val="-5"/>
        </w:rPr>
        <w:t> </w:t>
      </w:r>
      <w:r>
        <w:rPr/>
        <w:t>of</w:t>
      </w:r>
      <w:r>
        <w:rPr>
          <w:spacing w:val="-7"/>
        </w:rPr>
        <w:t> </w:t>
      </w:r>
      <w:r>
        <w:rPr/>
        <w:t>an</w:t>
      </w:r>
      <w:r>
        <w:rPr>
          <w:spacing w:val="-8"/>
        </w:rPr>
        <w:t> </w:t>
      </w:r>
      <w:r>
        <w:rPr/>
        <w:t>experimental</w:t>
      </w:r>
      <w:r>
        <w:rPr>
          <w:spacing w:val="-9"/>
        </w:rPr>
        <w:t> </w:t>
      </w:r>
      <w:r>
        <w:rPr/>
        <w:t>colony</w:t>
      </w:r>
      <w:r>
        <w:rPr>
          <w:spacing w:val="-6"/>
        </w:rPr>
        <w:t> </w:t>
      </w:r>
      <w:r>
        <w:rPr/>
        <w:t>of</w:t>
      </w:r>
      <w:r>
        <w:rPr>
          <w:spacing w:val="-8"/>
        </w:rPr>
        <w:t> </w:t>
      </w:r>
      <w:r>
        <w:rPr/>
        <w:t>wild</w:t>
      </w:r>
      <w:r>
        <w:rPr>
          <w:spacing w:val="-8"/>
        </w:rPr>
        <w:t> </w:t>
      </w:r>
      <w:r>
        <w:rPr/>
        <w:t>rabbits, </w:t>
      </w:r>
      <w:r>
        <w:rPr>
          <w:i/>
        </w:rPr>
        <w:t>Oryctolagus</w:t>
      </w:r>
      <w:r>
        <w:rPr>
          <w:i/>
          <w:spacing w:val="-7"/>
        </w:rPr>
        <w:t> </w:t>
      </w:r>
      <w:r>
        <w:rPr>
          <w:i/>
        </w:rPr>
        <w:t>cuniculus</w:t>
      </w:r>
      <w:r>
        <w:rPr>
          <w:i/>
          <w:spacing w:val="-4"/>
        </w:rPr>
        <w:t> </w:t>
      </w:r>
      <w:r>
        <w:rPr>
          <w:spacing w:val="-2"/>
        </w:rPr>
        <w:t>(l.),</w:t>
      </w:r>
    </w:p>
    <w:p>
      <w:pPr>
        <w:spacing w:before="0"/>
        <w:ind w:left="833" w:right="0" w:firstLine="0"/>
        <w:jc w:val="left"/>
        <w:rPr>
          <w:sz w:val="20"/>
        </w:rPr>
      </w:pPr>
      <w:r>
        <w:rPr>
          <w:sz w:val="20"/>
        </w:rPr>
        <w:t>III.</w:t>
      </w:r>
      <w:r>
        <w:rPr>
          <w:spacing w:val="-9"/>
          <w:sz w:val="20"/>
        </w:rPr>
        <w:t> </w:t>
      </w:r>
      <w:r>
        <w:rPr>
          <w:sz w:val="20"/>
        </w:rPr>
        <w:t>second</w:t>
      </w:r>
      <w:r>
        <w:rPr>
          <w:spacing w:val="-8"/>
          <w:sz w:val="20"/>
        </w:rPr>
        <w:t> </w:t>
      </w:r>
      <w:r>
        <w:rPr>
          <w:sz w:val="20"/>
        </w:rPr>
        <w:t>breeding</w:t>
      </w:r>
      <w:r>
        <w:rPr>
          <w:spacing w:val="-9"/>
          <w:sz w:val="20"/>
        </w:rPr>
        <w:t> </w:t>
      </w:r>
      <w:r>
        <w:rPr>
          <w:sz w:val="20"/>
        </w:rPr>
        <w:t>season.</w:t>
      </w:r>
      <w:r>
        <w:rPr>
          <w:spacing w:val="-5"/>
          <w:sz w:val="20"/>
        </w:rPr>
        <w:t> </w:t>
      </w:r>
      <w:r>
        <w:rPr>
          <w:i/>
          <w:sz w:val="20"/>
        </w:rPr>
        <w:t>C.S.I.R.O.</w:t>
      </w:r>
      <w:r>
        <w:rPr>
          <w:i/>
          <w:spacing w:val="-6"/>
          <w:sz w:val="20"/>
        </w:rPr>
        <w:t> </w:t>
      </w:r>
      <w:r>
        <w:rPr>
          <w:i/>
          <w:sz w:val="20"/>
        </w:rPr>
        <w:t>Wildlife</w:t>
      </w:r>
      <w:r>
        <w:rPr>
          <w:i/>
          <w:spacing w:val="-9"/>
          <w:sz w:val="20"/>
        </w:rPr>
        <w:t> </w:t>
      </w:r>
      <w:r>
        <w:rPr>
          <w:i/>
          <w:sz w:val="20"/>
        </w:rPr>
        <w:t>Research</w:t>
      </w:r>
      <w:r>
        <w:rPr>
          <w:i/>
          <w:spacing w:val="-6"/>
          <w:sz w:val="20"/>
        </w:rPr>
        <w:t> </w:t>
      </w:r>
      <w:r>
        <w:rPr>
          <w:b/>
          <w:spacing w:val="-2"/>
          <w:sz w:val="20"/>
        </w:rPr>
        <w:t>5</w:t>
      </w:r>
      <w:r>
        <w:rPr>
          <w:spacing w:val="-2"/>
          <w:sz w:val="20"/>
        </w:rPr>
        <w:t>(1):1–20.</w:t>
      </w:r>
    </w:p>
    <w:p>
      <w:pPr>
        <w:spacing w:after="0"/>
        <w:jc w:val="left"/>
        <w:rPr>
          <w:sz w:val="20"/>
        </w:rPr>
        <w:sectPr>
          <w:pgSz w:w="11910" w:h="16850"/>
          <w:pgMar w:header="0" w:footer="688" w:top="1060" w:bottom="880" w:left="1020" w:right="780"/>
        </w:sectPr>
      </w:pPr>
    </w:p>
    <w:p>
      <w:pPr>
        <w:pStyle w:val="BodyText"/>
        <w:spacing w:before="71"/>
        <w:ind w:left="833" w:right="544" w:hanging="721"/>
      </w:pPr>
      <w:r>
        <w:rPr/>
        <w:t>National</w:t>
      </w:r>
      <w:r>
        <w:rPr>
          <w:spacing w:val="-5"/>
        </w:rPr>
        <w:t> </w:t>
      </w:r>
      <w:r>
        <w:rPr/>
        <w:t>Registration</w:t>
      </w:r>
      <w:r>
        <w:rPr>
          <w:spacing w:val="-4"/>
        </w:rPr>
        <w:t> </w:t>
      </w:r>
      <w:r>
        <w:rPr/>
        <w:t>Authority.</w:t>
      </w:r>
      <w:r>
        <w:rPr>
          <w:spacing w:val="-4"/>
        </w:rPr>
        <w:t> </w:t>
      </w:r>
      <w:r>
        <w:rPr/>
        <w:t>(2002). </w:t>
      </w:r>
      <w:r>
        <w:rPr>
          <w:i/>
        </w:rPr>
        <w:t>The</w:t>
      </w:r>
      <w:r>
        <w:rPr>
          <w:i/>
          <w:spacing w:val="-2"/>
        </w:rPr>
        <w:t> </w:t>
      </w:r>
      <w:r>
        <w:rPr>
          <w:i/>
        </w:rPr>
        <w:t>NRA</w:t>
      </w:r>
      <w:r>
        <w:rPr>
          <w:i/>
          <w:spacing w:val="-5"/>
        </w:rPr>
        <w:t> </w:t>
      </w:r>
      <w:r>
        <w:rPr>
          <w:i/>
        </w:rPr>
        <w:t>review</w:t>
      </w:r>
      <w:r>
        <w:rPr>
          <w:i/>
          <w:spacing w:val="-4"/>
        </w:rPr>
        <w:t> </w:t>
      </w:r>
      <w:r>
        <w:rPr>
          <w:i/>
        </w:rPr>
        <w:t>of</w:t>
      </w:r>
      <w:r>
        <w:rPr>
          <w:i/>
          <w:spacing w:val="-4"/>
        </w:rPr>
        <w:t> </w:t>
      </w:r>
      <w:r>
        <w:rPr>
          <w:i/>
        </w:rPr>
        <w:t>pindone</w:t>
      </w:r>
      <w:r>
        <w:rPr/>
        <w:t>.</w:t>
      </w:r>
      <w:r>
        <w:rPr>
          <w:spacing w:val="-4"/>
        </w:rPr>
        <w:t> </w:t>
      </w:r>
      <w:r>
        <w:rPr/>
        <w:t>NRA</w:t>
      </w:r>
      <w:r>
        <w:rPr>
          <w:spacing w:val="-4"/>
        </w:rPr>
        <w:t> </w:t>
      </w:r>
      <w:r>
        <w:rPr/>
        <w:t>Review</w:t>
      </w:r>
      <w:r>
        <w:rPr>
          <w:spacing w:val="-2"/>
        </w:rPr>
        <w:t> </w:t>
      </w:r>
      <w:r>
        <w:rPr/>
        <w:t>Series.</w:t>
      </w:r>
      <w:r>
        <w:rPr>
          <w:spacing w:val="-4"/>
        </w:rPr>
        <w:t> </w:t>
      </w:r>
      <w:r>
        <w:rPr/>
        <w:t>Canberra, Australia: National Registration Authority for Agricultural and Veterinary Chemicals.</w:t>
      </w:r>
    </w:p>
    <w:p>
      <w:pPr>
        <w:pStyle w:val="BodyText"/>
        <w:spacing w:before="11"/>
      </w:pPr>
    </w:p>
    <w:p>
      <w:pPr>
        <w:pStyle w:val="BodyText"/>
        <w:spacing w:before="1"/>
        <w:ind w:left="112"/>
      </w:pPr>
      <w:r>
        <w:rPr/>
        <w:t>Neave,</w:t>
      </w:r>
      <w:r>
        <w:rPr>
          <w:spacing w:val="-4"/>
        </w:rPr>
        <w:t> </w:t>
      </w:r>
      <w:r>
        <w:rPr/>
        <w:t>M.J.,</w:t>
      </w:r>
      <w:r>
        <w:rPr>
          <w:spacing w:val="-6"/>
        </w:rPr>
        <w:t> </w:t>
      </w:r>
      <w:r>
        <w:rPr/>
        <w:t>Hall,</w:t>
      </w:r>
      <w:r>
        <w:rPr>
          <w:spacing w:val="-5"/>
        </w:rPr>
        <w:t> </w:t>
      </w:r>
      <w:r>
        <w:rPr/>
        <w:t>R.N.,</w:t>
      </w:r>
      <w:r>
        <w:rPr>
          <w:spacing w:val="-5"/>
        </w:rPr>
        <w:t> </w:t>
      </w:r>
      <w:r>
        <w:rPr/>
        <w:t>Huang,</w:t>
      </w:r>
      <w:r>
        <w:rPr>
          <w:spacing w:val="-4"/>
        </w:rPr>
        <w:t> </w:t>
      </w:r>
      <w:r>
        <w:rPr/>
        <w:t>N.,</w:t>
      </w:r>
      <w:r>
        <w:rPr>
          <w:spacing w:val="-6"/>
        </w:rPr>
        <w:t> </w:t>
      </w:r>
      <w:r>
        <w:rPr/>
        <w:t>McColl,</w:t>
      </w:r>
      <w:r>
        <w:rPr>
          <w:spacing w:val="-3"/>
        </w:rPr>
        <w:t> </w:t>
      </w:r>
      <w:r>
        <w:rPr/>
        <w:t>K.A.,</w:t>
      </w:r>
      <w:r>
        <w:rPr>
          <w:spacing w:val="-6"/>
        </w:rPr>
        <w:t> </w:t>
      </w:r>
      <w:r>
        <w:rPr/>
        <w:t>Kerr,</w:t>
      </w:r>
      <w:r>
        <w:rPr>
          <w:spacing w:val="-5"/>
        </w:rPr>
        <w:t> </w:t>
      </w:r>
      <w:r>
        <w:rPr/>
        <w:t>P.,</w:t>
      </w:r>
      <w:r>
        <w:rPr>
          <w:spacing w:val="-5"/>
        </w:rPr>
        <w:t> </w:t>
      </w:r>
      <w:r>
        <w:rPr/>
        <w:t>Hoehn,</w:t>
      </w:r>
      <w:r>
        <w:rPr>
          <w:spacing w:val="-4"/>
        </w:rPr>
        <w:t> </w:t>
      </w:r>
      <w:r>
        <w:rPr/>
        <w:t>M.,</w:t>
      </w:r>
      <w:r>
        <w:rPr>
          <w:spacing w:val="-6"/>
        </w:rPr>
        <w:t> </w:t>
      </w:r>
      <w:r>
        <w:rPr/>
        <w:t>Taylor,</w:t>
      </w:r>
      <w:r>
        <w:rPr>
          <w:spacing w:val="-5"/>
        </w:rPr>
        <w:t> </w:t>
      </w:r>
      <w:r>
        <w:rPr/>
        <w:t>J.,</w:t>
      </w:r>
      <w:r>
        <w:rPr>
          <w:spacing w:val="-5"/>
        </w:rPr>
        <w:t> </w:t>
      </w:r>
      <w:r>
        <w:rPr/>
        <w:t>and</w:t>
      </w:r>
      <w:r>
        <w:rPr>
          <w:spacing w:val="-7"/>
        </w:rPr>
        <w:t> </w:t>
      </w:r>
      <w:r>
        <w:rPr/>
        <w:t>Strive,</w:t>
      </w:r>
      <w:r>
        <w:rPr>
          <w:spacing w:val="-5"/>
        </w:rPr>
        <w:t> </w:t>
      </w:r>
      <w:r>
        <w:rPr/>
        <w:t>T.</w:t>
      </w:r>
      <w:r>
        <w:rPr>
          <w:spacing w:val="-6"/>
        </w:rPr>
        <w:t> </w:t>
      </w:r>
      <w:r>
        <w:rPr>
          <w:spacing w:val="-2"/>
        </w:rPr>
        <w:t>(2018).</w:t>
      </w:r>
    </w:p>
    <w:p>
      <w:pPr>
        <w:pStyle w:val="BodyText"/>
        <w:ind w:left="833" w:right="247"/>
      </w:pPr>
      <w:r>
        <w:rPr/>
        <w:t>Robust</w:t>
      </w:r>
      <w:r>
        <w:rPr>
          <w:spacing w:val="-3"/>
        </w:rPr>
        <w:t> </w:t>
      </w:r>
      <w:r>
        <w:rPr/>
        <w:t>innate</w:t>
      </w:r>
      <w:r>
        <w:rPr>
          <w:spacing w:val="-4"/>
        </w:rPr>
        <w:t> </w:t>
      </w:r>
      <w:r>
        <w:rPr/>
        <w:t>immunity</w:t>
      </w:r>
      <w:r>
        <w:rPr>
          <w:spacing w:val="-4"/>
        </w:rPr>
        <w:t> </w:t>
      </w:r>
      <w:r>
        <w:rPr/>
        <w:t>of</w:t>
      </w:r>
      <w:r>
        <w:rPr>
          <w:spacing w:val="-1"/>
        </w:rPr>
        <w:t> </w:t>
      </w:r>
      <w:r>
        <w:rPr/>
        <w:t>young</w:t>
      </w:r>
      <w:r>
        <w:rPr>
          <w:spacing w:val="-6"/>
        </w:rPr>
        <w:t> </w:t>
      </w:r>
      <w:r>
        <w:rPr/>
        <w:t>rabbits</w:t>
      </w:r>
      <w:r>
        <w:rPr>
          <w:spacing w:val="-4"/>
        </w:rPr>
        <w:t> </w:t>
      </w:r>
      <w:r>
        <w:rPr/>
        <w:t>mediates</w:t>
      </w:r>
      <w:r>
        <w:rPr>
          <w:spacing w:val="-4"/>
        </w:rPr>
        <w:t> </w:t>
      </w:r>
      <w:r>
        <w:rPr/>
        <w:t>resistance</w:t>
      </w:r>
      <w:r>
        <w:rPr>
          <w:spacing w:val="-5"/>
        </w:rPr>
        <w:t> </w:t>
      </w:r>
      <w:r>
        <w:rPr/>
        <w:t>to</w:t>
      </w:r>
      <w:r>
        <w:rPr>
          <w:spacing w:val="-5"/>
        </w:rPr>
        <w:t> </w:t>
      </w:r>
      <w:r>
        <w:rPr/>
        <w:t>rabbit</w:t>
      </w:r>
      <w:r>
        <w:rPr>
          <w:spacing w:val="-5"/>
        </w:rPr>
        <w:t> </w:t>
      </w:r>
      <w:r>
        <w:rPr/>
        <w:t>haemorrhagic</w:t>
      </w:r>
      <w:r>
        <w:rPr>
          <w:spacing w:val="-4"/>
        </w:rPr>
        <w:t> </w:t>
      </w:r>
      <w:r>
        <w:rPr/>
        <w:t>disease</w:t>
      </w:r>
      <w:r>
        <w:rPr>
          <w:spacing w:val="-5"/>
        </w:rPr>
        <w:t> </w:t>
      </w:r>
      <w:r>
        <w:rPr/>
        <w:t>caused by </w:t>
      </w:r>
      <w:r>
        <w:rPr>
          <w:i/>
        </w:rPr>
        <w:t>Lagovirus europaeus </w:t>
      </w:r>
      <w:r>
        <w:rPr/>
        <w:t>GI.1 but not GI.2. </w:t>
      </w:r>
      <w:r>
        <w:rPr>
          <w:i/>
        </w:rPr>
        <w:t>Viruses </w:t>
      </w:r>
      <w:r>
        <w:rPr>
          <w:b/>
        </w:rPr>
        <w:t>10</w:t>
      </w:r>
      <w:r>
        <w:rPr/>
        <w:t>(9). doi: 10.3390/v10090512.</w:t>
      </w:r>
    </w:p>
    <w:p>
      <w:pPr>
        <w:pStyle w:val="BodyText"/>
        <w:spacing w:before="8"/>
      </w:pPr>
    </w:p>
    <w:p>
      <w:pPr>
        <w:pStyle w:val="BodyText"/>
        <w:ind w:left="833" w:right="163" w:hanging="721"/>
      </w:pPr>
      <w:r>
        <w:rPr/>
        <w:t>Negus, P.M., Marshall, J.C., Clifford, S.E., Blessing, J.J., and Steward, A.L. (2019). No sitting on the fence: protecting</w:t>
      </w:r>
      <w:r>
        <w:rPr>
          <w:spacing w:val="-5"/>
        </w:rPr>
        <w:t> </w:t>
      </w:r>
      <w:r>
        <w:rPr/>
        <w:t>wetlands</w:t>
      </w:r>
      <w:r>
        <w:rPr>
          <w:spacing w:val="-3"/>
        </w:rPr>
        <w:t> </w:t>
      </w:r>
      <w:r>
        <w:rPr/>
        <w:t>from</w:t>
      </w:r>
      <w:r>
        <w:rPr>
          <w:spacing w:val="-4"/>
        </w:rPr>
        <w:t> </w:t>
      </w:r>
      <w:r>
        <w:rPr/>
        <w:t>feral</w:t>
      </w:r>
      <w:r>
        <w:rPr>
          <w:spacing w:val="-5"/>
        </w:rPr>
        <w:t> </w:t>
      </w:r>
      <w:r>
        <w:rPr/>
        <w:t>pig</w:t>
      </w:r>
      <w:r>
        <w:rPr>
          <w:spacing w:val="-4"/>
        </w:rPr>
        <w:t> </w:t>
      </w:r>
      <w:r>
        <w:rPr/>
        <w:t>damage</w:t>
      </w:r>
      <w:r>
        <w:rPr>
          <w:spacing w:val="-2"/>
        </w:rPr>
        <w:t> </w:t>
      </w:r>
      <w:r>
        <w:rPr/>
        <w:t>by</w:t>
      </w:r>
      <w:r>
        <w:rPr>
          <w:spacing w:val="-3"/>
        </w:rPr>
        <w:t> </w:t>
      </w:r>
      <w:r>
        <w:rPr/>
        <w:t>exclusion</w:t>
      </w:r>
      <w:r>
        <w:rPr>
          <w:spacing w:val="-4"/>
        </w:rPr>
        <w:t> </w:t>
      </w:r>
      <w:r>
        <w:rPr/>
        <w:t>fences</w:t>
      </w:r>
      <w:r>
        <w:rPr>
          <w:spacing w:val="-3"/>
        </w:rPr>
        <w:t> </w:t>
      </w:r>
      <w:r>
        <w:rPr/>
        <w:t>requires</w:t>
      </w:r>
      <w:r>
        <w:rPr>
          <w:spacing w:val="-3"/>
        </w:rPr>
        <w:t> </w:t>
      </w:r>
      <w:r>
        <w:rPr/>
        <w:t>effective</w:t>
      </w:r>
      <w:r>
        <w:rPr>
          <w:spacing w:val="-4"/>
        </w:rPr>
        <w:t> </w:t>
      </w:r>
      <w:r>
        <w:rPr/>
        <w:t>fence</w:t>
      </w:r>
      <w:r>
        <w:rPr>
          <w:spacing w:val="-4"/>
        </w:rPr>
        <w:t> </w:t>
      </w:r>
      <w:r>
        <w:rPr/>
        <w:t>maintenance. </w:t>
      </w:r>
      <w:r>
        <w:rPr>
          <w:i/>
        </w:rPr>
        <w:t>Wetlands Ecology &amp; Management </w:t>
      </w:r>
      <w:r>
        <w:rPr>
          <w:b/>
        </w:rPr>
        <w:t>27</w:t>
      </w:r>
      <w:r>
        <w:rPr/>
        <w:t>(4):581–85. doi: 10.1007/s11273-019-09670-7.</w:t>
      </w:r>
    </w:p>
    <w:p>
      <w:pPr>
        <w:pStyle w:val="BodyText"/>
        <w:spacing w:before="12"/>
      </w:pPr>
    </w:p>
    <w:p>
      <w:pPr>
        <w:pStyle w:val="BodyText"/>
        <w:ind w:left="833" w:right="364" w:hanging="721"/>
      </w:pPr>
      <w:r>
        <w:rPr/>
        <w:t>Newsome, A.E., Corbett, L.K., Catling P.C., and Burt, R.J. (1983). The feeding ecology of the dingo i. stomach</w:t>
      </w:r>
      <w:r>
        <w:rPr>
          <w:spacing w:val="-4"/>
        </w:rPr>
        <w:t> </w:t>
      </w:r>
      <w:r>
        <w:rPr/>
        <w:t>contents</w:t>
      </w:r>
      <w:r>
        <w:rPr>
          <w:spacing w:val="-3"/>
        </w:rPr>
        <w:t> </w:t>
      </w:r>
      <w:r>
        <w:rPr/>
        <w:t>from</w:t>
      </w:r>
      <w:r>
        <w:rPr>
          <w:spacing w:val="-4"/>
        </w:rPr>
        <w:t> </w:t>
      </w:r>
      <w:r>
        <w:rPr/>
        <w:t>trapping</w:t>
      </w:r>
      <w:r>
        <w:rPr>
          <w:spacing w:val="-4"/>
        </w:rPr>
        <w:t> </w:t>
      </w:r>
      <w:r>
        <w:rPr/>
        <w:t>in</w:t>
      </w:r>
      <w:r>
        <w:rPr>
          <w:spacing w:val="-4"/>
        </w:rPr>
        <w:t> </w:t>
      </w:r>
      <w:r>
        <w:rPr/>
        <w:t>south-eastern</w:t>
      </w:r>
      <w:r>
        <w:rPr>
          <w:spacing w:val="-1"/>
        </w:rPr>
        <w:t> </w:t>
      </w:r>
      <w:r>
        <w:rPr/>
        <w:t>Australia,</w:t>
      </w:r>
      <w:r>
        <w:rPr>
          <w:spacing w:val="-4"/>
        </w:rPr>
        <w:t> </w:t>
      </w:r>
      <w:r>
        <w:rPr/>
        <w:t>and</w:t>
      </w:r>
      <w:r>
        <w:rPr>
          <w:spacing w:val="-5"/>
        </w:rPr>
        <w:t> </w:t>
      </w:r>
      <w:r>
        <w:rPr/>
        <w:t>the</w:t>
      </w:r>
      <w:r>
        <w:rPr>
          <w:spacing w:val="-3"/>
        </w:rPr>
        <w:t> </w:t>
      </w:r>
      <w:r>
        <w:rPr/>
        <w:t>non-target</w:t>
      </w:r>
      <w:r>
        <w:rPr>
          <w:spacing w:val="-2"/>
        </w:rPr>
        <w:t> </w:t>
      </w:r>
      <w:r>
        <w:rPr/>
        <w:t>wildlife</w:t>
      </w:r>
      <w:r>
        <w:rPr>
          <w:spacing w:val="-5"/>
        </w:rPr>
        <w:t> </w:t>
      </w:r>
      <w:r>
        <w:rPr/>
        <w:t>also</w:t>
      </w:r>
      <w:r>
        <w:rPr>
          <w:spacing w:val="-4"/>
        </w:rPr>
        <w:t> </w:t>
      </w:r>
      <w:r>
        <w:rPr/>
        <w:t>caught</w:t>
      </w:r>
      <w:r>
        <w:rPr>
          <w:spacing w:val="-2"/>
        </w:rPr>
        <w:t> </w:t>
      </w:r>
      <w:r>
        <w:rPr/>
        <w:t>in dingo traps. </w:t>
      </w:r>
      <w:r>
        <w:rPr>
          <w:i/>
        </w:rPr>
        <w:t>Australian Wildlife Research </w:t>
      </w:r>
      <w:r>
        <w:rPr>
          <w:b/>
        </w:rPr>
        <w:t>10:</w:t>
      </w:r>
      <w:r>
        <w:rPr/>
        <w:t>477–86.</w:t>
      </w:r>
    </w:p>
    <w:p>
      <w:pPr>
        <w:pStyle w:val="BodyText"/>
        <w:spacing w:before="8"/>
      </w:pPr>
    </w:p>
    <w:p>
      <w:pPr>
        <w:pStyle w:val="BodyText"/>
        <w:spacing w:before="1"/>
        <w:ind w:left="833" w:right="163" w:hanging="721"/>
      </w:pPr>
      <w:r>
        <w:rPr/>
        <w:t>Newsome, T., Crowther, M., and Dickman, C. (2014). Rapid recolonisation by the European red fox: how effective</w:t>
      </w:r>
      <w:r>
        <w:rPr>
          <w:spacing w:val="-3"/>
        </w:rPr>
        <w:t> </w:t>
      </w:r>
      <w:r>
        <w:rPr/>
        <w:t>are</w:t>
      </w:r>
      <w:r>
        <w:rPr>
          <w:spacing w:val="-5"/>
        </w:rPr>
        <w:t> </w:t>
      </w:r>
      <w:r>
        <w:rPr/>
        <w:t>uncoordinated</w:t>
      </w:r>
      <w:r>
        <w:rPr>
          <w:spacing w:val="-3"/>
        </w:rPr>
        <w:t> </w:t>
      </w:r>
      <w:r>
        <w:rPr/>
        <w:t>and</w:t>
      </w:r>
      <w:r>
        <w:rPr>
          <w:spacing w:val="-3"/>
        </w:rPr>
        <w:t> </w:t>
      </w:r>
      <w:r>
        <w:rPr/>
        <w:t>isolated</w:t>
      </w:r>
      <w:r>
        <w:rPr>
          <w:spacing w:val="-5"/>
        </w:rPr>
        <w:t> </w:t>
      </w:r>
      <w:r>
        <w:rPr/>
        <w:t>control</w:t>
      </w:r>
      <w:r>
        <w:rPr>
          <w:spacing w:val="-6"/>
        </w:rPr>
        <w:t> </w:t>
      </w:r>
      <w:r>
        <w:rPr/>
        <w:t>programs? </w:t>
      </w:r>
      <w:r>
        <w:rPr>
          <w:i/>
        </w:rPr>
        <w:t>European</w:t>
      </w:r>
      <w:r>
        <w:rPr>
          <w:i/>
          <w:spacing w:val="-6"/>
        </w:rPr>
        <w:t> </w:t>
      </w:r>
      <w:r>
        <w:rPr>
          <w:i/>
        </w:rPr>
        <w:t>Journal</w:t>
      </w:r>
      <w:r>
        <w:rPr>
          <w:i/>
          <w:spacing w:val="-6"/>
        </w:rPr>
        <w:t> </w:t>
      </w:r>
      <w:r>
        <w:rPr>
          <w:i/>
        </w:rPr>
        <w:t>of</w:t>
      </w:r>
      <w:r>
        <w:rPr>
          <w:i/>
          <w:spacing w:val="-3"/>
        </w:rPr>
        <w:t> </w:t>
      </w:r>
      <w:r>
        <w:rPr>
          <w:i/>
        </w:rPr>
        <w:t>Wildlife</w:t>
      </w:r>
      <w:r>
        <w:rPr>
          <w:i/>
          <w:spacing w:val="-5"/>
        </w:rPr>
        <w:t> </w:t>
      </w:r>
      <w:r>
        <w:rPr>
          <w:i/>
        </w:rPr>
        <w:t>Research</w:t>
      </w:r>
      <w:r>
        <w:rPr>
          <w:i/>
        </w:rPr>
        <w:t> </w:t>
      </w:r>
      <w:r>
        <w:rPr>
          <w:b/>
          <w:spacing w:val="-2"/>
        </w:rPr>
        <w:t>60</w:t>
      </w:r>
      <w:r>
        <w:rPr>
          <w:spacing w:val="-2"/>
        </w:rPr>
        <w:t>(5):749–57.</w:t>
      </w:r>
    </w:p>
    <w:p>
      <w:pPr>
        <w:pStyle w:val="BodyText"/>
        <w:spacing w:before="11"/>
      </w:pPr>
    </w:p>
    <w:p>
      <w:pPr>
        <w:pStyle w:val="BodyText"/>
        <w:ind w:left="833" w:right="163" w:hanging="721"/>
      </w:pPr>
      <w:r>
        <w:rPr/>
        <w:t>Nicholson, E., and Gigliotti, F. (2005). Increasing the target-specificity of the m-44 ejector by exploiting differences</w:t>
      </w:r>
      <w:r>
        <w:rPr>
          <w:spacing w:val="-4"/>
        </w:rPr>
        <w:t> </w:t>
      </w:r>
      <w:r>
        <w:rPr/>
        <w:t>in</w:t>
      </w:r>
      <w:r>
        <w:rPr>
          <w:spacing w:val="-5"/>
        </w:rPr>
        <w:t> </w:t>
      </w:r>
      <w:r>
        <w:rPr/>
        <w:t>head</w:t>
      </w:r>
      <w:r>
        <w:rPr>
          <w:spacing w:val="-3"/>
        </w:rPr>
        <w:t> </w:t>
      </w:r>
      <w:r>
        <w:rPr/>
        <w:t>morphology</w:t>
      </w:r>
      <w:r>
        <w:rPr>
          <w:spacing w:val="-4"/>
        </w:rPr>
        <w:t> </w:t>
      </w:r>
      <w:r>
        <w:rPr/>
        <w:t>between</w:t>
      </w:r>
      <w:r>
        <w:rPr>
          <w:spacing w:val="-6"/>
        </w:rPr>
        <w:t> </w:t>
      </w:r>
      <w:r>
        <w:rPr/>
        <w:t>foxes</w:t>
      </w:r>
      <w:r>
        <w:rPr>
          <w:spacing w:val="-4"/>
        </w:rPr>
        <w:t> </w:t>
      </w:r>
      <w:r>
        <w:rPr/>
        <w:t>and</w:t>
      </w:r>
      <w:r>
        <w:rPr>
          <w:spacing w:val="-5"/>
        </w:rPr>
        <w:t> </w:t>
      </w:r>
      <w:r>
        <w:rPr/>
        <w:t>large </w:t>
      </w:r>
      <w:r>
        <w:rPr>
          <w:i/>
        </w:rPr>
        <w:t>Dasyurids</w:t>
      </w:r>
      <w:r>
        <w:rPr/>
        <w:t>.</w:t>
      </w:r>
      <w:r>
        <w:rPr>
          <w:spacing w:val="-5"/>
        </w:rPr>
        <w:t> </w:t>
      </w:r>
      <w:r>
        <w:rPr>
          <w:i/>
        </w:rPr>
        <w:t>Wildlife</w:t>
      </w:r>
      <w:r>
        <w:rPr>
          <w:i/>
          <w:spacing w:val="-3"/>
        </w:rPr>
        <w:t> </w:t>
      </w:r>
      <w:r>
        <w:rPr>
          <w:i/>
        </w:rPr>
        <w:t>Research</w:t>
      </w:r>
      <w:r>
        <w:rPr>
          <w:i/>
          <w:spacing w:val="-3"/>
        </w:rPr>
        <w:t> </w:t>
      </w:r>
      <w:r>
        <w:rPr>
          <w:b/>
        </w:rPr>
        <w:t>32</w:t>
      </w:r>
      <w:r>
        <w:rPr/>
        <w:t>:733–36.</w:t>
      </w:r>
    </w:p>
    <w:p>
      <w:pPr>
        <w:pStyle w:val="BodyText"/>
        <w:spacing w:before="11"/>
      </w:pPr>
    </w:p>
    <w:p>
      <w:pPr>
        <w:pStyle w:val="BodyText"/>
        <w:ind w:left="833" w:right="544" w:hanging="721"/>
      </w:pPr>
      <w:r>
        <w:rPr/>
        <w:t>Norbury,</w:t>
      </w:r>
      <w:r>
        <w:rPr>
          <w:spacing w:val="-3"/>
        </w:rPr>
        <w:t> </w:t>
      </w:r>
      <w:r>
        <w:rPr/>
        <w:t>G.,</w:t>
      </w:r>
      <w:r>
        <w:rPr>
          <w:spacing w:val="-3"/>
        </w:rPr>
        <w:t> </w:t>
      </w:r>
      <w:r>
        <w:rPr/>
        <w:t>and</w:t>
      </w:r>
      <w:r>
        <w:rPr>
          <w:spacing w:val="-2"/>
        </w:rPr>
        <w:t> </w:t>
      </w:r>
      <w:r>
        <w:rPr/>
        <w:t>McGlinchy,</w:t>
      </w:r>
      <w:r>
        <w:rPr>
          <w:spacing w:val="-3"/>
        </w:rPr>
        <w:t> </w:t>
      </w:r>
      <w:r>
        <w:rPr/>
        <w:t>A.</w:t>
      </w:r>
      <w:r>
        <w:rPr>
          <w:spacing w:val="-3"/>
        </w:rPr>
        <w:t> </w:t>
      </w:r>
      <w:r>
        <w:rPr/>
        <w:t>(1996).</w:t>
      </w:r>
      <w:r>
        <w:rPr>
          <w:spacing w:val="-3"/>
        </w:rPr>
        <w:t> </w:t>
      </w:r>
      <w:r>
        <w:rPr/>
        <w:t>The</w:t>
      </w:r>
      <w:r>
        <w:rPr>
          <w:spacing w:val="-3"/>
        </w:rPr>
        <w:t> </w:t>
      </w:r>
      <w:r>
        <w:rPr/>
        <w:t>impact</w:t>
      </w:r>
      <w:r>
        <w:rPr>
          <w:spacing w:val="-1"/>
        </w:rPr>
        <w:t> </w:t>
      </w:r>
      <w:r>
        <w:rPr/>
        <w:t>of</w:t>
      </w:r>
      <w:r>
        <w:rPr>
          <w:spacing w:val="-1"/>
        </w:rPr>
        <w:t> </w:t>
      </w:r>
      <w:r>
        <w:rPr/>
        <w:t>rabbit</w:t>
      </w:r>
      <w:r>
        <w:rPr>
          <w:spacing w:val="-1"/>
        </w:rPr>
        <w:t> </w:t>
      </w:r>
      <w:r>
        <w:rPr/>
        <w:t>control</w:t>
      </w:r>
      <w:r>
        <w:rPr>
          <w:spacing w:val="-4"/>
        </w:rPr>
        <w:t> </w:t>
      </w:r>
      <w:r>
        <w:rPr/>
        <w:t>on</w:t>
      </w:r>
      <w:r>
        <w:rPr>
          <w:spacing w:val="-3"/>
        </w:rPr>
        <w:t> </w:t>
      </w:r>
      <w:r>
        <w:rPr/>
        <w:t>predator</w:t>
      </w:r>
      <w:r>
        <w:rPr>
          <w:spacing w:val="-3"/>
        </w:rPr>
        <w:t> </w:t>
      </w:r>
      <w:r>
        <w:rPr/>
        <w:t>sightings</w:t>
      </w:r>
      <w:r>
        <w:rPr>
          <w:spacing w:val="-2"/>
        </w:rPr>
        <w:t> </w:t>
      </w:r>
      <w:r>
        <w:rPr/>
        <w:t>in</w:t>
      </w:r>
      <w:r>
        <w:rPr>
          <w:spacing w:val="-3"/>
        </w:rPr>
        <w:t> </w:t>
      </w:r>
      <w:r>
        <w:rPr/>
        <w:t>the</w:t>
      </w:r>
      <w:r>
        <w:rPr>
          <w:spacing w:val="-3"/>
        </w:rPr>
        <w:t> </w:t>
      </w:r>
      <w:r>
        <w:rPr/>
        <w:t>semi-arid high country of the South Island, New Zealand. </w:t>
      </w:r>
      <w:r>
        <w:rPr>
          <w:i/>
        </w:rPr>
        <w:t>Wildlife Research </w:t>
      </w:r>
      <w:r>
        <w:rPr>
          <w:b/>
        </w:rPr>
        <w:t>23</w:t>
      </w:r>
      <w:r>
        <w:rPr/>
        <w:t>:93–97.</w:t>
      </w:r>
    </w:p>
    <w:p>
      <w:pPr>
        <w:pStyle w:val="BodyText"/>
        <w:spacing w:before="9"/>
      </w:pPr>
    </w:p>
    <w:p>
      <w:pPr>
        <w:pStyle w:val="BodyText"/>
        <w:ind w:left="833" w:right="232" w:hanging="721"/>
      </w:pPr>
      <w:r>
        <w:rPr/>
        <w:t>Northcott, G., Jensen, D., Ying, L., and Fisher, P. (2014). Degradation rate of sodium fluoroacetate in three New</w:t>
      </w:r>
      <w:r>
        <w:rPr>
          <w:spacing w:val="-6"/>
        </w:rPr>
        <w:t> </w:t>
      </w:r>
      <w:r>
        <w:rPr/>
        <w:t>Zealand</w:t>
      </w:r>
      <w:r>
        <w:rPr>
          <w:spacing w:val="-6"/>
        </w:rPr>
        <w:t> </w:t>
      </w:r>
      <w:r>
        <w:rPr/>
        <w:t>soils.</w:t>
      </w:r>
      <w:r>
        <w:rPr>
          <w:spacing w:val="-3"/>
        </w:rPr>
        <w:t> </w:t>
      </w:r>
      <w:r>
        <w:rPr>
          <w:i/>
        </w:rPr>
        <w:t>Environmental</w:t>
      </w:r>
      <w:r>
        <w:rPr>
          <w:i/>
          <w:spacing w:val="-7"/>
        </w:rPr>
        <w:t> </w:t>
      </w:r>
      <w:r>
        <w:rPr>
          <w:i/>
        </w:rPr>
        <w:t>Toxicology</w:t>
      </w:r>
      <w:r>
        <w:rPr>
          <w:i/>
          <w:spacing w:val="-5"/>
        </w:rPr>
        <w:t> </w:t>
      </w:r>
      <w:r>
        <w:rPr>
          <w:i/>
        </w:rPr>
        <w:t>and</w:t>
      </w:r>
      <w:r>
        <w:rPr>
          <w:i/>
          <w:spacing w:val="-6"/>
        </w:rPr>
        <w:t> </w:t>
      </w:r>
      <w:r>
        <w:rPr>
          <w:i/>
        </w:rPr>
        <w:t>Chemistry </w:t>
      </w:r>
      <w:r>
        <w:rPr>
          <w:b/>
        </w:rPr>
        <w:t>33</w:t>
      </w:r>
      <w:r>
        <w:rPr/>
        <w:t>(5):1048–58.</w:t>
      </w:r>
      <w:r>
        <w:rPr>
          <w:spacing w:val="-6"/>
        </w:rPr>
        <w:t> </w:t>
      </w:r>
      <w:r>
        <w:rPr/>
        <w:t>doi:</w:t>
      </w:r>
      <w:r>
        <w:rPr>
          <w:spacing w:val="-4"/>
        </w:rPr>
        <w:t> </w:t>
      </w:r>
      <w:r>
        <w:rPr/>
        <w:t>10.1002/etc.2536.</w:t>
      </w:r>
    </w:p>
    <w:p>
      <w:pPr>
        <w:pStyle w:val="BodyText"/>
        <w:spacing w:before="10"/>
      </w:pPr>
    </w:p>
    <w:p>
      <w:pPr>
        <w:pStyle w:val="BodyText"/>
        <w:spacing w:before="1"/>
        <w:ind w:left="833" w:right="163" w:hanging="721"/>
      </w:pPr>
      <w:r>
        <w:rPr/>
        <w:t>NSW</w:t>
      </w:r>
      <w:r>
        <w:rPr>
          <w:spacing w:val="-2"/>
        </w:rPr>
        <w:t> </w:t>
      </w:r>
      <w:r>
        <w:rPr/>
        <w:t>DPI</w:t>
      </w:r>
      <w:r>
        <w:rPr>
          <w:spacing w:val="-4"/>
        </w:rPr>
        <w:t> </w:t>
      </w:r>
      <w:r>
        <w:rPr/>
        <w:t>(2022).</w:t>
      </w:r>
      <w:r>
        <w:rPr>
          <w:spacing w:val="-4"/>
        </w:rPr>
        <w:t> </w:t>
      </w:r>
      <w:r>
        <w:rPr/>
        <w:t>NSWFOX-SOP4</w:t>
      </w:r>
      <w:r>
        <w:rPr>
          <w:spacing w:val="-4"/>
        </w:rPr>
        <w:t> </w:t>
      </w:r>
      <w:r>
        <w:rPr/>
        <w:t>Fumigation</w:t>
      </w:r>
      <w:r>
        <w:rPr>
          <w:spacing w:val="-3"/>
        </w:rPr>
        <w:t> </w:t>
      </w:r>
      <w:r>
        <w:rPr/>
        <w:t>of</w:t>
      </w:r>
      <w:r>
        <w:rPr>
          <w:spacing w:val="-4"/>
        </w:rPr>
        <w:t> </w:t>
      </w:r>
      <w:r>
        <w:rPr/>
        <w:t>fox</w:t>
      </w:r>
      <w:r>
        <w:rPr>
          <w:spacing w:val="-1"/>
        </w:rPr>
        <w:t> </w:t>
      </w:r>
      <w:r>
        <w:rPr/>
        <w:t>dens</w:t>
      </w:r>
      <w:r>
        <w:rPr>
          <w:spacing w:val="-3"/>
        </w:rPr>
        <w:t> </w:t>
      </w:r>
      <w:r>
        <w:rPr/>
        <w:t>using</w:t>
      </w:r>
      <w:r>
        <w:rPr>
          <w:spacing w:val="-5"/>
        </w:rPr>
        <w:t> </w:t>
      </w:r>
      <w:r>
        <w:rPr/>
        <w:t>carbon</w:t>
      </w:r>
      <w:r>
        <w:rPr>
          <w:spacing w:val="-3"/>
        </w:rPr>
        <w:t> </w:t>
      </w:r>
      <w:r>
        <w:rPr/>
        <w:t>monoxide.</w:t>
      </w:r>
      <w:r>
        <w:rPr>
          <w:spacing w:val="-4"/>
        </w:rPr>
        <w:t> </w:t>
      </w:r>
      <w:r>
        <w:rPr/>
        <w:t>Department</w:t>
      </w:r>
      <w:r>
        <w:rPr>
          <w:spacing w:val="-2"/>
        </w:rPr>
        <w:t> </w:t>
      </w:r>
      <w:r>
        <w:rPr/>
        <w:t>of</w:t>
      </w:r>
      <w:r>
        <w:rPr>
          <w:spacing w:val="-4"/>
        </w:rPr>
        <w:t> </w:t>
      </w:r>
      <w:r>
        <w:rPr/>
        <w:t>Primary Industries, NSW. Available at:</w:t>
      </w:r>
    </w:p>
    <w:p>
      <w:pPr>
        <w:pStyle w:val="BodyText"/>
        <w:tabs>
          <w:tab w:pos="3531" w:val="left" w:leader="none"/>
        </w:tabs>
        <w:ind w:left="833" w:right="620"/>
      </w:pPr>
      <w:hyperlink r:id="rId107">
        <w:r>
          <w:rPr>
            <w:color w:val="0000FF"/>
            <w:spacing w:val="-2"/>
            <w:u w:val="single" w:color="0000FF"/>
          </w:rPr>
          <w:t>https://www.dpi.nsw.gov.au/</w:t>
        </w:r>
        <w:r>
          <w:rPr>
            <w:color w:val="0000FF"/>
            <w:u w:val="single" w:color="0000FF"/>
          </w:rPr>
          <w:tab/>
        </w:r>
        <w:r>
          <w:rPr>
            <w:color w:val="0000FF"/>
            <w:spacing w:val="-2"/>
            <w:u w:val="single" w:color="0000FF"/>
          </w:rPr>
          <w:t>data/assets/pdf_file/0008/1396772/NSWFOX-SOP4-Fumigation-of-</w:t>
        </w:r>
      </w:hyperlink>
      <w:r>
        <w:rPr>
          <w:color w:val="0000FF"/>
          <w:spacing w:val="-2"/>
          <w:u w:val="none"/>
        </w:rPr>
        <w:t> </w:t>
      </w:r>
      <w:hyperlink r:id="rId107">
        <w:r>
          <w:rPr>
            <w:color w:val="0000FF"/>
            <w:u w:val="single" w:color="0000FF"/>
          </w:rPr>
          <w:t>fox-dens-using-carbon-monoxide.PDF</w:t>
        </w:r>
      </w:hyperlink>
      <w:r>
        <w:rPr>
          <w:color w:val="0000FF"/>
          <w:u w:val="none"/>
        </w:rPr>
        <w:t> </w:t>
      </w:r>
      <w:r>
        <w:rPr>
          <w:u w:val="none"/>
        </w:rPr>
        <w:t>[accessed 8 October 2024].</w:t>
      </w:r>
    </w:p>
    <w:p>
      <w:pPr>
        <w:pStyle w:val="BodyText"/>
        <w:spacing w:before="9"/>
      </w:pPr>
    </w:p>
    <w:p>
      <w:pPr>
        <w:pStyle w:val="BodyText"/>
        <w:ind w:left="833" w:right="163" w:hanging="721"/>
      </w:pPr>
      <w:r>
        <w:rPr/>
        <w:t>O’Brien,</w:t>
      </w:r>
      <w:r>
        <w:rPr>
          <w:spacing w:val="-2"/>
        </w:rPr>
        <w:t> </w:t>
      </w:r>
      <w:r>
        <w:rPr/>
        <w:t>P.H.,</w:t>
      </w:r>
      <w:r>
        <w:rPr>
          <w:spacing w:val="-2"/>
        </w:rPr>
        <w:t> </w:t>
      </w:r>
      <w:r>
        <w:rPr/>
        <w:t>Kleba,</w:t>
      </w:r>
      <w:r>
        <w:rPr>
          <w:spacing w:val="-4"/>
        </w:rPr>
        <w:t> </w:t>
      </w:r>
      <w:r>
        <w:rPr/>
        <w:t>R.,</w:t>
      </w:r>
      <w:r>
        <w:rPr>
          <w:spacing w:val="-4"/>
        </w:rPr>
        <w:t> </w:t>
      </w:r>
      <w:r>
        <w:rPr/>
        <w:t>Beck,</w:t>
      </w:r>
      <w:r>
        <w:rPr>
          <w:spacing w:val="-4"/>
        </w:rPr>
        <w:t> </w:t>
      </w:r>
      <w:r>
        <w:rPr/>
        <w:t>J.A.,</w:t>
      </w:r>
      <w:r>
        <w:rPr>
          <w:spacing w:val="-4"/>
        </w:rPr>
        <w:t> </w:t>
      </w:r>
      <w:r>
        <w:rPr/>
        <w:t>and</w:t>
      </w:r>
      <w:r>
        <w:rPr>
          <w:spacing w:val="-3"/>
        </w:rPr>
        <w:t> </w:t>
      </w:r>
      <w:r>
        <w:rPr/>
        <w:t>Baker,</w:t>
      </w:r>
      <w:r>
        <w:rPr>
          <w:spacing w:val="-1"/>
        </w:rPr>
        <w:t> </w:t>
      </w:r>
      <w:r>
        <w:rPr/>
        <w:t>P.J.</w:t>
      </w:r>
      <w:r>
        <w:rPr>
          <w:spacing w:val="-4"/>
        </w:rPr>
        <w:t> </w:t>
      </w:r>
      <w:r>
        <w:rPr/>
        <w:t>(1986).</w:t>
      </w:r>
      <w:r>
        <w:rPr>
          <w:spacing w:val="-2"/>
        </w:rPr>
        <w:t> </w:t>
      </w:r>
      <w:r>
        <w:rPr/>
        <w:t>Vomiting</w:t>
      </w:r>
      <w:r>
        <w:rPr>
          <w:spacing w:val="-4"/>
        </w:rPr>
        <w:t> </w:t>
      </w:r>
      <w:r>
        <w:rPr/>
        <w:t>by</w:t>
      </w:r>
      <w:r>
        <w:rPr>
          <w:spacing w:val="-3"/>
        </w:rPr>
        <w:t> </w:t>
      </w:r>
      <w:r>
        <w:rPr/>
        <w:t>feral</w:t>
      </w:r>
      <w:r>
        <w:rPr>
          <w:spacing w:val="-3"/>
        </w:rPr>
        <w:t> </w:t>
      </w:r>
      <w:r>
        <w:rPr/>
        <w:t>pigs</w:t>
      </w:r>
      <w:r>
        <w:rPr>
          <w:spacing w:val="-3"/>
        </w:rPr>
        <w:t> </w:t>
      </w:r>
      <w:r>
        <w:rPr/>
        <w:t>after</w:t>
      </w:r>
      <w:r>
        <w:rPr>
          <w:spacing w:val="-4"/>
        </w:rPr>
        <w:t> </w:t>
      </w:r>
      <w:r>
        <w:rPr/>
        <w:t>1080</w:t>
      </w:r>
      <w:r>
        <w:rPr>
          <w:spacing w:val="-3"/>
        </w:rPr>
        <w:t> </w:t>
      </w:r>
      <w:r>
        <w:rPr/>
        <w:t>intoxication: nontarget hazard and influence of anti-emetics. </w:t>
      </w:r>
      <w:r>
        <w:rPr>
          <w:i/>
        </w:rPr>
        <w:t>Wildlife Society Bulletin </w:t>
      </w:r>
      <w:r>
        <w:rPr>
          <w:b/>
        </w:rPr>
        <w:t>14</w:t>
      </w:r>
      <w:r>
        <w:rPr/>
        <w:t>:425–32.</w:t>
      </w:r>
    </w:p>
    <w:p>
      <w:pPr>
        <w:pStyle w:val="BodyText"/>
        <w:spacing w:before="11"/>
      </w:pPr>
    </w:p>
    <w:p>
      <w:pPr>
        <w:pStyle w:val="BodyText"/>
        <w:ind w:left="833" w:right="544" w:hanging="721"/>
      </w:pPr>
      <w:r>
        <w:rPr/>
        <w:t>O’Brien, R. C., Forbes, S.L., Meyer, J., and Dadour, I.R. (2007). A preliminary investigation into the scavenging</w:t>
      </w:r>
      <w:r>
        <w:rPr>
          <w:spacing w:val="-5"/>
        </w:rPr>
        <w:t> </w:t>
      </w:r>
      <w:r>
        <w:rPr/>
        <w:t>activity</w:t>
      </w:r>
      <w:r>
        <w:rPr>
          <w:spacing w:val="-4"/>
        </w:rPr>
        <w:t> </w:t>
      </w:r>
      <w:r>
        <w:rPr/>
        <w:t>on</w:t>
      </w:r>
      <w:r>
        <w:rPr>
          <w:spacing w:val="-4"/>
        </w:rPr>
        <w:t> </w:t>
      </w:r>
      <w:r>
        <w:rPr/>
        <w:t>pig</w:t>
      </w:r>
      <w:r>
        <w:rPr>
          <w:spacing w:val="-5"/>
        </w:rPr>
        <w:t> </w:t>
      </w:r>
      <w:r>
        <w:rPr/>
        <w:t>carcasses</w:t>
      </w:r>
      <w:r>
        <w:rPr>
          <w:spacing w:val="-4"/>
        </w:rPr>
        <w:t> </w:t>
      </w:r>
      <w:r>
        <w:rPr/>
        <w:t>in</w:t>
      </w:r>
      <w:r>
        <w:rPr>
          <w:spacing w:val="-2"/>
        </w:rPr>
        <w:t> </w:t>
      </w:r>
      <w:r>
        <w:rPr/>
        <w:t>Western</w:t>
      </w:r>
      <w:r>
        <w:rPr>
          <w:spacing w:val="-2"/>
        </w:rPr>
        <w:t> </w:t>
      </w:r>
      <w:r>
        <w:rPr/>
        <w:t>Australia.</w:t>
      </w:r>
      <w:r>
        <w:rPr>
          <w:spacing w:val="-5"/>
        </w:rPr>
        <w:t> </w:t>
      </w:r>
      <w:r>
        <w:rPr>
          <w:i/>
        </w:rPr>
        <w:t>Forensic</w:t>
      </w:r>
      <w:r>
        <w:rPr>
          <w:i/>
          <w:spacing w:val="-4"/>
        </w:rPr>
        <w:t> </w:t>
      </w:r>
      <w:r>
        <w:rPr>
          <w:i/>
        </w:rPr>
        <w:t>Science,</w:t>
      </w:r>
      <w:r>
        <w:rPr>
          <w:i/>
          <w:spacing w:val="-3"/>
        </w:rPr>
        <w:t> </w:t>
      </w:r>
      <w:r>
        <w:rPr>
          <w:i/>
        </w:rPr>
        <w:t>Medicine,</w:t>
      </w:r>
      <w:r>
        <w:rPr>
          <w:i/>
          <w:spacing w:val="-3"/>
        </w:rPr>
        <w:t> </w:t>
      </w:r>
      <w:r>
        <w:rPr>
          <w:i/>
        </w:rPr>
        <w:t>and</w:t>
      </w:r>
      <w:r>
        <w:rPr>
          <w:i/>
        </w:rPr>
        <w:t> Pathology </w:t>
      </w:r>
      <w:r>
        <w:rPr>
          <w:b/>
        </w:rPr>
        <w:t>3</w:t>
      </w:r>
      <w:r>
        <w:rPr/>
        <w:t>(3):194–99. doi: 10.1007/s12024-007-0016-3.</w:t>
      </w:r>
    </w:p>
    <w:p>
      <w:pPr>
        <w:pStyle w:val="BodyText"/>
        <w:spacing w:before="9"/>
      </w:pPr>
    </w:p>
    <w:p>
      <w:pPr>
        <w:pStyle w:val="BodyText"/>
        <w:ind w:left="833" w:right="387" w:hanging="721"/>
        <w:jc w:val="both"/>
      </w:pPr>
      <w:r>
        <w:rPr/>
        <w:t>Oliver, A.J.,</w:t>
      </w:r>
      <w:r>
        <w:rPr>
          <w:spacing w:val="-1"/>
        </w:rPr>
        <w:t> </w:t>
      </w:r>
      <w:r>
        <w:rPr/>
        <w:t>Wheeler, S.H, and</w:t>
      </w:r>
      <w:r>
        <w:rPr>
          <w:spacing w:val="-1"/>
        </w:rPr>
        <w:t> </w:t>
      </w:r>
      <w:r>
        <w:rPr/>
        <w:t>Gooding, C.D.</w:t>
      </w:r>
      <w:r>
        <w:rPr>
          <w:spacing w:val="-1"/>
        </w:rPr>
        <w:t> </w:t>
      </w:r>
      <w:r>
        <w:rPr/>
        <w:t>(1982). Field</w:t>
      </w:r>
      <w:r>
        <w:rPr>
          <w:spacing w:val="-1"/>
        </w:rPr>
        <w:t> </w:t>
      </w:r>
      <w:r>
        <w:rPr/>
        <w:t>evaluation</w:t>
      </w:r>
      <w:r>
        <w:rPr>
          <w:spacing w:val="-1"/>
        </w:rPr>
        <w:t> </w:t>
      </w:r>
      <w:r>
        <w:rPr/>
        <w:t>of 1080</w:t>
      </w:r>
      <w:r>
        <w:rPr>
          <w:spacing w:val="-1"/>
        </w:rPr>
        <w:t> </w:t>
      </w:r>
      <w:r>
        <w:rPr/>
        <w:t>and</w:t>
      </w:r>
      <w:r>
        <w:rPr>
          <w:spacing w:val="-1"/>
        </w:rPr>
        <w:t> </w:t>
      </w:r>
      <w:r>
        <w:rPr/>
        <w:t>pindone oat bait,</w:t>
      </w:r>
      <w:r>
        <w:rPr>
          <w:spacing w:val="-1"/>
        </w:rPr>
        <w:t> </w:t>
      </w:r>
      <w:r>
        <w:rPr/>
        <w:t>and</w:t>
      </w:r>
      <w:r>
        <w:rPr>
          <w:spacing w:val="-2"/>
        </w:rPr>
        <w:t> </w:t>
      </w:r>
      <w:r>
        <w:rPr/>
        <w:t>the possible</w:t>
      </w:r>
      <w:r>
        <w:rPr>
          <w:spacing w:val="-4"/>
        </w:rPr>
        <w:t> </w:t>
      </w:r>
      <w:r>
        <w:rPr/>
        <w:t>decline</w:t>
      </w:r>
      <w:r>
        <w:rPr>
          <w:spacing w:val="-3"/>
        </w:rPr>
        <w:t> </w:t>
      </w:r>
      <w:r>
        <w:rPr/>
        <w:t>in</w:t>
      </w:r>
      <w:r>
        <w:rPr>
          <w:spacing w:val="-2"/>
        </w:rPr>
        <w:t> </w:t>
      </w:r>
      <w:r>
        <w:rPr/>
        <w:t>effectiveness</w:t>
      </w:r>
      <w:r>
        <w:rPr>
          <w:spacing w:val="-3"/>
        </w:rPr>
        <w:t> </w:t>
      </w:r>
      <w:r>
        <w:rPr/>
        <w:t>of</w:t>
      </w:r>
      <w:r>
        <w:rPr>
          <w:spacing w:val="-4"/>
        </w:rPr>
        <w:t> </w:t>
      </w:r>
      <w:r>
        <w:rPr/>
        <w:t>poison</w:t>
      </w:r>
      <w:r>
        <w:rPr>
          <w:spacing w:val="-2"/>
        </w:rPr>
        <w:t> </w:t>
      </w:r>
      <w:r>
        <w:rPr/>
        <w:t>baiting</w:t>
      </w:r>
      <w:r>
        <w:rPr>
          <w:spacing w:val="-5"/>
        </w:rPr>
        <w:t> </w:t>
      </w:r>
      <w:r>
        <w:rPr/>
        <w:t>for</w:t>
      </w:r>
      <w:r>
        <w:rPr>
          <w:spacing w:val="-4"/>
        </w:rPr>
        <w:t> </w:t>
      </w:r>
      <w:r>
        <w:rPr/>
        <w:t>the</w:t>
      </w:r>
      <w:r>
        <w:rPr>
          <w:spacing w:val="-4"/>
        </w:rPr>
        <w:t> </w:t>
      </w:r>
      <w:r>
        <w:rPr/>
        <w:t>control</w:t>
      </w:r>
      <w:r>
        <w:rPr>
          <w:spacing w:val="-5"/>
        </w:rPr>
        <w:t> </w:t>
      </w:r>
      <w:r>
        <w:rPr/>
        <w:t>of</w:t>
      </w:r>
      <w:r>
        <w:rPr>
          <w:spacing w:val="-2"/>
        </w:rPr>
        <w:t> </w:t>
      </w:r>
      <w:r>
        <w:rPr/>
        <w:t>the</w:t>
      </w:r>
      <w:r>
        <w:rPr>
          <w:spacing w:val="-5"/>
        </w:rPr>
        <w:t> </w:t>
      </w:r>
      <w:r>
        <w:rPr/>
        <w:t>rabbit, </w:t>
      </w:r>
      <w:r>
        <w:rPr>
          <w:i/>
        </w:rPr>
        <w:t>Oryctolagus</w:t>
      </w:r>
      <w:r>
        <w:rPr>
          <w:i/>
          <w:spacing w:val="-3"/>
        </w:rPr>
        <w:t> </w:t>
      </w:r>
      <w:r>
        <w:rPr>
          <w:i/>
        </w:rPr>
        <w:t>cuniculus</w:t>
      </w:r>
      <w:r>
        <w:rPr/>
        <w:t>. </w:t>
      </w:r>
      <w:r>
        <w:rPr>
          <w:i/>
        </w:rPr>
        <w:t>Wildlife Research </w:t>
      </w:r>
      <w:r>
        <w:rPr>
          <w:b/>
        </w:rPr>
        <w:t>9</w:t>
      </w:r>
      <w:r>
        <w:rPr/>
        <w:t>(1):125. doi: 10.1071/WR9820125.</w:t>
      </w:r>
    </w:p>
    <w:p>
      <w:pPr>
        <w:pStyle w:val="BodyText"/>
        <w:spacing w:before="11"/>
      </w:pPr>
    </w:p>
    <w:p>
      <w:pPr>
        <w:pStyle w:val="BodyText"/>
        <w:ind w:left="112"/>
      </w:pPr>
      <w:r>
        <w:rPr/>
        <w:t>Orr,</w:t>
      </w:r>
      <w:r>
        <w:rPr>
          <w:spacing w:val="-6"/>
        </w:rPr>
        <w:t> </w:t>
      </w:r>
      <w:r>
        <w:rPr/>
        <w:t>B.,</w:t>
      </w:r>
      <w:r>
        <w:rPr>
          <w:spacing w:val="-6"/>
        </w:rPr>
        <w:t> </w:t>
      </w:r>
      <w:r>
        <w:rPr/>
        <w:t>Malik,</w:t>
      </w:r>
      <w:r>
        <w:rPr>
          <w:spacing w:val="-5"/>
        </w:rPr>
        <w:t> </w:t>
      </w:r>
      <w:r>
        <w:rPr/>
        <w:t>R.,</w:t>
      </w:r>
      <w:r>
        <w:rPr>
          <w:spacing w:val="-6"/>
        </w:rPr>
        <w:t> </w:t>
      </w:r>
      <w:r>
        <w:rPr/>
        <w:t>Norris,</w:t>
      </w:r>
      <w:r>
        <w:rPr>
          <w:spacing w:val="-6"/>
        </w:rPr>
        <w:t> </w:t>
      </w:r>
      <w:r>
        <w:rPr/>
        <w:t>J.,</w:t>
      </w:r>
      <w:r>
        <w:rPr>
          <w:spacing w:val="-4"/>
        </w:rPr>
        <w:t> </w:t>
      </w:r>
      <w:r>
        <w:rPr/>
        <w:t>and</w:t>
      </w:r>
      <w:r>
        <w:rPr>
          <w:spacing w:val="-4"/>
        </w:rPr>
        <w:t> </w:t>
      </w:r>
      <w:r>
        <w:rPr/>
        <w:t>Westman,</w:t>
      </w:r>
      <w:r>
        <w:rPr>
          <w:spacing w:val="-4"/>
        </w:rPr>
        <w:t> </w:t>
      </w:r>
      <w:r>
        <w:rPr/>
        <w:t>Mark.</w:t>
      </w:r>
      <w:r>
        <w:rPr>
          <w:spacing w:val="-6"/>
        </w:rPr>
        <w:t> </w:t>
      </w:r>
      <w:r>
        <w:rPr/>
        <w:t>(2019).</w:t>
      </w:r>
      <w:r>
        <w:rPr>
          <w:spacing w:val="-6"/>
        </w:rPr>
        <w:t> </w:t>
      </w:r>
      <w:r>
        <w:rPr/>
        <w:t>The</w:t>
      </w:r>
      <w:r>
        <w:rPr>
          <w:spacing w:val="-7"/>
        </w:rPr>
        <w:t> </w:t>
      </w:r>
      <w:r>
        <w:rPr/>
        <w:t>welfare</w:t>
      </w:r>
      <w:r>
        <w:rPr>
          <w:spacing w:val="-6"/>
        </w:rPr>
        <w:t> </w:t>
      </w:r>
      <w:r>
        <w:rPr/>
        <w:t>of</w:t>
      </w:r>
      <w:r>
        <w:rPr>
          <w:spacing w:val="-4"/>
        </w:rPr>
        <w:t> </w:t>
      </w:r>
      <w:r>
        <w:rPr/>
        <w:t>pig-hunting</w:t>
      </w:r>
      <w:r>
        <w:rPr>
          <w:spacing w:val="-7"/>
        </w:rPr>
        <w:t> </w:t>
      </w:r>
      <w:r>
        <w:rPr/>
        <w:t>dogs</w:t>
      </w:r>
      <w:r>
        <w:rPr>
          <w:spacing w:val="-5"/>
        </w:rPr>
        <w:t> </w:t>
      </w:r>
      <w:r>
        <w:rPr/>
        <w:t>in</w:t>
      </w:r>
      <w:r>
        <w:rPr>
          <w:spacing w:val="-4"/>
        </w:rPr>
        <w:t> </w:t>
      </w:r>
      <w:r>
        <w:rPr>
          <w:spacing w:val="-2"/>
        </w:rPr>
        <w:t>Australia.</w:t>
      </w:r>
    </w:p>
    <w:p>
      <w:pPr>
        <w:spacing w:before="1"/>
        <w:ind w:left="833" w:right="0" w:firstLine="0"/>
        <w:jc w:val="left"/>
        <w:rPr>
          <w:sz w:val="20"/>
        </w:rPr>
      </w:pPr>
      <w:r>
        <w:rPr>
          <w:i/>
          <w:sz w:val="20"/>
        </w:rPr>
        <w:t>Animals</w:t>
      </w:r>
      <w:r>
        <w:rPr>
          <w:i/>
          <w:spacing w:val="-8"/>
          <w:sz w:val="20"/>
        </w:rPr>
        <w:t> </w:t>
      </w:r>
      <w:r>
        <w:rPr>
          <w:b/>
          <w:sz w:val="20"/>
        </w:rPr>
        <w:t>9</w:t>
      </w:r>
      <w:r>
        <w:rPr>
          <w:sz w:val="20"/>
        </w:rPr>
        <w:t>(10):853.</w:t>
      </w:r>
      <w:r>
        <w:rPr>
          <w:spacing w:val="-8"/>
          <w:sz w:val="20"/>
        </w:rPr>
        <w:t> </w:t>
      </w:r>
      <w:r>
        <w:rPr>
          <w:sz w:val="20"/>
        </w:rPr>
        <w:t>doi:</w:t>
      </w:r>
      <w:r>
        <w:rPr>
          <w:spacing w:val="-8"/>
          <w:sz w:val="20"/>
        </w:rPr>
        <w:t> </w:t>
      </w:r>
      <w:r>
        <w:rPr>
          <w:spacing w:val="-2"/>
          <w:sz w:val="20"/>
        </w:rPr>
        <w:t>10.3390/ani9100853.</w:t>
      </w:r>
    </w:p>
    <w:p>
      <w:pPr>
        <w:pStyle w:val="BodyText"/>
        <w:spacing w:before="8"/>
      </w:pPr>
    </w:p>
    <w:p>
      <w:pPr>
        <w:pStyle w:val="BodyText"/>
        <w:ind w:left="833" w:right="416" w:hanging="721"/>
      </w:pPr>
      <w:r>
        <w:rPr/>
        <w:t>Pachauri,</w:t>
      </w:r>
      <w:r>
        <w:rPr>
          <w:spacing w:val="-4"/>
        </w:rPr>
        <w:t> </w:t>
      </w:r>
      <w:r>
        <w:rPr/>
        <w:t>R.,</w:t>
      </w:r>
      <w:r>
        <w:rPr>
          <w:spacing w:val="-4"/>
        </w:rPr>
        <w:t> </w:t>
      </w:r>
      <w:r>
        <w:rPr/>
        <w:t>Martínez-Guijosa,</w:t>
      </w:r>
      <w:r>
        <w:rPr>
          <w:spacing w:val="-4"/>
        </w:rPr>
        <w:t> </w:t>
      </w:r>
      <w:r>
        <w:rPr/>
        <w:t>J.,</w:t>
      </w:r>
      <w:r>
        <w:rPr>
          <w:spacing w:val="-4"/>
        </w:rPr>
        <w:t> </w:t>
      </w:r>
      <w:r>
        <w:rPr/>
        <w:t>Ferreras-Colino,</w:t>
      </w:r>
      <w:r>
        <w:rPr>
          <w:spacing w:val="-2"/>
        </w:rPr>
        <w:t> </w:t>
      </w:r>
      <w:r>
        <w:rPr/>
        <w:t>E.,</w:t>
      </w:r>
      <w:r>
        <w:rPr>
          <w:spacing w:val="-2"/>
        </w:rPr>
        <w:t> </w:t>
      </w:r>
      <w:r>
        <w:rPr/>
        <w:t>Ferreres,</w:t>
      </w:r>
      <w:r>
        <w:rPr>
          <w:spacing w:val="-4"/>
        </w:rPr>
        <w:t> </w:t>
      </w:r>
      <w:r>
        <w:rPr/>
        <w:t>J.,</w:t>
      </w:r>
      <w:r>
        <w:rPr>
          <w:spacing w:val="-4"/>
        </w:rPr>
        <w:t> </w:t>
      </w:r>
      <w:r>
        <w:rPr/>
        <w:t>and</w:t>
      </w:r>
      <w:r>
        <w:rPr>
          <w:spacing w:val="-4"/>
        </w:rPr>
        <w:t> </w:t>
      </w:r>
      <w:r>
        <w:rPr/>
        <w:t>Relimpio,</w:t>
      </w:r>
      <w:r>
        <w:rPr>
          <w:spacing w:val="-2"/>
        </w:rPr>
        <w:t> </w:t>
      </w:r>
      <w:r>
        <w:rPr/>
        <w:t>D.</w:t>
      </w:r>
      <w:r>
        <w:rPr>
          <w:spacing w:val="-4"/>
        </w:rPr>
        <w:t> </w:t>
      </w:r>
      <w:r>
        <w:rPr/>
        <w:t>(2024).</w:t>
      </w:r>
      <w:r>
        <w:rPr>
          <w:spacing w:val="-4"/>
        </w:rPr>
        <w:t> </w:t>
      </w:r>
      <w:r>
        <w:rPr/>
        <w:t>Optimizing</w:t>
      </w:r>
      <w:r>
        <w:rPr>
          <w:spacing w:val="-4"/>
        </w:rPr>
        <w:t> </w:t>
      </w:r>
      <w:r>
        <w:rPr/>
        <w:t>the baiting strategy for oral vaccine delivery to wild boar. </w:t>
      </w:r>
      <w:r>
        <w:rPr>
          <w:i/>
        </w:rPr>
        <w:t>European Journal of Wildlife Research</w:t>
      </w:r>
      <w:r>
        <w:rPr>
          <w:i/>
        </w:rPr>
        <w:t> </w:t>
      </w:r>
      <w:r>
        <w:rPr>
          <w:b/>
        </w:rPr>
        <w:t>70</w:t>
      </w:r>
      <w:r>
        <w:rPr/>
        <w:t>(1):18. doi: 10.1007/s10344-024-01771-w.</w:t>
      </w:r>
    </w:p>
    <w:p>
      <w:pPr>
        <w:pStyle w:val="BodyText"/>
        <w:spacing w:before="12"/>
      </w:pPr>
    </w:p>
    <w:p>
      <w:pPr>
        <w:spacing w:before="0"/>
        <w:ind w:left="833" w:right="544" w:hanging="721"/>
        <w:jc w:val="left"/>
        <w:rPr>
          <w:sz w:val="20"/>
        </w:rPr>
      </w:pPr>
      <w:r>
        <w:rPr>
          <w:sz w:val="20"/>
        </w:rPr>
        <w:t>Pacioni,</w:t>
      </w:r>
      <w:r>
        <w:rPr>
          <w:spacing w:val="-2"/>
          <w:sz w:val="20"/>
        </w:rPr>
        <w:t> </w:t>
      </w:r>
      <w:r>
        <w:rPr>
          <w:sz w:val="20"/>
        </w:rPr>
        <w:t>C.,</w:t>
      </w:r>
      <w:r>
        <w:rPr>
          <w:spacing w:val="-4"/>
          <w:sz w:val="20"/>
        </w:rPr>
        <w:t> </w:t>
      </w:r>
      <w:r>
        <w:rPr>
          <w:sz w:val="20"/>
        </w:rPr>
        <w:t>Ramsey,</w:t>
      </w:r>
      <w:r>
        <w:rPr>
          <w:spacing w:val="-4"/>
          <w:sz w:val="20"/>
        </w:rPr>
        <w:t> </w:t>
      </w:r>
      <w:r>
        <w:rPr>
          <w:sz w:val="20"/>
        </w:rPr>
        <w:t>D.S.L.,</w:t>
      </w:r>
      <w:r>
        <w:rPr>
          <w:spacing w:val="-4"/>
          <w:sz w:val="20"/>
        </w:rPr>
        <w:t> </w:t>
      </w:r>
      <w:r>
        <w:rPr>
          <w:sz w:val="20"/>
        </w:rPr>
        <w:t>Woodford,</w:t>
      </w:r>
      <w:r>
        <w:rPr>
          <w:spacing w:val="-4"/>
          <w:sz w:val="20"/>
        </w:rPr>
        <w:t> </w:t>
      </w:r>
      <w:r>
        <w:rPr>
          <w:sz w:val="20"/>
        </w:rPr>
        <w:t>L.,</w:t>
      </w:r>
      <w:r>
        <w:rPr>
          <w:spacing w:val="-4"/>
          <w:sz w:val="20"/>
        </w:rPr>
        <w:t> </w:t>
      </w:r>
      <w:r>
        <w:rPr>
          <w:sz w:val="20"/>
        </w:rPr>
        <w:t>and</w:t>
      </w:r>
      <w:r>
        <w:rPr>
          <w:spacing w:val="-5"/>
          <w:sz w:val="20"/>
        </w:rPr>
        <w:t> </w:t>
      </w:r>
      <w:r>
        <w:rPr>
          <w:sz w:val="20"/>
        </w:rPr>
        <w:t>Robley,</w:t>
      </w:r>
      <w:r>
        <w:rPr>
          <w:spacing w:val="-4"/>
          <w:sz w:val="20"/>
        </w:rPr>
        <w:t> </w:t>
      </w:r>
      <w:r>
        <w:rPr>
          <w:sz w:val="20"/>
        </w:rPr>
        <w:t>A.</w:t>
      </w:r>
      <w:r>
        <w:rPr>
          <w:spacing w:val="-4"/>
          <w:sz w:val="20"/>
        </w:rPr>
        <w:t> </w:t>
      </w:r>
      <w:r>
        <w:rPr>
          <w:sz w:val="20"/>
        </w:rPr>
        <w:t>(2021). </w:t>
      </w:r>
      <w:r>
        <w:rPr>
          <w:i/>
          <w:sz w:val="20"/>
        </w:rPr>
        <w:t>Estimating</w:t>
      </w:r>
      <w:r>
        <w:rPr>
          <w:i/>
          <w:spacing w:val="-2"/>
          <w:sz w:val="20"/>
        </w:rPr>
        <w:t> </w:t>
      </w:r>
      <w:r>
        <w:rPr>
          <w:i/>
          <w:sz w:val="20"/>
        </w:rPr>
        <w:t>the efficiency</w:t>
      </w:r>
      <w:r>
        <w:rPr>
          <w:i/>
          <w:spacing w:val="-3"/>
          <w:sz w:val="20"/>
        </w:rPr>
        <w:t> </w:t>
      </w:r>
      <w:r>
        <w:rPr>
          <w:i/>
          <w:sz w:val="20"/>
        </w:rPr>
        <w:t>of</w:t>
      </w:r>
      <w:r>
        <w:rPr>
          <w:i/>
          <w:spacing w:val="-4"/>
          <w:sz w:val="20"/>
        </w:rPr>
        <w:t> </w:t>
      </w:r>
      <w:r>
        <w:rPr>
          <w:i/>
          <w:sz w:val="20"/>
        </w:rPr>
        <w:t>reactive</w:t>
      </w:r>
      <w:r>
        <w:rPr>
          <w:i/>
          <w:spacing w:val="-4"/>
          <w:sz w:val="20"/>
        </w:rPr>
        <w:t> </w:t>
      </w:r>
      <w:r>
        <w:rPr>
          <w:i/>
          <w:sz w:val="20"/>
        </w:rPr>
        <w:t>wild</w:t>
      </w:r>
      <w:r>
        <w:rPr>
          <w:i/>
          <w:sz w:val="20"/>
        </w:rPr>
        <w:t> dog control to attacks on livestock. unpublished client report for the department of jobs, precincts and region. </w:t>
      </w:r>
      <w:r>
        <w:rPr>
          <w:sz w:val="20"/>
        </w:rPr>
        <w:t>Arthur Rylah Institute for Environmental Research, Department of Environment, Land, Water and Planning, Heidelberg, Victoria.</w:t>
      </w:r>
    </w:p>
    <w:p>
      <w:pPr>
        <w:pStyle w:val="BodyText"/>
        <w:spacing w:before="9"/>
      </w:pPr>
    </w:p>
    <w:p>
      <w:pPr>
        <w:pStyle w:val="BodyText"/>
        <w:ind w:left="833" w:right="232" w:hanging="721"/>
      </w:pPr>
      <w:r>
        <w:rPr/>
        <w:t>Page,</w:t>
      </w:r>
      <w:r>
        <w:rPr>
          <w:spacing w:val="-4"/>
        </w:rPr>
        <w:t> </w:t>
      </w:r>
      <w:r>
        <w:rPr/>
        <w:t>J.,</w:t>
      </w:r>
      <w:r>
        <w:rPr>
          <w:spacing w:val="-2"/>
        </w:rPr>
        <w:t> </w:t>
      </w:r>
      <w:r>
        <w:rPr/>
        <w:t>McKenzie,</w:t>
      </w:r>
      <w:r>
        <w:rPr>
          <w:spacing w:val="-4"/>
        </w:rPr>
        <w:t> </w:t>
      </w:r>
      <w:r>
        <w:rPr/>
        <w:t>J.E.,</w:t>
      </w:r>
      <w:r>
        <w:rPr>
          <w:spacing w:val="-2"/>
        </w:rPr>
        <w:t> </w:t>
      </w:r>
      <w:r>
        <w:rPr/>
        <w:t>Bossuyt,</w:t>
      </w:r>
      <w:r>
        <w:rPr>
          <w:spacing w:val="-4"/>
        </w:rPr>
        <w:t> </w:t>
      </w:r>
      <w:r>
        <w:rPr/>
        <w:t>P.M.,</w:t>
      </w:r>
      <w:r>
        <w:rPr>
          <w:spacing w:val="-4"/>
        </w:rPr>
        <w:t> </w:t>
      </w:r>
      <w:r>
        <w:rPr/>
        <w:t>Boutron,</w:t>
      </w:r>
      <w:r>
        <w:rPr>
          <w:spacing w:val="-4"/>
        </w:rPr>
        <w:t> </w:t>
      </w:r>
      <w:r>
        <w:rPr/>
        <w:t>I.,</w:t>
      </w:r>
      <w:r>
        <w:rPr>
          <w:spacing w:val="-2"/>
        </w:rPr>
        <w:t> </w:t>
      </w:r>
      <w:r>
        <w:rPr/>
        <w:t>and</w:t>
      </w:r>
      <w:r>
        <w:rPr>
          <w:spacing w:val="-4"/>
        </w:rPr>
        <w:t> </w:t>
      </w:r>
      <w:r>
        <w:rPr/>
        <w:t>et</w:t>
      </w:r>
      <w:r>
        <w:rPr>
          <w:spacing w:val="-2"/>
        </w:rPr>
        <w:t> </w:t>
      </w:r>
      <w:r>
        <w:rPr/>
        <w:t>al.</w:t>
      </w:r>
      <w:r>
        <w:rPr>
          <w:spacing w:val="-4"/>
        </w:rPr>
        <w:t> </w:t>
      </w:r>
      <w:r>
        <w:rPr/>
        <w:t>(2020).</w:t>
      </w:r>
      <w:r>
        <w:rPr>
          <w:spacing w:val="-4"/>
        </w:rPr>
        <w:t> </w:t>
      </w:r>
      <w:r>
        <w:rPr/>
        <w:t>The PRISMA</w:t>
      </w:r>
      <w:r>
        <w:rPr>
          <w:spacing w:val="-2"/>
        </w:rPr>
        <w:t> </w:t>
      </w:r>
      <w:r>
        <w:rPr/>
        <w:t>2020</w:t>
      </w:r>
      <w:r>
        <w:rPr>
          <w:spacing w:val="-4"/>
        </w:rPr>
        <w:t> </w:t>
      </w:r>
      <w:r>
        <w:rPr/>
        <w:t>statement:</w:t>
      </w:r>
      <w:r>
        <w:rPr>
          <w:spacing w:val="-4"/>
        </w:rPr>
        <w:t> </w:t>
      </w:r>
      <w:r>
        <w:rPr/>
        <w:t>an updated guideline for reporting systematic reviews. doi:10.1136/bmj.n71 | BMJ 2021;372:n71.</w:t>
      </w:r>
    </w:p>
    <w:p>
      <w:pPr>
        <w:pStyle w:val="BodyText"/>
        <w:spacing w:before="11"/>
      </w:pPr>
    </w:p>
    <w:p>
      <w:pPr>
        <w:spacing w:before="0"/>
        <w:ind w:left="833" w:right="376" w:hanging="721"/>
        <w:jc w:val="both"/>
        <w:rPr>
          <w:i/>
          <w:sz w:val="20"/>
        </w:rPr>
      </w:pPr>
      <w:r>
        <w:rPr>
          <w:sz w:val="20"/>
        </w:rPr>
        <w:t>Page,</w:t>
      </w:r>
      <w:r>
        <w:rPr>
          <w:spacing w:val="-5"/>
          <w:sz w:val="20"/>
        </w:rPr>
        <w:t> </w:t>
      </w:r>
      <w:r>
        <w:rPr>
          <w:sz w:val="20"/>
        </w:rPr>
        <w:t>R.J.C.</w:t>
      </w:r>
      <w:r>
        <w:rPr>
          <w:spacing w:val="-3"/>
          <w:sz w:val="20"/>
        </w:rPr>
        <w:t> </w:t>
      </w:r>
      <w:r>
        <w:rPr>
          <w:sz w:val="20"/>
        </w:rPr>
        <w:t>(1994).</w:t>
      </w:r>
      <w:r>
        <w:rPr>
          <w:spacing w:val="-5"/>
          <w:sz w:val="20"/>
        </w:rPr>
        <w:t> </w:t>
      </w:r>
      <w:r>
        <w:rPr>
          <w:sz w:val="20"/>
        </w:rPr>
        <w:t>Laboratory</w:t>
      </w:r>
      <w:r>
        <w:rPr>
          <w:spacing w:val="-4"/>
          <w:sz w:val="20"/>
        </w:rPr>
        <w:t> </w:t>
      </w:r>
      <w:r>
        <w:rPr>
          <w:sz w:val="20"/>
        </w:rPr>
        <w:t>and</w:t>
      </w:r>
      <w:r>
        <w:rPr>
          <w:spacing w:val="-3"/>
          <w:sz w:val="20"/>
        </w:rPr>
        <w:t> </w:t>
      </w:r>
      <w:r>
        <w:rPr>
          <w:sz w:val="20"/>
        </w:rPr>
        <w:t>field</w:t>
      </w:r>
      <w:r>
        <w:rPr>
          <w:spacing w:val="-5"/>
          <w:sz w:val="20"/>
        </w:rPr>
        <w:t> </w:t>
      </w:r>
      <w:r>
        <w:rPr>
          <w:sz w:val="20"/>
        </w:rPr>
        <w:t>assessment</w:t>
      </w:r>
      <w:r>
        <w:rPr>
          <w:spacing w:val="-3"/>
          <w:sz w:val="20"/>
        </w:rPr>
        <w:t> </w:t>
      </w:r>
      <w:r>
        <w:rPr>
          <w:sz w:val="20"/>
        </w:rPr>
        <w:t>of</w:t>
      </w:r>
      <w:r>
        <w:rPr>
          <w:spacing w:val="-5"/>
          <w:sz w:val="20"/>
        </w:rPr>
        <w:t> </w:t>
      </w:r>
      <w:r>
        <w:rPr>
          <w:sz w:val="20"/>
        </w:rPr>
        <w:t>a</w:t>
      </w:r>
      <w:r>
        <w:rPr>
          <w:spacing w:val="-5"/>
          <w:sz w:val="20"/>
        </w:rPr>
        <w:t> </w:t>
      </w:r>
      <w:r>
        <w:rPr>
          <w:sz w:val="20"/>
        </w:rPr>
        <w:t>carbon</w:t>
      </w:r>
      <w:r>
        <w:rPr>
          <w:spacing w:val="-4"/>
          <w:sz w:val="20"/>
        </w:rPr>
        <w:t> </w:t>
      </w:r>
      <w:r>
        <w:rPr>
          <w:sz w:val="20"/>
        </w:rPr>
        <w:t>monoxide</w:t>
      </w:r>
      <w:r>
        <w:rPr>
          <w:spacing w:val="-3"/>
          <w:sz w:val="20"/>
        </w:rPr>
        <w:t> </w:t>
      </w:r>
      <w:r>
        <w:rPr>
          <w:sz w:val="20"/>
        </w:rPr>
        <w:t>producing</w:t>
      </w:r>
      <w:r>
        <w:rPr>
          <w:spacing w:val="-4"/>
          <w:sz w:val="20"/>
        </w:rPr>
        <w:t> </w:t>
      </w:r>
      <w:r>
        <w:rPr>
          <w:sz w:val="20"/>
        </w:rPr>
        <w:t>fumigant</w:t>
      </w:r>
      <w:r>
        <w:rPr>
          <w:spacing w:val="-5"/>
          <w:sz w:val="20"/>
        </w:rPr>
        <w:t> </w:t>
      </w:r>
      <w:r>
        <w:rPr>
          <w:sz w:val="20"/>
        </w:rPr>
        <w:t>cartridge</w:t>
      </w:r>
      <w:r>
        <w:rPr>
          <w:spacing w:val="-3"/>
          <w:sz w:val="20"/>
        </w:rPr>
        <w:t> </w:t>
      </w:r>
      <w:r>
        <w:rPr>
          <w:sz w:val="20"/>
        </w:rPr>
        <w:t>for the use in the control of rabbits (</w:t>
      </w:r>
      <w:r>
        <w:rPr>
          <w:i/>
          <w:sz w:val="20"/>
        </w:rPr>
        <w:t>Oryctolagus cuniculus</w:t>
      </w:r>
      <w:r>
        <w:rPr>
          <w:sz w:val="20"/>
        </w:rPr>
        <w:t>). Pp. 175–79 in </w:t>
      </w:r>
      <w:r>
        <w:rPr>
          <w:i/>
          <w:sz w:val="20"/>
        </w:rPr>
        <w:t>Proceedings of the 16th</w:t>
      </w:r>
    </w:p>
    <w:p>
      <w:pPr>
        <w:spacing w:after="0"/>
        <w:jc w:val="both"/>
        <w:rPr>
          <w:sz w:val="20"/>
        </w:rPr>
        <w:sectPr>
          <w:pgSz w:w="11910" w:h="16850"/>
          <w:pgMar w:header="0" w:footer="688" w:top="1060" w:bottom="880" w:left="1020" w:right="780"/>
        </w:sectPr>
      </w:pPr>
    </w:p>
    <w:p>
      <w:pPr>
        <w:spacing w:before="71"/>
        <w:ind w:left="833" w:right="0" w:firstLine="0"/>
        <w:jc w:val="left"/>
        <w:rPr>
          <w:sz w:val="20"/>
        </w:rPr>
      </w:pPr>
      <w:r>
        <w:rPr>
          <w:i/>
          <w:sz w:val="20"/>
        </w:rPr>
        <w:t>Vertebrate</w:t>
      </w:r>
      <w:r>
        <w:rPr>
          <w:i/>
          <w:spacing w:val="-2"/>
          <w:sz w:val="20"/>
        </w:rPr>
        <w:t> </w:t>
      </w:r>
      <w:r>
        <w:rPr>
          <w:i/>
          <w:sz w:val="20"/>
        </w:rPr>
        <w:t>Pest</w:t>
      </w:r>
      <w:r>
        <w:rPr>
          <w:i/>
          <w:spacing w:val="-4"/>
          <w:sz w:val="20"/>
        </w:rPr>
        <w:t> </w:t>
      </w:r>
      <w:r>
        <w:rPr>
          <w:i/>
          <w:sz w:val="20"/>
        </w:rPr>
        <w:t>Conference.</w:t>
      </w:r>
      <w:r>
        <w:rPr>
          <w:i/>
          <w:spacing w:val="-4"/>
          <w:sz w:val="20"/>
        </w:rPr>
        <w:t> </w:t>
      </w:r>
      <w:r>
        <w:rPr>
          <w:i/>
          <w:sz w:val="20"/>
        </w:rPr>
        <w:t>(Eds.</w:t>
      </w:r>
      <w:r>
        <w:rPr>
          <w:i/>
          <w:spacing w:val="-2"/>
          <w:sz w:val="20"/>
        </w:rPr>
        <w:t> </w:t>
      </w:r>
      <w:r>
        <w:rPr>
          <w:i/>
          <w:sz w:val="20"/>
        </w:rPr>
        <w:t>W.S.</w:t>
      </w:r>
      <w:r>
        <w:rPr>
          <w:i/>
          <w:spacing w:val="-4"/>
          <w:sz w:val="20"/>
        </w:rPr>
        <w:t> </w:t>
      </w:r>
      <w:r>
        <w:rPr>
          <w:i/>
          <w:sz w:val="20"/>
        </w:rPr>
        <w:t>Halverson</w:t>
      </w:r>
      <w:r>
        <w:rPr>
          <w:i/>
          <w:spacing w:val="-3"/>
          <w:sz w:val="20"/>
        </w:rPr>
        <w:t> </w:t>
      </w:r>
      <w:r>
        <w:rPr>
          <w:i/>
          <w:sz w:val="20"/>
        </w:rPr>
        <w:t>and</w:t>
      </w:r>
      <w:r>
        <w:rPr>
          <w:i/>
          <w:spacing w:val="-4"/>
          <w:sz w:val="20"/>
        </w:rPr>
        <w:t> </w:t>
      </w:r>
      <w:r>
        <w:rPr>
          <w:i/>
          <w:sz w:val="20"/>
        </w:rPr>
        <w:t>A.C.</w:t>
      </w:r>
      <w:r>
        <w:rPr>
          <w:i/>
          <w:spacing w:val="-4"/>
          <w:sz w:val="20"/>
        </w:rPr>
        <w:t> </w:t>
      </w:r>
      <w:r>
        <w:rPr>
          <w:i/>
          <w:sz w:val="20"/>
        </w:rPr>
        <w:t>Crabb)</w:t>
      </w:r>
      <w:r>
        <w:rPr>
          <w:sz w:val="20"/>
        </w:rPr>
        <w:t>.</w:t>
      </w:r>
      <w:r>
        <w:rPr>
          <w:spacing w:val="-4"/>
          <w:sz w:val="20"/>
        </w:rPr>
        <w:t> </w:t>
      </w:r>
      <w:r>
        <w:rPr>
          <w:sz w:val="20"/>
        </w:rPr>
        <w:t>University</w:t>
      </w:r>
      <w:r>
        <w:rPr>
          <w:spacing w:val="-3"/>
          <w:sz w:val="20"/>
        </w:rPr>
        <w:t> </w:t>
      </w:r>
      <w:r>
        <w:rPr>
          <w:sz w:val="20"/>
        </w:rPr>
        <w:t>of</w:t>
      </w:r>
      <w:r>
        <w:rPr>
          <w:spacing w:val="-2"/>
          <w:sz w:val="20"/>
        </w:rPr>
        <w:t> </w:t>
      </w:r>
      <w:r>
        <w:rPr>
          <w:sz w:val="20"/>
        </w:rPr>
        <w:t>California,</w:t>
      </w:r>
      <w:r>
        <w:rPr>
          <w:spacing w:val="-2"/>
          <w:sz w:val="20"/>
        </w:rPr>
        <w:t> </w:t>
      </w:r>
      <w:r>
        <w:rPr>
          <w:sz w:val="20"/>
        </w:rPr>
        <w:t>Davis, </w:t>
      </w:r>
      <w:r>
        <w:rPr>
          <w:spacing w:val="-2"/>
          <w:sz w:val="20"/>
        </w:rPr>
        <w:t>California.</w:t>
      </w:r>
    </w:p>
    <w:p>
      <w:pPr>
        <w:pStyle w:val="BodyText"/>
        <w:spacing w:before="11"/>
      </w:pPr>
    </w:p>
    <w:p>
      <w:pPr>
        <w:pStyle w:val="BodyText"/>
        <w:spacing w:before="1"/>
        <w:ind w:left="833" w:right="163" w:hanging="721"/>
      </w:pPr>
      <w:r>
        <w:rPr/>
        <w:t>Pain,</w:t>
      </w:r>
      <w:r>
        <w:rPr>
          <w:spacing w:val="-4"/>
        </w:rPr>
        <w:t> </w:t>
      </w:r>
      <w:r>
        <w:rPr/>
        <w:t>D.J.,</w:t>
      </w:r>
      <w:r>
        <w:rPr>
          <w:spacing w:val="-2"/>
        </w:rPr>
        <w:t> </w:t>
      </w:r>
      <w:r>
        <w:rPr/>
        <w:t>Mateo,</w:t>
      </w:r>
      <w:r>
        <w:rPr>
          <w:spacing w:val="-2"/>
        </w:rPr>
        <w:t> </w:t>
      </w:r>
      <w:r>
        <w:rPr/>
        <w:t>R.,</w:t>
      </w:r>
      <w:r>
        <w:rPr>
          <w:spacing w:val="-2"/>
        </w:rPr>
        <w:t> </w:t>
      </w:r>
      <w:r>
        <w:rPr/>
        <w:t>and</w:t>
      </w:r>
      <w:r>
        <w:rPr>
          <w:spacing w:val="-2"/>
        </w:rPr>
        <w:t> </w:t>
      </w:r>
      <w:r>
        <w:rPr/>
        <w:t>Green,</w:t>
      </w:r>
      <w:r>
        <w:rPr>
          <w:spacing w:val="-4"/>
        </w:rPr>
        <w:t> </w:t>
      </w:r>
      <w:r>
        <w:rPr/>
        <w:t>R.E.</w:t>
      </w:r>
      <w:r>
        <w:rPr>
          <w:spacing w:val="-4"/>
        </w:rPr>
        <w:t> </w:t>
      </w:r>
      <w:r>
        <w:rPr/>
        <w:t>(2019).</w:t>
      </w:r>
      <w:r>
        <w:rPr>
          <w:spacing w:val="-1"/>
        </w:rPr>
        <w:t> </w:t>
      </w:r>
      <w:r>
        <w:rPr/>
        <w:t>Effects</w:t>
      </w:r>
      <w:r>
        <w:rPr>
          <w:spacing w:val="-3"/>
        </w:rPr>
        <w:t> </w:t>
      </w:r>
      <w:r>
        <w:rPr/>
        <w:t>of</w:t>
      </w:r>
      <w:r>
        <w:rPr>
          <w:spacing w:val="-4"/>
        </w:rPr>
        <w:t> </w:t>
      </w:r>
      <w:r>
        <w:rPr/>
        <w:t>lead</w:t>
      </w:r>
      <w:r>
        <w:rPr>
          <w:spacing w:val="-2"/>
        </w:rPr>
        <w:t> </w:t>
      </w:r>
      <w:r>
        <w:rPr/>
        <w:t>from</w:t>
      </w:r>
      <w:r>
        <w:rPr>
          <w:spacing w:val="-2"/>
        </w:rPr>
        <w:t> </w:t>
      </w:r>
      <w:r>
        <w:rPr/>
        <w:t>ammunition</w:t>
      </w:r>
      <w:r>
        <w:rPr>
          <w:spacing w:val="-3"/>
        </w:rPr>
        <w:t> </w:t>
      </w:r>
      <w:r>
        <w:rPr/>
        <w:t>on</w:t>
      </w:r>
      <w:r>
        <w:rPr>
          <w:spacing w:val="-4"/>
        </w:rPr>
        <w:t> </w:t>
      </w:r>
      <w:r>
        <w:rPr/>
        <w:t>birds</w:t>
      </w:r>
      <w:r>
        <w:rPr>
          <w:spacing w:val="-1"/>
        </w:rPr>
        <w:t> </w:t>
      </w:r>
      <w:r>
        <w:rPr/>
        <w:t>and</w:t>
      </w:r>
      <w:r>
        <w:rPr>
          <w:spacing w:val="-2"/>
        </w:rPr>
        <w:t> </w:t>
      </w:r>
      <w:r>
        <w:rPr/>
        <w:t>other</w:t>
      </w:r>
      <w:r>
        <w:rPr>
          <w:spacing w:val="-4"/>
        </w:rPr>
        <w:t> </w:t>
      </w:r>
      <w:r>
        <w:rPr/>
        <w:t>wildlife:</w:t>
      </w:r>
      <w:r>
        <w:rPr>
          <w:spacing w:val="-4"/>
        </w:rPr>
        <w:t> </w:t>
      </w:r>
      <w:r>
        <w:rPr/>
        <w:t>a review and update. </w:t>
      </w:r>
      <w:r>
        <w:rPr>
          <w:i/>
        </w:rPr>
        <w:t>Ambio </w:t>
      </w:r>
      <w:r>
        <w:rPr>
          <w:b/>
        </w:rPr>
        <w:t>48</w:t>
      </w:r>
      <w:r>
        <w:rPr/>
        <w:t>(9):935–53. doi: 10.1007/s13280-019-01159-0.</w:t>
      </w:r>
    </w:p>
    <w:p>
      <w:pPr>
        <w:pStyle w:val="BodyText"/>
        <w:spacing w:before="10"/>
      </w:pPr>
    </w:p>
    <w:p>
      <w:pPr>
        <w:spacing w:before="0"/>
        <w:ind w:left="833" w:right="163" w:hanging="721"/>
        <w:jc w:val="left"/>
        <w:rPr>
          <w:sz w:val="20"/>
        </w:rPr>
      </w:pPr>
      <w:r>
        <w:rPr>
          <w:sz w:val="20"/>
        </w:rPr>
        <w:t>Parer,</w:t>
      </w:r>
      <w:r>
        <w:rPr>
          <w:spacing w:val="-3"/>
          <w:sz w:val="20"/>
        </w:rPr>
        <w:t> </w:t>
      </w:r>
      <w:r>
        <w:rPr>
          <w:sz w:val="20"/>
        </w:rPr>
        <w:t>I.,</w:t>
      </w:r>
      <w:r>
        <w:rPr>
          <w:spacing w:val="-3"/>
          <w:sz w:val="20"/>
        </w:rPr>
        <w:t> </w:t>
      </w:r>
      <w:r>
        <w:rPr>
          <w:sz w:val="20"/>
        </w:rPr>
        <w:t>and</w:t>
      </w:r>
      <w:r>
        <w:rPr>
          <w:spacing w:val="-3"/>
          <w:sz w:val="20"/>
        </w:rPr>
        <w:t> </w:t>
      </w:r>
      <w:r>
        <w:rPr>
          <w:sz w:val="20"/>
        </w:rPr>
        <w:t>Milkovits,</w:t>
      </w:r>
      <w:r>
        <w:rPr>
          <w:spacing w:val="-3"/>
          <w:sz w:val="20"/>
        </w:rPr>
        <w:t> </w:t>
      </w:r>
      <w:r>
        <w:rPr>
          <w:sz w:val="20"/>
        </w:rPr>
        <w:t>G.</w:t>
      </w:r>
      <w:r>
        <w:rPr>
          <w:spacing w:val="-3"/>
          <w:sz w:val="20"/>
        </w:rPr>
        <w:t> </w:t>
      </w:r>
      <w:r>
        <w:rPr>
          <w:sz w:val="20"/>
        </w:rPr>
        <w:t>(1994).</w:t>
      </w:r>
      <w:r>
        <w:rPr>
          <w:spacing w:val="-1"/>
          <w:sz w:val="20"/>
        </w:rPr>
        <w:t> </w:t>
      </w:r>
      <w:r>
        <w:rPr>
          <w:sz w:val="20"/>
        </w:rPr>
        <w:t>Recolonisation</w:t>
      </w:r>
      <w:r>
        <w:rPr>
          <w:spacing w:val="-2"/>
          <w:sz w:val="20"/>
        </w:rPr>
        <w:t> </w:t>
      </w:r>
      <w:r>
        <w:rPr>
          <w:sz w:val="20"/>
        </w:rPr>
        <w:t>by</w:t>
      </w:r>
      <w:r>
        <w:rPr>
          <w:spacing w:val="-2"/>
          <w:sz w:val="20"/>
        </w:rPr>
        <w:t> </w:t>
      </w:r>
      <w:r>
        <w:rPr>
          <w:sz w:val="20"/>
        </w:rPr>
        <w:t>rabbits</w:t>
      </w:r>
      <w:r>
        <w:rPr>
          <w:spacing w:val="-2"/>
          <w:sz w:val="20"/>
        </w:rPr>
        <w:t> </w:t>
      </w:r>
      <w:r>
        <w:rPr>
          <w:sz w:val="20"/>
        </w:rPr>
        <w:t>(</w:t>
      </w:r>
      <w:r>
        <w:rPr>
          <w:i/>
          <w:sz w:val="20"/>
        </w:rPr>
        <w:t>Oryctolagus</w:t>
      </w:r>
      <w:r>
        <w:rPr>
          <w:i/>
          <w:spacing w:val="-1"/>
          <w:sz w:val="20"/>
        </w:rPr>
        <w:t> </w:t>
      </w:r>
      <w:r>
        <w:rPr>
          <w:sz w:val="20"/>
        </w:rPr>
        <w:t>cuniculus)</w:t>
      </w:r>
      <w:r>
        <w:rPr>
          <w:spacing w:val="-2"/>
          <w:sz w:val="20"/>
        </w:rPr>
        <w:t> </w:t>
      </w:r>
      <w:r>
        <w:rPr>
          <w:sz w:val="20"/>
        </w:rPr>
        <w:t>after</w:t>
      </w:r>
      <w:r>
        <w:rPr>
          <w:spacing w:val="-3"/>
          <w:sz w:val="20"/>
        </w:rPr>
        <w:t> </w:t>
      </w:r>
      <w:r>
        <w:rPr>
          <w:sz w:val="20"/>
        </w:rPr>
        <w:t>warren</w:t>
      </w:r>
      <w:r>
        <w:rPr>
          <w:spacing w:val="-4"/>
          <w:sz w:val="20"/>
        </w:rPr>
        <w:t> </w:t>
      </w:r>
      <w:r>
        <w:rPr>
          <w:sz w:val="20"/>
        </w:rPr>
        <w:t>ripping</w:t>
      </w:r>
      <w:r>
        <w:rPr>
          <w:spacing w:val="-3"/>
          <w:sz w:val="20"/>
        </w:rPr>
        <w:t> </w:t>
      </w:r>
      <w:r>
        <w:rPr>
          <w:sz w:val="20"/>
        </w:rPr>
        <w:t>or warren fumigation. </w:t>
      </w:r>
      <w:r>
        <w:rPr>
          <w:i/>
          <w:sz w:val="20"/>
        </w:rPr>
        <w:t>The Rangeland Journal </w:t>
      </w:r>
      <w:r>
        <w:rPr>
          <w:b/>
          <w:sz w:val="20"/>
        </w:rPr>
        <w:t>16</w:t>
      </w:r>
      <w:r>
        <w:rPr>
          <w:sz w:val="20"/>
        </w:rPr>
        <w:t>(1):51–63.</w:t>
      </w:r>
    </w:p>
    <w:p>
      <w:pPr>
        <w:pStyle w:val="BodyText"/>
        <w:spacing w:before="9"/>
      </w:pPr>
    </w:p>
    <w:p>
      <w:pPr>
        <w:pStyle w:val="BodyText"/>
        <w:ind w:left="833" w:right="780" w:hanging="721"/>
        <w:jc w:val="both"/>
      </w:pPr>
      <w:r>
        <w:rPr/>
        <w:t>Parkes J.P., Ramsey, D.S.L.,</w:t>
      </w:r>
      <w:r>
        <w:rPr>
          <w:spacing w:val="-1"/>
        </w:rPr>
        <w:t> </w:t>
      </w:r>
      <w:r>
        <w:rPr/>
        <w:t>Macdonald,</w:t>
      </w:r>
      <w:r>
        <w:rPr>
          <w:spacing w:val="-1"/>
        </w:rPr>
        <w:t> </w:t>
      </w:r>
      <w:r>
        <w:rPr/>
        <w:t>N., Walker, K.,</w:t>
      </w:r>
      <w:r>
        <w:rPr>
          <w:spacing w:val="-1"/>
        </w:rPr>
        <w:t> </w:t>
      </w:r>
      <w:r>
        <w:rPr/>
        <w:t>McKnight,</w:t>
      </w:r>
      <w:r>
        <w:rPr>
          <w:spacing w:val="-1"/>
        </w:rPr>
        <w:t> </w:t>
      </w:r>
      <w:r>
        <w:rPr/>
        <w:t>S.,</w:t>
      </w:r>
      <w:r>
        <w:rPr>
          <w:spacing w:val="-1"/>
        </w:rPr>
        <w:t> </w:t>
      </w:r>
      <w:r>
        <w:rPr/>
        <w:t>Cohen,</w:t>
      </w:r>
      <w:r>
        <w:rPr>
          <w:spacing w:val="-1"/>
        </w:rPr>
        <w:t> </w:t>
      </w:r>
      <w:r>
        <w:rPr/>
        <w:t>B.S.,</w:t>
      </w:r>
      <w:r>
        <w:rPr>
          <w:spacing w:val="-1"/>
        </w:rPr>
        <w:t> </w:t>
      </w:r>
      <w:r>
        <w:rPr/>
        <w:t>and Morrison,</w:t>
      </w:r>
      <w:r>
        <w:rPr>
          <w:spacing w:val="-1"/>
        </w:rPr>
        <w:t> </w:t>
      </w:r>
      <w:r>
        <w:rPr/>
        <w:t>S.A. (2010).</w:t>
      </w:r>
      <w:r>
        <w:rPr>
          <w:spacing w:val="-4"/>
        </w:rPr>
        <w:t> </w:t>
      </w:r>
      <w:r>
        <w:rPr/>
        <w:t>Rapid</w:t>
      </w:r>
      <w:r>
        <w:rPr>
          <w:spacing w:val="-4"/>
        </w:rPr>
        <w:t> </w:t>
      </w:r>
      <w:r>
        <w:rPr/>
        <w:t>eradication</w:t>
      </w:r>
      <w:r>
        <w:rPr>
          <w:spacing w:val="-4"/>
        </w:rPr>
        <w:t> </w:t>
      </w:r>
      <w:r>
        <w:rPr/>
        <w:t>of</w:t>
      </w:r>
      <w:r>
        <w:rPr>
          <w:spacing w:val="-4"/>
        </w:rPr>
        <w:t> </w:t>
      </w:r>
      <w:r>
        <w:rPr/>
        <w:t>feral</w:t>
      </w:r>
      <w:r>
        <w:rPr>
          <w:spacing w:val="-3"/>
        </w:rPr>
        <w:t> </w:t>
      </w:r>
      <w:r>
        <w:rPr/>
        <w:t>pigs</w:t>
      </w:r>
      <w:r>
        <w:rPr>
          <w:spacing w:val="-3"/>
        </w:rPr>
        <w:t> </w:t>
      </w:r>
      <w:r>
        <w:rPr/>
        <w:t>(</w:t>
      </w:r>
      <w:r>
        <w:rPr>
          <w:i/>
        </w:rPr>
        <w:t>Sus</w:t>
      </w:r>
      <w:r>
        <w:rPr>
          <w:i/>
          <w:spacing w:val="-3"/>
        </w:rPr>
        <w:t> </w:t>
      </w:r>
      <w:r>
        <w:rPr>
          <w:i/>
        </w:rPr>
        <w:t>scrofa</w:t>
      </w:r>
      <w:r>
        <w:rPr/>
        <w:t>)</w:t>
      </w:r>
      <w:r>
        <w:rPr>
          <w:spacing w:val="-3"/>
        </w:rPr>
        <w:t> </w:t>
      </w:r>
      <w:r>
        <w:rPr/>
        <w:t>from</w:t>
      </w:r>
      <w:r>
        <w:rPr>
          <w:spacing w:val="-4"/>
        </w:rPr>
        <w:t> </w:t>
      </w:r>
      <w:r>
        <w:rPr/>
        <w:t>Santa</w:t>
      </w:r>
      <w:r>
        <w:rPr>
          <w:spacing w:val="-2"/>
        </w:rPr>
        <w:t> </w:t>
      </w:r>
      <w:r>
        <w:rPr/>
        <w:t>Cruz</w:t>
      </w:r>
      <w:r>
        <w:rPr>
          <w:spacing w:val="-3"/>
        </w:rPr>
        <w:t> </w:t>
      </w:r>
      <w:r>
        <w:rPr/>
        <w:t>Island,</w:t>
      </w:r>
      <w:r>
        <w:rPr>
          <w:spacing w:val="-2"/>
        </w:rPr>
        <w:t> </w:t>
      </w:r>
      <w:r>
        <w:rPr/>
        <w:t>California. </w:t>
      </w:r>
      <w:r>
        <w:rPr>
          <w:i/>
        </w:rPr>
        <w:t>Biological</w:t>
      </w:r>
      <w:r>
        <w:rPr>
          <w:i/>
        </w:rPr>
        <w:t> Conservation </w:t>
      </w:r>
      <w:r>
        <w:rPr>
          <w:b/>
        </w:rPr>
        <w:t>143</w:t>
      </w:r>
      <w:r>
        <w:rPr/>
        <w:t>, 634–641. doi</w:t>
      </w:r>
      <w:hyperlink r:id="rId108">
        <w:r>
          <w:rPr/>
          <w:t>:</w:t>
        </w:r>
        <w:r>
          <w:rPr>
            <w:color w:val="0000FF"/>
            <w:u w:val="single" w:color="0000FF"/>
          </w:rPr>
          <w:t>10.1016/j.biocon.2009.11.028</w:t>
        </w:r>
      </w:hyperlink>
      <w:hyperlink r:id="rId108">
        <w:r>
          <w:rPr>
            <w:color w:val="0000FF"/>
            <w:u w:val="single" w:color="0000FF"/>
          </w:rPr>
          <w:t>10.1016/j.biocon.2009.11.028.</w:t>
        </w:r>
      </w:hyperlink>
    </w:p>
    <w:p>
      <w:pPr>
        <w:pStyle w:val="BodyText"/>
        <w:spacing w:before="11"/>
      </w:pPr>
    </w:p>
    <w:p>
      <w:pPr>
        <w:spacing w:before="0"/>
        <w:ind w:left="833" w:right="544" w:hanging="721"/>
        <w:jc w:val="left"/>
        <w:rPr>
          <w:sz w:val="20"/>
        </w:rPr>
      </w:pPr>
      <w:r>
        <w:rPr>
          <w:sz w:val="20"/>
        </w:rPr>
        <w:t>Parfitt,</w:t>
      </w:r>
      <w:r>
        <w:rPr>
          <w:spacing w:val="-4"/>
          <w:sz w:val="20"/>
        </w:rPr>
        <w:t> </w:t>
      </w:r>
      <w:r>
        <w:rPr>
          <w:sz w:val="20"/>
        </w:rPr>
        <w:t>R.L.,</w:t>
      </w:r>
      <w:r>
        <w:rPr>
          <w:spacing w:val="-2"/>
          <w:sz w:val="20"/>
        </w:rPr>
        <w:t> </w:t>
      </w:r>
      <w:r>
        <w:rPr>
          <w:sz w:val="20"/>
        </w:rPr>
        <w:t>Eason,</w:t>
      </w:r>
      <w:r>
        <w:rPr>
          <w:spacing w:val="-4"/>
          <w:sz w:val="20"/>
        </w:rPr>
        <w:t> </w:t>
      </w:r>
      <w:r>
        <w:rPr>
          <w:sz w:val="20"/>
        </w:rPr>
        <w:t>C.T.,</w:t>
      </w:r>
      <w:r>
        <w:rPr>
          <w:spacing w:val="-2"/>
          <w:sz w:val="20"/>
        </w:rPr>
        <w:t> </w:t>
      </w:r>
      <w:r>
        <w:rPr>
          <w:sz w:val="20"/>
        </w:rPr>
        <w:t>Morgan,</w:t>
      </w:r>
      <w:r>
        <w:rPr>
          <w:spacing w:val="-2"/>
          <w:sz w:val="20"/>
        </w:rPr>
        <w:t> </w:t>
      </w:r>
      <w:r>
        <w:rPr>
          <w:sz w:val="20"/>
        </w:rPr>
        <w:t>A.J.,</w:t>
      </w:r>
      <w:r>
        <w:rPr>
          <w:spacing w:val="-2"/>
          <w:sz w:val="20"/>
        </w:rPr>
        <w:t> </w:t>
      </w:r>
      <w:r>
        <w:rPr>
          <w:sz w:val="20"/>
        </w:rPr>
        <w:t>Wright,</w:t>
      </w:r>
      <w:r>
        <w:rPr>
          <w:spacing w:val="-4"/>
          <w:sz w:val="20"/>
        </w:rPr>
        <w:t> </w:t>
      </w:r>
      <w:r>
        <w:rPr>
          <w:sz w:val="20"/>
        </w:rPr>
        <w:t>G.R.,</w:t>
      </w:r>
      <w:r>
        <w:rPr>
          <w:spacing w:val="-2"/>
          <w:sz w:val="20"/>
        </w:rPr>
        <w:t> </w:t>
      </w:r>
      <w:r>
        <w:rPr>
          <w:sz w:val="20"/>
        </w:rPr>
        <w:t>Burke,</w:t>
      </w:r>
      <w:r>
        <w:rPr>
          <w:spacing w:val="-4"/>
          <w:sz w:val="20"/>
        </w:rPr>
        <w:t> </w:t>
      </w:r>
      <w:r>
        <w:rPr>
          <w:sz w:val="20"/>
        </w:rPr>
        <w:t>C.M.,</w:t>
      </w:r>
      <w:r>
        <w:rPr>
          <w:spacing w:val="-4"/>
          <w:sz w:val="20"/>
        </w:rPr>
        <w:t> </w:t>
      </w:r>
      <w:r>
        <w:rPr>
          <w:sz w:val="20"/>
        </w:rPr>
        <w:t>and</w:t>
      </w:r>
      <w:r>
        <w:rPr>
          <w:spacing w:val="-4"/>
          <w:sz w:val="20"/>
        </w:rPr>
        <w:t> </w:t>
      </w:r>
      <w:r>
        <w:rPr>
          <w:sz w:val="20"/>
        </w:rPr>
        <w:t>Seawright,</w:t>
      </w:r>
      <w:r>
        <w:rPr>
          <w:spacing w:val="-2"/>
          <w:sz w:val="20"/>
        </w:rPr>
        <w:t> </w:t>
      </w:r>
      <w:r>
        <w:rPr>
          <w:sz w:val="20"/>
        </w:rPr>
        <w:t>A.A.</w:t>
      </w:r>
      <w:r>
        <w:rPr>
          <w:spacing w:val="-2"/>
          <w:sz w:val="20"/>
        </w:rPr>
        <w:t> </w:t>
      </w:r>
      <w:r>
        <w:rPr>
          <w:sz w:val="20"/>
        </w:rPr>
        <w:t>(1994).</w:t>
      </w:r>
      <w:r>
        <w:rPr>
          <w:spacing w:val="-4"/>
          <w:sz w:val="20"/>
        </w:rPr>
        <w:t> </w:t>
      </w:r>
      <w:r>
        <w:rPr>
          <w:sz w:val="20"/>
        </w:rPr>
        <w:t>The</w:t>
      </w:r>
      <w:r>
        <w:rPr>
          <w:spacing w:val="-2"/>
          <w:sz w:val="20"/>
        </w:rPr>
        <w:t> </w:t>
      </w:r>
      <w:r>
        <w:rPr>
          <w:sz w:val="20"/>
        </w:rPr>
        <w:t>fate</w:t>
      </w:r>
      <w:r>
        <w:rPr>
          <w:spacing w:val="-4"/>
          <w:sz w:val="20"/>
        </w:rPr>
        <w:t> </w:t>
      </w:r>
      <w:r>
        <w:rPr>
          <w:sz w:val="20"/>
        </w:rPr>
        <w:t>of sodium monofluoroacetate (1080) in soil and water. Pp. 59–66 in </w:t>
      </w:r>
      <w:r>
        <w:rPr>
          <w:i/>
          <w:sz w:val="20"/>
        </w:rPr>
        <w:t>Proceedings of the Science</w:t>
      </w:r>
      <w:r>
        <w:rPr>
          <w:i/>
          <w:sz w:val="20"/>
        </w:rPr>
        <w:t> Workshop on 1080, 12-14 December 1993, Christchurch, New Zealand</w:t>
      </w:r>
      <w:r>
        <w:rPr>
          <w:sz w:val="20"/>
        </w:rPr>
        <w:t>, </w:t>
      </w:r>
      <w:r>
        <w:rPr>
          <w:i/>
          <w:sz w:val="20"/>
        </w:rPr>
        <w:t>Miscellaneous series /</w:t>
      </w:r>
      <w:r>
        <w:rPr>
          <w:i/>
          <w:sz w:val="20"/>
        </w:rPr>
        <w:t> Royal Society of New Zealand</w:t>
      </w:r>
      <w:r>
        <w:rPr>
          <w:sz w:val="20"/>
        </w:rPr>
        <w:t>. Wellington: Royal Society of New Zealand.</w:t>
      </w:r>
    </w:p>
    <w:p>
      <w:pPr>
        <w:pStyle w:val="BodyText"/>
        <w:spacing w:before="10"/>
      </w:pPr>
    </w:p>
    <w:p>
      <w:pPr>
        <w:pStyle w:val="BodyText"/>
        <w:ind w:left="112"/>
      </w:pPr>
      <w:r>
        <w:rPr/>
        <w:t>Patel,</w:t>
      </w:r>
      <w:r>
        <w:rPr>
          <w:spacing w:val="-6"/>
        </w:rPr>
        <w:t> </w:t>
      </w:r>
      <w:r>
        <w:rPr/>
        <w:t>K.K.,</w:t>
      </w:r>
      <w:r>
        <w:rPr>
          <w:spacing w:val="-5"/>
        </w:rPr>
        <w:t> </w:t>
      </w:r>
      <w:r>
        <w:rPr/>
        <w:t>Austin,</w:t>
      </w:r>
      <w:r>
        <w:rPr>
          <w:spacing w:val="-8"/>
        </w:rPr>
        <w:t> </w:t>
      </w:r>
      <w:r>
        <w:rPr/>
        <w:t>C.,</w:t>
      </w:r>
      <w:r>
        <w:rPr>
          <w:spacing w:val="-5"/>
        </w:rPr>
        <w:t> </w:t>
      </w:r>
      <w:r>
        <w:rPr/>
        <w:t>Warner,</w:t>
      </w:r>
      <w:r>
        <w:rPr>
          <w:spacing w:val="-7"/>
        </w:rPr>
        <w:t> </w:t>
      </w:r>
      <w:r>
        <w:rPr/>
        <w:t>K.,</w:t>
      </w:r>
      <w:r>
        <w:rPr>
          <w:spacing w:val="-8"/>
        </w:rPr>
        <w:t> </w:t>
      </w:r>
      <w:r>
        <w:rPr/>
        <w:t>Pickett,</w:t>
      </w:r>
      <w:r>
        <w:rPr>
          <w:spacing w:val="-5"/>
        </w:rPr>
        <w:t> </w:t>
      </w:r>
      <w:r>
        <w:rPr/>
        <w:t>M.,</w:t>
      </w:r>
      <w:r>
        <w:rPr>
          <w:spacing w:val="-6"/>
        </w:rPr>
        <w:t> </w:t>
      </w:r>
      <w:r>
        <w:rPr/>
        <w:t>Khabiri,</w:t>
      </w:r>
      <w:r>
        <w:rPr>
          <w:spacing w:val="-5"/>
        </w:rPr>
        <w:t> </w:t>
      </w:r>
      <w:r>
        <w:rPr/>
        <w:t>A.,</w:t>
      </w:r>
      <w:r>
        <w:rPr>
          <w:spacing w:val="-6"/>
        </w:rPr>
        <w:t> </w:t>
      </w:r>
      <w:r>
        <w:rPr/>
        <w:t>Mahzounieh,</w:t>
      </w:r>
      <w:r>
        <w:rPr>
          <w:spacing w:val="-5"/>
        </w:rPr>
        <w:t> </w:t>
      </w:r>
      <w:r>
        <w:rPr/>
        <w:t>M.,</w:t>
      </w:r>
      <w:r>
        <w:rPr>
          <w:spacing w:val="-5"/>
        </w:rPr>
        <w:t> </w:t>
      </w:r>
      <w:r>
        <w:rPr/>
        <w:t>Hemmatzadeh,</w:t>
      </w:r>
      <w:r>
        <w:rPr>
          <w:spacing w:val="-8"/>
        </w:rPr>
        <w:t> </w:t>
      </w:r>
      <w:r>
        <w:rPr/>
        <w:t>F.,</w:t>
      </w:r>
      <w:r>
        <w:rPr>
          <w:spacing w:val="-7"/>
        </w:rPr>
        <w:t> </w:t>
      </w:r>
      <w:r>
        <w:rPr/>
        <w:t>and</w:t>
      </w:r>
      <w:r>
        <w:rPr>
          <w:spacing w:val="-7"/>
        </w:rPr>
        <w:t> </w:t>
      </w:r>
      <w:r>
        <w:rPr>
          <w:spacing w:val="-2"/>
        </w:rPr>
        <w:t>Taggart,</w:t>
      </w:r>
    </w:p>
    <w:p>
      <w:pPr>
        <w:pStyle w:val="BodyText"/>
        <w:ind w:left="833" w:right="247"/>
      </w:pPr>
      <w:r>
        <w:rPr/>
        <w:t>P.L.</w:t>
      </w:r>
      <w:r>
        <w:rPr>
          <w:spacing w:val="-4"/>
        </w:rPr>
        <w:t> </w:t>
      </w:r>
      <w:r>
        <w:rPr/>
        <w:t>(2023).</w:t>
      </w:r>
      <w:r>
        <w:rPr>
          <w:spacing w:val="-4"/>
        </w:rPr>
        <w:t> </w:t>
      </w:r>
      <w:r>
        <w:rPr/>
        <w:t>The</w:t>
      </w:r>
      <w:r>
        <w:rPr>
          <w:spacing w:val="-3"/>
        </w:rPr>
        <w:t> </w:t>
      </w:r>
      <w:r>
        <w:rPr/>
        <w:t>impact</w:t>
      </w:r>
      <w:r>
        <w:rPr>
          <w:spacing w:val="-4"/>
        </w:rPr>
        <w:t> </w:t>
      </w:r>
      <w:r>
        <w:rPr/>
        <w:t>of</w:t>
      </w:r>
      <w:r>
        <w:rPr>
          <w:spacing w:val="-2"/>
        </w:rPr>
        <w:t> </w:t>
      </w:r>
      <w:r>
        <w:rPr/>
        <w:t>integrating</w:t>
      </w:r>
      <w:r>
        <w:rPr>
          <w:spacing w:val="-4"/>
        </w:rPr>
        <w:t> </w:t>
      </w:r>
      <w:r>
        <w:rPr/>
        <w:t>rabbit</w:t>
      </w:r>
      <w:r>
        <w:rPr>
          <w:spacing w:val="-2"/>
        </w:rPr>
        <w:t> </w:t>
      </w:r>
      <w:r>
        <w:rPr/>
        <w:t>haemorrhagic</w:t>
      </w:r>
      <w:r>
        <w:rPr>
          <w:spacing w:val="-3"/>
        </w:rPr>
        <w:t> </w:t>
      </w:r>
      <w:r>
        <w:rPr/>
        <w:t>disease</w:t>
      </w:r>
      <w:r>
        <w:rPr>
          <w:spacing w:val="-4"/>
        </w:rPr>
        <w:t> </w:t>
      </w:r>
      <w:r>
        <w:rPr/>
        <w:t>virus</w:t>
      </w:r>
      <w:r>
        <w:rPr>
          <w:spacing w:val="-3"/>
        </w:rPr>
        <w:t> </w:t>
      </w:r>
      <w:r>
        <w:rPr/>
        <w:t>(K5)</w:t>
      </w:r>
      <w:r>
        <w:rPr>
          <w:spacing w:val="-4"/>
        </w:rPr>
        <w:t> </w:t>
      </w:r>
      <w:r>
        <w:rPr/>
        <w:t>release</w:t>
      </w:r>
      <w:r>
        <w:rPr>
          <w:spacing w:val="-4"/>
        </w:rPr>
        <w:t> </w:t>
      </w:r>
      <w:r>
        <w:rPr/>
        <w:t>with</w:t>
      </w:r>
      <w:r>
        <w:rPr>
          <w:spacing w:val="-4"/>
        </w:rPr>
        <w:t> </w:t>
      </w:r>
      <w:r>
        <w:rPr/>
        <w:t>pindone baiting on wild rabbit populations. </w:t>
      </w:r>
      <w:r>
        <w:rPr>
          <w:i/>
        </w:rPr>
        <w:t>Ecology and Evolution </w:t>
      </w:r>
      <w:r>
        <w:rPr/>
        <w:t>DOI: 10.1002/ece3.10991</w:t>
      </w:r>
    </w:p>
    <w:p>
      <w:pPr>
        <w:pStyle w:val="BodyText"/>
        <w:spacing w:before="11"/>
      </w:pPr>
    </w:p>
    <w:p>
      <w:pPr>
        <w:spacing w:before="0"/>
        <w:ind w:left="833" w:right="163" w:hanging="721"/>
        <w:jc w:val="left"/>
        <w:rPr>
          <w:sz w:val="20"/>
        </w:rPr>
      </w:pPr>
      <w:r>
        <w:rPr>
          <w:sz w:val="20"/>
        </w:rPr>
        <w:t>Pavlov,</w:t>
      </w:r>
      <w:r>
        <w:rPr>
          <w:spacing w:val="-2"/>
          <w:sz w:val="20"/>
        </w:rPr>
        <w:t> </w:t>
      </w:r>
      <w:r>
        <w:rPr>
          <w:sz w:val="20"/>
        </w:rPr>
        <w:t>P.M.,</w:t>
      </w:r>
      <w:r>
        <w:rPr>
          <w:spacing w:val="-4"/>
          <w:sz w:val="20"/>
        </w:rPr>
        <w:t> </w:t>
      </w:r>
      <w:r>
        <w:rPr>
          <w:sz w:val="20"/>
        </w:rPr>
        <w:t>Hone,</w:t>
      </w:r>
      <w:r>
        <w:rPr>
          <w:spacing w:val="-2"/>
          <w:sz w:val="20"/>
        </w:rPr>
        <w:t> </w:t>
      </w:r>
      <w:r>
        <w:rPr>
          <w:sz w:val="20"/>
        </w:rPr>
        <w:t>J.,</w:t>
      </w:r>
      <w:r>
        <w:rPr>
          <w:spacing w:val="-4"/>
          <w:sz w:val="20"/>
        </w:rPr>
        <w:t> </w:t>
      </w:r>
      <w:r>
        <w:rPr>
          <w:sz w:val="20"/>
        </w:rPr>
        <w:t>Kilgour,</w:t>
      </w:r>
      <w:r>
        <w:rPr>
          <w:spacing w:val="-4"/>
          <w:sz w:val="20"/>
        </w:rPr>
        <w:t> </w:t>
      </w:r>
      <w:r>
        <w:rPr>
          <w:sz w:val="20"/>
        </w:rPr>
        <w:t>R.J.,</w:t>
      </w:r>
      <w:r>
        <w:rPr>
          <w:spacing w:val="-2"/>
          <w:sz w:val="20"/>
        </w:rPr>
        <w:t> </w:t>
      </w:r>
      <w:r>
        <w:rPr>
          <w:sz w:val="20"/>
        </w:rPr>
        <w:t>and</w:t>
      </w:r>
      <w:r>
        <w:rPr>
          <w:spacing w:val="-2"/>
          <w:sz w:val="20"/>
        </w:rPr>
        <w:t> </w:t>
      </w:r>
      <w:r>
        <w:rPr>
          <w:sz w:val="20"/>
        </w:rPr>
        <w:t>Pedersen,</w:t>
      </w:r>
      <w:r>
        <w:rPr>
          <w:spacing w:val="-2"/>
          <w:sz w:val="20"/>
        </w:rPr>
        <w:t> </w:t>
      </w:r>
      <w:r>
        <w:rPr>
          <w:sz w:val="20"/>
        </w:rPr>
        <w:t>H.</w:t>
      </w:r>
      <w:r>
        <w:rPr>
          <w:spacing w:val="-2"/>
          <w:sz w:val="20"/>
        </w:rPr>
        <w:t> </w:t>
      </w:r>
      <w:r>
        <w:rPr>
          <w:sz w:val="20"/>
        </w:rPr>
        <w:t>(1981).</w:t>
      </w:r>
      <w:r>
        <w:rPr>
          <w:spacing w:val="-2"/>
          <w:sz w:val="20"/>
        </w:rPr>
        <w:t> </w:t>
      </w:r>
      <w:r>
        <w:rPr>
          <w:sz w:val="20"/>
        </w:rPr>
        <w:t>Predation</w:t>
      </w:r>
      <w:r>
        <w:rPr>
          <w:spacing w:val="-3"/>
          <w:sz w:val="20"/>
        </w:rPr>
        <w:t> </w:t>
      </w:r>
      <w:r>
        <w:rPr>
          <w:sz w:val="20"/>
        </w:rPr>
        <w:t>by</w:t>
      </w:r>
      <w:r>
        <w:rPr>
          <w:spacing w:val="-3"/>
          <w:sz w:val="20"/>
        </w:rPr>
        <w:t> </w:t>
      </w:r>
      <w:r>
        <w:rPr>
          <w:sz w:val="20"/>
        </w:rPr>
        <w:t>feral</w:t>
      </w:r>
      <w:r>
        <w:rPr>
          <w:spacing w:val="-3"/>
          <w:sz w:val="20"/>
        </w:rPr>
        <w:t> </w:t>
      </w:r>
      <w:r>
        <w:rPr>
          <w:sz w:val="20"/>
        </w:rPr>
        <w:t>pigs</w:t>
      </w:r>
      <w:r>
        <w:rPr>
          <w:spacing w:val="-3"/>
          <w:sz w:val="20"/>
        </w:rPr>
        <w:t> </w:t>
      </w:r>
      <w:r>
        <w:rPr>
          <w:sz w:val="20"/>
        </w:rPr>
        <w:t>on</w:t>
      </w:r>
      <w:r>
        <w:rPr>
          <w:spacing w:val="-4"/>
          <w:sz w:val="20"/>
        </w:rPr>
        <w:t> </w:t>
      </w:r>
      <w:r>
        <w:rPr>
          <w:sz w:val="20"/>
        </w:rPr>
        <w:t>merino</w:t>
      </w:r>
      <w:r>
        <w:rPr>
          <w:spacing w:val="-4"/>
          <w:sz w:val="20"/>
        </w:rPr>
        <w:t> </w:t>
      </w:r>
      <w:r>
        <w:rPr>
          <w:sz w:val="20"/>
        </w:rPr>
        <w:t>lambs</w:t>
      </w:r>
      <w:r>
        <w:rPr>
          <w:spacing w:val="-1"/>
          <w:sz w:val="20"/>
        </w:rPr>
        <w:t> </w:t>
      </w:r>
      <w:r>
        <w:rPr>
          <w:sz w:val="20"/>
        </w:rPr>
        <w:t>at Nyngan, New South Wales. </w:t>
      </w:r>
      <w:r>
        <w:rPr>
          <w:i/>
          <w:sz w:val="20"/>
        </w:rPr>
        <w:t>Australian Journal of Experimental Agriculture </w:t>
      </w:r>
      <w:r>
        <w:rPr>
          <w:b/>
          <w:sz w:val="20"/>
        </w:rPr>
        <w:t>21</w:t>
      </w:r>
      <w:r>
        <w:rPr>
          <w:sz w:val="20"/>
        </w:rPr>
        <w:t>(113):570–74. doi: </w:t>
      </w:r>
      <w:r>
        <w:rPr>
          <w:spacing w:val="-2"/>
          <w:sz w:val="20"/>
        </w:rPr>
        <w:t>10.1071/EA9810570.</w:t>
      </w:r>
    </w:p>
    <w:p>
      <w:pPr>
        <w:pStyle w:val="BodyText"/>
        <w:spacing w:before="9"/>
      </w:pPr>
    </w:p>
    <w:p>
      <w:pPr>
        <w:pStyle w:val="BodyText"/>
        <w:ind w:left="833" w:right="364" w:hanging="721"/>
      </w:pPr>
      <w:r>
        <w:rPr/>
        <w:t>Pay, J.M., Katzner, T.E., Hawkins, C.E., Koch, A.J., Wiersma, J.M., Brown, W.E., Mooney, N.J., and Cameron, E.Z. (2021). High frequency of lead exposure in the population of an endangered Australian</w:t>
      </w:r>
      <w:r>
        <w:rPr>
          <w:spacing w:val="-4"/>
        </w:rPr>
        <w:t> </w:t>
      </w:r>
      <w:r>
        <w:rPr/>
        <w:t>top</w:t>
      </w:r>
      <w:r>
        <w:rPr>
          <w:spacing w:val="-5"/>
        </w:rPr>
        <w:t> </w:t>
      </w:r>
      <w:r>
        <w:rPr/>
        <w:t>predator,</w:t>
      </w:r>
      <w:r>
        <w:rPr>
          <w:spacing w:val="-3"/>
        </w:rPr>
        <w:t> </w:t>
      </w:r>
      <w:r>
        <w:rPr/>
        <w:t>the</w:t>
      </w:r>
      <w:r>
        <w:rPr>
          <w:spacing w:val="-3"/>
        </w:rPr>
        <w:t> </w:t>
      </w:r>
      <w:r>
        <w:rPr/>
        <w:t>Tasmanian</w:t>
      </w:r>
      <w:r>
        <w:rPr>
          <w:spacing w:val="-4"/>
        </w:rPr>
        <w:t> </w:t>
      </w:r>
      <w:r>
        <w:rPr/>
        <w:t>wedge-tailed</w:t>
      </w:r>
      <w:r>
        <w:rPr>
          <w:spacing w:val="-4"/>
        </w:rPr>
        <w:t> </w:t>
      </w:r>
      <w:r>
        <w:rPr/>
        <w:t>eagle</w:t>
      </w:r>
      <w:r>
        <w:rPr>
          <w:spacing w:val="-5"/>
        </w:rPr>
        <w:t> </w:t>
      </w:r>
      <w:r>
        <w:rPr/>
        <w:t>(</w:t>
      </w:r>
      <w:r>
        <w:rPr>
          <w:i/>
        </w:rPr>
        <w:t>Aquila</w:t>
      </w:r>
      <w:r>
        <w:rPr>
          <w:i/>
          <w:spacing w:val="-4"/>
        </w:rPr>
        <w:t> </w:t>
      </w:r>
      <w:r>
        <w:rPr>
          <w:i/>
        </w:rPr>
        <w:t>audax</w:t>
      </w:r>
      <w:r>
        <w:rPr>
          <w:i/>
          <w:spacing w:val="-4"/>
        </w:rPr>
        <w:t> </w:t>
      </w:r>
      <w:r>
        <w:rPr>
          <w:i/>
        </w:rPr>
        <w:t>fleayi</w:t>
      </w:r>
      <w:r>
        <w:rPr/>
        <w:t>).</w:t>
      </w:r>
      <w:r>
        <w:rPr>
          <w:spacing w:val="-3"/>
        </w:rPr>
        <w:t> </w:t>
      </w:r>
      <w:r>
        <w:rPr>
          <w:i/>
        </w:rPr>
        <w:t>Environmental</w:t>
      </w:r>
      <w:r>
        <w:rPr>
          <w:i/>
        </w:rPr>
        <w:t> Toxicology and Chemistry </w:t>
      </w:r>
      <w:r>
        <w:rPr>
          <w:b/>
        </w:rPr>
        <w:t>40</w:t>
      </w:r>
      <w:r>
        <w:rPr/>
        <w:t>(1):219–30. doi: 10.1002/etc.4914.</w:t>
      </w:r>
    </w:p>
    <w:p>
      <w:pPr>
        <w:pStyle w:val="BodyText"/>
        <w:spacing w:before="9"/>
      </w:pPr>
    </w:p>
    <w:p>
      <w:pPr>
        <w:spacing w:before="1"/>
        <w:ind w:left="833" w:right="466" w:hanging="721"/>
        <w:jc w:val="left"/>
        <w:rPr>
          <w:sz w:val="20"/>
        </w:rPr>
      </w:pPr>
      <w:r>
        <w:rPr>
          <w:sz w:val="20"/>
        </w:rPr>
        <w:t>pestSMART.</w:t>
      </w:r>
      <w:r>
        <w:rPr>
          <w:spacing w:val="-2"/>
          <w:sz w:val="20"/>
        </w:rPr>
        <w:t> </w:t>
      </w:r>
      <w:r>
        <w:rPr>
          <w:sz w:val="20"/>
        </w:rPr>
        <w:t>(2024a).</w:t>
      </w:r>
      <w:r>
        <w:rPr>
          <w:spacing w:val="-4"/>
          <w:sz w:val="20"/>
        </w:rPr>
        <w:t> </w:t>
      </w:r>
      <w:r>
        <w:rPr>
          <w:sz w:val="20"/>
        </w:rPr>
        <w:t>National</w:t>
      </w:r>
      <w:r>
        <w:rPr>
          <w:spacing w:val="-5"/>
          <w:sz w:val="20"/>
        </w:rPr>
        <w:t> </w:t>
      </w:r>
      <w:r>
        <w:rPr>
          <w:sz w:val="20"/>
        </w:rPr>
        <w:t>code</w:t>
      </w:r>
      <w:r>
        <w:rPr>
          <w:spacing w:val="-2"/>
          <w:sz w:val="20"/>
        </w:rPr>
        <w:t> </w:t>
      </w:r>
      <w:r>
        <w:rPr>
          <w:sz w:val="20"/>
        </w:rPr>
        <w:t>of</w:t>
      </w:r>
      <w:r>
        <w:rPr>
          <w:spacing w:val="-2"/>
          <w:sz w:val="20"/>
        </w:rPr>
        <w:t> </w:t>
      </w:r>
      <w:r>
        <w:rPr>
          <w:sz w:val="20"/>
        </w:rPr>
        <w:t>practice</w:t>
      </w:r>
      <w:r>
        <w:rPr>
          <w:spacing w:val="-4"/>
          <w:sz w:val="20"/>
        </w:rPr>
        <w:t> </w:t>
      </w:r>
      <w:r>
        <w:rPr>
          <w:sz w:val="20"/>
        </w:rPr>
        <w:t>for</w:t>
      </w:r>
      <w:r>
        <w:rPr>
          <w:spacing w:val="-4"/>
          <w:sz w:val="20"/>
        </w:rPr>
        <w:t> </w:t>
      </w:r>
      <w:r>
        <w:rPr>
          <w:sz w:val="20"/>
        </w:rPr>
        <w:t>the</w:t>
      </w:r>
      <w:r>
        <w:rPr>
          <w:spacing w:val="-4"/>
          <w:sz w:val="20"/>
        </w:rPr>
        <w:t> </w:t>
      </w:r>
      <w:r>
        <w:rPr>
          <w:sz w:val="20"/>
        </w:rPr>
        <w:t>humane</w:t>
      </w:r>
      <w:r>
        <w:rPr>
          <w:spacing w:val="-4"/>
          <w:sz w:val="20"/>
        </w:rPr>
        <w:t> </w:t>
      </w:r>
      <w:r>
        <w:rPr>
          <w:sz w:val="20"/>
        </w:rPr>
        <w:t>control</w:t>
      </w:r>
      <w:r>
        <w:rPr>
          <w:spacing w:val="-5"/>
          <w:sz w:val="20"/>
        </w:rPr>
        <w:t> </w:t>
      </w:r>
      <w:r>
        <w:rPr>
          <w:sz w:val="20"/>
        </w:rPr>
        <w:t>of</w:t>
      </w:r>
      <w:r>
        <w:rPr>
          <w:spacing w:val="-4"/>
          <w:sz w:val="20"/>
        </w:rPr>
        <w:t> </w:t>
      </w:r>
      <w:r>
        <w:rPr>
          <w:sz w:val="20"/>
        </w:rPr>
        <w:t>feral</w:t>
      </w:r>
      <w:r>
        <w:rPr>
          <w:spacing w:val="-5"/>
          <w:sz w:val="20"/>
        </w:rPr>
        <w:t> </w:t>
      </w:r>
      <w:r>
        <w:rPr>
          <w:sz w:val="20"/>
        </w:rPr>
        <w:t>pigs. </w:t>
      </w:r>
      <w:r>
        <w:rPr>
          <w:i/>
          <w:sz w:val="20"/>
        </w:rPr>
        <w:t>pestSMART,</w:t>
      </w:r>
      <w:r>
        <w:rPr>
          <w:i/>
          <w:spacing w:val="-4"/>
          <w:sz w:val="20"/>
        </w:rPr>
        <w:t> </w:t>
      </w:r>
      <w:r>
        <w:rPr>
          <w:i/>
          <w:sz w:val="20"/>
        </w:rPr>
        <w:t>Centre</w:t>
      </w:r>
      <w:r>
        <w:rPr>
          <w:i/>
          <w:spacing w:val="-4"/>
          <w:sz w:val="20"/>
        </w:rPr>
        <w:t> </w:t>
      </w:r>
      <w:r>
        <w:rPr>
          <w:i/>
          <w:sz w:val="20"/>
        </w:rPr>
        <w:t>for</w:t>
      </w:r>
      <w:r>
        <w:rPr>
          <w:i/>
          <w:sz w:val="20"/>
        </w:rPr>
        <w:t> Invasive Species Solutions</w:t>
      </w:r>
      <w:r>
        <w:rPr>
          <w:sz w:val="20"/>
        </w:rPr>
        <w:t>. Retrieved 30 October 2024 (https://pestsmart.org.au/toolkit- </w:t>
      </w:r>
      <w:r>
        <w:rPr>
          <w:spacing w:val="-2"/>
          <w:sz w:val="20"/>
        </w:rPr>
        <w:t>resource/code-of-practice-feral-pigs/).</w:t>
      </w:r>
    </w:p>
    <w:p>
      <w:pPr>
        <w:pStyle w:val="BodyText"/>
        <w:spacing w:before="11"/>
      </w:pPr>
    </w:p>
    <w:p>
      <w:pPr>
        <w:pStyle w:val="BodyText"/>
        <w:ind w:left="833" w:right="836" w:hanging="721"/>
      </w:pPr>
      <w:r>
        <w:rPr/>
        <w:t>pestSMART.</w:t>
      </w:r>
      <w:r>
        <w:rPr>
          <w:spacing w:val="-2"/>
        </w:rPr>
        <w:t> </w:t>
      </w:r>
      <w:r>
        <w:rPr/>
        <w:t>(2024b).</w:t>
      </w:r>
      <w:r>
        <w:rPr>
          <w:spacing w:val="-2"/>
        </w:rPr>
        <w:t> </w:t>
      </w:r>
      <w:r>
        <w:rPr/>
        <w:t>Poisoning</w:t>
      </w:r>
      <w:r>
        <w:rPr>
          <w:spacing w:val="-5"/>
        </w:rPr>
        <w:t> </w:t>
      </w:r>
      <w:r>
        <w:rPr/>
        <w:t>of</w:t>
      </w:r>
      <w:r>
        <w:rPr>
          <w:spacing w:val="-4"/>
        </w:rPr>
        <w:t> </w:t>
      </w:r>
      <w:r>
        <w:rPr/>
        <w:t>feral</w:t>
      </w:r>
      <w:r>
        <w:rPr>
          <w:spacing w:val="-5"/>
        </w:rPr>
        <w:t> </w:t>
      </w:r>
      <w:r>
        <w:rPr/>
        <w:t>pigs</w:t>
      </w:r>
      <w:r>
        <w:rPr>
          <w:spacing w:val="-3"/>
        </w:rPr>
        <w:t> </w:t>
      </w:r>
      <w:r>
        <w:rPr/>
        <w:t>with</w:t>
      </w:r>
      <w:r>
        <w:rPr>
          <w:spacing w:val="-5"/>
        </w:rPr>
        <w:t> </w:t>
      </w:r>
      <w:r>
        <w:rPr/>
        <w:t>sodium</w:t>
      </w:r>
      <w:r>
        <w:rPr>
          <w:spacing w:val="-4"/>
        </w:rPr>
        <w:t> </w:t>
      </w:r>
      <w:r>
        <w:rPr/>
        <w:t>nitrite</w:t>
      </w:r>
      <w:r>
        <w:rPr>
          <w:spacing w:val="-2"/>
        </w:rPr>
        <w:t> </w:t>
      </w:r>
      <w:r>
        <w:rPr/>
        <w:t>| HOGGONE®.</w:t>
      </w:r>
      <w:r>
        <w:rPr>
          <w:spacing w:val="-2"/>
        </w:rPr>
        <w:t> </w:t>
      </w:r>
      <w:r>
        <w:rPr>
          <w:i/>
        </w:rPr>
        <w:t>pestSMART,</w:t>
      </w:r>
      <w:r>
        <w:rPr>
          <w:i/>
          <w:spacing w:val="-4"/>
        </w:rPr>
        <w:t> </w:t>
      </w:r>
      <w:r>
        <w:rPr>
          <w:i/>
        </w:rPr>
        <w:t>Centre</w:t>
      </w:r>
      <w:r>
        <w:rPr>
          <w:i/>
          <w:spacing w:val="-2"/>
        </w:rPr>
        <w:t> </w:t>
      </w:r>
      <w:r>
        <w:rPr>
          <w:i/>
        </w:rPr>
        <w:t>for</w:t>
      </w:r>
      <w:r>
        <w:rPr>
          <w:i/>
        </w:rPr>
        <w:t> Invasive Species Solutions</w:t>
      </w:r>
      <w:r>
        <w:rPr/>
        <w:t>. Retrieved 30 October 2024 (https://pestsmart.org.au/toolkit- </w:t>
      </w:r>
      <w:r>
        <w:rPr>
          <w:spacing w:val="-2"/>
        </w:rPr>
        <w:t>resource/poisoning-of-feral-pigs-with-sodium-nitrite-hoggone/).</w:t>
      </w:r>
    </w:p>
    <w:p>
      <w:pPr>
        <w:pStyle w:val="BodyText"/>
        <w:spacing w:before="9"/>
      </w:pPr>
    </w:p>
    <w:p>
      <w:pPr>
        <w:pStyle w:val="BodyText"/>
        <w:ind w:left="112"/>
      </w:pPr>
      <w:r>
        <w:rPr/>
        <w:t>PETA</w:t>
      </w:r>
      <w:r>
        <w:rPr>
          <w:spacing w:val="-6"/>
        </w:rPr>
        <w:t> </w:t>
      </w:r>
      <w:r>
        <w:rPr/>
        <w:t>(2024).</w:t>
      </w:r>
      <w:r>
        <w:rPr>
          <w:spacing w:val="-6"/>
        </w:rPr>
        <w:t> </w:t>
      </w:r>
      <w:r>
        <w:rPr/>
        <w:t>1080,</w:t>
      </w:r>
      <w:r>
        <w:rPr>
          <w:spacing w:val="-6"/>
        </w:rPr>
        <w:t> </w:t>
      </w:r>
      <w:r>
        <w:rPr/>
        <w:t>the</w:t>
      </w:r>
      <w:r>
        <w:rPr>
          <w:spacing w:val="-6"/>
        </w:rPr>
        <w:t> </w:t>
      </w:r>
      <w:r>
        <w:rPr/>
        <w:t>killer</w:t>
      </w:r>
      <w:r>
        <w:rPr>
          <w:spacing w:val="-6"/>
        </w:rPr>
        <w:t> </w:t>
      </w:r>
      <w:r>
        <w:rPr/>
        <w:t>poison:</w:t>
      </w:r>
      <w:r>
        <w:rPr>
          <w:spacing w:val="-4"/>
        </w:rPr>
        <w:t> </w:t>
      </w:r>
      <w:r>
        <w:rPr/>
        <w:t>What</w:t>
      </w:r>
      <w:r>
        <w:rPr>
          <w:spacing w:val="-6"/>
        </w:rPr>
        <w:t> </w:t>
      </w:r>
      <w:r>
        <w:rPr/>
        <w:t>you</w:t>
      </w:r>
      <w:r>
        <w:rPr>
          <w:spacing w:val="-5"/>
        </w:rPr>
        <w:t> </w:t>
      </w:r>
      <w:r>
        <w:rPr/>
        <w:t>need</w:t>
      </w:r>
      <w:r>
        <w:rPr>
          <w:spacing w:val="-6"/>
        </w:rPr>
        <w:t> </w:t>
      </w:r>
      <w:r>
        <w:rPr/>
        <w:t>to</w:t>
      </w:r>
      <w:r>
        <w:rPr>
          <w:spacing w:val="-6"/>
        </w:rPr>
        <w:t> </w:t>
      </w:r>
      <w:r>
        <w:rPr/>
        <w:t>know.</w:t>
      </w:r>
      <w:r>
        <w:rPr>
          <w:spacing w:val="-4"/>
        </w:rPr>
        <w:t> </w:t>
      </w:r>
      <w:r>
        <w:rPr/>
        <w:t>People</w:t>
      </w:r>
      <w:r>
        <w:rPr>
          <w:spacing w:val="-6"/>
        </w:rPr>
        <w:t> </w:t>
      </w:r>
      <w:r>
        <w:rPr/>
        <w:t>for</w:t>
      </w:r>
      <w:r>
        <w:rPr>
          <w:spacing w:val="-6"/>
        </w:rPr>
        <w:t> </w:t>
      </w:r>
      <w:r>
        <w:rPr/>
        <w:t>the</w:t>
      </w:r>
      <w:r>
        <w:rPr>
          <w:spacing w:val="-4"/>
        </w:rPr>
        <w:t> </w:t>
      </w:r>
      <w:r>
        <w:rPr/>
        <w:t>Ethical</w:t>
      </w:r>
      <w:r>
        <w:rPr>
          <w:spacing w:val="-7"/>
        </w:rPr>
        <w:t> </w:t>
      </w:r>
      <w:r>
        <w:rPr/>
        <w:t>Treatment</w:t>
      </w:r>
      <w:r>
        <w:rPr>
          <w:spacing w:val="-4"/>
        </w:rPr>
        <w:t> </w:t>
      </w:r>
      <w:r>
        <w:rPr/>
        <w:t>of</w:t>
      </w:r>
      <w:r>
        <w:rPr>
          <w:spacing w:val="-4"/>
        </w:rPr>
        <w:t> </w:t>
      </w:r>
      <w:r>
        <w:rPr>
          <w:spacing w:val="-2"/>
        </w:rPr>
        <w:t>Animals.</w:t>
      </w:r>
    </w:p>
    <w:p>
      <w:pPr>
        <w:pStyle w:val="BodyText"/>
        <w:ind w:left="833" w:right="699"/>
      </w:pPr>
      <w:r>
        <w:rPr/>
        <w:t>Available</w:t>
      </w:r>
      <w:r>
        <w:rPr>
          <w:spacing w:val="-7"/>
        </w:rPr>
        <w:t> </w:t>
      </w:r>
      <w:r>
        <w:rPr/>
        <w:t>at:</w:t>
      </w:r>
      <w:r>
        <w:rPr>
          <w:spacing w:val="-6"/>
        </w:rPr>
        <w:t> </w:t>
      </w:r>
      <w:hyperlink r:id="rId109">
        <w:r>
          <w:rPr>
            <w:color w:val="0000FF"/>
            <w:u w:val="single" w:color="0000FF"/>
          </w:rPr>
          <w:t>https://www.peta.org.au/living/1080-killer-poison-need-know/</w:t>
        </w:r>
      </w:hyperlink>
      <w:r>
        <w:rPr>
          <w:color w:val="0000FF"/>
          <w:spacing w:val="-9"/>
          <w:u w:val="none"/>
        </w:rPr>
        <w:t> </w:t>
      </w:r>
      <w:r>
        <w:rPr>
          <w:u w:val="none"/>
        </w:rPr>
        <w:t>[accessed</w:t>
      </w:r>
      <w:r>
        <w:rPr>
          <w:spacing w:val="-10"/>
          <w:u w:val="none"/>
        </w:rPr>
        <w:t> </w:t>
      </w:r>
      <w:r>
        <w:rPr>
          <w:u w:val="none"/>
        </w:rPr>
        <w:t>25</w:t>
      </w:r>
      <w:r>
        <w:rPr>
          <w:spacing w:val="-9"/>
          <w:u w:val="none"/>
        </w:rPr>
        <w:t> </w:t>
      </w:r>
      <w:r>
        <w:rPr>
          <w:u w:val="none"/>
        </w:rPr>
        <w:t>October </w:t>
      </w:r>
      <w:r>
        <w:rPr>
          <w:spacing w:val="-2"/>
          <w:u w:val="none"/>
        </w:rPr>
        <w:t>2024].</w:t>
      </w:r>
    </w:p>
    <w:p>
      <w:pPr>
        <w:pStyle w:val="BodyText"/>
        <w:spacing w:before="11"/>
      </w:pPr>
    </w:p>
    <w:p>
      <w:pPr>
        <w:pStyle w:val="BodyText"/>
        <w:ind w:left="833" w:right="364" w:hanging="721"/>
      </w:pPr>
      <w:r>
        <w:rPr/>
        <w:t>Philip,</w:t>
      </w:r>
      <w:r>
        <w:rPr>
          <w:spacing w:val="-4"/>
        </w:rPr>
        <w:t> </w:t>
      </w:r>
      <w:r>
        <w:rPr/>
        <w:t>J.</w:t>
      </w:r>
      <w:r>
        <w:rPr>
          <w:spacing w:val="-4"/>
        </w:rPr>
        <w:t> </w:t>
      </w:r>
      <w:r>
        <w:rPr/>
        <w:t>(2021).</w:t>
      </w:r>
      <w:r>
        <w:rPr>
          <w:spacing w:val="-1"/>
        </w:rPr>
        <w:t> </w:t>
      </w:r>
      <w:r>
        <w:rPr/>
        <w:t>A</w:t>
      </w:r>
      <w:r>
        <w:rPr>
          <w:spacing w:val="-4"/>
        </w:rPr>
        <w:t> </w:t>
      </w:r>
      <w:r>
        <w:rPr/>
        <w:t>historical</w:t>
      </w:r>
      <w:r>
        <w:rPr>
          <w:spacing w:val="-5"/>
        </w:rPr>
        <w:t> </w:t>
      </w:r>
      <w:r>
        <w:rPr/>
        <w:t>review</w:t>
      </w:r>
      <w:r>
        <w:rPr>
          <w:spacing w:val="-2"/>
        </w:rPr>
        <w:t> </w:t>
      </w:r>
      <w:r>
        <w:rPr/>
        <w:t>of Australian</w:t>
      </w:r>
      <w:r>
        <w:rPr>
          <w:spacing w:val="-4"/>
        </w:rPr>
        <w:t> </w:t>
      </w:r>
      <w:r>
        <w:rPr/>
        <w:t>aerial</w:t>
      </w:r>
      <w:r>
        <w:rPr>
          <w:spacing w:val="-3"/>
        </w:rPr>
        <w:t> </w:t>
      </w:r>
      <w:r>
        <w:rPr/>
        <w:t>vertebrate</w:t>
      </w:r>
      <w:r>
        <w:rPr>
          <w:spacing w:val="-2"/>
        </w:rPr>
        <w:t> </w:t>
      </w:r>
      <w:r>
        <w:rPr/>
        <w:t>pest</w:t>
      </w:r>
      <w:r>
        <w:rPr>
          <w:spacing w:val="-4"/>
        </w:rPr>
        <w:t> </w:t>
      </w:r>
      <w:r>
        <w:rPr/>
        <w:t>control,</w:t>
      </w:r>
      <w:r>
        <w:rPr>
          <w:spacing w:val="-2"/>
        </w:rPr>
        <w:t> </w:t>
      </w:r>
      <w:r>
        <w:rPr/>
        <w:t>targeting</w:t>
      </w:r>
      <w:r>
        <w:rPr>
          <w:spacing w:val="-4"/>
        </w:rPr>
        <w:t> </w:t>
      </w:r>
      <w:r>
        <w:rPr/>
        <w:t>dingoes</w:t>
      </w:r>
      <w:r>
        <w:rPr>
          <w:spacing w:val="-3"/>
        </w:rPr>
        <w:t> </w:t>
      </w:r>
      <w:r>
        <w:rPr/>
        <w:t>and</w:t>
      </w:r>
      <w:r>
        <w:rPr>
          <w:spacing w:val="-5"/>
        </w:rPr>
        <w:t> </w:t>
      </w:r>
      <w:r>
        <w:rPr/>
        <w:t>wild dogs 1946 – 2019. </w:t>
      </w:r>
      <w:r>
        <w:rPr>
          <w:i/>
        </w:rPr>
        <w:t>Australian Zoologist </w:t>
      </w:r>
      <w:r>
        <w:rPr>
          <w:b/>
        </w:rPr>
        <w:t>41</w:t>
      </w:r>
      <w:r>
        <w:rPr/>
        <w:t>(3):580–92. doi: 10.7882/AZ.2020.011.</w:t>
      </w:r>
    </w:p>
    <w:p>
      <w:pPr>
        <w:pStyle w:val="BodyText"/>
        <w:spacing w:before="9"/>
      </w:pPr>
    </w:p>
    <w:p>
      <w:pPr>
        <w:pStyle w:val="BodyText"/>
        <w:ind w:left="833" w:right="448" w:hanging="721"/>
        <w:jc w:val="both"/>
      </w:pPr>
      <w:r>
        <w:rPr/>
        <w:t>Pickard,</w:t>
      </w:r>
      <w:r>
        <w:rPr>
          <w:spacing w:val="-3"/>
        </w:rPr>
        <w:t> </w:t>
      </w:r>
      <w:r>
        <w:rPr/>
        <w:t>J.</w:t>
      </w:r>
      <w:r>
        <w:rPr>
          <w:spacing w:val="-3"/>
        </w:rPr>
        <w:t> </w:t>
      </w:r>
      <w:r>
        <w:rPr/>
        <w:t>(2007). Predator-proof</w:t>
      </w:r>
      <w:r>
        <w:rPr>
          <w:spacing w:val="-3"/>
        </w:rPr>
        <w:t> </w:t>
      </w:r>
      <w:r>
        <w:rPr/>
        <w:t>fences</w:t>
      </w:r>
      <w:r>
        <w:rPr>
          <w:spacing w:val="-2"/>
        </w:rPr>
        <w:t> </w:t>
      </w:r>
      <w:r>
        <w:rPr/>
        <w:t>for</w:t>
      </w:r>
      <w:r>
        <w:rPr>
          <w:spacing w:val="-2"/>
        </w:rPr>
        <w:t> </w:t>
      </w:r>
      <w:r>
        <w:rPr/>
        <w:t>biodiversity</w:t>
      </w:r>
      <w:r>
        <w:rPr>
          <w:spacing w:val="-2"/>
        </w:rPr>
        <w:t> </w:t>
      </w:r>
      <w:r>
        <w:rPr/>
        <w:t>conservation:</w:t>
      </w:r>
      <w:r>
        <w:rPr>
          <w:spacing w:val="-3"/>
        </w:rPr>
        <w:t> </w:t>
      </w:r>
      <w:r>
        <w:rPr/>
        <w:t>some</w:t>
      </w:r>
      <w:r>
        <w:rPr>
          <w:spacing w:val="-1"/>
        </w:rPr>
        <w:t> </w:t>
      </w:r>
      <w:r>
        <w:rPr/>
        <w:t>lessons</w:t>
      </w:r>
      <w:r>
        <w:rPr>
          <w:spacing w:val="-2"/>
        </w:rPr>
        <w:t> </w:t>
      </w:r>
      <w:r>
        <w:rPr/>
        <w:t>from</w:t>
      </w:r>
      <w:r>
        <w:rPr>
          <w:spacing w:val="-3"/>
        </w:rPr>
        <w:t> </w:t>
      </w:r>
      <w:r>
        <w:rPr/>
        <w:t>dingo</w:t>
      </w:r>
      <w:r>
        <w:rPr>
          <w:spacing w:val="-4"/>
        </w:rPr>
        <w:t> </w:t>
      </w:r>
      <w:r>
        <w:rPr/>
        <w:t>fences.</w:t>
      </w:r>
      <w:r>
        <w:rPr>
          <w:spacing w:val="-1"/>
        </w:rPr>
        <w:t> </w:t>
      </w:r>
      <w:r>
        <w:rPr/>
        <w:t>Pp. 197–207</w:t>
      </w:r>
      <w:r>
        <w:rPr>
          <w:spacing w:val="-2"/>
        </w:rPr>
        <w:t> </w:t>
      </w:r>
      <w:r>
        <w:rPr/>
        <w:t>in</w:t>
      </w:r>
      <w:r>
        <w:rPr>
          <w:spacing w:val="-2"/>
        </w:rPr>
        <w:t> </w:t>
      </w:r>
      <w:r>
        <w:rPr>
          <w:i/>
        </w:rPr>
        <w:t>Animals</w:t>
      </w:r>
      <w:r>
        <w:rPr>
          <w:i/>
          <w:spacing w:val="-1"/>
        </w:rPr>
        <w:t> </w:t>
      </w:r>
      <w:r>
        <w:rPr>
          <w:i/>
        </w:rPr>
        <w:t>of</w:t>
      </w:r>
      <w:r>
        <w:rPr>
          <w:i/>
          <w:spacing w:val="-4"/>
        </w:rPr>
        <w:t> </w:t>
      </w:r>
      <w:r>
        <w:rPr>
          <w:i/>
        </w:rPr>
        <w:t>Arid</w:t>
      </w:r>
      <w:r>
        <w:rPr>
          <w:i/>
          <w:spacing w:val="-2"/>
        </w:rPr>
        <w:t> </w:t>
      </w:r>
      <w:r>
        <w:rPr>
          <w:i/>
        </w:rPr>
        <w:t>Australia:</w:t>
      </w:r>
      <w:r>
        <w:rPr>
          <w:i/>
          <w:spacing w:val="-2"/>
        </w:rPr>
        <w:t> </w:t>
      </w:r>
      <w:r>
        <w:rPr>
          <w:i/>
        </w:rPr>
        <w:t>Out</w:t>
      </w:r>
      <w:r>
        <w:rPr>
          <w:i/>
          <w:spacing w:val="-4"/>
        </w:rPr>
        <w:t> </w:t>
      </w:r>
      <w:r>
        <w:rPr>
          <w:i/>
        </w:rPr>
        <w:t>on</w:t>
      </w:r>
      <w:r>
        <w:rPr>
          <w:i/>
          <w:spacing w:val="-4"/>
        </w:rPr>
        <w:t> </w:t>
      </w:r>
      <w:r>
        <w:rPr>
          <w:i/>
        </w:rPr>
        <w:t>their</w:t>
      </w:r>
      <w:r>
        <w:rPr>
          <w:i/>
          <w:spacing w:val="-3"/>
        </w:rPr>
        <w:t> </w:t>
      </w:r>
      <w:r>
        <w:rPr>
          <w:i/>
        </w:rPr>
        <w:t>Own</w:t>
      </w:r>
      <w:r>
        <w:rPr/>
        <w:t>,</w:t>
      </w:r>
      <w:r>
        <w:rPr>
          <w:spacing w:val="-4"/>
        </w:rPr>
        <w:t> </w:t>
      </w:r>
      <w:r>
        <w:rPr/>
        <w:t>edited</w:t>
      </w:r>
      <w:r>
        <w:rPr>
          <w:spacing w:val="-2"/>
        </w:rPr>
        <w:t> </w:t>
      </w:r>
      <w:r>
        <w:rPr/>
        <w:t>by</w:t>
      </w:r>
      <w:r>
        <w:rPr>
          <w:spacing w:val="-3"/>
        </w:rPr>
        <w:t> </w:t>
      </w:r>
      <w:r>
        <w:rPr/>
        <w:t>C.</w:t>
      </w:r>
      <w:r>
        <w:rPr>
          <w:spacing w:val="-4"/>
        </w:rPr>
        <w:t> </w:t>
      </w:r>
      <w:r>
        <w:rPr/>
        <w:t>R.</w:t>
      </w:r>
      <w:r>
        <w:rPr>
          <w:spacing w:val="-4"/>
        </w:rPr>
        <w:t> </w:t>
      </w:r>
      <w:r>
        <w:rPr/>
        <w:t>Dickman,</w:t>
      </w:r>
      <w:r>
        <w:rPr>
          <w:spacing w:val="-2"/>
        </w:rPr>
        <w:t> </w:t>
      </w:r>
      <w:r>
        <w:rPr/>
        <w:t>D.</w:t>
      </w:r>
      <w:r>
        <w:rPr>
          <w:spacing w:val="-4"/>
        </w:rPr>
        <w:t> </w:t>
      </w:r>
      <w:r>
        <w:rPr/>
        <w:t>Lunney,</w:t>
      </w:r>
      <w:r>
        <w:rPr>
          <w:spacing w:val="-2"/>
        </w:rPr>
        <w:t> </w:t>
      </w:r>
      <w:r>
        <w:rPr/>
        <w:t>and</w:t>
      </w:r>
      <w:r>
        <w:rPr>
          <w:spacing w:val="-2"/>
        </w:rPr>
        <w:t> </w:t>
      </w:r>
      <w:r>
        <w:rPr/>
        <w:t>S. Bergin. Sydney: Royal Zoological Society of New South Wales.</w:t>
      </w:r>
    </w:p>
    <w:p>
      <w:pPr>
        <w:pStyle w:val="BodyText"/>
        <w:spacing w:before="11"/>
      </w:pPr>
    </w:p>
    <w:p>
      <w:pPr>
        <w:spacing w:before="1"/>
        <w:ind w:left="833" w:right="544" w:hanging="721"/>
        <w:jc w:val="left"/>
        <w:rPr>
          <w:sz w:val="20"/>
        </w:rPr>
      </w:pPr>
      <w:r>
        <w:rPr>
          <w:sz w:val="20"/>
        </w:rPr>
        <w:t>Piesse, R.L. (1985). Assessing &amp; implementing practical fencing to control kangaroos, pigs, wild dogs, wombats</w:t>
      </w:r>
      <w:r>
        <w:rPr>
          <w:spacing w:val="-3"/>
          <w:sz w:val="20"/>
        </w:rPr>
        <w:t> </w:t>
      </w:r>
      <w:r>
        <w:rPr>
          <w:sz w:val="20"/>
        </w:rPr>
        <w:t>and</w:t>
      </w:r>
      <w:r>
        <w:rPr>
          <w:spacing w:val="-3"/>
          <w:sz w:val="20"/>
        </w:rPr>
        <w:t> </w:t>
      </w:r>
      <w:r>
        <w:rPr>
          <w:sz w:val="20"/>
        </w:rPr>
        <w:t>other</w:t>
      </w:r>
      <w:r>
        <w:rPr>
          <w:spacing w:val="-3"/>
          <w:sz w:val="20"/>
        </w:rPr>
        <w:t> </w:t>
      </w:r>
      <w:r>
        <w:rPr>
          <w:sz w:val="20"/>
        </w:rPr>
        <w:t>wild</w:t>
      </w:r>
      <w:r>
        <w:rPr>
          <w:spacing w:val="-3"/>
          <w:sz w:val="20"/>
        </w:rPr>
        <w:t> </w:t>
      </w:r>
      <w:r>
        <w:rPr>
          <w:sz w:val="20"/>
        </w:rPr>
        <w:t>animals</w:t>
      </w:r>
      <w:r>
        <w:rPr>
          <w:spacing w:val="-3"/>
          <w:sz w:val="20"/>
        </w:rPr>
        <w:t> </w:t>
      </w:r>
      <w:r>
        <w:rPr>
          <w:sz w:val="20"/>
        </w:rPr>
        <w:t>based</w:t>
      </w:r>
      <w:r>
        <w:rPr>
          <w:spacing w:val="-3"/>
          <w:sz w:val="20"/>
        </w:rPr>
        <w:t> </w:t>
      </w:r>
      <w:r>
        <w:rPr>
          <w:sz w:val="20"/>
        </w:rPr>
        <w:t>on</w:t>
      </w:r>
      <w:r>
        <w:rPr>
          <w:spacing w:val="-4"/>
          <w:sz w:val="20"/>
        </w:rPr>
        <w:t> </w:t>
      </w:r>
      <w:r>
        <w:rPr>
          <w:sz w:val="20"/>
        </w:rPr>
        <w:t>thirty</w:t>
      </w:r>
      <w:r>
        <w:rPr>
          <w:spacing w:val="-3"/>
          <w:sz w:val="20"/>
        </w:rPr>
        <w:t> </w:t>
      </w:r>
      <w:r>
        <w:rPr>
          <w:sz w:val="20"/>
        </w:rPr>
        <w:t>years</w:t>
      </w:r>
      <w:r>
        <w:rPr>
          <w:spacing w:val="-1"/>
          <w:sz w:val="20"/>
        </w:rPr>
        <w:t> </w:t>
      </w:r>
      <w:r>
        <w:rPr>
          <w:sz w:val="20"/>
        </w:rPr>
        <w:t>of</w:t>
      </w:r>
      <w:r>
        <w:rPr>
          <w:spacing w:val="-3"/>
          <w:sz w:val="20"/>
        </w:rPr>
        <w:t> </w:t>
      </w:r>
      <w:r>
        <w:rPr>
          <w:sz w:val="20"/>
        </w:rPr>
        <w:t>experience.</w:t>
      </w:r>
      <w:r>
        <w:rPr>
          <w:spacing w:val="-4"/>
          <w:sz w:val="20"/>
        </w:rPr>
        <w:t> </w:t>
      </w:r>
      <w:r>
        <w:rPr>
          <w:sz w:val="20"/>
        </w:rPr>
        <w:t>Pp.</w:t>
      </w:r>
      <w:r>
        <w:rPr>
          <w:spacing w:val="-3"/>
          <w:sz w:val="20"/>
        </w:rPr>
        <w:t> </w:t>
      </w:r>
      <w:r>
        <w:rPr>
          <w:sz w:val="20"/>
        </w:rPr>
        <w:t>1–24</w:t>
      </w:r>
      <w:r>
        <w:rPr>
          <w:spacing w:val="-2"/>
          <w:sz w:val="20"/>
        </w:rPr>
        <w:t> </w:t>
      </w:r>
      <w:r>
        <w:rPr>
          <w:sz w:val="20"/>
        </w:rPr>
        <w:t>in</w:t>
      </w:r>
      <w:r>
        <w:rPr>
          <w:spacing w:val="-2"/>
          <w:sz w:val="20"/>
        </w:rPr>
        <w:t> </w:t>
      </w:r>
      <w:r>
        <w:rPr>
          <w:i/>
          <w:sz w:val="20"/>
        </w:rPr>
        <w:t>Gallagher</w:t>
      </w:r>
      <w:r>
        <w:rPr>
          <w:i/>
          <w:spacing w:val="-3"/>
          <w:sz w:val="20"/>
        </w:rPr>
        <w:t> </w:t>
      </w:r>
      <w:r>
        <w:rPr>
          <w:i/>
          <w:sz w:val="20"/>
        </w:rPr>
        <w:t>2nd</w:t>
      </w:r>
      <w:r>
        <w:rPr>
          <w:i/>
          <w:sz w:val="20"/>
        </w:rPr>
        <w:t> World Wildlife Power Fencing Seminar Proceedings</w:t>
      </w:r>
      <w:r>
        <w:rPr>
          <w:sz w:val="20"/>
        </w:rPr>
        <w:t>. Dubbo, N.S.W.</w:t>
      </w:r>
    </w:p>
    <w:p>
      <w:pPr>
        <w:pStyle w:val="BodyText"/>
        <w:spacing w:before="8"/>
      </w:pPr>
    </w:p>
    <w:p>
      <w:pPr>
        <w:pStyle w:val="BodyText"/>
        <w:spacing w:before="1"/>
        <w:ind w:left="833" w:right="821" w:hanging="721"/>
      </w:pPr>
      <w:r>
        <w:rPr/>
        <w:t>Pig</w:t>
      </w:r>
      <w:r>
        <w:rPr>
          <w:spacing w:val="-2"/>
        </w:rPr>
        <w:t> </w:t>
      </w:r>
      <w:r>
        <w:rPr/>
        <w:t>Brig</w:t>
      </w:r>
      <w:r>
        <w:rPr>
          <w:spacing w:val="-4"/>
        </w:rPr>
        <w:t> </w:t>
      </w:r>
      <w:r>
        <w:rPr/>
        <w:t>Trap</w:t>
      </w:r>
      <w:r>
        <w:rPr>
          <w:spacing w:val="-3"/>
        </w:rPr>
        <w:t> </w:t>
      </w:r>
      <w:r>
        <w:rPr/>
        <w:t>Systems.</w:t>
      </w:r>
      <w:r>
        <w:rPr>
          <w:spacing w:val="-4"/>
        </w:rPr>
        <w:t> </w:t>
      </w:r>
      <w:r>
        <w:rPr/>
        <w:t>(2024).</w:t>
      </w:r>
      <w:r>
        <w:rPr>
          <w:spacing w:val="-4"/>
        </w:rPr>
        <w:t> </w:t>
      </w:r>
      <w:r>
        <w:rPr/>
        <w:t>Pig</w:t>
      </w:r>
      <w:r>
        <w:rPr>
          <w:spacing w:val="-2"/>
        </w:rPr>
        <w:t> </w:t>
      </w:r>
      <w:r>
        <w:rPr/>
        <w:t>brig</w:t>
      </w:r>
      <w:r>
        <w:rPr>
          <w:spacing w:val="-3"/>
        </w:rPr>
        <w:t> </w:t>
      </w:r>
      <w:r>
        <w:rPr/>
        <w:t>trap</w:t>
      </w:r>
      <w:r>
        <w:rPr>
          <w:spacing w:val="-5"/>
        </w:rPr>
        <w:t> </w:t>
      </w:r>
      <w:r>
        <w:rPr/>
        <w:t>system. </w:t>
      </w:r>
      <w:r>
        <w:rPr>
          <w:i/>
        </w:rPr>
        <w:t>Pig</w:t>
      </w:r>
      <w:r>
        <w:rPr>
          <w:i/>
          <w:spacing w:val="-2"/>
        </w:rPr>
        <w:t> </w:t>
      </w:r>
      <w:r>
        <w:rPr>
          <w:i/>
        </w:rPr>
        <w:t>Brig</w:t>
      </w:r>
      <w:r>
        <w:rPr>
          <w:i/>
          <w:spacing w:val="-4"/>
        </w:rPr>
        <w:t> </w:t>
      </w:r>
      <w:r>
        <w:rPr>
          <w:i/>
        </w:rPr>
        <w:t>Trap</w:t>
      </w:r>
      <w:r>
        <w:rPr>
          <w:i/>
          <w:spacing w:val="-4"/>
        </w:rPr>
        <w:t> </w:t>
      </w:r>
      <w:r>
        <w:rPr>
          <w:i/>
        </w:rPr>
        <w:t>Systems</w:t>
      </w:r>
      <w:r>
        <w:rPr/>
        <w:t>.</w:t>
      </w:r>
      <w:r>
        <w:rPr>
          <w:spacing w:val="-4"/>
        </w:rPr>
        <w:t> </w:t>
      </w:r>
      <w:r>
        <w:rPr/>
        <w:t>Retrieved</w:t>
      </w:r>
      <w:r>
        <w:rPr>
          <w:spacing w:val="-5"/>
        </w:rPr>
        <w:t> </w:t>
      </w:r>
      <w:r>
        <w:rPr/>
        <w:t>30</w:t>
      </w:r>
      <w:r>
        <w:rPr>
          <w:spacing w:val="-4"/>
        </w:rPr>
        <w:t> </w:t>
      </w:r>
      <w:r>
        <w:rPr/>
        <w:t>October</w:t>
      </w:r>
      <w:r>
        <w:rPr>
          <w:spacing w:val="-1"/>
        </w:rPr>
        <w:t> </w:t>
      </w:r>
      <w:r>
        <w:rPr/>
        <w:t>2024 </w:t>
      </w:r>
      <w:r>
        <w:rPr>
          <w:spacing w:val="-2"/>
        </w:rPr>
        <w:t>(https://pigbrig.com/products/pig-brig-trap-system).</w:t>
      </w:r>
    </w:p>
    <w:p>
      <w:pPr>
        <w:pStyle w:val="BodyText"/>
        <w:spacing w:before="10"/>
      </w:pPr>
    </w:p>
    <w:p>
      <w:pPr>
        <w:spacing w:before="0"/>
        <w:ind w:left="833" w:right="521" w:hanging="721"/>
        <w:jc w:val="both"/>
        <w:rPr>
          <w:sz w:val="20"/>
        </w:rPr>
      </w:pPr>
      <w:r>
        <w:rPr>
          <w:sz w:val="20"/>
        </w:rPr>
        <w:t>Plant,</w:t>
      </w:r>
      <w:r>
        <w:rPr>
          <w:spacing w:val="-4"/>
          <w:sz w:val="20"/>
        </w:rPr>
        <w:t> </w:t>
      </w:r>
      <w:r>
        <w:rPr>
          <w:sz w:val="20"/>
        </w:rPr>
        <w:t>J.W.,</w:t>
      </w:r>
      <w:r>
        <w:rPr>
          <w:spacing w:val="-4"/>
          <w:sz w:val="20"/>
        </w:rPr>
        <w:t> </w:t>
      </w:r>
      <w:r>
        <w:rPr>
          <w:sz w:val="20"/>
        </w:rPr>
        <w:t>Rees,</w:t>
      </w:r>
      <w:r>
        <w:rPr>
          <w:spacing w:val="-4"/>
          <w:sz w:val="20"/>
        </w:rPr>
        <w:t> </w:t>
      </w:r>
      <w:r>
        <w:rPr>
          <w:sz w:val="20"/>
        </w:rPr>
        <w:t>D.,</w:t>
      </w:r>
      <w:r>
        <w:rPr>
          <w:spacing w:val="-4"/>
          <w:sz w:val="20"/>
        </w:rPr>
        <w:t> </w:t>
      </w:r>
      <w:r>
        <w:rPr>
          <w:sz w:val="20"/>
        </w:rPr>
        <w:t>Marchant,</w:t>
      </w:r>
      <w:r>
        <w:rPr>
          <w:spacing w:val="-2"/>
          <w:sz w:val="20"/>
        </w:rPr>
        <w:t> </w:t>
      </w:r>
      <w:r>
        <w:rPr>
          <w:sz w:val="20"/>
        </w:rPr>
        <w:t>R.S.,</w:t>
      </w:r>
      <w:r>
        <w:rPr>
          <w:spacing w:val="-4"/>
          <w:sz w:val="20"/>
        </w:rPr>
        <w:t> </w:t>
      </w:r>
      <w:r>
        <w:rPr>
          <w:sz w:val="20"/>
        </w:rPr>
        <w:t>and</w:t>
      </w:r>
      <w:r>
        <w:rPr>
          <w:spacing w:val="-3"/>
          <w:sz w:val="20"/>
        </w:rPr>
        <w:t> </w:t>
      </w:r>
      <w:r>
        <w:rPr>
          <w:sz w:val="20"/>
        </w:rPr>
        <w:t>Mitchell,</w:t>
      </w:r>
      <w:r>
        <w:rPr>
          <w:spacing w:val="-4"/>
          <w:sz w:val="20"/>
        </w:rPr>
        <w:t> </w:t>
      </w:r>
      <w:r>
        <w:rPr>
          <w:sz w:val="20"/>
        </w:rPr>
        <w:t>T.D.</w:t>
      </w:r>
      <w:r>
        <w:rPr>
          <w:spacing w:val="-4"/>
          <w:sz w:val="20"/>
        </w:rPr>
        <w:t> </w:t>
      </w:r>
      <w:r>
        <w:rPr>
          <w:sz w:val="20"/>
        </w:rPr>
        <w:t>(1977).</w:t>
      </w:r>
      <w:r>
        <w:rPr>
          <w:spacing w:val="-4"/>
          <w:sz w:val="20"/>
        </w:rPr>
        <w:t> </w:t>
      </w:r>
      <w:r>
        <w:rPr>
          <w:sz w:val="20"/>
        </w:rPr>
        <w:t>Feral</w:t>
      </w:r>
      <w:r>
        <w:rPr>
          <w:spacing w:val="-5"/>
          <w:sz w:val="20"/>
        </w:rPr>
        <w:t> </w:t>
      </w:r>
      <w:r>
        <w:rPr>
          <w:sz w:val="20"/>
        </w:rPr>
        <w:t>pigs,</w:t>
      </w:r>
      <w:r>
        <w:rPr>
          <w:spacing w:val="-4"/>
          <w:sz w:val="20"/>
        </w:rPr>
        <w:t> </w:t>
      </w:r>
      <w:r>
        <w:rPr>
          <w:sz w:val="20"/>
        </w:rPr>
        <w:t>predators</w:t>
      </w:r>
      <w:r>
        <w:rPr>
          <w:spacing w:val="-2"/>
          <w:sz w:val="20"/>
        </w:rPr>
        <w:t> </w:t>
      </w:r>
      <w:r>
        <w:rPr>
          <w:sz w:val="20"/>
        </w:rPr>
        <w:t>of</w:t>
      </w:r>
      <w:r>
        <w:rPr>
          <w:spacing w:val="-4"/>
          <w:sz w:val="20"/>
        </w:rPr>
        <w:t> </w:t>
      </w:r>
      <w:r>
        <w:rPr>
          <w:sz w:val="20"/>
        </w:rPr>
        <w:t>lambs. </w:t>
      </w:r>
      <w:r>
        <w:rPr>
          <w:i/>
          <w:sz w:val="20"/>
        </w:rPr>
        <w:t>Agricultural</w:t>
      </w:r>
      <w:r>
        <w:rPr>
          <w:i/>
          <w:sz w:val="20"/>
        </w:rPr>
        <w:t> Gazette of New South Wales </w:t>
      </w:r>
      <w:r>
        <w:rPr>
          <w:b/>
          <w:sz w:val="20"/>
        </w:rPr>
        <w:t>88</w:t>
      </w:r>
      <w:r>
        <w:rPr>
          <w:sz w:val="20"/>
        </w:rPr>
        <w:t>:11–13.</w:t>
      </w:r>
    </w:p>
    <w:p>
      <w:pPr>
        <w:spacing w:after="0"/>
        <w:jc w:val="both"/>
        <w:rPr>
          <w:sz w:val="20"/>
        </w:rPr>
        <w:sectPr>
          <w:pgSz w:w="11910" w:h="16850"/>
          <w:pgMar w:header="0" w:footer="688" w:top="1060" w:bottom="880" w:left="1020" w:right="780"/>
        </w:sectPr>
      </w:pPr>
    </w:p>
    <w:p>
      <w:pPr>
        <w:pStyle w:val="BodyText"/>
        <w:spacing w:before="71"/>
        <w:ind w:left="833" w:right="364" w:hanging="721"/>
      </w:pPr>
      <w:r>
        <w:rPr/>
        <w:t>van</w:t>
      </w:r>
      <w:r>
        <w:rPr>
          <w:spacing w:val="-4"/>
        </w:rPr>
        <w:t> </w:t>
      </w:r>
      <w:r>
        <w:rPr/>
        <w:t>Polanen</w:t>
      </w:r>
      <w:r>
        <w:rPr>
          <w:spacing w:val="-1"/>
        </w:rPr>
        <w:t> </w:t>
      </w:r>
      <w:r>
        <w:rPr/>
        <w:t>Petel,</w:t>
      </w:r>
      <w:r>
        <w:rPr>
          <w:spacing w:val="-3"/>
        </w:rPr>
        <w:t> </w:t>
      </w:r>
      <w:r>
        <w:rPr/>
        <w:t>A.M.,</w:t>
      </w:r>
      <w:r>
        <w:rPr>
          <w:spacing w:val="-1"/>
        </w:rPr>
        <w:t> </w:t>
      </w:r>
      <w:r>
        <w:rPr/>
        <w:t>Kirkwood,</w:t>
      </w:r>
      <w:r>
        <w:rPr>
          <w:spacing w:val="-3"/>
        </w:rPr>
        <w:t> </w:t>
      </w:r>
      <w:r>
        <w:rPr/>
        <w:t>R.,</w:t>
      </w:r>
      <w:r>
        <w:rPr>
          <w:spacing w:val="-1"/>
        </w:rPr>
        <w:t> </w:t>
      </w:r>
      <w:r>
        <w:rPr/>
        <w:t>Gigliotti,</w:t>
      </w:r>
      <w:r>
        <w:rPr>
          <w:spacing w:val="-3"/>
        </w:rPr>
        <w:t> </w:t>
      </w:r>
      <w:r>
        <w:rPr/>
        <w:t>F.,</w:t>
      </w:r>
      <w:r>
        <w:rPr>
          <w:spacing w:val="-1"/>
        </w:rPr>
        <w:t> </w:t>
      </w:r>
      <w:r>
        <w:rPr/>
        <w:t>and</w:t>
      </w:r>
      <w:r>
        <w:rPr>
          <w:spacing w:val="-3"/>
        </w:rPr>
        <w:t> </w:t>
      </w:r>
      <w:r>
        <w:rPr/>
        <w:t>Marks,</w:t>
      </w:r>
      <w:r>
        <w:rPr>
          <w:spacing w:val="-3"/>
        </w:rPr>
        <w:t> </w:t>
      </w:r>
      <w:r>
        <w:rPr/>
        <w:t>C.</w:t>
      </w:r>
      <w:r>
        <w:rPr>
          <w:spacing w:val="-3"/>
        </w:rPr>
        <w:t> </w:t>
      </w:r>
      <w:r>
        <w:rPr/>
        <w:t>(2004). Adaptation</w:t>
      </w:r>
      <w:r>
        <w:rPr>
          <w:spacing w:val="-1"/>
        </w:rPr>
        <w:t> </w:t>
      </w:r>
      <w:r>
        <w:rPr/>
        <w:t>and</w:t>
      </w:r>
      <w:r>
        <w:rPr>
          <w:spacing w:val="-3"/>
        </w:rPr>
        <w:t> </w:t>
      </w:r>
      <w:r>
        <w:rPr/>
        <w:t>assessment</w:t>
      </w:r>
      <w:r>
        <w:rPr>
          <w:spacing w:val="-1"/>
        </w:rPr>
        <w:t> </w:t>
      </w:r>
      <w:r>
        <w:rPr/>
        <w:t>of</w:t>
      </w:r>
      <w:r>
        <w:rPr>
          <w:spacing w:val="-1"/>
        </w:rPr>
        <w:t> </w:t>
      </w:r>
      <w:r>
        <w:rPr/>
        <w:t>m- 44 ejectors in a fox-control program on Phillip Island, Victoria. </w:t>
      </w:r>
      <w:r>
        <w:rPr>
          <w:i/>
        </w:rPr>
        <w:t>Wildlife Research </w:t>
      </w:r>
      <w:r>
        <w:rPr>
          <w:b/>
        </w:rPr>
        <w:t>31</w:t>
      </w:r>
      <w:r>
        <w:rPr/>
        <w:t>(2):143. doi: </w:t>
      </w:r>
      <w:r>
        <w:rPr>
          <w:spacing w:val="-2"/>
        </w:rPr>
        <w:t>10.1071/WR02057.</w:t>
      </w:r>
    </w:p>
    <w:p>
      <w:pPr>
        <w:pStyle w:val="BodyText"/>
        <w:spacing w:before="12"/>
      </w:pPr>
    </w:p>
    <w:p>
      <w:pPr>
        <w:pStyle w:val="BodyText"/>
        <w:ind w:left="833" w:right="163" w:hanging="721"/>
      </w:pPr>
      <w:r>
        <w:rPr/>
        <w:t>Poole,</w:t>
      </w:r>
      <w:r>
        <w:rPr>
          <w:spacing w:val="-1"/>
        </w:rPr>
        <w:t> </w:t>
      </w:r>
      <w:r>
        <w:rPr/>
        <w:t>D.W.,</w:t>
      </w:r>
      <w:r>
        <w:rPr>
          <w:spacing w:val="-3"/>
        </w:rPr>
        <w:t> </w:t>
      </w:r>
      <w:r>
        <w:rPr/>
        <w:t>and</w:t>
      </w:r>
      <w:r>
        <w:rPr>
          <w:spacing w:val="-2"/>
        </w:rPr>
        <w:t> </w:t>
      </w:r>
      <w:r>
        <w:rPr/>
        <w:t>M,</w:t>
      </w:r>
      <w:r>
        <w:rPr>
          <w:spacing w:val="-3"/>
        </w:rPr>
        <w:t> </w:t>
      </w:r>
      <w:r>
        <w:rPr/>
        <w:t>I.G.</w:t>
      </w:r>
      <w:r>
        <w:rPr>
          <w:spacing w:val="-3"/>
        </w:rPr>
        <w:t> </w:t>
      </w:r>
      <w:r>
        <w:rPr/>
        <w:t>(2002). Effectiveness</w:t>
      </w:r>
      <w:r>
        <w:rPr>
          <w:spacing w:val="-2"/>
        </w:rPr>
        <w:t> </w:t>
      </w:r>
      <w:r>
        <w:rPr/>
        <w:t>of</w:t>
      </w:r>
      <w:r>
        <w:rPr>
          <w:spacing w:val="-1"/>
        </w:rPr>
        <w:t> </w:t>
      </w:r>
      <w:r>
        <w:rPr/>
        <w:t>two</w:t>
      </w:r>
      <w:r>
        <w:rPr>
          <w:spacing w:val="-1"/>
        </w:rPr>
        <w:t> </w:t>
      </w:r>
      <w:r>
        <w:rPr/>
        <w:t>types</w:t>
      </w:r>
      <w:r>
        <w:rPr>
          <w:spacing w:val="-2"/>
        </w:rPr>
        <w:t> </w:t>
      </w:r>
      <w:r>
        <w:rPr/>
        <w:t>of</w:t>
      </w:r>
      <w:r>
        <w:rPr>
          <w:spacing w:val="-3"/>
        </w:rPr>
        <w:t> </w:t>
      </w:r>
      <w:r>
        <w:rPr/>
        <w:t>electric</w:t>
      </w:r>
      <w:r>
        <w:rPr>
          <w:spacing w:val="-2"/>
        </w:rPr>
        <w:t> </w:t>
      </w:r>
      <w:r>
        <w:rPr/>
        <w:t>fence</w:t>
      </w:r>
      <w:r>
        <w:rPr>
          <w:spacing w:val="-3"/>
        </w:rPr>
        <w:t> </w:t>
      </w:r>
      <w:r>
        <w:rPr/>
        <w:t>for</w:t>
      </w:r>
      <w:r>
        <w:rPr>
          <w:spacing w:val="-3"/>
        </w:rPr>
        <w:t> </w:t>
      </w:r>
      <w:r>
        <w:rPr/>
        <w:t>excluding</w:t>
      </w:r>
      <w:r>
        <w:rPr>
          <w:spacing w:val="-4"/>
        </w:rPr>
        <w:t> </w:t>
      </w:r>
      <w:r>
        <w:rPr/>
        <w:t>the</w:t>
      </w:r>
      <w:r>
        <w:rPr>
          <w:spacing w:val="-4"/>
        </w:rPr>
        <w:t> </w:t>
      </w:r>
      <w:r>
        <w:rPr/>
        <w:t>red</w:t>
      </w:r>
      <w:r>
        <w:rPr>
          <w:spacing w:val="-3"/>
        </w:rPr>
        <w:t> </w:t>
      </w:r>
      <w:r>
        <w:rPr/>
        <w:t>fox</w:t>
      </w:r>
      <w:r>
        <w:rPr>
          <w:spacing w:val="-2"/>
        </w:rPr>
        <w:t> </w:t>
      </w:r>
      <w:r>
        <w:rPr/>
        <w:t>(</w:t>
      </w:r>
      <w:r>
        <w:rPr>
          <w:i/>
        </w:rPr>
        <w:t>vulpes</w:t>
      </w:r>
      <w:r>
        <w:rPr>
          <w:i/>
        </w:rPr>
        <w:t> vulpes</w:t>
      </w:r>
      <w:r>
        <w:rPr/>
        <w:t>). </w:t>
      </w:r>
      <w:r>
        <w:rPr>
          <w:i/>
        </w:rPr>
        <w:t>Mammal Review </w:t>
      </w:r>
      <w:r>
        <w:rPr>
          <w:b/>
        </w:rPr>
        <w:t>32</w:t>
      </w:r>
      <w:r>
        <w:rPr/>
        <w:t>(1):51–57.</w:t>
      </w:r>
    </w:p>
    <w:p>
      <w:pPr>
        <w:pStyle w:val="BodyText"/>
        <w:spacing w:before="8"/>
      </w:pPr>
    </w:p>
    <w:p>
      <w:pPr>
        <w:pStyle w:val="BodyText"/>
        <w:ind w:left="833" w:right="364" w:hanging="721"/>
      </w:pPr>
      <w:r>
        <w:rPr/>
        <w:t>Potgieter,</w:t>
      </w:r>
      <w:r>
        <w:rPr>
          <w:spacing w:val="-3"/>
        </w:rPr>
        <w:t> </w:t>
      </w:r>
      <w:r>
        <w:rPr/>
        <w:t>G.C.,</w:t>
      </w:r>
      <w:r>
        <w:rPr>
          <w:spacing w:val="-2"/>
        </w:rPr>
        <w:t> </w:t>
      </w:r>
      <w:r>
        <w:rPr/>
        <w:t>Kerley,</w:t>
      </w:r>
      <w:r>
        <w:rPr>
          <w:spacing w:val="-3"/>
        </w:rPr>
        <w:t> </w:t>
      </w:r>
      <w:r>
        <w:rPr/>
        <w:t>G.I.H.,</w:t>
      </w:r>
      <w:r>
        <w:rPr>
          <w:spacing w:val="-3"/>
        </w:rPr>
        <w:t> </w:t>
      </w:r>
      <w:r>
        <w:rPr/>
        <w:t>and</w:t>
      </w:r>
      <w:r>
        <w:rPr>
          <w:spacing w:val="-3"/>
        </w:rPr>
        <w:t> </w:t>
      </w:r>
      <w:r>
        <w:rPr/>
        <w:t>Marker,</w:t>
      </w:r>
      <w:r>
        <w:rPr>
          <w:spacing w:val="-3"/>
        </w:rPr>
        <w:t> </w:t>
      </w:r>
      <w:r>
        <w:rPr/>
        <w:t>L.L.</w:t>
      </w:r>
      <w:r>
        <w:rPr>
          <w:spacing w:val="-2"/>
        </w:rPr>
        <w:t> </w:t>
      </w:r>
      <w:r>
        <w:rPr/>
        <w:t>(2016).</w:t>
      </w:r>
      <w:r>
        <w:rPr>
          <w:spacing w:val="-3"/>
        </w:rPr>
        <w:t> </w:t>
      </w:r>
      <w:r>
        <w:rPr/>
        <w:t>More</w:t>
      </w:r>
      <w:r>
        <w:rPr>
          <w:spacing w:val="-2"/>
        </w:rPr>
        <w:t> </w:t>
      </w:r>
      <w:r>
        <w:rPr/>
        <w:t>bark</w:t>
      </w:r>
      <w:r>
        <w:rPr>
          <w:spacing w:val="-3"/>
        </w:rPr>
        <w:t> </w:t>
      </w:r>
      <w:r>
        <w:rPr/>
        <w:t>than</w:t>
      </w:r>
      <w:r>
        <w:rPr>
          <w:spacing w:val="-3"/>
        </w:rPr>
        <w:t> </w:t>
      </w:r>
      <w:r>
        <w:rPr/>
        <w:t>bite?</w:t>
      </w:r>
      <w:r>
        <w:rPr>
          <w:spacing w:val="-3"/>
        </w:rPr>
        <w:t> </w:t>
      </w:r>
      <w:r>
        <w:rPr/>
        <w:t>the</w:t>
      </w:r>
      <w:r>
        <w:rPr>
          <w:spacing w:val="-3"/>
        </w:rPr>
        <w:t> </w:t>
      </w:r>
      <w:r>
        <w:rPr/>
        <w:t>role</w:t>
      </w:r>
      <w:r>
        <w:rPr>
          <w:spacing w:val="-2"/>
        </w:rPr>
        <w:t> </w:t>
      </w:r>
      <w:r>
        <w:rPr/>
        <w:t>of</w:t>
      </w:r>
      <w:r>
        <w:rPr>
          <w:spacing w:val="-2"/>
        </w:rPr>
        <w:t> </w:t>
      </w:r>
      <w:r>
        <w:rPr/>
        <w:t>livestock</w:t>
      </w:r>
      <w:r>
        <w:rPr>
          <w:spacing w:val="-3"/>
        </w:rPr>
        <w:t> </w:t>
      </w:r>
      <w:r>
        <w:rPr/>
        <w:t>guarding dogs in predator control on Namibian farmlands. </w:t>
      </w:r>
      <w:r>
        <w:rPr>
          <w:i/>
        </w:rPr>
        <w:t>Oryx </w:t>
      </w:r>
      <w:r>
        <w:rPr>
          <w:b/>
        </w:rPr>
        <w:t>50</w:t>
      </w:r>
      <w:r>
        <w:rPr/>
        <w:t>(3):514–22. doi: </w:t>
      </w:r>
      <w:r>
        <w:rPr>
          <w:spacing w:val="-2"/>
        </w:rPr>
        <w:t>10.1017/S0030605315000113.</w:t>
      </w:r>
    </w:p>
    <w:p>
      <w:pPr>
        <w:pStyle w:val="BodyText"/>
        <w:spacing w:before="12"/>
      </w:pPr>
    </w:p>
    <w:p>
      <w:pPr>
        <w:pStyle w:val="BodyText"/>
        <w:ind w:left="833" w:right="544" w:hanging="721"/>
      </w:pPr>
      <w:r>
        <w:rPr/>
        <w:t>Priddel,</w:t>
      </w:r>
      <w:r>
        <w:rPr>
          <w:spacing w:val="-3"/>
        </w:rPr>
        <w:t> </w:t>
      </w:r>
      <w:r>
        <w:rPr/>
        <w:t>D.,</w:t>
      </w:r>
      <w:r>
        <w:rPr>
          <w:spacing w:val="-1"/>
        </w:rPr>
        <w:t> </w:t>
      </w:r>
      <w:r>
        <w:rPr/>
        <w:t>and</w:t>
      </w:r>
      <w:r>
        <w:rPr>
          <w:spacing w:val="-1"/>
        </w:rPr>
        <w:t> </w:t>
      </w:r>
      <w:r>
        <w:rPr/>
        <w:t>Wheeler,</w:t>
      </w:r>
      <w:r>
        <w:rPr>
          <w:spacing w:val="-3"/>
        </w:rPr>
        <w:t> </w:t>
      </w:r>
      <w:r>
        <w:rPr/>
        <w:t>R.</w:t>
      </w:r>
      <w:r>
        <w:rPr>
          <w:spacing w:val="-3"/>
        </w:rPr>
        <w:t> </w:t>
      </w:r>
      <w:r>
        <w:rPr/>
        <w:t>(1997).</w:t>
      </w:r>
      <w:r>
        <w:rPr>
          <w:spacing w:val="-1"/>
        </w:rPr>
        <w:t> </w:t>
      </w:r>
      <w:r>
        <w:rPr/>
        <w:t>Efficacy</w:t>
      </w:r>
      <w:r>
        <w:rPr>
          <w:spacing w:val="-2"/>
        </w:rPr>
        <w:t> </w:t>
      </w:r>
      <w:r>
        <w:rPr/>
        <w:t>of</w:t>
      </w:r>
      <w:r>
        <w:rPr>
          <w:spacing w:val="-3"/>
        </w:rPr>
        <w:t> </w:t>
      </w:r>
      <w:r>
        <w:rPr/>
        <w:t>fox</w:t>
      </w:r>
      <w:r>
        <w:rPr>
          <w:spacing w:val="-2"/>
        </w:rPr>
        <w:t> </w:t>
      </w:r>
      <w:r>
        <w:rPr/>
        <w:t>control</w:t>
      </w:r>
      <w:r>
        <w:rPr>
          <w:spacing w:val="-4"/>
        </w:rPr>
        <w:t> </w:t>
      </w:r>
      <w:r>
        <w:rPr/>
        <w:t>in</w:t>
      </w:r>
      <w:r>
        <w:rPr>
          <w:spacing w:val="-3"/>
        </w:rPr>
        <w:t> </w:t>
      </w:r>
      <w:r>
        <w:rPr/>
        <w:t>reducing</w:t>
      </w:r>
      <w:r>
        <w:rPr>
          <w:spacing w:val="-3"/>
        </w:rPr>
        <w:t> </w:t>
      </w:r>
      <w:r>
        <w:rPr/>
        <w:t>the</w:t>
      </w:r>
      <w:r>
        <w:rPr>
          <w:spacing w:val="-3"/>
        </w:rPr>
        <w:t> </w:t>
      </w:r>
      <w:r>
        <w:rPr/>
        <w:t>mortality</w:t>
      </w:r>
      <w:r>
        <w:rPr>
          <w:spacing w:val="-2"/>
        </w:rPr>
        <w:t> </w:t>
      </w:r>
      <w:r>
        <w:rPr/>
        <w:t>of</w:t>
      </w:r>
      <w:r>
        <w:rPr>
          <w:spacing w:val="-3"/>
        </w:rPr>
        <w:t> </w:t>
      </w:r>
      <w:r>
        <w:rPr/>
        <w:t>released</w:t>
      </w:r>
      <w:r>
        <w:rPr>
          <w:spacing w:val="-4"/>
        </w:rPr>
        <w:t> </w:t>
      </w:r>
      <w:r>
        <w:rPr/>
        <w:t>captive- reared Malleefowl, </w:t>
      </w:r>
      <w:r>
        <w:rPr>
          <w:i/>
        </w:rPr>
        <w:t>Leipoa ocellata</w:t>
      </w:r>
      <w:r>
        <w:rPr/>
        <w:t>. </w:t>
      </w:r>
      <w:r>
        <w:rPr>
          <w:i/>
        </w:rPr>
        <w:t>Wildlife Research </w:t>
      </w:r>
      <w:r>
        <w:rPr>
          <w:b/>
        </w:rPr>
        <w:t>24</w:t>
      </w:r>
      <w:r>
        <w:rPr/>
        <w:t>(4):469–82. doi: 10.1071/wr96094.</w:t>
      </w:r>
    </w:p>
    <w:p>
      <w:pPr>
        <w:pStyle w:val="BodyText"/>
        <w:spacing w:before="10"/>
      </w:pPr>
    </w:p>
    <w:p>
      <w:pPr>
        <w:spacing w:before="1"/>
        <w:ind w:left="112" w:right="0" w:firstLine="0"/>
        <w:jc w:val="left"/>
        <w:rPr>
          <w:i/>
          <w:sz w:val="20"/>
        </w:rPr>
      </w:pPr>
      <w:r>
        <w:rPr>
          <w:sz w:val="20"/>
        </w:rPr>
        <w:t>Pyke,</w:t>
      </w:r>
      <w:r>
        <w:rPr>
          <w:spacing w:val="-7"/>
          <w:sz w:val="20"/>
        </w:rPr>
        <w:t> </w:t>
      </w:r>
      <w:r>
        <w:rPr>
          <w:sz w:val="20"/>
        </w:rPr>
        <w:t>G.H.</w:t>
      </w:r>
      <w:r>
        <w:rPr>
          <w:spacing w:val="-7"/>
          <w:sz w:val="20"/>
        </w:rPr>
        <w:t> </w:t>
      </w:r>
      <w:r>
        <w:rPr>
          <w:sz w:val="20"/>
        </w:rPr>
        <w:t>(1984).</w:t>
      </w:r>
      <w:r>
        <w:rPr>
          <w:spacing w:val="-7"/>
          <w:sz w:val="20"/>
        </w:rPr>
        <w:t> </w:t>
      </w:r>
      <w:r>
        <w:rPr>
          <w:sz w:val="20"/>
        </w:rPr>
        <w:t>Optimal</w:t>
      </w:r>
      <w:r>
        <w:rPr>
          <w:spacing w:val="-6"/>
          <w:sz w:val="20"/>
        </w:rPr>
        <w:t> </w:t>
      </w:r>
      <w:r>
        <w:rPr>
          <w:sz w:val="20"/>
        </w:rPr>
        <w:t>foraging</w:t>
      </w:r>
      <w:r>
        <w:rPr>
          <w:spacing w:val="-6"/>
          <w:sz w:val="20"/>
        </w:rPr>
        <w:t> </w:t>
      </w:r>
      <w:r>
        <w:rPr>
          <w:sz w:val="20"/>
        </w:rPr>
        <w:t>theory:</w:t>
      </w:r>
      <w:r>
        <w:rPr>
          <w:spacing w:val="-7"/>
          <w:sz w:val="20"/>
        </w:rPr>
        <w:t> </w:t>
      </w:r>
      <w:r>
        <w:rPr>
          <w:sz w:val="20"/>
        </w:rPr>
        <w:t>a</w:t>
      </w:r>
      <w:r>
        <w:rPr>
          <w:spacing w:val="-8"/>
          <w:sz w:val="20"/>
        </w:rPr>
        <w:t> </w:t>
      </w:r>
      <w:r>
        <w:rPr>
          <w:sz w:val="20"/>
        </w:rPr>
        <w:t>critical</w:t>
      </w:r>
      <w:r>
        <w:rPr>
          <w:spacing w:val="-8"/>
          <w:sz w:val="20"/>
        </w:rPr>
        <w:t> </w:t>
      </w:r>
      <w:r>
        <w:rPr>
          <w:sz w:val="20"/>
        </w:rPr>
        <w:t>review.</w:t>
      </w:r>
      <w:r>
        <w:rPr>
          <w:spacing w:val="-1"/>
          <w:sz w:val="20"/>
        </w:rPr>
        <w:t> </w:t>
      </w:r>
      <w:r>
        <w:rPr>
          <w:i/>
          <w:sz w:val="20"/>
        </w:rPr>
        <w:t>Annual</w:t>
      </w:r>
      <w:r>
        <w:rPr>
          <w:i/>
          <w:spacing w:val="-8"/>
          <w:sz w:val="20"/>
        </w:rPr>
        <w:t> </w:t>
      </w:r>
      <w:r>
        <w:rPr>
          <w:i/>
          <w:sz w:val="20"/>
        </w:rPr>
        <w:t>Review</w:t>
      </w:r>
      <w:r>
        <w:rPr>
          <w:i/>
          <w:spacing w:val="-5"/>
          <w:sz w:val="20"/>
        </w:rPr>
        <w:t> </w:t>
      </w:r>
      <w:r>
        <w:rPr>
          <w:i/>
          <w:sz w:val="20"/>
        </w:rPr>
        <w:t>of</w:t>
      </w:r>
      <w:r>
        <w:rPr>
          <w:i/>
          <w:spacing w:val="-5"/>
          <w:sz w:val="20"/>
        </w:rPr>
        <w:t> </w:t>
      </w:r>
      <w:r>
        <w:rPr>
          <w:i/>
          <w:sz w:val="20"/>
        </w:rPr>
        <w:t>Ecology</w:t>
      </w:r>
      <w:r>
        <w:rPr>
          <w:i/>
          <w:spacing w:val="-6"/>
          <w:sz w:val="20"/>
        </w:rPr>
        <w:t> </w:t>
      </w:r>
      <w:r>
        <w:rPr>
          <w:i/>
          <w:sz w:val="20"/>
        </w:rPr>
        <w:t>and</w:t>
      </w:r>
      <w:r>
        <w:rPr>
          <w:i/>
          <w:spacing w:val="-6"/>
          <w:sz w:val="20"/>
        </w:rPr>
        <w:t> </w:t>
      </w:r>
      <w:r>
        <w:rPr>
          <w:i/>
          <w:spacing w:val="-2"/>
          <w:sz w:val="20"/>
        </w:rPr>
        <w:t>Systematics</w:t>
      </w:r>
    </w:p>
    <w:p>
      <w:pPr>
        <w:pStyle w:val="BodyText"/>
        <w:ind w:left="833"/>
      </w:pPr>
      <w:r>
        <w:rPr>
          <w:b/>
        </w:rPr>
        <w:t>15</w:t>
      </w:r>
      <w:r>
        <w:rPr/>
        <w:t>(1):523–75.</w:t>
      </w:r>
      <w:r>
        <w:rPr>
          <w:spacing w:val="-11"/>
        </w:rPr>
        <w:t> </w:t>
      </w:r>
      <w:r>
        <w:rPr/>
        <w:t>doi:</w:t>
      </w:r>
      <w:r>
        <w:rPr>
          <w:spacing w:val="-8"/>
        </w:rPr>
        <w:t> </w:t>
      </w:r>
      <w:r>
        <w:rPr>
          <w:spacing w:val="-2"/>
        </w:rPr>
        <w:t>10.1146/annurev.es.15.110184.002515.</w:t>
      </w:r>
    </w:p>
    <w:p>
      <w:pPr>
        <w:pStyle w:val="BodyText"/>
        <w:spacing w:before="8"/>
      </w:pPr>
    </w:p>
    <w:p>
      <w:pPr>
        <w:pStyle w:val="BodyText"/>
        <w:spacing w:before="1"/>
        <w:ind w:left="833" w:right="232" w:hanging="721"/>
      </w:pPr>
      <w:r>
        <w:rPr/>
        <w:t>Quantum</w:t>
      </w:r>
      <w:r>
        <w:rPr>
          <w:spacing w:val="-4"/>
        </w:rPr>
        <w:t> </w:t>
      </w:r>
      <w:r>
        <w:rPr/>
        <w:t>Market</w:t>
      </w:r>
      <w:r>
        <w:rPr>
          <w:spacing w:val="-4"/>
        </w:rPr>
        <w:t> </w:t>
      </w:r>
      <w:r>
        <w:rPr/>
        <w:t>Research.</w:t>
      </w:r>
      <w:r>
        <w:rPr>
          <w:spacing w:val="-4"/>
        </w:rPr>
        <w:t> </w:t>
      </w:r>
      <w:r>
        <w:rPr/>
        <w:t>(2024).</w:t>
      </w:r>
      <w:r>
        <w:rPr>
          <w:spacing w:val="-2"/>
        </w:rPr>
        <w:t> </w:t>
      </w:r>
      <w:r>
        <w:rPr/>
        <w:t>Agriculture Victoria</w:t>
      </w:r>
      <w:r>
        <w:rPr>
          <w:spacing w:val="-4"/>
        </w:rPr>
        <w:t> </w:t>
      </w:r>
      <w:r>
        <w:rPr/>
        <w:t>-</w:t>
      </w:r>
      <w:r>
        <w:rPr>
          <w:spacing w:val="-3"/>
        </w:rPr>
        <w:t> </w:t>
      </w:r>
      <w:r>
        <w:rPr/>
        <w:t>1080</w:t>
      </w:r>
      <w:r>
        <w:rPr>
          <w:spacing w:val="-4"/>
        </w:rPr>
        <w:t> </w:t>
      </w:r>
      <w:r>
        <w:rPr/>
        <w:t>use</w:t>
      </w:r>
      <w:r>
        <w:rPr>
          <w:spacing w:val="-4"/>
        </w:rPr>
        <w:t> </w:t>
      </w:r>
      <w:r>
        <w:rPr/>
        <w:t>survey.</w:t>
      </w:r>
      <w:r>
        <w:rPr>
          <w:spacing w:val="-3"/>
        </w:rPr>
        <w:t> </w:t>
      </w:r>
      <w:r>
        <w:rPr/>
        <w:t>Quantum</w:t>
      </w:r>
      <w:r>
        <w:rPr>
          <w:spacing w:val="-4"/>
        </w:rPr>
        <w:t> </w:t>
      </w:r>
      <w:r>
        <w:rPr/>
        <w:t>Market</w:t>
      </w:r>
      <w:r>
        <w:rPr>
          <w:spacing w:val="-4"/>
        </w:rPr>
        <w:t> </w:t>
      </w:r>
      <w:r>
        <w:rPr/>
        <w:t>Research prepared for the Department of Energy Environment and Climate Action, Melbourne.</w:t>
      </w:r>
    </w:p>
    <w:p>
      <w:pPr>
        <w:pStyle w:val="BodyText"/>
        <w:spacing w:before="10"/>
      </w:pPr>
    </w:p>
    <w:p>
      <w:pPr>
        <w:spacing w:before="0"/>
        <w:ind w:left="112" w:right="0" w:firstLine="0"/>
        <w:jc w:val="left"/>
        <w:rPr>
          <w:sz w:val="20"/>
        </w:rPr>
      </w:pPr>
      <w:r>
        <w:rPr>
          <w:sz w:val="20"/>
        </w:rPr>
        <w:t>Raman,</w:t>
      </w:r>
      <w:r>
        <w:rPr>
          <w:spacing w:val="-6"/>
          <w:sz w:val="20"/>
        </w:rPr>
        <w:t> </w:t>
      </w:r>
      <w:r>
        <w:rPr>
          <w:sz w:val="20"/>
        </w:rPr>
        <w:t>P.</w:t>
      </w:r>
      <w:r>
        <w:rPr>
          <w:spacing w:val="-7"/>
          <w:sz w:val="20"/>
        </w:rPr>
        <w:t> </w:t>
      </w:r>
      <w:r>
        <w:rPr>
          <w:sz w:val="20"/>
        </w:rPr>
        <w:t>(2014).</w:t>
      </w:r>
      <w:r>
        <w:rPr>
          <w:spacing w:val="-7"/>
          <w:sz w:val="20"/>
        </w:rPr>
        <w:t> </w:t>
      </w:r>
      <w:r>
        <w:rPr>
          <w:sz w:val="20"/>
        </w:rPr>
        <w:t>Chloropicrin.</w:t>
      </w:r>
      <w:r>
        <w:rPr>
          <w:spacing w:val="-7"/>
          <w:sz w:val="20"/>
        </w:rPr>
        <w:t> </w:t>
      </w:r>
      <w:r>
        <w:rPr>
          <w:sz w:val="20"/>
        </w:rPr>
        <w:t>Pp.</w:t>
      </w:r>
      <w:r>
        <w:rPr>
          <w:spacing w:val="-7"/>
          <w:sz w:val="20"/>
        </w:rPr>
        <w:t> </w:t>
      </w:r>
      <w:r>
        <w:rPr>
          <w:sz w:val="20"/>
        </w:rPr>
        <w:t>903–6</w:t>
      </w:r>
      <w:r>
        <w:rPr>
          <w:spacing w:val="-7"/>
          <w:sz w:val="20"/>
        </w:rPr>
        <w:t> </w:t>
      </w:r>
      <w:r>
        <w:rPr>
          <w:sz w:val="20"/>
        </w:rPr>
        <w:t>in</w:t>
      </w:r>
      <w:r>
        <w:rPr>
          <w:spacing w:val="-7"/>
          <w:sz w:val="20"/>
        </w:rPr>
        <w:t> </w:t>
      </w:r>
      <w:r>
        <w:rPr>
          <w:i/>
          <w:sz w:val="20"/>
        </w:rPr>
        <w:t>Encyclopedia</w:t>
      </w:r>
      <w:r>
        <w:rPr>
          <w:i/>
          <w:spacing w:val="-7"/>
          <w:sz w:val="20"/>
        </w:rPr>
        <w:t> </w:t>
      </w:r>
      <w:r>
        <w:rPr>
          <w:i/>
          <w:sz w:val="20"/>
        </w:rPr>
        <w:t>of</w:t>
      </w:r>
      <w:r>
        <w:rPr>
          <w:i/>
          <w:spacing w:val="-7"/>
          <w:sz w:val="20"/>
        </w:rPr>
        <w:t> </w:t>
      </w:r>
      <w:r>
        <w:rPr>
          <w:i/>
          <w:sz w:val="20"/>
        </w:rPr>
        <w:t>Toxicology</w:t>
      </w:r>
      <w:r>
        <w:rPr>
          <w:i/>
          <w:spacing w:val="-6"/>
          <w:sz w:val="20"/>
        </w:rPr>
        <w:t> </w:t>
      </w:r>
      <w:r>
        <w:rPr>
          <w:i/>
          <w:sz w:val="20"/>
        </w:rPr>
        <w:t>(3rd</w:t>
      </w:r>
      <w:r>
        <w:rPr>
          <w:i/>
          <w:spacing w:val="-5"/>
          <w:sz w:val="20"/>
        </w:rPr>
        <w:t> </w:t>
      </w:r>
      <w:r>
        <w:rPr>
          <w:i/>
          <w:sz w:val="20"/>
        </w:rPr>
        <w:t>ed)</w:t>
      </w:r>
      <w:r>
        <w:rPr>
          <w:sz w:val="20"/>
        </w:rPr>
        <w:t>.</w:t>
      </w:r>
      <w:r>
        <w:rPr>
          <w:spacing w:val="-6"/>
          <w:sz w:val="20"/>
        </w:rPr>
        <w:t> </w:t>
      </w:r>
      <w:r>
        <w:rPr>
          <w:sz w:val="20"/>
        </w:rPr>
        <w:t>Academic</w:t>
      </w:r>
      <w:r>
        <w:rPr>
          <w:spacing w:val="-4"/>
          <w:sz w:val="20"/>
        </w:rPr>
        <w:t> </w:t>
      </w:r>
      <w:r>
        <w:rPr>
          <w:spacing w:val="-2"/>
          <w:sz w:val="20"/>
        </w:rPr>
        <w:t>Press.</w:t>
      </w:r>
    </w:p>
    <w:p>
      <w:pPr>
        <w:pStyle w:val="BodyText"/>
        <w:spacing w:before="11"/>
      </w:pPr>
    </w:p>
    <w:p>
      <w:pPr>
        <w:spacing w:before="0"/>
        <w:ind w:left="833" w:right="416" w:hanging="721"/>
        <w:jc w:val="left"/>
        <w:rPr>
          <w:sz w:val="20"/>
        </w:rPr>
      </w:pPr>
      <w:r>
        <w:rPr>
          <w:sz w:val="20"/>
        </w:rPr>
        <w:t>Ramsey,</w:t>
      </w:r>
      <w:r>
        <w:rPr>
          <w:spacing w:val="-4"/>
          <w:sz w:val="20"/>
        </w:rPr>
        <w:t> </w:t>
      </w:r>
      <w:r>
        <w:rPr>
          <w:sz w:val="20"/>
        </w:rPr>
        <w:t>D.,</w:t>
      </w:r>
      <w:r>
        <w:rPr>
          <w:spacing w:val="-2"/>
          <w:sz w:val="20"/>
        </w:rPr>
        <w:t> </w:t>
      </w:r>
      <w:r>
        <w:rPr>
          <w:sz w:val="20"/>
        </w:rPr>
        <w:t>and</w:t>
      </w:r>
      <w:r>
        <w:rPr>
          <w:spacing w:val="-4"/>
          <w:sz w:val="20"/>
        </w:rPr>
        <w:t> </w:t>
      </w:r>
      <w:r>
        <w:rPr>
          <w:sz w:val="20"/>
        </w:rPr>
        <w:t>Cally,</w:t>
      </w:r>
      <w:r>
        <w:rPr>
          <w:spacing w:val="-4"/>
          <w:sz w:val="20"/>
        </w:rPr>
        <w:t> </w:t>
      </w:r>
      <w:r>
        <w:rPr>
          <w:sz w:val="20"/>
        </w:rPr>
        <w:t>J.</w:t>
      </w:r>
      <w:r>
        <w:rPr>
          <w:spacing w:val="-4"/>
          <w:sz w:val="20"/>
        </w:rPr>
        <w:t> </w:t>
      </w:r>
      <w:r>
        <w:rPr>
          <w:sz w:val="20"/>
        </w:rPr>
        <w:t>(2024).</w:t>
      </w:r>
      <w:r>
        <w:rPr>
          <w:spacing w:val="-1"/>
          <w:sz w:val="20"/>
        </w:rPr>
        <w:t> </w:t>
      </w:r>
      <w:r>
        <w:rPr>
          <w:i/>
          <w:sz w:val="20"/>
        </w:rPr>
        <w:t>The</w:t>
      </w:r>
      <w:r>
        <w:rPr>
          <w:i/>
          <w:spacing w:val="-3"/>
          <w:sz w:val="20"/>
        </w:rPr>
        <w:t> </w:t>
      </w:r>
      <w:r>
        <w:rPr>
          <w:i/>
          <w:sz w:val="20"/>
        </w:rPr>
        <w:t>abundance</w:t>
      </w:r>
      <w:r>
        <w:rPr>
          <w:i/>
          <w:spacing w:val="-4"/>
          <w:sz w:val="20"/>
        </w:rPr>
        <w:t> </w:t>
      </w:r>
      <w:r>
        <w:rPr>
          <w:i/>
          <w:sz w:val="20"/>
        </w:rPr>
        <w:t>of</w:t>
      </w:r>
      <w:r>
        <w:rPr>
          <w:i/>
          <w:spacing w:val="-2"/>
          <w:sz w:val="20"/>
        </w:rPr>
        <w:t> </w:t>
      </w:r>
      <w:r>
        <w:rPr>
          <w:i/>
          <w:sz w:val="20"/>
        </w:rPr>
        <w:t>dingoes</w:t>
      </w:r>
      <w:r>
        <w:rPr>
          <w:i/>
          <w:spacing w:val="-1"/>
          <w:sz w:val="20"/>
        </w:rPr>
        <w:t> </w:t>
      </w:r>
      <w:r>
        <w:rPr>
          <w:i/>
          <w:sz w:val="20"/>
        </w:rPr>
        <w:t>Canis</w:t>
      </w:r>
      <w:r>
        <w:rPr>
          <w:i/>
          <w:spacing w:val="-2"/>
          <w:sz w:val="20"/>
        </w:rPr>
        <w:t> </w:t>
      </w:r>
      <w:r>
        <w:rPr>
          <w:i/>
          <w:sz w:val="20"/>
        </w:rPr>
        <w:t>familiaris</w:t>
      </w:r>
      <w:r>
        <w:rPr>
          <w:i/>
          <w:spacing w:val="-3"/>
          <w:sz w:val="20"/>
        </w:rPr>
        <w:t> </w:t>
      </w:r>
      <w:r>
        <w:rPr>
          <w:i/>
          <w:sz w:val="20"/>
        </w:rPr>
        <w:t>(dingo)</w:t>
      </w:r>
      <w:r>
        <w:rPr>
          <w:i/>
          <w:spacing w:val="-3"/>
          <w:sz w:val="20"/>
        </w:rPr>
        <w:t> </w:t>
      </w:r>
      <w:r>
        <w:rPr>
          <w:i/>
          <w:sz w:val="20"/>
        </w:rPr>
        <w:t>in Victoria:</w:t>
      </w:r>
      <w:r>
        <w:rPr>
          <w:i/>
          <w:spacing w:val="-4"/>
          <w:sz w:val="20"/>
        </w:rPr>
        <w:t> </w:t>
      </w:r>
      <w:r>
        <w:rPr>
          <w:i/>
          <w:sz w:val="20"/>
        </w:rPr>
        <w:t>results</w:t>
      </w:r>
      <w:r>
        <w:rPr>
          <w:i/>
          <w:spacing w:val="-3"/>
          <w:sz w:val="20"/>
        </w:rPr>
        <w:t> </w:t>
      </w:r>
      <w:r>
        <w:rPr>
          <w:i/>
          <w:sz w:val="20"/>
        </w:rPr>
        <w:t>from</w:t>
      </w:r>
      <w:r>
        <w:rPr>
          <w:i/>
          <w:sz w:val="20"/>
        </w:rPr>
        <w:t> a statewide survey. </w:t>
      </w:r>
      <w:r>
        <w:rPr>
          <w:sz w:val="20"/>
        </w:rPr>
        <w:t>Arthur Rylah Institute for Environmental Research Technical Report Series No.</w:t>
      </w:r>
    </w:p>
    <w:p>
      <w:pPr>
        <w:pStyle w:val="BodyText"/>
        <w:spacing w:before="1"/>
        <w:ind w:left="833"/>
      </w:pPr>
      <w:r>
        <w:rPr/>
        <w:t>382.</w:t>
      </w:r>
      <w:r>
        <w:rPr>
          <w:spacing w:val="-9"/>
        </w:rPr>
        <w:t> </w:t>
      </w:r>
      <w:r>
        <w:rPr/>
        <w:t>Department</w:t>
      </w:r>
      <w:r>
        <w:rPr>
          <w:spacing w:val="-9"/>
        </w:rPr>
        <w:t> </w:t>
      </w:r>
      <w:r>
        <w:rPr/>
        <w:t>of</w:t>
      </w:r>
      <w:r>
        <w:rPr>
          <w:spacing w:val="-8"/>
        </w:rPr>
        <w:t> </w:t>
      </w:r>
      <w:r>
        <w:rPr/>
        <w:t>Energy,</w:t>
      </w:r>
      <w:r>
        <w:rPr>
          <w:spacing w:val="-10"/>
        </w:rPr>
        <w:t> </w:t>
      </w:r>
      <w:r>
        <w:rPr/>
        <w:t>Environment</w:t>
      </w:r>
      <w:r>
        <w:rPr>
          <w:spacing w:val="-8"/>
        </w:rPr>
        <w:t> </w:t>
      </w:r>
      <w:r>
        <w:rPr/>
        <w:t>and</w:t>
      </w:r>
      <w:r>
        <w:rPr>
          <w:spacing w:val="-8"/>
        </w:rPr>
        <w:t> </w:t>
      </w:r>
      <w:r>
        <w:rPr/>
        <w:t>Climate</w:t>
      </w:r>
      <w:r>
        <w:rPr>
          <w:spacing w:val="-9"/>
        </w:rPr>
        <w:t> </w:t>
      </w:r>
      <w:r>
        <w:rPr/>
        <w:t>Action,</w:t>
      </w:r>
      <w:r>
        <w:rPr>
          <w:spacing w:val="-10"/>
        </w:rPr>
        <w:t> </w:t>
      </w:r>
      <w:r>
        <w:rPr/>
        <w:t>Heidelberg,</w:t>
      </w:r>
      <w:r>
        <w:rPr>
          <w:spacing w:val="-8"/>
        </w:rPr>
        <w:t> </w:t>
      </w:r>
      <w:r>
        <w:rPr>
          <w:spacing w:val="-2"/>
        </w:rPr>
        <w:t>Victoria.</w:t>
      </w:r>
    </w:p>
    <w:p>
      <w:pPr>
        <w:pStyle w:val="BodyText"/>
        <w:spacing w:before="8"/>
      </w:pPr>
    </w:p>
    <w:p>
      <w:pPr>
        <w:spacing w:before="0"/>
        <w:ind w:left="833" w:right="163" w:hanging="721"/>
        <w:jc w:val="left"/>
        <w:rPr>
          <w:sz w:val="20"/>
        </w:rPr>
      </w:pPr>
      <w:r>
        <w:rPr>
          <w:sz w:val="20"/>
        </w:rPr>
        <w:t>Ramsey, D.S.L. (2021). </w:t>
      </w:r>
      <w:r>
        <w:rPr>
          <w:i/>
          <w:sz w:val="20"/>
        </w:rPr>
        <w:t>Efficacy of aerial control of invasive animals: results from the bushfire biodiversity</w:t>
      </w:r>
      <w:r>
        <w:rPr>
          <w:i/>
          <w:sz w:val="20"/>
        </w:rPr>
        <w:t> response</w:t>
      </w:r>
      <w:r>
        <w:rPr>
          <w:i/>
          <w:spacing w:val="-5"/>
          <w:sz w:val="20"/>
        </w:rPr>
        <w:t> </w:t>
      </w:r>
      <w:r>
        <w:rPr>
          <w:i/>
          <w:sz w:val="20"/>
        </w:rPr>
        <w:t>and</w:t>
      </w:r>
      <w:r>
        <w:rPr>
          <w:i/>
          <w:spacing w:val="-6"/>
          <w:sz w:val="20"/>
        </w:rPr>
        <w:t> </w:t>
      </w:r>
      <w:r>
        <w:rPr>
          <w:i/>
          <w:sz w:val="20"/>
        </w:rPr>
        <w:t>recovery</w:t>
      </w:r>
      <w:r>
        <w:rPr>
          <w:i/>
          <w:spacing w:val="-3"/>
          <w:sz w:val="20"/>
        </w:rPr>
        <w:t> </w:t>
      </w:r>
      <w:r>
        <w:rPr>
          <w:i/>
          <w:sz w:val="20"/>
        </w:rPr>
        <w:t>program</w:t>
      </w:r>
      <w:r>
        <w:rPr>
          <w:sz w:val="20"/>
        </w:rPr>
        <w:t>.</w:t>
      </w:r>
      <w:r>
        <w:rPr>
          <w:spacing w:val="-3"/>
          <w:sz w:val="20"/>
        </w:rPr>
        <w:t> </w:t>
      </w:r>
      <w:r>
        <w:rPr>
          <w:sz w:val="20"/>
        </w:rPr>
        <w:t>Arthur</w:t>
      </w:r>
      <w:r>
        <w:rPr>
          <w:spacing w:val="-4"/>
          <w:sz w:val="20"/>
        </w:rPr>
        <w:t> </w:t>
      </w:r>
      <w:r>
        <w:rPr>
          <w:sz w:val="20"/>
        </w:rPr>
        <w:t>Rylah</w:t>
      </w:r>
      <w:r>
        <w:rPr>
          <w:spacing w:val="-3"/>
          <w:sz w:val="20"/>
        </w:rPr>
        <w:t> </w:t>
      </w:r>
      <w:r>
        <w:rPr>
          <w:sz w:val="20"/>
        </w:rPr>
        <w:t>Institute</w:t>
      </w:r>
      <w:r>
        <w:rPr>
          <w:spacing w:val="-3"/>
          <w:sz w:val="20"/>
        </w:rPr>
        <w:t> </w:t>
      </w:r>
      <w:r>
        <w:rPr>
          <w:sz w:val="20"/>
        </w:rPr>
        <w:t>for</w:t>
      </w:r>
      <w:r>
        <w:rPr>
          <w:spacing w:val="-4"/>
          <w:sz w:val="20"/>
        </w:rPr>
        <w:t> </w:t>
      </w:r>
      <w:r>
        <w:rPr>
          <w:sz w:val="20"/>
        </w:rPr>
        <w:t>Environmental</w:t>
      </w:r>
      <w:r>
        <w:rPr>
          <w:spacing w:val="-4"/>
          <w:sz w:val="20"/>
        </w:rPr>
        <w:t> </w:t>
      </w:r>
      <w:r>
        <w:rPr>
          <w:sz w:val="20"/>
        </w:rPr>
        <w:t>Research,</w:t>
      </w:r>
      <w:r>
        <w:rPr>
          <w:spacing w:val="-5"/>
          <w:sz w:val="20"/>
        </w:rPr>
        <w:t> </w:t>
      </w:r>
      <w:r>
        <w:rPr>
          <w:sz w:val="20"/>
        </w:rPr>
        <w:t>Department</w:t>
      </w:r>
      <w:r>
        <w:rPr>
          <w:spacing w:val="-3"/>
          <w:sz w:val="20"/>
        </w:rPr>
        <w:t> </w:t>
      </w:r>
      <w:r>
        <w:rPr>
          <w:sz w:val="20"/>
        </w:rPr>
        <w:t>of Environment, Land, Water and Planning, Heidelberg, Victoria.: Unpublished Client Report for the Environment and Community Programs Branch, DELWP.</w:t>
      </w:r>
    </w:p>
    <w:p>
      <w:pPr>
        <w:pStyle w:val="BodyText"/>
        <w:spacing w:before="9"/>
      </w:pPr>
    </w:p>
    <w:p>
      <w:pPr>
        <w:pStyle w:val="BodyText"/>
        <w:ind w:left="833" w:right="364" w:hanging="721"/>
      </w:pPr>
      <w:r>
        <w:rPr/>
        <w:t>Ramsey,</w:t>
      </w:r>
      <w:r>
        <w:rPr>
          <w:spacing w:val="-4"/>
        </w:rPr>
        <w:t> </w:t>
      </w:r>
      <w:r>
        <w:rPr/>
        <w:t>D.S.L.,</w:t>
      </w:r>
      <w:r>
        <w:rPr>
          <w:spacing w:val="-4"/>
        </w:rPr>
        <w:t> </w:t>
      </w:r>
      <w:r>
        <w:rPr/>
        <w:t>Campbell,</w:t>
      </w:r>
      <w:r>
        <w:rPr>
          <w:spacing w:val="-2"/>
        </w:rPr>
        <w:t> </w:t>
      </w:r>
      <w:r>
        <w:rPr/>
        <w:t>K.J.,</w:t>
      </w:r>
      <w:r>
        <w:rPr>
          <w:spacing w:val="-4"/>
        </w:rPr>
        <w:t> </w:t>
      </w:r>
      <w:r>
        <w:rPr/>
        <w:t>Lavoie,</w:t>
      </w:r>
      <w:r>
        <w:rPr>
          <w:spacing w:val="-4"/>
        </w:rPr>
        <w:t> </w:t>
      </w:r>
      <w:r>
        <w:rPr/>
        <w:t>C.,</w:t>
      </w:r>
      <w:r>
        <w:rPr>
          <w:spacing w:val="-2"/>
        </w:rPr>
        <w:t> </w:t>
      </w:r>
      <w:r>
        <w:rPr/>
        <w:t>Macdonald,</w:t>
      </w:r>
      <w:r>
        <w:rPr>
          <w:spacing w:val="-4"/>
        </w:rPr>
        <w:t> </w:t>
      </w:r>
      <w:r>
        <w:rPr/>
        <w:t>N.,</w:t>
      </w:r>
      <w:r>
        <w:rPr>
          <w:spacing w:val="-2"/>
        </w:rPr>
        <w:t> </w:t>
      </w:r>
      <w:r>
        <w:rPr/>
        <w:t>and</w:t>
      </w:r>
      <w:r>
        <w:rPr>
          <w:spacing w:val="-2"/>
        </w:rPr>
        <w:t> </w:t>
      </w:r>
      <w:r>
        <w:rPr/>
        <w:t>Morrison,</w:t>
      </w:r>
      <w:r>
        <w:rPr>
          <w:spacing w:val="-2"/>
        </w:rPr>
        <w:t> </w:t>
      </w:r>
      <w:r>
        <w:rPr/>
        <w:t>S.A.</w:t>
      </w:r>
      <w:r>
        <w:rPr>
          <w:spacing w:val="-2"/>
        </w:rPr>
        <w:t> </w:t>
      </w:r>
      <w:r>
        <w:rPr/>
        <w:t>(2022).</w:t>
      </w:r>
      <w:r>
        <w:rPr>
          <w:spacing w:val="-4"/>
        </w:rPr>
        <w:t> </w:t>
      </w:r>
      <w:r>
        <w:rPr/>
        <w:t>Quantifying</w:t>
      </w:r>
      <w:r>
        <w:rPr>
          <w:spacing w:val="-4"/>
        </w:rPr>
        <w:t> </w:t>
      </w:r>
      <w:r>
        <w:rPr/>
        <w:t>the probability of detection of wild ungulates with the judas technique. </w:t>
      </w:r>
      <w:r>
        <w:rPr>
          <w:i/>
        </w:rPr>
        <w:t>Conservation Biology</w:t>
      </w:r>
      <w:r>
        <w:rPr>
          <w:i/>
        </w:rPr>
        <w:t> </w:t>
      </w:r>
      <w:r>
        <w:rPr>
          <w:b/>
        </w:rPr>
        <w:t>36</w:t>
      </w:r>
      <w:r>
        <w:rPr/>
        <w:t>(4):e13898. doi: 10.1111/cobi.13898.</w:t>
      </w:r>
    </w:p>
    <w:p>
      <w:pPr>
        <w:pStyle w:val="BodyText"/>
        <w:spacing w:before="12"/>
      </w:pPr>
    </w:p>
    <w:p>
      <w:pPr>
        <w:pStyle w:val="BodyText"/>
        <w:ind w:left="112"/>
      </w:pPr>
      <w:r>
        <w:rPr/>
        <w:t>Ramsey,</w:t>
      </w:r>
      <w:r>
        <w:rPr>
          <w:spacing w:val="-6"/>
        </w:rPr>
        <w:t> </w:t>
      </w:r>
      <w:r>
        <w:rPr/>
        <w:t>D.S.L.,</w:t>
      </w:r>
      <w:r>
        <w:rPr>
          <w:spacing w:val="-6"/>
        </w:rPr>
        <w:t> </w:t>
      </w:r>
      <w:r>
        <w:rPr/>
        <w:t>Cox,</w:t>
      </w:r>
      <w:r>
        <w:rPr>
          <w:spacing w:val="-6"/>
        </w:rPr>
        <w:t> </w:t>
      </w:r>
      <w:r>
        <w:rPr/>
        <w:t>T.,</w:t>
      </w:r>
      <w:r>
        <w:rPr>
          <w:spacing w:val="-6"/>
        </w:rPr>
        <w:t> </w:t>
      </w:r>
      <w:r>
        <w:rPr/>
        <w:t>Strive,</w:t>
      </w:r>
      <w:r>
        <w:rPr>
          <w:spacing w:val="-6"/>
        </w:rPr>
        <w:t> </w:t>
      </w:r>
      <w:r>
        <w:rPr/>
        <w:t>T.,</w:t>
      </w:r>
      <w:r>
        <w:rPr>
          <w:spacing w:val="-6"/>
        </w:rPr>
        <w:t> </w:t>
      </w:r>
      <w:r>
        <w:rPr/>
        <w:t>Forsyth,</w:t>
      </w:r>
      <w:r>
        <w:rPr>
          <w:spacing w:val="-5"/>
        </w:rPr>
        <w:t> </w:t>
      </w:r>
      <w:r>
        <w:rPr/>
        <w:t>D.M.,</w:t>
      </w:r>
      <w:r>
        <w:rPr>
          <w:spacing w:val="-5"/>
        </w:rPr>
        <w:t> </w:t>
      </w:r>
      <w:r>
        <w:rPr/>
        <w:t>Stuart,</w:t>
      </w:r>
      <w:r>
        <w:rPr>
          <w:spacing w:val="-5"/>
        </w:rPr>
        <w:t> </w:t>
      </w:r>
      <w:r>
        <w:rPr/>
        <w:t>I.,</w:t>
      </w:r>
      <w:r>
        <w:rPr>
          <w:spacing w:val="-6"/>
        </w:rPr>
        <w:t> </w:t>
      </w:r>
      <w:r>
        <w:rPr/>
        <w:t>Hall,</w:t>
      </w:r>
      <w:r>
        <w:rPr>
          <w:spacing w:val="-6"/>
        </w:rPr>
        <w:t> </w:t>
      </w:r>
      <w:r>
        <w:rPr/>
        <w:t>R.,</w:t>
      </w:r>
      <w:r>
        <w:rPr>
          <w:spacing w:val="-4"/>
        </w:rPr>
        <w:t> </w:t>
      </w:r>
      <w:r>
        <w:rPr/>
        <w:t>Elsworth,</w:t>
      </w:r>
      <w:r>
        <w:rPr>
          <w:spacing w:val="-4"/>
        </w:rPr>
        <w:t> </w:t>
      </w:r>
      <w:r>
        <w:rPr/>
        <w:t>P.,</w:t>
      </w:r>
      <w:r>
        <w:rPr>
          <w:spacing w:val="-4"/>
        </w:rPr>
        <w:t> </w:t>
      </w:r>
      <w:r>
        <w:rPr/>
        <w:t>and</w:t>
      </w:r>
      <w:r>
        <w:rPr>
          <w:spacing w:val="-6"/>
        </w:rPr>
        <w:t> </w:t>
      </w:r>
      <w:r>
        <w:rPr/>
        <w:t>Campbell,</w:t>
      </w:r>
      <w:r>
        <w:rPr>
          <w:spacing w:val="-4"/>
        </w:rPr>
        <w:t> </w:t>
      </w:r>
      <w:r>
        <w:rPr/>
        <w:t>S.</w:t>
      </w:r>
      <w:r>
        <w:rPr>
          <w:spacing w:val="-6"/>
        </w:rPr>
        <w:t> </w:t>
      </w:r>
      <w:r>
        <w:rPr>
          <w:spacing w:val="-2"/>
        </w:rPr>
        <w:t>(2020).</w:t>
      </w:r>
    </w:p>
    <w:p>
      <w:pPr>
        <w:pStyle w:val="BodyText"/>
        <w:ind w:left="833"/>
      </w:pPr>
      <w:r>
        <w:rPr/>
        <w:t>Emerging</w:t>
      </w:r>
      <w:r>
        <w:rPr>
          <w:spacing w:val="-4"/>
        </w:rPr>
        <w:t> </w:t>
      </w:r>
      <w:r>
        <w:rPr/>
        <w:t>RHDV2</w:t>
      </w:r>
      <w:r>
        <w:rPr>
          <w:spacing w:val="-5"/>
        </w:rPr>
        <w:t> </w:t>
      </w:r>
      <w:r>
        <w:rPr/>
        <w:t>suppresses</w:t>
      </w:r>
      <w:r>
        <w:rPr>
          <w:spacing w:val="-4"/>
        </w:rPr>
        <w:t> </w:t>
      </w:r>
      <w:r>
        <w:rPr/>
        <w:t>the</w:t>
      </w:r>
      <w:r>
        <w:rPr>
          <w:spacing w:val="-4"/>
        </w:rPr>
        <w:t> </w:t>
      </w:r>
      <w:r>
        <w:rPr/>
        <w:t>impact</w:t>
      </w:r>
      <w:r>
        <w:rPr>
          <w:spacing w:val="-3"/>
        </w:rPr>
        <w:t> </w:t>
      </w:r>
      <w:r>
        <w:rPr/>
        <w:t>of</w:t>
      </w:r>
      <w:r>
        <w:rPr>
          <w:spacing w:val="-4"/>
        </w:rPr>
        <w:t> </w:t>
      </w:r>
      <w:r>
        <w:rPr/>
        <w:t>endemic</w:t>
      </w:r>
      <w:r>
        <w:rPr>
          <w:spacing w:val="-2"/>
        </w:rPr>
        <w:t> </w:t>
      </w:r>
      <w:r>
        <w:rPr/>
        <w:t>and</w:t>
      </w:r>
      <w:r>
        <w:rPr>
          <w:spacing w:val="-3"/>
        </w:rPr>
        <w:t> </w:t>
      </w:r>
      <w:r>
        <w:rPr/>
        <w:t>novel</w:t>
      </w:r>
      <w:r>
        <w:rPr>
          <w:spacing w:val="-4"/>
        </w:rPr>
        <w:t> </w:t>
      </w:r>
      <w:r>
        <w:rPr/>
        <w:t>strains</w:t>
      </w:r>
      <w:r>
        <w:rPr>
          <w:spacing w:val="-2"/>
        </w:rPr>
        <w:t> </w:t>
      </w:r>
      <w:r>
        <w:rPr/>
        <w:t>of RHDV</w:t>
      </w:r>
      <w:r>
        <w:rPr>
          <w:spacing w:val="-3"/>
        </w:rPr>
        <w:t> </w:t>
      </w:r>
      <w:r>
        <w:rPr/>
        <w:t>on</w:t>
      </w:r>
      <w:r>
        <w:rPr>
          <w:spacing w:val="-5"/>
        </w:rPr>
        <w:t> </w:t>
      </w:r>
      <w:r>
        <w:rPr/>
        <w:t>wild</w:t>
      </w:r>
      <w:r>
        <w:rPr>
          <w:spacing w:val="-3"/>
        </w:rPr>
        <w:t> </w:t>
      </w:r>
      <w:r>
        <w:rPr/>
        <w:t>rabbit populations. </w:t>
      </w:r>
      <w:r>
        <w:rPr>
          <w:i/>
        </w:rPr>
        <w:t>Journal of Applied Ecology </w:t>
      </w:r>
      <w:r>
        <w:rPr>
          <w:b/>
        </w:rPr>
        <w:t>57</w:t>
      </w:r>
      <w:r>
        <w:rPr/>
        <w:t>(3):630–41. doi: 10.1111/1365-2664.13548.</w:t>
      </w:r>
    </w:p>
    <w:p>
      <w:pPr>
        <w:pStyle w:val="BodyText"/>
        <w:spacing w:before="8"/>
      </w:pPr>
    </w:p>
    <w:p>
      <w:pPr>
        <w:spacing w:before="1"/>
        <w:ind w:left="112" w:right="0" w:firstLine="0"/>
        <w:jc w:val="left"/>
        <w:rPr>
          <w:sz w:val="20"/>
        </w:rPr>
      </w:pPr>
      <w:r>
        <w:rPr>
          <w:sz w:val="20"/>
        </w:rPr>
        <w:t>Ramsey,</w:t>
      </w:r>
      <w:r>
        <w:rPr>
          <w:spacing w:val="-7"/>
          <w:sz w:val="20"/>
        </w:rPr>
        <w:t> </w:t>
      </w:r>
      <w:r>
        <w:rPr>
          <w:sz w:val="20"/>
        </w:rPr>
        <w:t>D.S.L.</w:t>
      </w:r>
      <w:r>
        <w:rPr>
          <w:spacing w:val="-6"/>
          <w:sz w:val="20"/>
        </w:rPr>
        <w:t> </w:t>
      </w:r>
      <w:r>
        <w:rPr>
          <w:sz w:val="20"/>
        </w:rPr>
        <w:t>(2018).</w:t>
      </w:r>
      <w:r>
        <w:rPr>
          <w:spacing w:val="-5"/>
          <w:sz w:val="20"/>
        </w:rPr>
        <w:t> </w:t>
      </w:r>
      <w:r>
        <w:rPr>
          <w:i/>
          <w:sz w:val="20"/>
        </w:rPr>
        <w:t>The</w:t>
      </w:r>
      <w:r>
        <w:rPr>
          <w:i/>
          <w:spacing w:val="-7"/>
          <w:sz w:val="20"/>
        </w:rPr>
        <w:t> </w:t>
      </w:r>
      <w:r>
        <w:rPr>
          <w:i/>
          <w:sz w:val="20"/>
        </w:rPr>
        <w:t>effect</w:t>
      </w:r>
      <w:r>
        <w:rPr>
          <w:i/>
          <w:spacing w:val="-6"/>
          <w:sz w:val="20"/>
        </w:rPr>
        <w:t> </w:t>
      </w:r>
      <w:r>
        <w:rPr>
          <w:i/>
          <w:sz w:val="20"/>
        </w:rPr>
        <w:t>of</w:t>
      </w:r>
      <w:r>
        <w:rPr>
          <w:i/>
          <w:spacing w:val="-5"/>
          <w:sz w:val="20"/>
        </w:rPr>
        <w:t> </w:t>
      </w:r>
      <w:r>
        <w:rPr>
          <w:i/>
          <w:sz w:val="20"/>
        </w:rPr>
        <w:t>management</w:t>
      </w:r>
      <w:r>
        <w:rPr>
          <w:i/>
          <w:spacing w:val="-6"/>
          <w:sz w:val="20"/>
        </w:rPr>
        <w:t> </w:t>
      </w:r>
      <w:r>
        <w:rPr>
          <w:i/>
          <w:sz w:val="20"/>
        </w:rPr>
        <w:t>programs</w:t>
      </w:r>
      <w:r>
        <w:rPr>
          <w:i/>
          <w:spacing w:val="-6"/>
          <w:sz w:val="20"/>
        </w:rPr>
        <w:t> </w:t>
      </w:r>
      <w:r>
        <w:rPr>
          <w:i/>
          <w:sz w:val="20"/>
        </w:rPr>
        <w:t>on</w:t>
      </w:r>
      <w:r>
        <w:rPr>
          <w:i/>
          <w:spacing w:val="-4"/>
          <w:sz w:val="20"/>
        </w:rPr>
        <w:t> </w:t>
      </w:r>
      <w:r>
        <w:rPr>
          <w:i/>
          <w:sz w:val="20"/>
        </w:rPr>
        <w:t>wild</w:t>
      </w:r>
      <w:r>
        <w:rPr>
          <w:i/>
          <w:spacing w:val="-5"/>
          <w:sz w:val="20"/>
        </w:rPr>
        <w:t> </w:t>
      </w:r>
      <w:r>
        <w:rPr>
          <w:i/>
          <w:sz w:val="20"/>
        </w:rPr>
        <w:t>dog</w:t>
      </w:r>
      <w:r>
        <w:rPr>
          <w:i/>
          <w:spacing w:val="-5"/>
          <w:sz w:val="20"/>
        </w:rPr>
        <w:t> </w:t>
      </w:r>
      <w:r>
        <w:rPr>
          <w:i/>
          <w:sz w:val="20"/>
        </w:rPr>
        <w:t>attack</w:t>
      </w:r>
      <w:r>
        <w:rPr>
          <w:i/>
          <w:spacing w:val="-5"/>
          <w:sz w:val="20"/>
        </w:rPr>
        <w:t> </w:t>
      </w:r>
      <w:r>
        <w:rPr>
          <w:i/>
          <w:sz w:val="20"/>
        </w:rPr>
        <w:t>rates</w:t>
      </w:r>
      <w:r>
        <w:rPr>
          <w:i/>
          <w:spacing w:val="-6"/>
          <w:sz w:val="20"/>
        </w:rPr>
        <w:t> </w:t>
      </w:r>
      <w:r>
        <w:rPr>
          <w:i/>
          <w:sz w:val="20"/>
        </w:rPr>
        <w:t>on</w:t>
      </w:r>
      <w:r>
        <w:rPr>
          <w:i/>
          <w:spacing w:val="-6"/>
          <w:sz w:val="20"/>
        </w:rPr>
        <w:t> </w:t>
      </w:r>
      <w:r>
        <w:rPr>
          <w:i/>
          <w:sz w:val="20"/>
        </w:rPr>
        <w:t>livestock</w:t>
      </w:r>
      <w:r>
        <w:rPr>
          <w:i/>
          <w:spacing w:val="-5"/>
          <w:sz w:val="20"/>
        </w:rPr>
        <w:t> </w:t>
      </w:r>
      <w:r>
        <w:rPr>
          <w:i/>
          <w:sz w:val="20"/>
        </w:rPr>
        <w:t>in</w:t>
      </w:r>
      <w:r>
        <w:rPr>
          <w:i/>
          <w:spacing w:val="2"/>
          <w:sz w:val="20"/>
        </w:rPr>
        <w:t> </w:t>
      </w:r>
      <w:r>
        <w:rPr>
          <w:i/>
          <w:spacing w:val="-2"/>
          <w:sz w:val="20"/>
        </w:rPr>
        <w:t>Victoria</w:t>
      </w:r>
      <w:r>
        <w:rPr>
          <w:spacing w:val="-2"/>
          <w:sz w:val="20"/>
        </w:rPr>
        <w:t>.</w:t>
      </w:r>
    </w:p>
    <w:p>
      <w:pPr>
        <w:pStyle w:val="BodyText"/>
        <w:ind w:left="833" w:right="247"/>
      </w:pPr>
      <w:r>
        <w:rPr/>
        <w:t>Unpublished Client Report for the Department of Economic Development, Jobs, Transport and Resources.</w:t>
      </w:r>
      <w:r>
        <w:rPr>
          <w:spacing w:val="-6"/>
        </w:rPr>
        <w:t> </w:t>
      </w:r>
      <w:r>
        <w:rPr/>
        <w:t>Arthur</w:t>
      </w:r>
      <w:r>
        <w:rPr>
          <w:spacing w:val="-6"/>
        </w:rPr>
        <w:t> </w:t>
      </w:r>
      <w:r>
        <w:rPr/>
        <w:t>Rylah</w:t>
      </w:r>
      <w:r>
        <w:rPr>
          <w:spacing w:val="-6"/>
        </w:rPr>
        <w:t> </w:t>
      </w:r>
      <w:r>
        <w:rPr/>
        <w:t>Institute</w:t>
      </w:r>
      <w:r>
        <w:rPr>
          <w:spacing w:val="-4"/>
        </w:rPr>
        <w:t> </w:t>
      </w:r>
      <w:r>
        <w:rPr/>
        <w:t>for</w:t>
      </w:r>
      <w:r>
        <w:rPr>
          <w:spacing w:val="-3"/>
        </w:rPr>
        <w:t> </w:t>
      </w:r>
      <w:r>
        <w:rPr/>
        <w:t>Environmental</w:t>
      </w:r>
      <w:r>
        <w:rPr>
          <w:spacing w:val="-7"/>
        </w:rPr>
        <w:t> </w:t>
      </w:r>
      <w:r>
        <w:rPr/>
        <w:t>Research,</w:t>
      </w:r>
      <w:r>
        <w:rPr>
          <w:spacing w:val="-6"/>
        </w:rPr>
        <w:t> </w:t>
      </w:r>
      <w:r>
        <w:rPr/>
        <w:t>Department</w:t>
      </w:r>
      <w:r>
        <w:rPr>
          <w:spacing w:val="-4"/>
        </w:rPr>
        <w:t> </w:t>
      </w:r>
      <w:r>
        <w:rPr/>
        <w:t>of</w:t>
      </w:r>
      <w:r>
        <w:rPr>
          <w:spacing w:val="-4"/>
        </w:rPr>
        <w:t> </w:t>
      </w:r>
      <w:r>
        <w:rPr/>
        <w:t>Environment,</w:t>
      </w:r>
      <w:r>
        <w:rPr>
          <w:spacing w:val="-4"/>
        </w:rPr>
        <w:t> </w:t>
      </w:r>
      <w:r>
        <w:rPr/>
        <w:t>Land, Water and Planning, Heidelberg, Victoria.</w:t>
      </w:r>
    </w:p>
    <w:p>
      <w:pPr>
        <w:pStyle w:val="BodyText"/>
        <w:spacing w:before="11"/>
      </w:pPr>
    </w:p>
    <w:p>
      <w:pPr>
        <w:pStyle w:val="BodyText"/>
        <w:ind w:left="833" w:right="163" w:hanging="721"/>
      </w:pPr>
      <w:r>
        <w:rPr/>
        <w:t>Ramsey,</w:t>
      </w:r>
      <w:r>
        <w:rPr>
          <w:spacing w:val="-4"/>
        </w:rPr>
        <w:t> </w:t>
      </w:r>
      <w:r>
        <w:rPr/>
        <w:t>D.S.L.,</w:t>
      </w:r>
      <w:r>
        <w:rPr>
          <w:spacing w:val="-4"/>
        </w:rPr>
        <w:t> </w:t>
      </w:r>
      <w:r>
        <w:rPr/>
        <w:t>McPhee,</w:t>
      </w:r>
      <w:r>
        <w:rPr>
          <w:spacing w:val="-3"/>
        </w:rPr>
        <w:t> </w:t>
      </w:r>
      <w:r>
        <w:rPr/>
        <w:t>S.R.,</w:t>
      </w:r>
      <w:r>
        <w:rPr>
          <w:spacing w:val="-4"/>
        </w:rPr>
        <w:t> </w:t>
      </w:r>
      <w:r>
        <w:rPr/>
        <w:t>Forsyth,</w:t>
      </w:r>
      <w:r>
        <w:rPr>
          <w:spacing w:val="-4"/>
        </w:rPr>
        <w:t> </w:t>
      </w:r>
      <w:r>
        <w:rPr/>
        <w:t>D.M.,</w:t>
      </w:r>
      <w:r>
        <w:rPr>
          <w:spacing w:val="-4"/>
        </w:rPr>
        <w:t> </w:t>
      </w:r>
      <w:r>
        <w:rPr/>
        <w:t>Stuart,</w:t>
      </w:r>
      <w:r>
        <w:rPr>
          <w:spacing w:val="-3"/>
        </w:rPr>
        <w:t> </w:t>
      </w:r>
      <w:r>
        <w:rPr/>
        <w:t>I.G.,</w:t>
      </w:r>
      <w:r>
        <w:rPr>
          <w:spacing w:val="-4"/>
        </w:rPr>
        <w:t> </w:t>
      </w:r>
      <w:r>
        <w:rPr/>
        <w:t>Scroggie,</w:t>
      </w:r>
      <w:r>
        <w:rPr>
          <w:spacing w:val="-4"/>
        </w:rPr>
        <w:t> </w:t>
      </w:r>
      <w:r>
        <w:rPr/>
        <w:t>M.P.,</w:t>
      </w:r>
      <w:r>
        <w:rPr>
          <w:spacing w:val="-3"/>
        </w:rPr>
        <w:t> </w:t>
      </w:r>
      <w:r>
        <w:rPr/>
        <w:t>Lindeman,</w:t>
      </w:r>
      <w:r>
        <w:rPr>
          <w:spacing w:val="-3"/>
        </w:rPr>
        <w:t> </w:t>
      </w:r>
      <w:r>
        <w:rPr/>
        <w:t>M.,</w:t>
      </w:r>
      <w:r>
        <w:rPr>
          <w:spacing w:val="-3"/>
        </w:rPr>
        <w:t> </w:t>
      </w:r>
      <w:r>
        <w:rPr/>
        <w:t>and</w:t>
      </w:r>
      <w:r>
        <w:rPr>
          <w:spacing w:val="-3"/>
        </w:rPr>
        <w:t> </w:t>
      </w:r>
      <w:r>
        <w:rPr/>
        <w:t>Matthews,</w:t>
      </w:r>
      <w:r>
        <w:rPr>
          <w:spacing w:val="-4"/>
        </w:rPr>
        <w:t> </w:t>
      </w:r>
      <w:r>
        <w:rPr/>
        <w:t>J. (2014). Recolonisation of rabbit warrens following coordinated ripping programs in Victoria, south- eastern Australia. </w:t>
      </w:r>
      <w:r>
        <w:rPr>
          <w:i/>
        </w:rPr>
        <w:t>Wildlife Research </w:t>
      </w:r>
      <w:r>
        <w:rPr>
          <w:b/>
        </w:rPr>
        <w:t>41</w:t>
      </w:r>
      <w:r>
        <w:rPr/>
        <w:t>(1):46–55.</w:t>
      </w:r>
    </w:p>
    <w:p>
      <w:pPr>
        <w:pStyle w:val="BodyText"/>
        <w:spacing w:before="10"/>
      </w:pPr>
    </w:p>
    <w:p>
      <w:pPr>
        <w:pStyle w:val="BodyText"/>
        <w:ind w:left="833" w:right="426" w:hanging="721"/>
        <w:rPr>
          <w:i/>
        </w:rPr>
      </w:pPr>
      <w:r>
        <w:rPr/>
        <w:t>Ramsey D.S.L., Patel, K.K., Campbell, S., Hall, R.N., Taggart P.L., and Strive, T. (2023). Sustained Impact of</w:t>
      </w:r>
      <w:r>
        <w:rPr>
          <w:spacing w:val="-5"/>
        </w:rPr>
        <w:t> </w:t>
      </w:r>
      <w:r>
        <w:rPr/>
        <w:t>RHDV2</w:t>
      </w:r>
      <w:r>
        <w:rPr>
          <w:spacing w:val="-3"/>
        </w:rPr>
        <w:t> </w:t>
      </w:r>
      <w:r>
        <w:rPr/>
        <w:t>on</w:t>
      </w:r>
      <w:r>
        <w:rPr>
          <w:spacing w:val="-4"/>
        </w:rPr>
        <w:t> </w:t>
      </w:r>
      <w:r>
        <w:rPr/>
        <w:t>Wild</w:t>
      </w:r>
      <w:r>
        <w:rPr>
          <w:spacing w:val="-3"/>
        </w:rPr>
        <w:t> </w:t>
      </w:r>
      <w:r>
        <w:rPr/>
        <w:t>Rabbit</w:t>
      </w:r>
      <w:r>
        <w:rPr>
          <w:spacing w:val="-3"/>
        </w:rPr>
        <w:t> </w:t>
      </w:r>
      <w:r>
        <w:rPr/>
        <w:t>Populations</w:t>
      </w:r>
      <w:r>
        <w:rPr>
          <w:spacing w:val="-4"/>
        </w:rPr>
        <w:t> </w:t>
      </w:r>
      <w:r>
        <w:rPr/>
        <w:t>across</w:t>
      </w:r>
      <w:r>
        <w:rPr>
          <w:spacing w:val="-4"/>
        </w:rPr>
        <w:t> </w:t>
      </w:r>
      <w:r>
        <w:rPr/>
        <w:t>Australia</w:t>
      </w:r>
      <w:r>
        <w:rPr>
          <w:spacing w:val="-3"/>
        </w:rPr>
        <w:t> </w:t>
      </w:r>
      <w:r>
        <w:rPr/>
        <w:t>Eight</w:t>
      </w:r>
      <w:r>
        <w:rPr>
          <w:spacing w:val="-3"/>
        </w:rPr>
        <w:t> </w:t>
      </w:r>
      <w:r>
        <w:rPr/>
        <w:t>Years</w:t>
      </w:r>
      <w:r>
        <w:rPr>
          <w:spacing w:val="-4"/>
        </w:rPr>
        <w:t> </w:t>
      </w:r>
      <w:r>
        <w:rPr/>
        <w:t>after</w:t>
      </w:r>
      <w:r>
        <w:rPr>
          <w:spacing w:val="-5"/>
        </w:rPr>
        <w:t> </w:t>
      </w:r>
      <w:r>
        <w:rPr/>
        <w:t>Its</w:t>
      </w:r>
      <w:r>
        <w:rPr>
          <w:spacing w:val="-4"/>
        </w:rPr>
        <w:t> </w:t>
      </w:r>
      <w:r>
        <w:rPr/>
        <w:t>Initial</w:t>
      </w:r>
      <w:r>
        <w:rPr>
          <w:spacing w:val="-4"/>
        </w:rPr>
        <w:t> </w:t>
      </w:r>
      <w:r>
        <w:rPr/>
        <w:t>Detection. </w:t>
      </w:r>
      <w:r>
        <w:rPr>
          <w:i/>
        </w:rPr>
        <w:t>Viruses</w:t>
      </w:r>
    </w:p>
    <w:p>
      <w:pPr>
        <w:pStyle w:val="BodyText"/>
        <w:spacing w:before="1"/>
        <w:ind w:left="833"/>
      </w:pPr>
      <w:r>
        <w:rPr>
          <w:b/>
        </w:rPr>
        <w:t>15</w:t>
      </w:r>
      <w:r>
        <w:rPr/>
        <w:t>.</w:t>
      </w:r>
      <w:r>
        <w:rPr>
          <w:spacing w:val="-6"/>
        </w:rPr>
        <w:t> </w:t>
      </w:r>
      <w:r>
        <w:rPr>
          <w:spacing w:val="-2"/>
        </w:rPr>
        <w:t>doi:</w:t>
      </w:r>
      <w:hyperlink r:id="rId110">
        <w:r>
          <w:rPr>
            <w:color w:val="0000FF"/>
            <w:spacing w:val="-2"/>
            <w:u w:val="single" w:color="0000FF"/>
          </w:rPr>
          <w:t>10.3390/v15051159.</w:t>
        </w:r>
      </w:hyperlink>
    </w:p>
    <w:p>
      <w:pPr>
        <w:pStyle w:val="BodyText"/>
        <w:spacing w:before="10"/>
      </w:pPr>
    </w:p>
    <w:p>
      <w:pPr>
        <w:spacing w:before="0"/>
        <w:ind w:left="833" w:right="364" w:hanging="721"/>
        <w:jc w:val="left"/>
        <w:rPr>
          <w:rFonts w:ascii="Segoe UI" w:hAnsi="Segoe UI"/>
          <w:sz w:val="18"/>
        </w:rPr>
      </w:pPr>
      <w:r>
        <w:rPr>
          <w:sz w:val="20"/>
        </w:rPr>
        <w:t>Ramsey</w:t>
      </w:r>
      <w:r>
        <w:rPr>
          <w:spacing w:val="-3"/>
          <w:sz w:val="20"/>
        </w:rPr>
        <w:t> </w:t>
      </w:r>
      <w:r>
        <w:rPr>
          <w:sz w:val="20"/>
        </w:rPr>
        <w:t>D.S.L.,</w:t>
      </w:r>
      <w:r>
        <w:rPr>
          <w:spacing w:val="-4"/>
          <w:sz w:val="20"/>
        </w:rPr>
        <w:t> </w:t>
      </w:r>
      <w:r>
        <w:rPr>
          <w:sz w:val="20"/>
        </w:rPr>
        <w:t>Caley,</w:t>
      </w:r>
      <w:r>
        <w:rPr>
          <w:spacing w:val="-3"/>
          <w:sz w:val="20"/>
        </w:rPr>
        <w:t> </w:t>
      </w:r>
      <w:r>
        <w:rPr>
          <w:sz w:val="20"/>
        </w:rPr>
        <w:t>P.A.,</w:t>
      </w:r>
      <w:r>
        <w:rPr>
          <w:spacing w:val="-4"/>
          <w:sz w:val="20"/>
        </w:rPr>
        <w:t> </w:t>
      </w:r>
      <w:r>
        <w:rPr>
          <w:sz w:val="20"/>
        </w:rPr>
        <w:t>and</w:t>
      </w:r>
      <w:r>
        <w:rPr>
          <w:spacing w:val="-4"/>
          <w:sz w:val="20"/>
        </w:rPr>
        <w:t> </w:t>
      </w:r>
      <w:r>
        <w:rPr>
          <w:sz w:val="20"/>
        </w:rPr>
        <w:t>Robley,</w:t>
      </w:r>
      <w:r>
        <w:rPr>
          <w:spacing w:val="-3"/>
          <w:sz w:val="20"/>
        </w:rPr>
        <w:t> </w:t>
      </w:r>
      <w:r>
        <w:rPr>
          <w:sz w:val="20"/>
        </w:rPr>
        <w:t>A.</w:t>
      </w:r>
      <w:r>
        <w:rPr>
          <w:spacing w:val="-4"/>
          <w:sz w:val="20"/>
        </w:rPr>
        <w:t> </w:t>
      </w:r>
      <w:r>
        <w:rPr>
          <w:sz w:val="20"/>
        </w:rPr>
        <w:t>(2015).</w:t>
      </w:r>
      <w:r>
        <w:rPr>
          <w:spacing w:val="-2"/>
          <w:sz w:val="20"/>
        </w:rPr>
        <w:t> </w:t>
      </w:r>
      <w:r>
        <w:rPr>
          <w:sz w:val="20"/>
        </w:rPr>
        <w:t>Estimating</w:t>
      </w:r>
      <w:r>
        <w:rPr>
          <w:spacing w:val="-3"/>
          <w:sz w:val="20"/>
        </w:rPr>
        <w:t> </w:t>
      </w:r>
      <w:r>
        <w:rPr>
          <w:sz w:val="20"/>
        </w:rPr>
        <w:t>population</w:t>
      </w:r>
      <w:r>
        <w:rPr>
          <w:spacing w:val="-4"/>
          <w:sz w:val="20"/>
        </w:rPr>
        <w:t> </w:t>
      </w:r>
      <w:r>
        <w:rPr>
          <w:sz w:val="20"/>
        </w:rPr>
        <w:t>density</w:t>
      </w:r>
      <w:r>
        <w:rPr>
          <w:spacing w:val="-4"/>
          <w:sz w:val="20"/>
        </w:rPr>
        <w:t> </w:t>
      </w:r>
      <w:r>
        <w:rPr>
          <w:sz w:val="20"/>
        </w:rPr>
        <w:t>from</w:t>
      </w:r>
      <w:r>
        <w:rPr>
          <w:spacing w:val="-4"/>
          <w:sz w:val="20"/>
        </w:rPr>
        <w:t> </w:t>
      </w:r>
      <w:r>
        <w:rPr>
          <w:sz w:val="20"/>
        </w:rPr>
        <w:t>presence–absence data using a spatially explicit model. </w:t>
      </w:r>
      <w:r>
        <w:rPr>
          <w:i/>
          <w:sz w:val="20"/>
        </w:rPr>
        <w:t>The Journal of Wildlife Management </w:t>
      </w:r>
      <w:r>
        <w:rPr>
          <w:b/>
          <w:sz w:val="20"/>
        </w:rPr>
        <w:t>79</w:t>
      </w:r>
      <w:r>
        <w:rPr>
          <w:sz w:val="20"/>
        </w:rPr>
        <w:t>, 491–499. </w:t>
      </w:r>
      <w:r>
        <w:rPr>
          <w:spacing w:val="-2"/>
          <w:sz w:val="20"/>
        </w:rPr>
        <w:t>doi:</w:t>
      </w:r>
      <w:hyperlink r:id="rId111">
        <w:r>
          <w:rPr>
            <w:rFonts w:ascii="Segoe UI" w:hAnsi="Segoe UI"/>
            <w:color w:val="0000ED"/>
            <w:spacing w:val="-2"/>
            <w:sz w:val="18"/>
            <w:u w:val="single" w:color="0000ED"/>
          </w:rPr>
          <w:t>10.1002/jwmg.851.</w:t>
        </w:r>
      </w:hyperlink>
    </w:p>
    <w:p>
      <w:pPr>
        <w:pStyle w:val="BodyText"/>
        <w:spacing w:before="239"/>
        <w:ind w:left="833" w:right="163" w:hanging="721"/>
      </w:pPr>
      <w:r>
        <w:rPr/>
        <w:t>Reddiex,</w:t>
      </w:r>
      <w:r>
        <w:rPr>
          <w:spacing w:val="-2"/>
        </w:rPr>
        <w:t> </w:t>
      </w:r>
      <w:r>
        <w:rPr/>
        <w:t>B.,</w:t>
      </w:r>
      <w:r>
        <w:rPr>
          <w:spacing w:val="-4"/>
        </w:rPr>
        <w:t> </w:t>
      </w:r>
      <w:r>
        <w:rPr/>
        <w:t>Forsyth,</w:t>
      </w:r>
      <w:r>
        <w:rPr>
          <w:spacing w:val="-4"/>
        </w:rPr>
        <w:t> </w:t>
      </w:r>
      <w:r>
        <w:rPr/>
        <w:t>D.M.,</w:t>
      </w:r>
      <w:r>
        <w:rPr>
          <w:spacing w:val="-2"/>
        </w:rPr>
        <w:t> </w:t>
      </w:r>
      <w:r>
        <w:rPr/>
        <w:t>McDonald-Madden,</w:t>
      </w:r>
      <w:r>
        <w:rPr>
          <w:spacing w:val="-2"/>
        </w:rPr>
        <w:t> </w:t>
      </w:r>
      <w:r>
        <w:rPr/>
        <w:t>E.,</w:t>
      </w:r>
      <w:r>
        <w:rPr>
          <w:spacing w:val="-2"/>
        </w:rPr>
        <w:t> </w:t>
      </w:r>
      <w:r>
        <w:rPr/>
        <w:t>Einoder,</w:t>
      </w:r>
      <w:r>
        <w:rPr>
          <w:spacing w:val="-4"/>
        </w:rPr>
        <w:t> </w:t>
      </w:r>
      <w:r>
        <w:rPr/>
        <w:t>L.D.,</w:t>
      </w:r>
      <w:r>
        <w:rPr>
          <w:spacing w:val="-4"/>
        </w:rPr>
        <w:t> </w:t>
      </w:r>
      <w:r>
        <w:rPr/>
        <w:t>Griffioen,</w:t>
      </w:r>
      <w:r>
        <w:rPr>
          <w:spacing w:val="-2"/>
        </w:rPr>
        <w:t> </w:t>
      </w:r>
      <w:r>
        <w:rPr/>
        <w:t>P.A.,</w:t>
      </w:r>
      <w:r>
        <w:rPr>
          <w:spacing w:val="-2"/>
        </w:rPr>
        <w:t> </w:t>
      </w:r>
      <w:r>
        <w:rPr/>
        <w:t>Chick,</w:t>
      </w:r>
      <w:r>
        <w:rPr>
          <w:spacing w:val="-4"/>
        </w:rPr>
        <w:t> </w:t>
      </w:r>
      <w:r>
        <w:rPr/>
        <w:t>R.R.,</w:t>
      </w:r>
      <w:r>
        <w:rPr>
          <w:spacing w:val="-4"/>
        </w:rPr>
        <w:t> </w:t>
      </w:r>
      <w:r>
        <w:rPr/>
        <w:t>and</w:t>
      </w:r>
      <w:r>
        <w:rPr>
          <w:spacing w:val="-4"/>
        </w:rPr>
        <w:t> </w:t>
      </w:r>
      <w:r>
        <w:rPr/>
        <w:t>Robley,</w:t>
      </w:r>
      <w:r>
        <w:rPr>
          <w:spacing w:val="-4"/>
        </w:rPr>
        <w:t> </w:t>
      </w:r>
      <w:r>
        <w:rPr/>
        <w:t>A. (2006). Control of pest mammals for biodiversity protection in Australia. i. patterns of control and monitoring. </w:t>
      </w:r>
      <w:r>
        <w:rPr>
          <w:i/>
        </w:rPr>
        <w:t>Wildlife Research </w:t>
      </w:r>
      <w:r>
        <w:rPr>
          <w:b/>
        </w:rPr>
        <w:t>33</w:t>
      </w:r>
      <w:r>
        <w:rPr/>
        <w:t>(8):691. doi: 10.1071/WR05102.</w:t>
      </w:r>
    </w:p>
    <w:p>
      <w:pPr>
        <w:pStyle w:val="BodyText"/>
        <w:spacing w:before="11"/>
      </w:pPr>
    </w:p>
    <w:p>
      <w:pPr>
        <w:pStyle w:val="BodyText"/>
        <w:ind w:left="833" w:right="163" w:hanging="721"/>
      </w:pPr>
      <w:r>
        <w:rPr/>
        <w:t>Reidy,</w:t>
      </w:r>
      <w:r>
        <w:rPr>
          <w:spacing w:val="-2"/>
        </w:rPr>
        <w:t> </w:t>
      </w:r>
      <w:r>
        <w:rPr/>
        <w:t>M.M.,</w:t>
      </w:r>
      <w:r>
        <w:rPr>
          <w:spacing w:val="-4"/>
        </w:rPr>
        <w:t> </w:t>
      </w:r>
      <w:r>
        <w:rPr/>
        <w:t>Campbell,</w:t>
      </w:r>
      <w:r>
        <w:rPr>
          <w:spacing w:val="-4"/>
        </w:rPr>
        <w:t> </w:t>
      </w:r>
      <w:r>
        <w:rPr/>
        <w:t>T.A.,</w:t>
      </w:r>
      <w:r>
        <w:rPr>
          <w:spacing w:val="-4"/>
        </w:rPr>
        <w:t> </w:t>
      </w:r>
      <w:r>
        <w:rPr/>
        <w:t>and</w:t>
      </w:r>
      <w:r>
        <w:rPr>
          <w:spacing w:val="-4"/>
        </w:rPr>
        <w:t> </w:t>
      </w:r>
      <w:r>
        <w:rPr/>
        <w:t>Hewitt,</w:t>
      </w:r>
      <w:r>
        <w:rPr>
          <w:spacing w:val="-2"/>
        </w:rPr>
        <w:t> </w:t>
      </w:r>
      <w:r>
        <w:rPr/>
        <w:t>D.G.</w:t>
      </w:r>
      <w:r>
        <w:rPr>
          <w:spacing w:val="-4"/>
        </w:rPr>
        <w:t> </w:t>
      </w:r>
      <w:r>
        <w:rPr/>
        <w:t>(2008).</w:t>
      </w:r>
      <w:r>
        <w:rPr>
          <w:spacing w:val="-2"/>
        </w:rPr>
        <w:t> </w:t>
      </w:r>
      <w:r>
        <w:rPr/>
        <w:t>Evaluation</w:t>
      </w:r>
      <w:r>
        <w:rPr>
          <w:spacing w:val="-3"/>
        </w:rPr>
        <w:t> </w:t>
      </w:r>
      <w:r>
        <w:rPr/>
        <w:t>of</w:t>
      </w:r>
      <w:r>
        <w:rPr>
          <w:spacing w:val="-4"/>
        </w:rPr>
        <w:t> </w:t>
      </w:r>
      <w:r>
        <w:rPr/>
        <w:t>electric</w:t>
      </w:r>
      <w:r>
        <w:rPr>
          <w:spacing w:val="-3"/>
        </w:rPr>
        <w:t> </w:t>
      </w:r>
      <w:r>
        <w:rPr/>
        <w:t>fencing</w:t>
      </w:r>
      <w:r>
        <w:rPr>
          <w:spacing w:val="-4"/>
        </w:rPr>
        <w:t> </w:t>
      </w:r>
      <w:r>
        <w:rPr/>
        <w:t>to</w:t>
      </w:r>
      <w:r>
        <w:rPr>
          <w:spacing w:val="-2"/>
        </w:rPr>
        <w:t> </w:t>
      </w:r>
      <w:r>
        <w:rPr/>
        <w:t>inhibit</w:t>
      </w:r>
      <w:r>
        <w:rPr>
          <w:spacing w:val="-4"/>
        </w:rPr>
        <w:t> </w:t>
      </w:r>
      <w:r>
        <w:rPr/>
        <w:t>feral</w:t>
      </w:r>
      <w:r>
        <w:rPr>
          <w:spacing w:val="-3"/>
        </w:rPr>
        <w:t> </w:t>
      </w:r>
      <w:r>
        <w:rPr/>
        <w:t>pig movements. </w:t>
      </w:r>
      <w:r>
        <w:rPr>
          <w:i/>
        </w:rPr>
        <w:t>The Journal of Wildlife Management </w:t>
      </w:r>
      <w:r>
        <w:rPr>
          <w:b/>
        </w:rPr>
        <w:t>72</w:t>
      </w:r>
      <w:r>
        <w:rPr/>
        <w:t>(4):1012–18. doi: 10.2193/2007-158.</w:t>
      </w:r>
    </w:p>
    <w:p>
      <w:pPr>
        <w:spacing w:after="0"/>
        <w:sectPr>
          <w:pgSz w:w="11910" w:h="16850"/>
          <w:pgMar w:header="0" w:footer="688" w:top="1060" w:bottom="880" w:left="1020" w:right="780"/>
        </w:sectPr>
      </w:pPr>
    </w:p>
    <w:p>
      <w:pPr>
        <w:pStyle w:val="BodyText"/>
        <w:spacing w:before="71"/>
        <w:ind w:left="833" w:right="232" w:hanging="721"/>
      </w:pPr>
      <w:r>
        <w:rPr/>
        <w:t>Reidy, M.M., Campbell, T.A., Hewitt, D.G. (2008). Evaluation of Electric Fencing to Inhibit Feral Pig Movements.</w:t>
      </w:r>
      <w:r>
        <w:rPr>
          <w:spacing w:val="-5"/>
        </w:rPr>
        <w:t> </w:t>
      </w:r>
      <w:r>
        <w:rPr>
          <w:i/>
        </w:rPr>
        <w:t>The</w:t>
      </w:r>
      <w:r>
        <w:rPr>
          <w:i/>
          <w:spacing w:val="-5"/>
        </w:rPr>
        <w:t> </w:t>
      </w:r>
      <w:r>
        <w:rPr>
          <w:i/>
        </w:rPr>
        <w:t>Journal</w:t>
      </w:r>
      <w:r>
        <w:rPr>
          <w:i/>
          <w:spacing w:val="-4"/>
        </w:rPr>
        <w:t> </w:t>
      </w:r>
      <w:r>
        <w:rPr>
          <w:i/>
        </w:rPr>
        <w:t>of</w:t>
      </w:r>
      <w:r>
        <w:rPr>
          <w:i/>
          <w:spacing w:val="-3"/>
        </w:rPr>
        <w:t> </w:t>
      </w:r>
      <w:r>
        <w:rPr>
          <w:i/>
        </w:rPr>
        <w:t>Wildlife</w:t>
      </w:r>
      <w:r>
        <w:rPr>
          <w:i/>
          <w:spacing w:val="-5"/>
        </w:rPr>
        <w:t> </w:t>
      </w:r>
      <w:r>
        <w:rPr>
          <w:i/>
        </w:rPr>
        <w:t>Management </w:t>
      </w:r>
      <w:r>
        <w:rPr>
          <w:b/>
        </w:rPr>
        <w:t>72</w:t>
      </w:r>
      <w:r>
        <w:rPr/>
        <w:t>,</w:t>
      </w:r>
      <w:r>
        <w:rPr>
          <w:spacing w:val="-3"/>
        </w:rPr>
        <w:t> </w:t>
      </w:r>
      <w:r>
        <w:rPr/>
        <w:t>1012–1018.</w:t>
      </w:r>
      <w:r>
        <w:rPr>
          <w:spacing w:val="-5"/>
        </w:rPr>
        <w:t> </w:t>
      </w:r>
      <w:r>
        <w:rPr/>
        <w:t>doi:</w:t>
      </w:r>
      <w:r>
        <w:rPr>
          <w:color w:val="0000FF"/>
          <w:u w:val="single" w:color="0000FF"/>
        </w:rPr>
        <w:t>DOI:</w:t>
      </w:r>
      <w:r>
        <w:rPr>
          <w:color w:val="0000FF"/>
          <w:spacing w:val="-5"/>
          <w:u w:val="single" w:color="0000FF"/>
        </w:rPr>
        <w:t> </w:t>
      </w:r>
      <w:r>
        <w:rPr>
          <w:color w:val="0000FF"/>
          <w:u w:val="single" w:color="0000FF"/>
        </w:rPr>
        <w:t>10.2193/2007-158</w:t>
      </w:r>
      <w:r>
        <w:rPr>
          <w:u w:val="none"/>
        </w:rPr>
        <w:t>.</w:t>
      </w:r>
    </w:p>
    <w:p>
      <w:pPr>
        <w:pStyle w:val="BodyText"/>
        <w:spacing w:before="11"/>
      </w:pPr>
    </w:p>
    <w:p>
      <w:pPr>
        <w:pStyle w:val="BodyText"/>
        <w:spacing w:before="1"/>
        <w:ind w:left="833" w:right="163" w:hanging="721"/>
      </w:pPr>
      <w:r>
        <w:rPr/>
        <w:t>Rigg</w:t>
      </w:r>
      <w:r>
        <w:rPr>
          <w:spacing w:val="-2"/>
        </w:rPr>
        <w:t> </w:t>
      </w:r>
      <w:r>
        <w:rPr/>
        <w:t>R</w:t>
      </w:r>
      <w:r>
        <w:rPr>
          <w:spacing w:val="-4"/>
        </w:rPr>
        <w:t> </w:t>
      </w:r>
      <w:r>
        <w:rPr/>
        <w:t>(2001).</w:t>
      </w:r>
      <w:r>
        <w:rPr>
          <w:spacing w:val="-4"/>
        </w:rPr>
        <w:t> </w:t>
      </w:r>
      <w:r>
        <w:rPr/>
        <w:t>Livestock</w:t>
      </w:r>
      <w:r>
        <w:rPr>
          <w:spacing w:val="-3"/>
        </w:rPr>
        <w:t> </w:t>
      </w:r>
      <w:r>
        <w:rPr/>
        <w:t>guarding</w:t>
      </w:r>
      <w:r>
        <w:rPr>
          <w:spacing w:val="-3"/>
        </w:rPr>
        <w:t> </w:t>
      </w:r>
      <w:r>
        <w:rPr/>
        <w:t>dogs:</w:t>
      </w:r>
      <w:r>
        <w:rPr>
          <w:spacing w:val="-4"/>
        </w:rPr>
        <w:t> </w:t>
      </w:r>
      <w:r>
        <w:rPr/>
        <w:t>their</w:t>
      </w:r>
      <w:r>
        <w:rPr>
          <w:spacing w:val="-3"/>
        </w:rPr>
        <w:t> </w:t>
      </w:r>
      <w:r>
        <w:rPr/>
        <w:t>current</w:t>
      </w:r>
      <w:r>
        <w:rPr>
          <w:spacing w:val="-2"/>
        </w:rPr>
        <w:t> </w:t>
      </w:r>
      <w:r>
        <w:rPr/>
        <w:t>use</w:t>
      </w:r>
      <w:r>
        <w:rPr>
          <w:spacing w:val="-4"/>
        </w:rPr>
        <w:t> </w:t>
      </w:r>
      <w:r>
        <w:rPr/>
        <w:t>world</w:t>
      </w:r>
      <w:r>
        <w:rPr>
          <w:spacing w:val="-4"/>
        </w:rPr>
        <w:t> </w:t>
      </w:r>
      <w:r>
        <w:rPr/>
        <w:t>wide.</w:t>
      </w:r>
      <w:r>
        <w:rPr>
          <w:spacing w:val="-2"/>
        </w:rPr>
        <w:t> </w:t>
      </w:r>
      <w:r>
        <w:rPr/>
        <w:t>Paper</w:t>
      </w:r>
      <w:r>
        <w:rPr>
          <w:spacing w:val="-3"/>
        </w:rPr>
        <w:t> </w:t>
      </w:r>
      <w:r>
        <w:rPr/>
        <w:t>No</w:t>
      </w:r>
      <w:r>
        <w:rPr>
          <w:spacing w:val="-4"/>
        </w:rPr>
        <w:t> </w:t>
      </w:r>
      <w:r>
        <w:rPr/>
        <w:t>1</w:t>
      </w:r>
      <w:r>
        <w:rPr>
          <w:spacing w:val="-2"/>
        </w:rPr>
        <w:t> </w:t>
      </w:r>
      <w:r>
        <w:rPr/>
        <w:t>[online].</w:t>
      </w:r>
      <w:r>
        <w:rPr>
          <w:spacing w:val="-4"/>
        </w:rPr>
        <w:t> </w:t>
      </w:r>
      <w:r>
        <w:rPr/>
        <w:t>IUCN/SSC</w:t>
      </w:r>
      <w:r>
        <w:rPr>
          <w:spacing w:val="-1"/>
        </w:rPr>
        <w:t> </w:t>
      </w:r>
      <w:r>
        <w:rPr/>
        <w:t>Canid Specialist Group Occasional. Available at: </w:t>
      </w:r>
      <w:hyperlink r:id="rId112">
        <w:r>
          <w:rPr>
            <w:color w:val="0000FF"/>
            <w:u w:val="single" w:color="0000FF"/>
          </w:rPr>
          <w:t>http://www.canids.org/occasionalpapers/</w:t>
        </w:r>
        <w:r>
          <w:rPr>
            <w:u w:val="none"/>
          </w:rPr>
          <w:t>.</w:t>
        </w:r>
      </w:hyperlink>
    </w:p>
    <w:p>
      <w:pPr>
        <w:pStyle w:val="BodyText"/>
        <w:spacing w:before="10"/>
      </w:pPr>
    </w:p>
    <w:p>
      <w:pPr>
        <w:pStyle w:val="BodyText"/>
        <w:ind w:left="833" w:right="163" w:hanging="721"/>
      </w:pPr>
      <w:r>
        <w:rPr/>
        <w:t>Rigg</w:t>
      </w:r>
      <w:r>
        <w:rPr>
          <w:spacing w:val="-3"/>
        </w:rPr>
        <w:t> </w:t>
      </w:r>
      <w:r>
        <w:rPr/>
        <w:t>R</w:t>
      </w:r>
      <w:r>
        <w:rPr>
          <w:spacing w:val="-5"/>
        </w:rPr>
        <w:t> </w:t>
      </w:r>
      <w:r>
        <w:rPr/>
        <w:t>(2022).</w:t>
      </w:r>
      <w:r>
        <w:rPr>
          <w:spacing w:val="-3"/>
        </w:rPr>
        <w:t> </w:t>
      </w:r>
      <w:r>
        <w:rPr/>
        <w:t>Are</w:t>
      </w:r>
      <w:r>
        <w:rPr>
          <w:spacing w:val="-5"/>
        </w:rPr>
        <w:t> </w:t>
      </w:r>
      <w:r>
        <w:rPr/>
        <w:t>Donkeys</w:t>
      </w:r>
      <w:r>
        <w:rPr>
          <w:spacing w:val="-4"/>
        </w:rPr>
        <w:t> </w:t>
      </w:r>
      <w:r>
        <w:rPr/>
        <w:t>good</w:t>
      </w:r>
      <w:r>
        <w:rPr>
          <w:spacing w:val="-4"/>
        </w:rPr>
        <w:t> </w:t>
      </w:r>
      <w:r>
        <w:rPr/>
        <w:t>livestock</w:t>
      </w:r>
      <w:r>
        <w:rPr>
          <w:spacing w:val="-4"/>
        </w:rPr>
        <w:t> </w:t>
      </w:r>
      <w:r>
        <w:rPr/>
        <w:t>guardians?</w:t>
      </w:r>
      <w:r>
        <w:rPr>
          <w:spacing w:val="-5"/>
        </w:rPr>
        <w:t> </w:t>
      </w:r>
      <w:r>
        <w:rPr/>
        <w:t>CDP</w:t>
      </w:r>
      <w:r>
        <w:rPr>
          <w:spacing w:val="-3"/>
        </w:rPr>
        <w:t> </w:t>
      </w:r>
      <w:r>
        <w:rPr/>
        <w:t>News. Available</w:t>
      </w:r>
      <w:r>
        <w:rPr>
          <w:spacing w:val="-5"/>
        </w:rPr>
        <w:t> </w:t>
      </w:r>
      <w:r>
        <w:rPr/>
        <w:t>at:</w:t>
      </w:r>
      <w:r>
        <w:rPr>
          <w:spacing w:val="-2"/>
        </w:rPr>
        <w:t> </w:t>
      </w:r>
      <w:hyperlink r:id="rId113">
        <w:r>
          <w:rPr>
            <w:color w:val="0000FF"/>
            <w:u w:val="single" w:color="0000FF"/>
          </w:rPr>
          <w:t>https://cdpnews.net/wp-</w:t>
        </w:r>
      </w:hyperlink>
      <w:r>
        <w:rPr>
          <w:color w:val="0000FF"/>
          <w:u w:val="none"/>
        </w:rPr>
        <w:t> </w:t>
      </w:r>
      <w:hyperlink r:id="rId113">
        <w:r>
          <w:rPr>
            <w:color w:val="0000FF"/>
            <w:u w:val="single" w:color="0000FF"/>
          </w:rPr>
          <w:t>content/uploads/2023/11/cdpnews24_rigg_2022.pdf</w:t>
        </w:r>
      </w:hyperlink>
      <w:r>
        <w:rPr>
          <w:color w:val="0000FF"/>
          <w:u w:val="none"/>
        </w:rPr>
        <w:t> </w:t>
      </w:r>
      <w:r>
        <w:rPr>
          <w:u w:val="none"/>
        </w:rPr>
        <w:t>[accessed 21 October 2024].</w:t>
      </w:r>
    </w:p>
    <w:p>
      <w:pPr>
        <w:pStyle w:val="BodyText"/>
        <w:spacing w:before="9"/>
      </w:pPr>
    </w:p>
    <w:p>
      <w:pPr>
        <w:spacing w:before="0"/>
        <w:ind w:left="833" w:right="163" w:hanging="721"/>
        <w:jc w:val="left"/>
        <w:rPr>
          <w:sz w:val="20"/>
        </w:rPr>
      </w:pPr>
      <w:r>
        <w:rPr>
          <w:sz w:val="20"/>
        </w:rPr>
        <w:t>Robinson,</w:t>
      </w:r>
      <w:r>
        <w:rPr>
          <w:spacing w:val="-2"/>
          <w:sz w:val="20"/>
        </w:rPr>
        <w:t> </w:t>
      </w:r>
      <w:r>
        <w:rPr>
          <w:sz w:val="20"/>
        </w:rPr>
        <w:t>M.H.,</w:t>
      </w:r>
      <w:r>
        <w:rPr>
          <w:spacing w:val="-2"/>
          <w:sz w:val="20"/>
        </w:rPr>
        <w:t> </w:t>
      </w:r>
      <w:r>
        <w:rPr>
          <w:sz w:val="20"/>
        </w:rPr>
        <w:t>and</w:t>
      </w:r>
      <w:r>
        <w:rPr>
          <w:spacing w:val="-2"/>
          <w:sz w:val="20"/>
        </w:rPr>
        <w:t> </w:t>
      </w:r>
      <w:r>
        <w:rPr>
          <w:sz w:val="20"/>
        </w:rPr>
        <w:t>Wheeler,</w:t>
      </w:r>
      <w:r>
        <w:rPr>
          <w:spacing w:val="-4"/>
          <w:sz w:val="20"/>
        </w:rPr>
        <w:t> </w:t>
      </w:r>
      <w:r>
        <w:rPr>
          <w:sz w:val="20"/>
        </w:rPr>
        <w:t>H.</w:t>
      </w:r>
      <w:r>
        <w:rPr>
          <w:spacing w:val="-4"/>
          <w:sz w:val="20"/>
        </w:rPr>
        <w:t> </w:t>
      </w:r>
      <w:r>
        <w:rPr>
          <w:sz w:val="20"/>
        </w:rPr>
        <w:t>(1983).</w:t>
      </w:r>
      <w:r>
        <w:rPr>
          <w:spacing w:val="-2"/>
          <w:sz w:val="20"/>
        </w:rPr>
        <w:t> </w:t>
      </w:r>
      <w:r>
        <w:rPr>
          <w:sz w:val="20"/>
        </w:rPr>
        <w:t>A</w:t>
      </w:r>
      <w:r>
        <w:rPr>
          <w:spacing w:val="-4"/>
          <w:sz w:val="20"/>
        </w:rPr>
        <w:t> </w:t>
      </w:r>
      <w:r>
        <w:rPr>
          <w:sz w:val="20"/>
        </w:rPr>
        <w:t>radiotracking</w:t>
      </w:r>
      <w:r>
        <w:rPr>
          <w:spacing w:val="-5"/>
          <w:sz w:val="20"/>
        </w:rPr>
        <w:t> </w:t>
      </w:r>
      <w:r>
        <w:rPr>
          <w:sz w:val="20"/>
        </w:rPr>
        <w:t>study</w:t>
      </w:r>
      <w:r>
        <w:rPr>
          <w:spacing w:val="-1"/>
          <w:sz w:val="20"/>
        </w:rPr>
        <w:t> </w:t>
      </w:r>
      <w:r>
        <w:rPr>
          <w:sz w:val="20"/>
        </w:rPr>
        <w:t>of</w:t>
      </w:r>
      <w:r>
        <w:rPr>
          <w:spacing w:val="-4"/>
          <w:sz w:val="20"/>
        </w:rPr>
        <w:t> </w:t>
      </w:r>
      <w:r>
        <w:rPr>
          <w:sz w:val="20"/>
        </w:rPr>
        <w:t>four</w:t>
      </w:r>
      <w:r>
        <w:rPr>
          <w:spacing w:val="-4"/>
          <w:sz w:val="20"/>
        </w:rPr>
        <w:t> </w:t>
      </w:r>
      <w:r>
        <w:rPr>
          <w:sz w:val="20"/>
        </w:rPr>
        <w:t>poisoning</w:t>
      </w:r>
      <w:r>
        <w:rPr>
          <w:spacing w:val="-2"/>
          <w:sz w:val="20"/>
        </w:rPr>
        <w:t> </w:t>
      </w:r>
      <w:r>
        <w:rPr>
          <w:sz w:val="20"/>
        </w:rPr>
        <w:t>techniques</w:t>
      </w:r>
      <w:r>
        <w:rPr>
          <w:spacing w:val="-3"/>
          <w:sz w:val="20"/>
        </w:rPr>
        <w:t> </w:t>
      </w:r>
      <w:r>
        <w:rPr>
          <w:sz w:val="20"/>
        </w:rPr>
        <w:t>for</w:t>
      </w:r>
      <w:r>
        <w:rPr>
          <w:spacing w:val="-4"/>
          <w:sz w:val="20"/>
        </w:rPr>
        <w:t> </w:t>
      </w:r>
      <w:r>
        <w:rPr>
          <w:sz w:val="20"/>
        </w:rPr>
        <w:t>control</w:t>
      </w:r>
      <w:r>
        <w:rPr>
          <w:spacing w:val="-5"/>
          <w:sz w:val="20"/>
        </w:rPr>
        <w:t> </w:t>
      </w:r>
      <w:r>
        <w:rPr>
          <w:sz w:val="20"/>
        </w:rPr>
        <w:t>of</w:t>
      </w:r>
      <w:r>
        <w:rPr>
          <w:spacing w:val="-2"/>
          <w:sz w:val="20"/>
        </w:rPr>
        <w:t> </w:t>
      </w:r>
      <w:r>
        <w:rPr>
          <w:sz w:val="20"/>
        </w:rPr>
        <w:t>the European rabbit, </w:t>
      </w:r>
      <w:r>
        <w:rPr>
          <w:i/>
          <w:sz w:val="20"/>
        </w:rPr>
        <w:t>Oryctolagus cuniculus </w:t>
      </w:r>
      <w:r>
        <w:rPr>
          <w:sz w:val="20"/>
        </w:rPr>
        <w:t>(l.). </w:t>
      </w:r>
      <w:r>
        <w:rPr>
          <w:i/>
          <w:sz w:val="20"/>
        </w:rPr>
        <w:t>Australian Wildlife Research </w:t>
      </w:r>
      <w:r>
        <w:rPr>
          <w:b/>
          <w:sz w:val="20"/>
        </w:rPr>
        <w:t>10</w:t>
      </w:r>
      <w:r>
        <w:rPr>
          <w:sz w:val="20"/>
        </w:rPr>
        <w:t>:513–20.</w:t>
      </w:r>
    </w:p>
    <w:p>
      <w:pPr>
        <w:pStyle w:val="BodyText"/>
        <w:spacing w:before="11"/>
      </w:pPr>
    </w:p>
    <w:p>
      <w:pPr>
        <w:spacing w:before="0"/>
        <w:ind w:left="833" w:right="364" w:hanging="721"/>
        <w:jc w:val="left"/>
        <w:rPr>
          <w:sz w:val="20"/>
        </w:rPr>
      </w:pPr>
      <w:r>
        <w:rPr>
          <w:sz w:val="20"/>
        </w:rPr>
        <w:t>Robley,</w:t>
      </w:r>
      <w:r>
        <w:rPr>
          <w:spacing w:val="-4"/>
          <w:sz w:val="20"/>
        </w:rPr>
        <w:t> </w:t>
      </w:r>
      <w:r>
        <w:rPr>
          <w:sz w:val="20"/>
        </w:rPr>
        <w:t>A.,</w:t>
      </w:r>
      <w:r>
        <w:rPr>
          <w:spacing w:val="-4"/>
          <w:sz w:val="20"/>
        </w:rPr>
        <w:t> </w:t>
      </w:r>
      <w:r>
        <w:rPr>
          <w:sz w:val="20"/>
        </w:rPr>
        <w:t>Purdey,</w:t>
      </w:r>
      <w:r>
        <w:rPr>
          <w:spacing w:val="-4"/>
          <w:sz w:val="20"/>
        </w:rPr>
        <w:t> </w:t>
      </w:r>
      <w:r>
        <w:rPr>
          <w:sz w:val="20"/>
        </w:rPr>
        <w:t>D.,</w:t>
      </w:r>
      <w:r>
        <w:rPr>
          <w:spacing w:val="-4"/>
          <w:sz w:val="20"/>
        </w:rPr>
        <w:t> </w:t>
      </w:r>
      <w:r>
        <w:rPr>
          <w:sz w:val="20"/>
        </w:rPr>
        <w:t>Johnston,</w:t>
      </w:r>
      <w:r>
        <w:rPr>
          <w:spacing w:val="-2"/>
          <w:sz w:val="20"/>
        </w:rPr>
        <w:t> </w:t>
      </w:r>
      <w:r>
        <w:rPr>
          <w:sz w:val="20"/>
        </w:rPr>
        <w:t>M.,</w:t>
      </w:r>
      <w:r>
        <w:rPr>
          <w:spacing w:val="-4"/>
          <w:sz w:val="20"/>
        </w:rPr>
        <w:t> </w:t>
      </w:r>
      <w:r>
        <w:rPr>
          <w:sz w:val="20"/>
        </w:rPr>
        <w:t>Lindeman,</w:t>
      </w:r>
      <w:r>
        <w:rPr>
          <w:spacing w:val="-2"/>
          <w:sz w:val="20"/>
        </w:rPr>
        <w:t> </w:t>
      </w:r>
      <w:r>
        <w:rPr>
          <w:sz w:val="20"/>
        </w:rPr>
        <w:t>M.,</w:t>
      </w:r>
      <w:r>
        <w:rPr>
          <w:spacing w:val="-2"/>
          <w:sz w:val="20"/>
        </w:rPr>
        <w:t> </w:t>
      </w:r>
      <w:r>
        <w:rPr>
          <w:sz w:val="20"/>
        </w:rPr>
        <w:t>and</w:t>
      </w:r>
      <w:r>
        <w:rPr>
          <w:spacing w:val="-5"/>
          <w:sz w:val="20"/>
        </w:rPr>
        <w:t> </w:t>
      </w:r>
      <w:r>
        <w:rPr>
          <w:sz w:val="20"/>
        </w:rPr>
        <w:t>Busana,</w:t>
      </w:r>
      <w:r>
        <w:rPr>
          <w:spacing w:val="-4"/>
          <w:sz w:val="20"/>
        </w:rPr>
        <w:t> </w:t>
      </w:r>
      <w:r>
        <w:rPr>
          <w:sz w:val="20"/>
        </w:rPr>
        <w:t>F.</w:t>
      </w:r>
      <w:r>
        <w:rPr>
          <w:spacing w:val="-4"/>
          <w:sz w:val="20"/>
        </w:rPr>
        <w:t> </w:t>
      </w:r>
      <w:r>
        <w:rPr>
          <w:sz w:val="20"/>
        </w:rPr>
        <w:t>(2006). </w:t>
      </w:r>
      <w:r>
        <w:rPr>
          <w:i/>
          <w:sz w:val="20"/>
        </w:rPr>
        <w:t>Experimental</w:t>
      </w:r>
      <w:r>
        <w:rPr>
          <w:i/>
          <w:spacing w:val="-3"/>
          <w:sz w:val="20"/>
        </w:rPr>
        <w:t> </w:t>
      </w:r>
      <w:r>
        <w:rPr>
          <w:i/>
          <w:sz w:val="20"/>
        </w:rPr>
        <w:t>trials</w:t>
      </w:r>
      <w:r>
        <w:rPr>
          <w:i/>
          <w:spacing w:val="-3"/>
          <w:sz w:val="20"/>
        </w:rPr>
        <w:t> </w:t>
      </w:r>
      <w:r>
        <w:rPr>
          <w:i/>
          <w:sz w:val="20"/>
        </w:rPr>
        <w:t>to</w:t>
      </w:r>
      <w:r>
        <w:rPr>
          <w:i/>
          <w:spacing w:val="-3"/>
          <w:sz w:val="20"/>
        </w:rPr>
        <w:t> </w:t>
      </w:r>
      <w:r>
        <w:rPr>
          <w:i/>
          <w:sz w:val="20"/>
        </w:rPr>
        <w:t>determine</w:t>
      </w:r>
      <w:r>
        <w:rPr>
          <w:i/>
          <w:sz w:val="20"/>
        </w:rPr>
        <w:t> effective feral cat and fox exclusion fence designs</w:t>
      </w:r>
      <w:r>
        <w:rPr>
          <w:sz w:val="20"/>
        </w:rPr>
        <w:t>. Melbourne: Arthur Rylah Institute for Environmental Research, Department of Sustainability and Environment, Melbourne.</w:t>
      </w:r>
    </w:p>
    <w:p>
      <w:pPr>
        <w:pStyle w:val="BodyText"/>
        <w:spacing w:before="8"/>
      </w:pPr>
    </w:p>
    <w:p>
      <w:pPr>
        <w:spacing w:before="1"/>
        <w:ind w:left="833" w:right="163" w:hanging="721"/>
        <w:jc w:val="left"/>
        <w:rPr>
          <w:sz w:val="20"/>
        </w:rPr>
      </w:pPr>
      <w:r>
        <w:rPr>
          <w:sz w:val="20"/>
        </w:rPr>
        <w:t>Robley,</w:t>
      </w:r>
      <w:r>
        <w:rPr>
          <w:spacing w:val="-4"/>
          <w:sz w:val="20"/>
        </w:rPr>
        <w:t> </w:t>
      </w:r>
      <w:r>
        <w:rPr>
          <w:sz w:val="20"/>
        </w:rPr>
        <w:t>A.,</w:t>
      </w:r>
      <w:r>
        <w:rPr>
          <w:spacing w:val="-4"/>
          <w:sz w:val="20"/>
        </w:rPr>
        <w:t> </w:t>
      </w:r>
      <w:r>
        <w:rPr>
          <w:sz w:val="20"/>
        </w:rPr>
        <w:t>Ramsey,</w:t>
      </w:r>
      <w:r>
        <w:rPr>
          <w:spacing w:val="-4"/>
          <w:sz w:val="20"/>
        </w:rPr>
        <w:t> </w:t>
      </w:r>
      <w:r>
        <w:rPr>
          <w:sz w:val="20"/>
        </w:rPr>
        <w:t>D.S.L.,</w:t>
      </w:r>
      <w:r>
        <w:rPr>
          <w:spacing w:val="-4"/>
          <w:sz w:val="20"/>
        </w:rPr>
        <w:t> </w:t>
      </w:r>
      <w:r>
        <w:rPr>
          <w:sz w:val="20"/>
        </w:rPr>
        <w:t>and</w:t>
      </w:r>
      <w:r>
        <w:rPr>
          <w:spacing w:val="-2"/>
          <w:sz w:val="20"/>
        </w:rPr>
        <w:t> </w:t>
      </w:r>
      <w:r>
        <w:rPr>
          <w:sz w:val="20"/>
        </w:rPr>
        <w:t>Woodford,</w:t>
      </w:r>
      <w:r>
        <w:rPr>
          <w:spacing w:val="-4"/>
          <w:sz w:val="20"/>
        </w:rPr>
        <w:t> </w:t>
      </w:r>
      <w:r>
        <w:rPr>
          <w:sz w:val="20"/>
        </w:rPr>
        <w:t>L.</w:t>
      </w:r>
      <w:r>
        <w:rPr>
          <w:spacing w:val="-4"/>
          <w:sz w:val="20"/>
        </w:rPr>
        <w:t> </w:t>
      </w:r>
      <w:r>
        <w:rPr>
          <w:sz w:val="20"/>
        </w:rPr>
        <w:t>(2018). </w:t>
      </w:r>
      <w:r>
        <w:rPr>
          <w:i/>
          <w:sz w:val="20"/>
        </w:rPr>
        <w:t>Estimating</w:t>
      </w:r>
      <w:r>
        <w:rPr>
          <w:i/>
          <w:spacing w:val="-3"/>
          <w:sz w:val="20"/>
        </w:rPr>
        <w:t> </w:t>
      </w:r>
      <w:r>
        <w:rPr>
          <w:i/>
          <w:sz w:val="20"/>
        </w:rPr>
        <w:t>population</w:t>
      </w:r>
      <w:r>
        <w:rPr>
          <w:i/>
          <w:spacing w:val="-5"/>
          <w:sz w:val="20"/>
        </w:rPr>
        <w:t> </w:t>
      </w:r>
      <w:r>
        <w:rPr>
          <w:i/>
          <w:sz w:val="20"/>
        </w:rPr>
        <w:t>changes</w:t>
      </w:r>
      <w:r>
        <w:rPr>
          <w:i/>
          <w:spacing w:val="-3"/>
          <w:sz w:val="20"/>
        </w:rPr>
        <w:t> </w:t>
      </w:r>
      <w:r>
        <w:rPr>
          <w:i/>
          <w:sz w:val="20"/>
        </w:rPr>
        <w:t>in</w:t>
      </w:r>
      <w:r>
        <w:rPr>
          <w:i/>
          <w:spacing w:val="-2"/>
          <w:sz w:val="20"/>
        </w:rPr>
        <w:t> </w:t>
      </w:r>
      <w:r>
        <w:rPr>
          <w:i/>
          <w:sz w:val="20"/>
        </w:rPr>
        <w:t>wild</w:t>
      </w:r>
      <w:r>
        <w:rPr>
          <w:i/>
          <w:spacing w:val="-2"/>
          <w:sz w:val="20"/>
        </w:rPr>
        <w:t> </w:t>
      </w:r>
      <w:r>
        <w:rPr>
          <w:i/>
          <w:sz w:val="20"/>
        </w:rPr>
        <w:t>dogs,</w:t>
      </w:r>
      <w:r>
        <w:rPr>
          <w:i/>
          <w:spacing w:val="-4"/>
          <w:sz w:val="20"/>
        </w:rPr>
        <w:t> </w:t>
      </w:r>
      <w:r>
        <w:rPr>
          <w:i/>
          <w:sz w:val="20"/>
        </w:rPr>
        <w:t>feral</w:t>
      </w:r>
      <w:r>
        <w:rPr>
          <w:i/>
          <w:spacing w:val="-2"/>
          <w:sz w:val="20"/>
        </w:rPr>
        <w:t> </w:t>
      </w:r>
      <w:r>
        <w:rPr>
          <w:i/>
          <w:sz w:val="20"/>
        </w:rPr>
        <w:t>cats</w:t>
      </w:r>
      <w:r>
        <w:rPr>
          <w:i/>
          <w:sz w:val="20"/>
        </w:rPr>
        <w:t> and foxes in relation to an aerial baiting operation in eastern Victoria</w:t>
      </w:r>
      <w:r>
        <w:rPr>
          <w:sz w:val="20"/>
        </w:rPr>
        <w:t>. </w:t>
      </w:r>
      <w:r>
        <w:rPr>
          <w:i/>
          <w:sz w:val="20"/>
        </w:rPr>
        <w:t>Technical Report</w:t>
      </w:r>
      <w:r>
        <w:rPr>
          <w:sz w:val="20"/>
        </w:rPr>
        <w:t>. 292. Arthur Rylah Institute for Environment Research, Department of Environment, Land, Water and Planning.</w:t>
      </w:r>
    </w:p>
    <w:p>
      <w:pPr>
        <w:pStyle w:val="BodyText"/>
        <w:spacing w:before="11"/>
      </w:pPr>
    </w:p>
    <w:p>
      <w:pPr>
        <w:spacing w:before="0"/>
        <w:ind w:left="112" w:right="0" w:firstLine="0"/>
        <w:jc w:val="left"/>
        <w:rPr>
          <w:sz w:val="20"/>
        </w:rPr>
      </w:pPr>
      <w:r>
        <w:rPr>
          <w:sz w:val="20"/>
        </w:rPr>
        <w:t>Robley,</w:t>
      </w:r>
      <w:r>
        <w:rPr>
          <w:spacing w:val="-7"/>
          <w:sz w:val="20"/>
        </w:rPr>
        <w:t> </w:t>
      </w:r>
      <w:r>
        <w:rPr>
          <w:sz w:val="20"/>
        </w:rPr>
        <w:t>A.</w:t>
      </w:r>
      <w:r>
        <w:rPr>
          <w:spacing w:val="-4"/>
          <w:sz w:val="20"/>
        </w:rPr>
        <w:t> </w:t>
      </w:r>
      <w:r>
        <w:rPr>
          <w:sz w:val="20"/>
        </w:rPr>
        <w:t>(2008).</w:t>
      </w:r>
      <w:r>
        <w:rPr>
          <w:spacing w:val="-5"/>
          <w:sz w:val="20"/>
        </w:rPr>
        <w:t> </w:t>
      </w:r>
      <w:r>
        <w:rPr>
          <w:i/>
          <w:sz w:val="20"/>
        </w:rPr>
        <w:t>Assessing</w:t>
      </w:r>
      <w:r>
        <w:rPr>
          <w:i/>
          <w:spacing w:val="-7"/>
          <w:sz w:val="20"/>
        </w:rPr>
        <w:t> </w:t>
      </w:r>
      <w:r>
        <w:rPr>
          <w:i/>
          <w:sz w:val="20"/>
        </w:rPr>
        <w:t>the</w:t>
      </w:r>
      <w:r>
        <w:rPr>
          <w:i/>
          <w:spacing w:val="-6"/>
          <w:sz w:val="20"/>
        </w:rPr>
        <w:t> </w:t>
      </w:r>
      <w:r>
        <w:rPr>
          <w:i/>
          <w:sz w:val="20"/>
        </w:rPr>
        <w:t>effectiveness</w:t>
      </w:r>
      <w:r>
        <w:rPr>
          <w:i/>
          <w:spacing w:val="-6"/>
          <w:sz w:val="20"/>
        </w:rPr>
        <w:t> </w:t>
      </w:r>
      <w:r>
        <w:rPr>
          <w:i/>
          <w:sz w:val="20"/>
        </w:rPr>
        <w:t>of</w:t>
      </w:r>
      <w:r>
        <w:rPr>
          <w:i/>
          <w:spacing w:val="-6"/>
          <w:sz w:val="20"/>
        </w:rPr>
        <w:t> </w:t>
      </w:r>
      <w:r>
        <w:rPr>
          <w:i/>
          <w:sz w:val="20"/>
        </w:rPr>
        <w:t>ground-based</w:t>
      </w:r>
      <w:r>
        <w:rPr>
          <w:i/>
          <w:spacing w:val="-7"/>
          <w:sz w:val="20"/>
        </w:rPr>
        <w:t> </w:t>
      </w:r>
      <w:r>
        <w:rPr>
          <w:i/>
          <w:sz w:val="20"/>
        </w:rPr>
        <w:t>baiting</w:t>
      </w:r>
      <w:r>
        <w:rPr>
          <w:i/>
          <w:spacing w:val="-7"/>
          <w:sz w:val="20"/>
        </w:rPr>
        <w:t> </w:t>
      </w:r>
      <w:r>
        <w:rPr>
          <w:i/>
          <w:sz w:val="20"/>
        </w:rPr>
        <w:t>for</w:t>
      </w:r>
      <w:r>
        <w:rPr>
          <w:i/>
          <w:spacing w:val="-6"/>
          <w:sz w:val="20"/>
        </w:rPr>
        <w:t> </w:t>
      </w:r>
      <w:r>
        <w:rPr>
          <w:i/>
          <w:sz w:val="20"/>
        </w:rPr>
        <w:t>the</w:t>
      </w:r>
      <w:r>
        <w:rPr>
          <w:i/>
          <w:spacing w:val="-7"/>
          <w:sz w:val="20"/>
        </w:rPr>
        <w:t> </w:t>
      </w:r>
      <w:r>
        <w:rPr>
          <w:i/>
          <w:sz w:val="20"/>
        </w:rPr>
        <w:t>control</w:t>
      </w:r>
      <w:r>
        <w:rPr>
          <w:i/>
          <w:spacing w:val="-6"/>
          <w:sz w:val="20"/>
        </w:rPr>
        <w:t> </w:t>
      </w:r>
      <w:r>
        <w:rPr>
          <w:i/>
          <w:sz w:val="20"/>
        </w:rPr>
        <w:t>of</w:t>
      </w:r>
      <w:r>
        <w:rPr>
          <w:i/>
          <w:spacing w:val="-6"/>
          <w:sz w:val="20"/>
        </w:rPr>
        <w:t> </w:t>
      </w:r>
      <w:r>
        <w:rPr>
          <w:i/>
          <w:sz w:val="20"/>
        </w:rPr>
        <w:t>wild</w:t>
      </w:r>
      <w:r>
        <w:rPr>
          <w:i/>
          <w:spacing w:val="-6"/>
          <w:sz w:val="20"/>
        </w:rPr>
        <w:t> </w:t>
      </w:r>
      <w:r>
        <w:rPr>
          <w:i/>
          <w:spacing w:val="-2"/>
          <w:sz w:val="20"/>
        </w:rPr>
        <w:t>dogs</w:t>
      </w:r>
      <w:r>
        <w:rPr>
          <w:spacing w:val="-2"/>
          <w:sz w:val="20"/>
        </w:rPr>
        <w:t>.</w:t>
      </w:r>
    </w:p>
    <w:p>
      <w:pPr>
        <w:pStyle w:val="BodyText"/>
        <w:spacing w:before="1"/>
        <w:ind w:left="833" w:right="247"/>
      </w:pPr>
      <w:r>
        <w:rPr/>
        <w:t>Heidelberg,</w:t>
      </w:r>
      <w:r>
        <w:rPr>
          <w:spacing w:val="-3"/>
        </w:rPr>
        <w:t> </w:t>
      </w:r>
      <w:r>
        <w:rPr/>
        <w:t>Victoria:</w:t>
      </w:r>
      <w:r>
        <w:rPr>
          <w:spacing w:val="-3"/>
        </w:rPr>
        <w:t> </w:t>
      </w:r>
      <w:r>
        <w:rPr/>
        <w:t>Arthur</w:t>
      </w:r>
      <w:r>
        <w:rPr>
          <w:spacing w:val="-2"/>
        </w:rPr>
        <w:t> </w:t>
      </w:r>
      <w:r>
        <w:rPr/>
        <w:t>Rylah</w:t>
      </w:r>
      <w:r>
        <w:rPr>
          <w:spacing w:val="-4"/>
        </w:rPr>
        <w:t> </w:t>
      </w:r>
      <w:r>
        <w:rPr/>
        <w:t>Institute</w:t>
      </w:r>
      <w:r>
        <w:rPr>
          <w:spacing w:val="-4"/>
        </w:rPr>
        <w:t> </w:t>
      </w:r>
      <w:r>
        <w:rPr/>
        <w:t>for</w:t>
      </w:r>
      <w:r>
        <w:rPr>
          <w:spacing w:val="-5"/>
        </w:rPr>
        <w:t> </w:t>
      </w:r>
      <w:r>
        <w:rPr/>
        <w:t>Environmental</w:t>
      </w:r>
      <w:r>
        <w:rPr>
          <w:spacing w:val="-6"/>
        </w:rPr>
        <w:t> </w:t>
      </w:r>
      <w:r>
        <w:rPr/>
        <w:t>Research,</w:t>
      </w:r>
      <w:r>
        <w:rPr>
          <w:spacing w:val="-5"/>
        </w:rPr>
        <w:t> </w:t>
      </w:r>
      <w:r>
        <w:rPr/>
        <w:t>Department</w:t>
      </w:r>
      <w:r>
        <w:rPr>
          <w:spacing w:val="-4"/>
        </w:rPr>
        <w:t> </w:t>
      </w:r>
      <w:r>
        <w:rPr/>
        <w:t>of</w:t>
      </w:r>
      <w:r>
        <w:rPr>
          <w:spacing w:val="-5"/>
        </w:rPr>
        <w:t> </w:t>
      </w:r>
      <w:r>
        <w:rPr/>
        <w:t>Sustainability and Environment.</w:t>
      </w:r>
    </w:p>
    <w:p>
      <w:pPr>
        <w:pStyle w:val="BodyText"/>
        <w:spacing w:before="8"/>
      </w:pPr>
    </w:p>
    <w:p>
      <w:pPr>
        <w:spacing w:before="0"/>
        <w:ind w:left="833" w:right="364" w:hanging="721"/>
        <w:jc w:val="left"/>
        <w:rPr>
          <w:sz w:val="20"/>
        </w:rPr>
      </w:pPr>
      <w:r>
        <w:rPr>
          <w:sz w:val="20"/>
        </w:rPr>
        <w:t>Robley,</w:t>
      </w:r>
      <w:r>
        <w:rPr>
          <w:spacing w:val="-4"/>
          <w:sz w:val="20"/>
        </w:rPr>
        <w:t> </w:t>
      </w:r>
      <w:r>
        <w:rPr>
          <w:sz w:val="20"/>
        </w:rPr>
        <w:t>Alan,</w:t>
      </w:r>
      <w:r>
        <w:rPr>
          <w:spacing w:val="-4"/>
          <w:sz w:val="20"/>
        </w:rPr>
        <w:t> </w:t>
      </w:r>
      <w:r>
        <w:rPr>
          <w:sz w:val="20"/>
        </w:rPr>
        <w:t>Cook,</w:t>
      </w:r>
      <w:r>
        <w:rPr>
          <w:spacing w:val="-4"/>
          <w:sz w:val="20"/>
        </w:rPr>
        <w:t> </w:t>
      </w:r>
      <w:r>
        <w:rPr>
          <w:sz w:val="20"/>
        </w:rPr>
        <w:t>Iain,</w:t>
      </w:r>
      <w:r>
        <w:rPr>
          <w:spacing w:val="-2"/>
          <w:sz w:val="20"/>
        </w:rPr>
        <w:t> </w:t>
      </w:r>
      <w:r>
        <w:rPr>
          <w:sz w:val="20"/>
        </w:rPr>
        <w:t>Moloney,</w:t>
      </w:r>
      <w:r>
        <w:rPr>
          <w:spacing w:val="-4"/>
          <w:sz w:val="20"/>
        </w:rPr>
        <w:t> </w:t>
      </w:r>
      <w:r>
        <w:rPr>
          <w:sz w:val="20"/>
        </w:rPr>
        <w:t>Paul,</w:t>
      </w:r>
      <w:r>
        <w:rPr>
          <w:spacing w:val="-4"/>
          <w:sz w:val="20"/>
        </w:rPr>
        <w:t> </w:t>
      </w:r>
      <w:r>
        <w:rPr>
          <w:sz w:val="20"/>
        </w:rPr>
        <w:t>and</w:t>
      </w:r>
      <w:r>
        <w:rPr>
          <w:spacing w:val="-3"/>
          <w:sz w:val="20"/>
        </w:rPr>
        <w:t> </w:t>
      </w:r>
      <w:r>
        <w:rPr>
          <w:sz w:val="20"/>
        </w:rPr>
        <w:t>Woodford,</w:t>
      </w:r>
      <w:r>
        <w:rPr>
          <w:spacing w:val="-4"/>
          <w:sz w:val="20"/>
        </w:rPr>
        <w:t> </w:t>
      </w:r>
      <w:r>
        <w:rPr>
          <w:sz w:val="20"/>
        </w:rPr>
        <w:t>L.</w:t>
      </w:r>
      <w:r>
        <w:rPr>
          <w:spacing w:val="-4"/>
          <w:sz w:val="20"/>
        </w:rPr>
        <w:t> </w:t>
      </w:r>
      <w:r>
        <w:rPr>
          <w:sz w:val="20"/>
        </w:rPr>
        <w:t>(2015). </w:t>
      </w:r>
      <w:r>
        <w:rPr>
          <w:i/>
          <w:sz w:val="20"/>
        </w:rPr>
        <w:t>Dingo</w:t>
      </w:r>
      <w:r>
        <w:rPr>
          <w:i/>
          <w:spacing w:val="-4"/>
          <w:sz w:val="20"/>
        </w:rPr>
        <w:t> </w:t>
      </w:r>
      <w:r>
        <w:rPr>
          <w:i/>
          <w:sz w:val="20"/>
        </w:rPr>
        <w:t>semiochemicals:</w:t>
      </w:r>
      <w:r>
        <w:rPr>
          <w:i/>
          <w:spacing w:val="-4"/>
          <w:sz w:val="20"/>
        </w:rPr>
        <w:t> </w:t>
      </w:r>
      <w:r>
        <w:rPr>
          <w:i/>
          <w:sz w:val="20"/>
        </w:rPr>
        <w:t>towards</w:t>
      </w:r>
      <w:r>
        <w:rPr>
          <w:i/>
          <w:spacing w:val="-3"/>
          <w:sz w:val="20"/>
        </w:rPr>
        <w:t> </w:t>
      </w:r>
      <w:r>
        <w:rPr>
          <w:i/>
          <w:sz w:val="20"/>
        </w:rPr>
        <w:t>a</w:t>
      </w:r>
      <w:r>
        <w:rPr>
          <w:i/>
          <w:spacing w:val="-2"/>
          <w:sz w:val="20"/>
        </w:rPr>
        <w:t> </w:t>
      </w:r>
      <w:r>
        <w:rPr>
          <w:i/>
          <w:sz w:val="20"/>
        </w:rPr>
        <w:t>non-</w:t>
      </w:r>
      <w:r>
        <w:rPr>
          <w:i/>
          <w:sz w:val="20"/>
        </w:rPr>
        <w:t> lethal</w:t>
      </w:r>
      <w:r>
        <w:rPr>
          <w:i/>
          <w:spacing w:val="-1"/>
          <w:sz w:val="20"/>
        </w:rPr>
        <w:t> </w:t>
      </w:r>
      <w:r>
        <w:rPr>
          <w:i/>
          <w:sz w:val="20"/>
        </w:rPr>
        <w:t>control</w:t>
      </w:r>
      <w:r>
        <w:rPr>
          <w:i/>
          <w:spacing w:val="-1"/>
          <w:sz w:val="20"/>
        </w:rPr>
        <w:t> </w:t>
      </w:r>
      <w:r>
        <w:rPr>
          <w:i/>
          <w:sz w:val="20"/>
        </w:rPr>
        <w:t>tool</w:t>
      </w:r>
      <w:r>
        <w:rPr>
          <w:i/>
          <w:spacing w:val="-1"/>
          <w:sz w:val="20"/>
        </w:rPr>
        <w:t> </w:t>
      </w:r>
      <w:r>
        <w:rPr>
          <w:i/>
          <w:sz w:val="20"/>
        </w:rPr>
        <w:t>for the management of dingoes and wild dogs in Australia</w:t>
      </w:r>
      <w:r>
        <w:rPr>
          <w:sz w:val="20"/>
        </w:rPr>
        <w:t>. Heidelberg, Victoria: Arthur Rylah Institute for Environmental Research.</w:t>
      </w:r>
    </w:p>
    <w:p>
      <w:pPr>
        <w:pStyle w:val="BodyText"/>
        <w:spacing w:before="11"/>
      </w:pPr>
    </w:p>
    <w:p>
      <w:pPr>
        <w:pStyle w:val="BodyText"/>
        <w:spacing w:before="1"/>
        <w:ind w:left="833" w:right="544" w:hanging="721"/>
      </w:pPr>
      <w:r>
        <w:rPr/>
        <w:t>Robley,</w:t>
      </w:r>
      <w:r>
        <w:rPr>
          <w:spacing w:val="-4"/>
        </w:rPr>
        <w:t> </w:t>
      </w:r>
      <w:r>
        <w:rPr/>
        <w:t>A.,</w:t>
      </w:r>
      <w:r>
        <w:rPr>
          <w:spacing w:val="-4"/>
        </w:rPr>
        <w:t> </w:t>
      </w:r>
      <w:r>
        <w:rPr/>
        <w:t>Gormley,</w:t>
      </w:r>
      <w:r>
        <w:rPr>
          <w:spacing w:val="-2"/>
        </w:rPr>
        <w:t> </w:t>
      </w:r>
      <w:r>
        <w:rPr/>
        <w:t>A.M., Forsyth,</w:t>
      </w:r>
      <w:r>
        <w:rPr>
          <w:spacing w:val="-4"/>
        </w:rPr>
        <w:t> </w:t>
      </w:r>
      <w:r>
        <w:rPr/>
        <w:t>D.M.,</w:t>
      </w:r>
      <w:r>
        <w:rPr>
          <w:spacing w:val="-2"/>
        </w:rPr>
        <w:t> </w:t>
      </w:r>
      <w:r>
        <w:rPr/>
        <w:t>and</w:t>
      </w:r>
      <w:r>
        <w:rPr>
          <w:spacing w:val="-2"/>
        </w:rPr>
        <w:t> </w:t>
      </w:r>
      <w:r>
        <w:rPr/>
        <w:t>Triggs,</w:t>
      </w:r>
      <w:r>
        <w:rPr>
          <w:spacing w:val="-2"/>
        </w:rPr>
        <w:t> </w:t>
      </w:r>
      <w:r>
        <w:rPr/>
        <w:t>B.</w:t>
      </w:r>
      <w:r>
        <w:rPr>
          <w:spacing w:val="-4"/>
        </w:rPr>
        <w:t> </w:t>
      </w:r>
      <w:r>
        <w:rPr/>
        <w:t>(2014).</w:t>
      </w:r>
      <w:r>
        <w:rPr>
          <w:spacing w:val="-4"/>
        </w:rPr>
        <w:t> </w:t>
      </w:r>
      <w:r>
        <w:rPr/>
        <w:t>Long-term</w:t>
      </w:r>
      <w:r>
        <w:rPr>
          <w:spacing w:val="-4"/>
        </w:rPr>
        <w:t> </w:t>
      </w:r>
      <w:r>
        <w:rPr/>
        <w:t>and</w:t>
      </w:r>
      <w:r>
        <w:rPr>
          <w:spacing w:val="-3"/>
        </w:rPr>
        <w:t> </w:t>
      </w:r>
      <w:r>
        <w:rPr/>
        <w:t>large-scale</w:t>
      </w:r>
      <w:r>
        <w:rPr>
          <w:spacing w:val="-4"/>
        </w:rPr>
        <w:t> </w:t>
      </w:r>
      <w:r>
        <w:rPr/>
        <w:t>control</w:t>
      </w:r>
      <w:r>
        <w:rPr>
          <w:spacing w:val="-3"/>
        </w:rPr>
        <w:t> </w:t>
      </w:r>
      <w:r>
        <w:rPr/>
        <w:t>of</w:t>
      </w:r>
      <w:r>
        <w:rPr>
          <w:spacing w:val="-4"/>
        </w:rPr>
        <w:t> </w:t>
      </w:r>
      <w:r>
        <w:rPr/>
        <w:t>the introduced red fox increases native mammal occupancy in Australian forests. </w:t>
      </w:r>
      <w:r>
        <w:rPr>
          <w:i/>
        </w:rPr>
        <w:t>Biological</w:t>
      </w:r>
      <w:r>
        <w:rPr>
          <w:i/>
        </w:rPr>
        <w:t> Conservation </w:t>
      </w:r>
      <w:r>
        <w:rPr>
          <w:b/>
        </w:rPr>
        <w:t>180</w:t>
      </w:r>
      <w:r>
        <w:rPr/>
        <w:t>:262–69.</w:t>
      </w:r>
    </w:p>
    <w:p>
      <w:pPr>
        <w:pStyle w:val="BodyText"/>
        <w:spacing w:before="8"/>
      </w:pPr>
    </w:p>
    <w:p>
      <w:pPr>
        <w:spacing w:before="1"/>
        <w:ind w:left="833" w:right="364" w:hanging="721"/>
        <w:jc w:val="left"/>
        <w:rPr>
          <w:sz w:val="20"/>
        </w:rPr>
      </w:pPr>
      <w:r>
        <w:rPr>
          <w:sz w:val="20"/>
        </w:rPr>
        <w:t>Robley, A., Woodford, L., Lee, P., Kingston, V., Peters, W., Klippell, D., and Gormley, A. (2009). </w:t>
      </w:r>
      <w:r>
        <w:rPr>
          <w:i/>
          <w:sz w:val="20"/>
        </w:rPr>
        <w:t>Assessing</w:t>
      </w:r>
      <w:r>
        <w:rPr>
          <w:i/>
          <w:sz w:val="20"/>
        </w:rPr>
        <w:t> the</w:t>
      </w:r>
      <w:r>
        <w:rPr>
          <w:i/>
          <w:spacing w:val="-4"/>
          <w:sz w:val="20"/>
        </w:rPr>
        <w:t> </w:t>
      </w:r>
      <w:r>
        <w:rPr>
          <w:i/>
          <w:sz w:val="20"/>
        </w:rPr>
        <w:t>effectiveness</w:t>
      </w:r>
      <w:r>
        <w:rPr>
          <w:i/>
          <w:spacing w:val="-2"/>
          <w:sz w:val="20"/>
        </w:rPr>
        <w:t> </w:t>
      </w:r>
      <w:r>
        <w:rPr>
          <w:i/>
          <w:sz w:val="20"/>
        </w:rPr>
        <w:t>of</w:t>
      </w:r>
      <w:r>
        <w:rPr>
          <w:i/>
          <w:spacing w:val="-1"/>
          <w:sz w:val="20"/>
        </w:rPr>
        <w:t> </w:t>
      </w:r>
      <w:r>
        <w:rPr>
          <w:i/>
          <w:sz w:val="20"/>
        </w:rPr>
        <w:t>ground-based</w:t>
      </w:r>
      <w:r>
        <w:rPr>
          <w:i/>
          <w:spacing w:val="-4"/>
          <w:sz w:val="20"/>
        </w:rPr>
        <w:t> </w:t>
      </w:r>
      <w:r>
        <w:rPr>
          <w:i/>
          <w:sz w:val="20"/>
        </w:rPr>
        <w:t>baiting</w:t>
      </w:r>
      <w:r>
        <w:rPr>
          <w:i/>
          <w:spacing w:val="-3"/>
          <w:sz w:val="20"/>
        </w:rPr>
        <w:t> </w:t>
      </w:r>
      <w:r>
        <w:rPr>
          <w:i/>
          <w:sz w:val="20"/>
        </w:rPr>
        <w:t>for</w:t>
      </w:r>
      <w:r>
        <w:rPr>
          <w:i/>
          <w:spacing w:val="-3"/>
          <w:sz w:val="20"/>
        </w:rPr>
        <w:t> </w:t>
      </w:r>
      <w:r>
        <w:rPr>
          <w:i/>
          <w:sz w:val="20"/>
        </w:rPr>
        <w:t>the</w:t>
      </w:r>
      <w:r>
        <w:rPr>
          <w:i/>
          <w:spacing w:val="-4"/>
          <w:sz w:val="20"/>
        </w:rPr>
        <w:t> </w:t>
      </w:r>
      <w:r>
        <w:rPr>
          <w:i/>
          <w:sz w:val="20"/>
        </w:rPr>
        <w:t>control</w:t>
      </w:r>
      <w:r>
        <w:rPr>
          <w:i/>
          <w:spacing w:val="-4"/>
          <w:sz w:val="20"/>
        </w:rPr>
        <w:t> </w:t>
      </w:r>
      <w:r>
        <w:rPr>
          <w:i/>
          <w:sz w:val="20"/>
        </w:rPr>
        <w:t>of</w:t>
      </w:r>
      <w:r>
        <w:rPr>
          <w:i/>
          <w:spacing w:val="-3"/>
          <w:sz w:val="20"/>
        </w:rPr>
        <w:t> </w:t>
      </w:r>
      <w:r>
        <w:rPr>
          <w:i/>
          <w:sz w:val="20"/>
        </w:rPr>
        <w:t>wild</w:t>
      </w:r>
      <w:r>
        <w:rPr>
          <w:i/>
          <w:spacing w:val="-1"/>
          <w:sz w:val="20"/>
        </w:rPr>
        <w:t> </w:t>
      </w:r>
      <w:r>
        <w:rPr>
          <w:i/>
          <w:sz w:val="20"/>
        </w:rPr>
        <w:t>dogs</w:t>
      </w:r>
      <w:r>
        <w:rPr>
          <w:sz w:val="20"/>
        </w:rPr>
        <w:t>.</w:t>
      </w:r>
      <w:r>
        <w:rPr>
          <w:spacing w:val="-3"/>
          <w:sz w:val="20"/>
        </w:rPr>
        <w:t> </w:t>
      </w:r>
      <w:r>
        <w:rPr>
          <w:i/>
          <w:sz w:val="20"/>
        </w:rPr>
        <w:t>Technical</w:t>
      </w:r>
      <w:r>
        <w:rPr>
          <w:i/>
          <w:spacing w:val="-4"/>
          <w:sz w:val="20"/>
        </w:rPr>
        <w:t> </w:t>
      </w:r>
      <w:r>
        <w:rPr>
          <w:i/>
          <w:sz w:val="20"/>
        </w:rPr>
        <w:t>Report Series</w:t>
      </w:r>
      <w:r>
        <w:rPr>
          <w:sz w:val="20"/>
        </w:rPr>
        <w:t>.</w:t>
      </w:r>
      <w:r>
        <w:rPr>
          <w:spacing w:val="-3"/>
          <w:sz w:val="20"/>
        </w:rPr>
        <w:t> </w:t>
      </w:r>
      <w:r>
        <w:rPr>
          <w:sz w:val="20"/>
        </w:rPr>
        <w:t>193. Arthur Rylah Institute for Environmental Research, Department of Sustainability and Environment.</w:t>
      </w:r>
    </w:p>
    <w:p>
      <w:pPr>
        <w:pStyle w:val="BodyText"/>
        <w:spacing w:before="11"/>
      </w:pPr>
    </w:p>
    <w:p>
      <w:pPr>
        <w:pStyle w:val="BodyText"/>
        <w:ind w:left="833" w:right="163" w:hanging="721"/>
      </w:pPr>
      <w:r>
        <w:rPr/>
        <w:t>Ross,</w:t>
      </w:r>
      <w:r>
        <w:rPr>
          <w:spacing w:val="-4"/>
        </w:rPr>
        <w:t> </w:t>
      </w:r>
      <w:r>
        <w:rPr/>
        <w:t>J.,</w:t>
      </w:r>
      <w:r>
        <w:rPr>
          <w:spacing w:val="-4"/>
        </w:rPr>
        <w:t> </w:t>
      </w:r>
      <w:r>
        <w:rPr/>
        <w:t>Page,</w:t>
      </w:r>
      <w:r>
        <w:rPr>
          <w:spacing w:val="-4"/>
        </w:rPr>
        <w:t> </w:t>
      </w:r>
      <w:r>
        <w:rPr/>
        <w:t>R.J.C.,</w:t>
      </w:r>
      <w:r>
        <w:rPr>
          <w:spacing w:val="-4"/>
        </w:rPr>
        <w:t> </w:t>
      </w:r>
      <w:r>
        <w:rPr/>
        <w:t>Nadian,</w:t>
      </w:r>
      <w:r>
        <w:rPr>
          <w:spacing w:val="-2"/>
        </w:rPr>
        <w:t> </w:t>
      </w:r>
      <w:r>
        <w:rPr/>
        <w:t>A.K.,</w:t>
      </w:r>
      <w:r>
        <w:rPr>
          <w:spacing w:val="-2"/>
        </w:rPr>
        <w:t> </w:t>
      </w:r>
      <w:r>
        <w:rPr/>
        <w:t>and</w:t>
      </w:r>
      <w:r>
        <w:rPr>
          <w:spacing w:val="-2"/>
        </w:rPr>
        <w:t> </w:t>
      </w:r>
      <w:r>
        <w:rPr/>
        <w:t>Langton,</w:t>
      </w:r>
      <w:r>
        <w:rPr>
          <w:spacing w:val="-2"/>
        </w:rPr>
        <w:t> </w:t>
      </w:r>
      <w:r>
        <w:rPr/>
        <w:t>S.D.</w:t>
      </w:r>
      <w:r>
        <w:rPr>
          <w:spacing w:val="-4"/>
        </w:rPr>
        <w:t> </w:t>
      </w:r>
      <w:r>
        <w:rPr/>
        <w:t>(1998).</w:t>
      </w:r>
      <w:r>
        <w:rPr>
          <w:spacing w:val="-2"/>
        </w:rPr>
        <w:t> </w:t>
      </w:r>
      <w:r>
        <w:rPr/>
        <w:t>The</w:t>
      </w:r>
      <w:r>
        <w:rPr>
          <w:spacing w:val="-2"/>
        </w:rPr>
        <w:t> </w:t>
      </w:r>
      <w:r>
        <w:rPr/>
        <w:t>development</w:t>
      </w:r>
      <w:r>
        <w:rPr>
          <w:spacing w:val="-1"/>
        </w:rPr>
        <w:t> </w:t>
      </w:r>
      <w:r>
        <w:rPr/>
        <w:t>of</w:t>
      </w:r>
      <w:r>
        <w:rPr>
          <w:spacing w:val="-4"/>
        </w:rPr>
        <w:t> </w:t>
      </w:r>
      <w:r>
        <w:rPr/>
        <w:t>a</w:t>
      </w:r>
      <w:r>
        <w:rPr>
          <w:spacing w:val="-4"/>
        </w:rPr>
        <w:t> </w:t>
      </w:r>
      <w:r>
        <w:rPr/>
        <w:t>carbon</w:t>
      </w:r>
      <w:r>
        <w:rPr>
          <w:spacing w:val="-3"/>
        </w:rPr>
        <w:t> </w:t>
      </w:r>
      <w:r>
        <w:rPr/>
        <w:t>monoxide producing cartridge for rabbit control. </w:t>
      </w:r>
      <w:r>
        <w:rPr>
          <w:i/>
        </w:rPr>
        <w:t>Wildlife Research </w:t>
      </w:r>
      <w:r>
        <w:rPr>
          <w:b/>
        </w:rPr>
        <w:t>25</w:t>
      </w:r>
      <w:r>
        <w:rPr/>
        <w:t>(3):305. doi: 10.1071/WR97012.</w:t>
      </w:r>
    </w:p>
    <w:p>
      <w:pPr>
        <w:pStyle w:val="BodyText"/>
        <w:spacing w:before="8"/>
      </w:pPr>
    </w:p>
    <w:p>
      <w:pPr>
        <w:pStyle w:val="BodyText"/>
        <w:spacing w:before="1"/>
        <w:ind w:left="833" w:right="163" w:hanging="721"/>
      </w:pPr>
      <w:r>
        <w:rPr/>
        <w:t>Ross, J., and Eason, C. (2022). A 2022 review of sodium fluoroacetate for conservation and protecting endangered</w:t>
      </w:r>
      <w:r>
        <w:rPr>
          <w:spacing w:val="-5"/>
        </w:rPr>
        <w:t> </w:t>
      </w:r>
      <w:r>
        <w:rPr/>
        <w:t>species</w:t>
      </w:r>
      <w:r>
        <w:rPr>
          <w:spacing w:val="-3"/>
        </w:rPr>
        <w:t> </w:t>
      </w:r>
      <w:r>
        <w:rPr/>
        <w:t>in</w:t>
      </w:r>
      <w:r>
        <w:rPr>
          <w:spacing w:val="-3"/>
        </w:rPr>
        <w:t> </w:t>
      </w:r>
      <w:r>
        <w:rPr/>
        <w:t>New</w:t>
      </w:r>
      <w:r>
        <w:rPr>
          <w:spacing w:val="-3"/>
        </w:rPr>
        <w:t> </w:t>
      </w:r>
      <w:r>
        <w:rPr/>
        <w:t>Zealand.</w:t>
      </w:r>
      <w:r>
        <w:rPr>
          <w:spacing w:val="-4"/>
        </w:rPr>
        <w:t> </w:t>
      </w:r>
      <w:r>
        <w:rPr/>
        <w:t>Pp.</w:t>
      </w:r>
      <w:r>
        <w:rPr>
          <w:spacing w:val="-4"/>
        </w:rPr>
        <w:t> </w:t>
      </w:r>
      <w:r>
        <w:rPr/>
        <w:t>1–8</w:t>
      </w:r>
      <w:r>
        <w:rPr>
          <w:spacing w:val="-2"/>
        </w:rPr>
        <w:t> </w:t>
      </w:r>
      <w:r>
        <w:rPr/>
        <w:t>in</w:t>
      </w:r>
      <w:r>
        <w:rPr>
          <w:spacing w:val="-2"/>
        </w:rPr>
        <w:t> </w:t>
      </w:r>
      <w:r>
        <w:rPr>
          <w:i/>
        </w:rPr>
        <w:t>Proceedings,</w:t>
      </w:r>
      <w:r>
        <w:rPr>
          <w:i/>
          <w:spacing w:val="-2"/>
        </w:rPr>
        <w:t> </w:t>
      </w:r>
      <w:r>
        <w:rPr>
          <w:i/>
        </w:rPr>
        <w:t>30th</w:t>
      </w:r>
      <w:r>
        <w:rPr>
          <w:i/>
          <w:spacing w:val="-2"/>
        </w:rPr>
        <w:t> </w:t>
      </w:r>
      <w:r>
        <w:rPr>
          <w:i/>
        </w:rPr>
        <w:t>Vertebrate</w:t>
      </w:r>
      <w:r>
        <w:rPr>
          <w:i/>
          <w:spacing w:val="-4"/>
        </w:rPr>
        <w:t> </w:t>
      </w:r>
      <w:r>
        <w:rPr>
          <w:i/>
        </w:rPr>
        <w:t>Pest</w:t>
      </w:r>
      <w:r>
        <w:rPr>
          <w:i/>
          <w:spacing w:val="-4"/>
        </w:rPr>
        <w:t> </w:t>
      </w:r>
      <w:r>
        <w:rPr>
          <w:i/>
        </w:rPr>
        <w:t>Conference</w:t>
      </w:r>
      <w:r>
        <w:rPr/>
        <w:t>. University of California Press.</w:t>
      </w:r>
    </w:p>
    <w:p>
      <w:pPr>
        <w:pStyle w:val="BodyText"/>
        <w:spacing w:before="11"/>
      </w:pPr>
    </w:p>
    <w:p>
      <w:pPr>
        <w:pStyle w:val="BodyText"/>
        <w:ind w:left="112"/>
      </w:pPr>
      <w:r>
        <w:rPr/>
        <w:t>Ross,</w:t>
      </w:r>
      <w:r>
        <w:rPr>
          <w:spacing w:val="-7"/>
        </w:rPr>
        <w:t> </w:t>
      </w:r>
      <w:r>
        <w:rPr/>
        <w:t>J.</w:t>
      </w:r>
      <w:r>
        <w:rPr>
          <w:spacing w:val="-6"/>
        </w:rPr>
        <w:t> </w:t>
      </w:r>
      <w:r>
        <w:rPr/>
        <w:t>(1986).</w:t>
      </w:r>
      <w:r>
        <w:rPr>
          <w:spacing w:val="-4"/>
        </w:rPr>
        <w:t> </w:t>
      </w:r>
      <w:r>
        <w:rPr/>
        <w:t>Comparison</w:t>
      </w:r>
      <w:r>
        <w:rPr>
          <w:spacing w:val="-7"/>
        </w:rPr>
        <w:t> </w:t>
      </w:r>
      <w:r>
        <w:rPr/>
        <w:t>of</w:t>
      </w:r>
      <w:r>
        <w:rPr>
          <w:spacing w:val="-6"/>
        </w:rPr>
        <w:t> </w:t>
      </w:r>
      <w:r>
        <w:rPr/>
        <w:t>fumigant</w:t>
      </w:r>
      <w:r>
        <w:rPr>
          <w:spacing w:val="-6"/>
        </w:rPr>
        <w:t> </w:t>
      </w:r>
      <w:r>
        <w:rPr/>
        <w:t>gasses</w:t>
      </w:r>
      <w:r>
        <w:rPr>
          <w:spacing w:val="-6"/>
        </w:rPr>
        <w:t> </w:t>
      </w:r>
      <w:r>
        <w:rPr/>
        <w:t>used</w:t>
      </w:r>
      <w:r>
        <w:rPr>
          <w:spacing w:val="-7"/>
        </w:rPr>
        <w:t> </w:t>
      </w:r>
      <w:r>
        <w:rPr/>
        <w:t>for</w:t>
      </w:r>
      <w:r>
        <w:rPr>
          <w:spacing w:val="-6"/>
        </w:rPr>
        <w:t> </w:t>
      </w:r>
      <w:r>
        <w:rPr/>
        <w:t>rabbit</w:t>
      </w:r>
      <w:r>
        <w:rPr>
          <w:spacing w:val="-6"/>
        </w:rPr>
        <w:t> </w:t>
      </w:r>
      <w:r>
        <w:rPr/>
        <w:t>control</w:t>
      </w:r>
      <w:r>
        <w:rPr>
          <w:spacing w:val="-6"/>
        </w:rPr>
        <w:t> </w:t>
      </w:r>
      <w:r>
        <w:rPr/>
        <w:t>in Great</w:t>
      </w:r>
      <w:r>
        <w:rPr>
          <w:spacing w:val="-5"/>
        </w:rPr>
        <w:t> </w:t>
      </w:r>
      <w:r>
        <w:rPr/>
        <w:t>Britain.</w:t>
      </w:r>
      <w:r>
        <w:rPr>
          <w:spacing w:val="-4"/>
        </w:rPr>
        <w:t> </w:t>
      </w:r>
      <w:r>
        <w:rPr/>
        <w:t>Pp.</w:t>
      </w:r>
      <w:r>
        <w:rPr>
          <w:spacing w:val="-5"/>
        </w:rPr>
        <w:t> </w:t>
      </w:r>
      <w:r>
        <w:rPr/>
        <w:t>153–57</w:t>
      </w:r>
      <w:r>
        <w:rPr>
          <w:spacing w:val="-6"/>
        </w:rPr>
        <w:t> </w:t>
      </w:r>
      <w:r>
        <w:rPr>
          <w:spacing w:val="-5"/>
        </w:rPr>
        <w:t>in</w:t>
      </w:r>
    </w:p>
    <w:p>
      <w:pPr>
        <w:spacing w:before="0"/>
        <w:ind w:left="833" w:right="0" w:firstLine="0"/>
        <w:jc w:val="left"/>
        <w:rPr>
          <w:sz w:val="20"/>
        </w:rPr>
      </w:pPr>
      <w:r>
        <w:rPr>
          <w:i/>
          <w:sz w:val="20"/>
        </w:rPr>
        <w:t>Proceedings</w:t>
      </w:r>
      <w:r>
        <w:rPr>
          <w:i/>
          <w:spacing w:val="-9"/>
          <w:sz w:val="20"/>
        </w:rPr>
        <w:t> </w:t>
      </w:r>
      <w:r>
        <w:rPr>
          <w:i/>
          <w:sz w:val="20"/>
        </w:rPr>
        <w:t>12th</w:t>
      </w:r>
      <w:r>
        <w:rPr>
          <w:i/>
          <w:spacing w:val="-9"/>
          <w:sz w:val="20"/>
        </w:rPr>
        <w:t> </w:t>
      </w:r>
      <w:r>
        <w:rPr>
          <w:i/>
          <w:sz w:val="20"/>
        </w:rPr>
        <w:t>Vertebrate</w:t>
      </w:r>
      <w:r>
        <w:rPr>
          <w:i/>
          <w:spacing w:val="-9"/>
          <w:sz w:val="20"/>
        </w:rPr>
        <w:t> </w:t>
      </w:r>
      <w:r>
        <w:rPr>
          <w:i/>
          <w:sz w:val="20"/>
        </w:rPr>
        <w:t>Pest</w:t>
      </w:r>
      <w:r>
        <w:rPr>
          <w:i/>
          <w:spacing w:val="-7"/>
          <w:sz w:val="20"/>
        </w:rPr>
        <w:t> </w:t>
      </w:r>
      <w:r>
        <w:rPr>
          <w:i/>
          <w:sz w:val="20"/>
        </w:rPr>
        <w:t>Conference</w:t>
      </w:r>
      <w:r>
        <w:rPr>
          <w:sz w:val="20"/>
        </w:rPr>
        <w:t>.</w:t>
      </w:r>
      <w:r>
        <w:rPr>
          <w:spacing w:val="-8"/>
          <w:sz w:val="20"/>
        </w:rPr>
        <w:t> </w:t>
      </w:r>
      <w:r>
        <w:rPr>
          <w:sz w:val="20"/>
        </w:rPr>
        <w:t>University</w:t>
      </w:r>
      <w:r>
        <w:rPr>
          <w:spacing w:val="-8"/>
          <w:sz w:val="20"/>
        </w:rPr>
        <w:t> </w:t>
      </w:r>
      <w:r>
        <w:rPr>
          <w:sz w:val="20"/>
        </w:rPr>
        <w:t>of</w:t>
      </w:r>
      <w:r>
        <w:rPr>
          <w:spacing w:val="-9"/>
          <w:sz w:val="20"/>
        </w:rPr>
        <w:t> </w:t>
      </w:r>
      <w:r>
        <w:rPr>
          <w:sz w:val="20"/>
        </w:rPr>
        <w:t>California,</w:t>
      </w:r>
      <w:r>
        <w:rPr>
          <w:spacing w:val="-8"/>
          <w:sz w:val="20"/>
        </w:rPr>
        <w:t> </w:t>
      </w:r>
      <w:r>
        <w:rPr>
          <w:sz w:val="20"/>
        </w:rPr>
        <w:t>Davis,</w:t>
      </w:r>
      <w:r>
        <w:rPr>
          <w:spacing w:val="-9"/>
          <w:sz w:val="20"/>
        </w:rPr>
        <w:t> </w:t>
      </w:r>
      <w:r>
        <w:rPr>
          <w:spacing w:val="-2"/>
          <w:sz w:val="20"/>
        </w:rPr>
        <w:t>California.</w:t>
      </w:r>
    </w:p>
    <w:p>
      <w:pPr>
        <w:pStyle w:val="BodyText"/>
        <w:spacing w:before="11"/>
      </w:pPr>
    </w:p>
    <w:p>
      <w:pPr>
        <w:pStyle w:val="BodyText"/>
        <w:ind w:left="833" w:right="163" w:hanging="721"/>
      </w:pPr>
      <w:r>
        <w:rPr/>
        <w:t>Rowley,</w:t>
      </w:r>
      <w:r>
        <w:rPr>
          <w:spacing w:val="-4"/>
        </w:rPr>
        <w:t> </w:t>
      </w:r>
      <w:r>
        <w:rPr/>
        <w:t>I.</w:t>
      </w:r>
      <w:r>
        <w:rPr>
          <w:spacing w:val="-4"/>
        </w:rPr>
        <w:t> </w:t>
      </w:r>
      <w:r>
        <w:rPr/>
        <w:t>(1960).</w:t>
      </w:r>
      <w:r>
        <w:rPr>
          <w:spacing w:val="-4"/>
        </w:rPr>
        <w:t> </w:t>
      </w:r>
      <w:r>
        <w:rPr/>
        <w:t>The</w:t>
      </w:r>
      <w:r>
        <w:rPr>
          <w:spacing w:val="-4"/>
        </w:rPr>
        <w:t> </w:t>
      </w:r>
      <w:r>
        <w:rPr/>
        <w:t>effect</w:t>
      </w:r>
      <w:r>
        <w:rPr>
          <w:spacing w:val="-4"/>
        </w:rPr>
        <w:t> </w:t>
      </w:r>
      <w:r>
        <w:rPr/>
        <w:t>of</w:t>
      </w:r>
      <w:r>
        <w:rPr>
          <w:spacing w:val="-4"/>
        </w:rPr>
        <w:t> </w:t>
      </w:r>
      <w:r>
        <w:rPr/>
        <w:t>concentration</w:t>
      </w:r>
      <w:r>
        <w:rPr>
          <w:spacing w:val="-3"/>
        </w:rPr>
        <w:t> </w:t>
      </w:r>
      <w:r>
        <w:rPr/>
        <w:t>on</w:t>
      </w:r>
      <w:r>
        <w:rPr>
          <w:spacing w:val="-5"/>
        </w:rPr>
        <w:t> </w:t>
      </w:r>
      <w:r>
        <w:rPr/>
        <w:t>the</w:t>
      </w:r>
      <w:r>
        <w:rPr>
          <w:spacing w:val="-3"/>
        </w:rPr>
        <w:t> </w:t>
      </w:r>
      <w:r>
        <w:rPr/>
        <w:t>ingestion</w:t>
      </w:r>
      <w:r>
        <w:rPr>
          <w:spacing w:val="-3"/>
        </w:rPr>
        <w:t> </w:t>
      </w:r>
      <w:r>
        <w:rPr/>
        <w:t>of</w:t>
      </w:r>
      <w:r>
        <w:rPr>
          <w:spacing w:val="-4"/>
        </w:rPr>
        <w:t> </w:t>
      </w:r>
      <w:r>
        <w:rPr/>
        <w:t>‘1080’</w:t>
      </w:r>
      <w:r>
        <w:rPr>
          <w:spacing w:val="-3"/>
        </w:rPr>
        <w:t> </w:t>
      </w:r>
      <w:r>
        <w:rPr/>
        <w:t>poisoned</w:t>
      </w:r>
      <w:r>
        <w:rPr>
          <w:spacing w:val="-2"/>
        </w:rPr>
        <w:t> </w:t>
      </w:r>
      <w:r>
        <w:rPr/>
        <w:t>baits</w:t>
      </w:r>
      <w:r>
        <w:rPr>
          <w:spacing w:val="-3"/>
        </w:rPr>
        <w:t> </w:t>
      </w:r>
      <w:r>
        <w:rPr/>
        <w:t>by</w:t>
      </w:r>
      <w:r>
        <w:rPr>
          <w:spacing w:val="-3"/>
        </w:rPr>
        <w:t> </w:t>
      </w:r>
      <w:r>
        <w:rPr/>
        <w:t>the</w:t>
      </w:r>
      <w:r>
        <w:rPr>
          <w:spacing w:val="-2"/>
        </w:rPr>
        <w:t> </w:t>
      </w:r>
      <w:r>
        <w:rPr/>
        <w:t>rabbit. </w:t>
      </w:r>
      <w:r>
        <w:rPr>
          <w:i/>
        </w:rPr>
        <w:t>CSIRO</w:t>
      </w:r>
      <w:r>
        <w:rPr>
          <w:i/>
        </w:rPr>
        <w:t> Wildlife Research </w:t>
      </w:r>
      <w:r>
        <w:rPr>
          <w:b/>
        </w:rPr>
        <w:t>5</w:t>
      </w:r>
      <w:r>
        <w:rPr/>
        <w:t>(2):126–33.</w:t>
      </w:r>
    </w:p>
    <w:p>
      <w:pPr>
        <w:pStyle w:val="BodyText"/>
        <w:spacing w:before="9"/>
      </w:pPr>
    </w:p>
    <w:p>
      <w:pPr>
        <w:spacing w:before="0"/>
        <w:ind w:left="112" w:right="0" w:firstLine="0"/>
        <w:jc w:val="left"/>
        <w:rPr>
          <w:i/>
          <w:sz w:val="20"/>
        </w:rPr>
      </w:pPr>
      <w:r>
        <w:rPr>
          <w:sz w:val="20"/>
        </w:rPr>
        <w:t>Rowley,</w:t>
      </w:r>
      <w:r>
        <w:rPr>
          <w:spacing w:val="-9"/>
          <w:sz w:val="20"/>
        </w:rPr>
        <w:t> </w:t>
      </w:r>
      <w:r>
        <w:rPr>
          <w:sz w:val="20"/>
        </w:rPr>
        <w:t>I.</w:t>
      </w:r>
      <w:r>
        <w:rPr>
          <w:spacing w:val="-8"/>
          <w:sz w:val="20"/>
        </w:rPr>
        <w:t> </w:t>
      </w:r>
      <w:r>
        <w:rPr>
          <w:sz w:val="20"/>
        </w:rPr>
        <w:t>(1968).</w:t>
      </w:r>
      <w:r>
        <w:rPr>
          <w:spacing w:val="-6"/>
          <w:sz w:val="20"/>
        </w:rPr>
        <w:t> </w:t>
      </w:r>
      <w:r>
        <w:rPr>
          <w:sz w:val="20"/>
        </w:rPr>
        <w:t>Studies</w:t>
      </w:r>
      <w:r>
        <w:rPr>
          <w:spacing w:val="-7"/>
          <w:sz w:val="20"/>
        </w:rPr>
        <w:t> </w:t>
      </w:r>
      <w:r>
        <w:rPr>
          <w:sz w:val="20"/>
        </w:rPr>
        <w:t>on</w:t>
      </w:r>
      <w:r>
        <w:rPr>
          <w:spacing w:val="-9"/>
          <w:sz w:val="20"/>
        </w:rPr>
        <w:t> </w:t>
      </w:r>
      <w:r>
        <w:rPr>
          <w:sz w:val="20"/>
        </w:rPr>
        <w:t>the</w:t>
      </w:r>
      <w:r>
        <w:rPr>
          <w:spacing w:val="-8"/>
          <w:sz w:val="20"/>
        </w:rPr>
        <w:t> </w:t>
      </w:r>
      <w:r>
        <w:rPr>
          <w:sz w:val="20"/>
        </w:rPr>
        <w:t>resurgence</w:t>
      </w:r>
      <w:r>
        <w:rPr>
          <w:spacing w:val="-8"/>
          <w:sz w:val="20"/>
        </w:rPr>
        <w:t> </w:t>
      </w:r>
      <w:r>
        <w:rPr>
          <w:sz w:val="20"/>
        </w:rPr>
        <w:t>of</w:t>
      </w:r>
      <w:r>
        <w:rPr>
          <w:spacing w:val="-7"/>
          <w:sz w:val="20"/>
        </w:rPr>
        <w:t> </w:t>
      </w:r>
      <w:r>
        <w:rPr>
          <w:sz w:val="20"/>
        </w:rPr>
        <w:t>rabbit</w:t>
      </w:r>
      <w:r>
        <w:rPr>
          <w:spacing w:val="-6"/>
          <w:sz w:val="20"/>
        </w:rPr>
        <w:t> </w:t>
      </w:r>
      <w:r>
        <w:rPr>
          <w:sz w:val="20"/>
        </w:rPr>
        <w:t>populations</w:t>
      </w:r>
      <w:r>
        <w:rPr>
          <w:spacing w:val="-7"/>
          <w:sz w:val="20"/>
        </w:rPr>
        <w:t> </w:t>
      </w:r>
      <w:r>
        <w:rPr>
          <w:sz w:val="20"/>
        </w:rPr>
        <w:t>after</w:t>
      </w:r>
      <w:r>
        <w:rPr>
          <w:spacing w:val="-6"/>
          <w:sz w:val="20"/>
        </w:rPr>
        <w:t> </w:t>
      </w:r>
      <w:r>
        <w:rPr>
          <w:sz w:val="20"/>
        </w:rPr>
        <w:t>poisoning.</w:t>
      </w:r>
      <w:r>
        <w:rPr>
          <w:spacing w:val="1"/>
          <w:sz w:val="20"/>
        </w:rPr>
        <w:t> </w:t>
      </w:r>
      <w:r>
        <w:rPr>
          <w:i/>
          <w:sz w:val="20"/>
        </w:rPr>
        <w:t>CSIRO</w:t>
      </w:r>
      <w:r>
        <w:rPr>
          <w:i/>
          <w:spacing w:val="-5"/>
          <w:sz w:val="20"/>
        </w:rPr>
        <w:t> </w:t>
      </w:r>
      <w:r>
        <w:rPr>
          <w:i/>
          <w:sz w:val="20"/>
        </w:rPr>
        <w:t>Wildlife</w:t>
      </w:r>
      <w:r>
        <w:rPr>
          <w:i/>
          <w:spacing w:val="-9"/>
          <w:sz w:val="20"/>
        </w:rPr>
        <w:t> </w:t>
      </w:r>
      <w:r>
        <w:rPr>
          <w:i/>
          <w:spacing w:val="-2"/>
          <w:sz w:val="20"/>
        </w:rPr>
        <w:t>Research</w:t>
      </w:r>
    </w:p>
    <w:p>
      <w:pPr>
        <w:pStyle w:val="BodyText"/>
        <w:ind w:left="833"/>
      </w:pPr>
      <w:r>
        <w:rPr>
          <w:b/>
          <w:spacing w:val="-2"/>
        </w:rPr>
        <w:t>13</w:t>
      </w:r>
      <w:r>
        <w:rPr>
          <w:spacing w:val="-2"/>
        </w:rPr>
        <w:t>(1):59–69.</w:t>
      </w:r>
    </w:p>
    <w:p>
      <w:pPr>
        <w:pStyle w:val="BodyText"/>
        <w:spacing w:before="11"/>
      </w:pPr>
    </w:p>
    <w:p>
      <w:pPr>
        <w:pStyle w:val="BodyText"/>
        <w:ind w:left="833" w:right="163" w:hanging="721"/>
      </w:pPr>
      <w:r>
        <w:rPr/>
        <w:t>Rowley,</w:t>
      </w:r>
      <w:r>
        <w:rPr>
          <w:spacing w:val="-5"/>
        </w:rPr>
        <w:t> </w:t>
      </w:r>
      <w:r>
        <w:rPr/>
        <w:t>I.</w:t>
      </w:r>
      <w:r>
        <w:rPr>
          <w:spacing w:val="-5"/>
        </w:rPr>
        <w:t> </w:t>
      </w:r>
      <w:r>
        <w:rPr/>
        <w:t>(1970).</w:t>
      </w:r>
      <w:r>
        <w:rPr>
          <w:spacing w:val="-3"/>
        </w:rPr>
        <w:t> </w:t>
      </w:r>
      <w:r>
        <w:rPr/>
        <w:t>Lamb</w:t>
      </w:r>
      <w:r>
        <w:rPr>
          <w:spacing w:val="-5"/>
        </w:rPr>
        <w:t> </w:t>
      </w:r>
      <w:r>
        <w:rPr/>
        <w:t>predation</w:t>
      </w:r>
      <w:r>
        <w:rPr>
          <w:spacing w:val="-3"/>
        </w:rPr>
        <w:t> </w:t>
      </w:r>
      <w:r>
        <w:rPr/>
        <w:t>in Australia:</w:t>
      </w:r>
      <w:r>
        <w:rPr>
          <w:spacing w:val="-3"/>
        </w:rPr>
        <w:t> </w:t>
      </w:r>
      <w:r>
        <w:rPr/>
        <w:t>incidence,</w:t>
      </w:r>
      <w:r>
        <w:rPr>
          <w:spacing w:val="-5"/>
        </w:rPr>
        <w:t> </w:t>
      </w:r>
      <w:r>
        <w:rPr/>
        <w:t>predisposing</w:t>
      </w:r>
      <w:r>
        <w:rPr>
          <w:spacing w:val="-6"/>
        </w:rPr>
        <w:t> </w:t>
      </w:r>
      <w:r>
        <w:rPr/>
        <w:t>conditions,</w:t>
      </w:r>
      <w:r>
        <w:rPr>
          <w:spacing w:val="-5"/>
        </w:rPr>
        <w:t> </w:t>
      </w:r>
      <w:r>
        <w:rPr/>
        <w:t>and</w:t>
      </w:r>
      <w:r>
        <w:rPr>
          <w:spacing w:val="-3"/>
        </w:rPr>
        <w:t> </w:t>
      </w:r>
      <w:r>
        <w:rPr/>
        <w:t>the</w:t>
      </w:r>
      <w:r>
        <w:rPr>
          <w:spacing w:val="-3"/>
        </w:rPr>
        <w:t> </w:t>
      </w:r>
      <w:r>
        <w:rPr/>
        <w:t>identification</w:t>
      </w:r>
      <w:r>
        <w:rPr>
          <w:spacing w:val="-5"/>
        </w:rPr>
        <w:t> </w:t>
      </w:r>
      <w:r>
        <w:rPr/>
        <w:t>of wounds. </w:t>
      </w:r>
      <w:r>
        <w:rPr>
          <w:i/>
        </w:rPr>
        <w:t>CSIRO Wildlife Research </w:t>
      </w:r>
      <w:r>
        <w:rPr>
          <w:b/>
        </w:rPr>
        <w:t>15</w:t>
      </w:r>
      <w:r>
        <w:rPr/>
        <w:t>(1):79–123.</w:t>
      </w:r>
    </w:p>
    <w:p>
      <w:pPr>
        <w:pStyle w:val="BodyText"/>
        <w:spacing w:before="10"/>
      </w:pPr>
    </w:p>
    <w:p>
      <w:pPr>
        <w:pStyle w:val="BodyText"/>
        <w:spacing w:line="229" w:lineRule="exact" w:before="1"/>
        <w:ind w:left="112"/>
      </w:pPr>
      <w:r>
        <w:rPr/>
        <w:t>RSPCA</w:t>
      </w:r>
      <w:r>
        <w:rPr>
          <w:spacing w:val="-8"/>
        </w:rPr>
        <w:t> </w:t>
      </w:r>
      <w:r>
        <w:rPr/>
        <w:t>(2019).</w:t>
      </w:r>
      <w:r>
        <w:rPr>
          <w:spacing w:val="-5"/>
        </w:rPr>
        <w:t> </w:t>
      </w:r>
      <w:r>
        <w:rPr/>
        <w:t>RSPCA</w:t>
      </w:r>
      <w:r>
        <w:rPr>
          <w:spacing w:val="-7"/>
        </w:rPr>
        <w:t> </w:t>
      </w:r>
      <w:r>
        <w:rPr/>
        <w:t>Knowledgebase,</w:t>
      </w:r>
      <w:r>
        <w:rPr>
          <w:spacing w:val="-6"/>
        </w:rPr>
        <w:t> </w:t>
      </w:r>
      <w:r>
        <w:rPr/>
        <w:t>What</w:t>
      </w:r>
      <w:r>
        <w:rPr>
          <w:spacing w:val="-6"/>
        </w:rPr>
        <w:t> </w:t>
      </w:r>
      <w:r>
        <w:rPr/>
        <w:t>is</w:t>
      </w:r>
      <w:r>
        <w:rPr>
          <w:spacing w:val="-6"/>
        </w:rPr>
        <w:t> </w:t>
      </w:r>
      <w:r>
        <w:rPr/>
        <w:t>the</w:t>
      </w:r>
      <w:r>
        <w:rPr>
          <w:spacing w:val="-6"/>
        </w:rPr>
        <w:t> </w:t>
      </w:r>
      <w:r>
        <w:rPr/>
        <w:t>RSPCA’s</w:t>
      </w:r>
      <w:r>
        <w:rPr>
          <w:spacing w:val="-7"/>
        </w:rPr>
        <w:t> </w:t>
      </w:r>
      <w:r>
        <w:rPr/>
        <w:t>view</w:t>
      </w:r>
      <w:r>
        <w:rPr>
          <w:spacing w:val="-5"/>
        </w:rPr>
        <w:t> </w:t>
      </w:r>
      <w:r>
        <w:rPr/>
        <w:t>on</w:t>
      </w:r>
      <w:r>
        <w:rPr>
          <w:spacing w:val="-7"/>
        </w:rPr>
        <w:t> </w:t>
      </w:r>
      <w:r>
        <w:rPr/>
        <w:t>using</w:t>
      </w:r>
      <w:r>
        <w:rPr>
          <w:spacing w:val="-6"/>
        </w:rPr>
        <w:t> </w:t>
      </w:r>
      <w:r>
        <w:rPr/>
        <w:t>1080</w:t>
      </w:r>
      <w:r>
        <w:rPr>
          <w:spacing w:val="-8"/>
        </w:rPr>
        <w:t> </w:t>
      </w:r>
      <w:r>
        <w:rPr/>
        <w:t>for</w:t>
      </w:r>
      <w:r>
        <w:rPr>
          <w:spacing w:val="-5"/>
        </w:rPr>
        <w:t> </w:t>
      </w:r>
      <w:r>
        <w:rPr/>
        <w:t>pest</w:t>
      </w:r>
      <w:r>
        <w:rPr>
          <w:spacing w:val="-7"/>
        </w:rPr>
        <w:t> </w:t>
      </w:r>
      <w:r>
        <w:rPr/>
        <w:t>animal</w:t>
      </w:r>
      <w:r>
        <w:rPr>
          <w:spacing w:val="-7"/>
        </w:rPr>
        <w:t> </w:t>
      </w:r>
      <w:r>
        <w:rPr>
          <w:spacing w:val="-2"/>
        </w:rPr>
        <w:t>control?</w:t>
      </w:r>
    </w:p>
    <w:p>
      <w:pPr>
        <w:pStyle w:val="BodyText"/>
        <w:ind w:left="833" w:right="776"/>
      </w:pPr>
      <w:r>
        <w:rPr/>
        <w:t>Available</w:t>
      </w:r>
      <w:r>
        <w:rPr>
          <w:spacing w:val="-11"/>
        </w:rPr>
        <w:t> </w:t>
      </w:r>
      <w:r>
        <w:rPr/>
        <w:t>at:</w:t>
      </w:r>
      <w:r>
        <w:rPr>
          <w:spacing w:val="-10"/>
        </w:rPr>
        <w:t> </w:t>
      </w:r>
      <w:hyperlink r:id="rId114">
        <w:r>
          <w:rPr>
            <w:color w:val="0000FF"/>
            <w:u w:val="single" w:color="0000FF"/>
          </w:rPr>
          <w:t>https://kb.rspca.org.au/</w:t>
        </w:r>
        <w:r>
          <w:rPr>
            <w:color w:val="0000FF"/>
            <w:spacing w:val="-13"/>
            <w:u w:val="single" w:color="0000FF"/>
          </w:rPr>
          <w:t> </w:t>
        </w:r>
        <w:r>
          <w:rPr>
            <w:color w:val="0000FF"/>
            <w:u w:val="single" w:color="0000FF"/>
          </w:rPr>
          <w:t>knowledge-base/what-is-the-rspcasview-on-using-1080-for-</w:t>
        </w:r>
      </w:hyperlink>
      <w:r>
        <w:rPr>
          <w:color w:val="0000FF"/>
          <w:u w:val="none"/>
        </w:rPr>
        <w:t> </w:t>
      </w:r>
      <w:hyperlink r:id="rId114">
        <w:r>
          <w:rPr>
            <w:color w:val="0000FF"/>
            <w:u w:val="single" w:color="0000FF"/>
          </w:rPr>
          <w:t>pest-animalcontrol/.</w:t>
        </w:r>
      </w:hyperlink>
      <w:r>
        <w:rPr>
          <w:color w:val="0000FF"/>
          <w:u w:val="none"/>
        </w:rPr>
        <w:t> </w:t>
      </w:r>
      <w:r>
        <w:rPr>
          <w:u w:val="none"/>
        </w:rPr>
        <w:t>[accessed 25 October 2024].</w:t>
      </w:r>
    </w:p>
    <w:p>
      <w:pPr>
        <w:pStyle w:val="BodyText"/>
        <w:spacing w:before="9"/>
      </w:pPr>
    </w:p>
    <w:p>
      <w:pPr>
        <w:pStyle w:val="BodyText"/>
        <w:ind w:left="112"/>
      </w:pPr>
      <w:r>
        <w:rPr/>
        <w:t>Ryan,</w:t>
      </w:r>
      <w:r>
        <w:rPr>
          <w:spacing w:val="-6"/>
        </w:rPr>
        <w:t> </w:t>
      </w:r>
      <w:r>
        <w:rPr/>
        <w:t>Robert</w:t>
      </w:r>
      <w:r>
        <w:rPr>
          <w:spacing w:val="-6"/>
        </w:rPr>
        <w:t> </w:t>
      </w:r>
      <w:r>
        <w:rPr/>
        <w:t>F.,</w:t>
      </w:r>
      <w:r>
        <w:rPr>
          <w:spacing w:val="-4"/>
        </w:rPr>
        <w:t> </w:t>
      </w:r>
      <w:r>
        <w:rPr/>
        <w:t>and</w:t>
      </w:r>
      <w:r>
        <w:rPr>
          <w:spacing w:val="-6"/>
        </w:rPr>
        <w:t> </w:t>
      </w:r>
      <w:r>
        <w:rPr/>
        <w:t>De</w:t>
      </w:r>
      <w:r>
        <w:rPr>
          <w:spacing w:val="-5"/>
        </w:rPr>
        <w:t> </w:t>
      </w:r>
      <w:r>
        <w:rPr/>
        <w:t>Lima,</w:t>
      </w:r>
      <w:r>
        <w:rPr>
          <w:spacing w:val="-6"/>
        </w:rPr>
        <w:t> </w:t>
      </w:r>
      <w:r>
        <w:rPr/>
        <w:t>C.P.F.</w:t>
      </w:r>
      <w:r>
        <w:rPr>
          <w:spacing w:val="-6"/>
        </w:rPr>
        <w:t> </w:t>
      </w:r>
      <w:r>
        <w:rPr/>
        <w:t>(2013).</w:t>
      </w:r>
      <w:r>
        <w:rPr>
          <w:spacing w:val="-6"/>
        </w:rPr>
        <w:t> </w:t>
      </w:r>
      <w:r>
        <w:rPr/>
        <w:t>Phosphine</w:t>
      </w:r>
      <w:r>
        <w:rPr>
          <w:spacing w:val="-2"/>
        </w:rPr>
        <w:t> </w:t>
      </w:r>
      <w:r>
        <w:rPr/>
        <w:t>-</w:t>
      </w:r>
      <w:r>
        <w:rPr>
          <w:spacing w:val="-5"/>
        </w:rPr>
        <w:t> </w:t>
      </w:r>
      <w:r>
        <w:rPr/>
        <w:t>an</w:t>
      </w:r>
      <w:r>
        <w:rPr>
          <w:spacing w:val="-4"/>
        </w:rPr>
        <w:t> </w:t>
      </w:r>
      <w:r>
        <w:rPr/>
        <w:t>overview</w:t>
      </w:r>
      <w:r>
        <w:rPr>
          <w:spacing w:val="-4"/>
        </w:rPr>
        <w:t> </w:t>
      </w:r>
      <w:r>
        <w:rPr/>
        <w:t>of</w:t>
      </w:r>
      <w:r>
        <w:rPr>
          <w:spacing w:val="-5"/>
        </w:rPr>
        <w:t> </w:t>
      </w:r>
      <w:r>
        <w:rPr/>
        <w:t>a</w:t>
      </w:r>
      <w:r>
        <w:rPr>
          <w:spacing w:val="-6"/>
        </w:rPr>
        <w:t> </w:t>
      </w:r>
      <w:r>
        <w:rPr/>
        <w:t>unique</w:t>
      </w:r>
      <w:r>
        <w:rPr>
          <w:spacing w:val="-6"/>
        </w:rPr>
        <w:t> </w:t>
      </w:r>
      <w:r>
        <w:rPr/>
        <w:t>80-year</w:t>
      </w:r>
      <w:r>
        <w:rPr>
          <w:spacing w:val="-5"/>
        </w:rPr>
        <w:t> </w:t>
      </w:r>
      <w:r>
        <w:rPr>
          <w:spacing w:val="-2"/>
        </w:rPr>
        <w:t>fumigant.</w:t>
      </w:r>
    </w:p>
    <w:p>
      <w:pPr>
        <w:spacing w:before="1"/>
        <w:ind w:left="833" w:right="0" w:firstLine="0"/>
        <w:jc w:val="left"/>
        <w:rPr>
          <w:sz w:val="20"/>
        </w:rPr>
      </w:pPr>
      <w:r>
        <w:rPr>
          <w:i/>
          <w:sz w:val="20"/>
        </w:rPr>
        <w:t>General</w:t>
      </w:r>
      <w:r>
        <w:rPr>
          <w:i/>
          <w:spacing w:val="-9"/>
          <w:sz w:val="20"/>
        </w:rPr>
        <w:t> </w:t>
      </w:r>
      <w:r>
        <w:rPr>
          <w:i/>
          <w:sz w:val="20"/>
        </w:rPr>
        <w:t>and</w:t>
      </w:r>
      <w:r>
        <w:rPr>
          <w:i/>
          <w:spacing w:val="-11"/>
          <w:sz w:val="20"/>
        </w:rPr>
        <w:t> </w:t>
      </w:r>
      <w:r>
        <w:rPr>
          <w:i/>
          <w:sz w:val="20"/>
        </w:rPr>
        <w:t>Applied</w:t>
      </w:r>
      <w:r>
        <w:rPr>
          <w:i/>
          <w:spacing w:val="-10"/>
          <w:sz w:val="20"/>
        </w:rPr>
        <w:t> </w:t>
      </w:r>
      <w:r>
        <w:rPr>
          <w:i/>
          <w:sz w:val="20"/>
        </w:rPr>
        <w:t>Entomology</w:t>
      </w:r>
      <w:r>
        <w:rPr>
          <w:i/>
          <w:spacing w:val="-7"/>
          <w:sz w:val="20"/>
        </w:rPr>
        <w:t> </w:t>
      </w:r>
      <w:r>
        <w:rPr>
          <w:b/>
          <w:spacing w:val="-2"/>
          <w:sz w:val="20"/>
        </w:rPr>
        <w:t>42</w:t>
      </w:r>
      <w:r>
        <w:rPr>
          <w:spacing w:val="-2"/>
          <w:sz w:val="20"/>
        </w:rPr>
        <w:t>:31–42.</w:t>
      </w:r>
    </w:p>
    <w:p>
      <w:pPr>
        <w:spacing w:after="0"/>
        <w:jc w:val="left"/>
        <w:rPr>
          <w:sz w:val="20"/>
        </w:rPr>
        <w:sectPr>
          <w:pgSz w:w="11910" w:h="16850"/>
          <w:pgMar w:header="0" w:footer="688" w:top="1060" w:bottom="880" w:left="1020" w:right="780"/>
        </w:sectPr>
      </w:pPr>
    </w:p>
    <w:p>
      <w:pPr>
        <w:pStyle w:val="BodyText"/>
        <w:spacing w:before="71"/>
        <w:ind w:left="833" w:right="364" w:hanging="721"/>
      </w:pPr>
      <w:r>
        <w:rPr/>
        <w:t>Saito,</w:t>
      </w:r>
      <w:r>
        <w:rPr>
          <w:spacing w:val="-2"/>
        </w:rPr>
        <w:t> </w:t>
      </w:r>
      <w:r>
        <w:rPr/>
        <w:t>M.,</w:t>
      </w:r>
      <w:r>
        <w:rPr>
          <w:spacing w:val="-2"/>
        </w:rPr>
        <w:t> </w:t>
      </w:r>
      <w:r>
        <w:rPr/>
        <w:t>Momose,</w:t>
      </w:r>
      <w:r>
        <w:rPr>
          <w:spacing w:val="-4"/>
        </w:rPr>
        <w:t> </w:t>
      </w:r>
      <w:r>
        <w:rPr/>
        <w:t>H.,</w:t>
      </w:r>
      <w:r>
        <w:rPr>
          <w:spacing w:val="-4"/>
        </w:rPr>
        <w:t> </w:t>
      </w:r>
      <w:r>
        <w:rPr/>
        <w:t>and</w:t>
      </w:r>
      <w:r>
        <w:rPr>
          <w:spacing w:val="-2"/>
        </w:rPr>
        <w:t> </w:t>
      </w:r>
      <w:r>
        <w:rPr/>
        <w:t>Mihira,</w:t>
      </w:r>
      <w:r>
        <w:rPr>
          <w:spacing w:val="-4"/>
        </w:rPr>
        <w:t> </w:t>
      </w:r>
      <w:r>
        <w:rPr/>
        <w:t>T.</w:t>
      </w:r>
      <w:r>
        <w:rPr>
          <w:spacing w:val="-2"/>
        </w:rPr>
        <w:t> </w:t>
      </w:r>
      <w:r>
        <w:rPr/>
        <w:t>(2011).</w:t>
      </w:r>
      <w:r>
        <w:rPr>
          <w:spacing w:val="-4"/>
        </w:rPr>
        <w:t> </w:t>
      </w:r>
      <w:r>
        <w:rPr/>
        <w:t>Both</w:t>
      </w:r>
      <w:r>
        <w:rPr>
          <w:spacing w:val="-3"/>
        </w:rPr>
        <w:t> </w:t>
      </w:r>
      <w:r>
        <w:rPr/>
        <w:t>environmental</w:t>
      </w:r>
      <w:r>
        <w:rPr>
          <w:spacing w:val="-5"/>
        </w:rPr>
        <w:t> </w:t>
      </w:r>
      <w:r>
        <w:rPr/>
        <w:t>factors</w:t>
      </w:r>
      <w:r>
        <w:rPr>
          <w:spacing w:val="-2"/>
        </w:rPr>
        <w:t> </w:t>
      </w:r>
      <w:r>
        <w:rPr/>
        <w:t>and</w:t>
      </w:r>
      <w:r>
        <w:rPr>
          <w:spacing w:val="-4"/>
        </w:rPr>
        <w:t> </w:t>
      </w:r>
      <w:r>
        <w:rPr/>
        <w:t>countermeasures</w:t>
      </w:r>
      <w:r>
        <w:rPr>
          <w:spacing w:val="-2"/>
        </w:rPr>
        <w:t> </w:t>
      </w:r>
      <w:r>
        <w:rPr/>
        <w:t>affect</w:t>
      </w:r>
      <w:r>
        <w:rPr>
          <w:spacing w:val="-4"/>
        </w:rPr>
        <w:t> </w:t>
      </w:r>
      <w:r>
        <w:rPr/>
        <w:t>wild boar damage to rice paddies in Boso Peninsula, Japan. </w:t>
      </w:r>
      <w:r>
        <w:rPr>
          <w:i/>
        </w:rPr>
        <w:t>Crop Protection </w:t>
      </w:r>
      <w:r>
        <w:rPr>
          <w:b/>
        </w:rPr>
        <w:t>30</w:t>
      </w:r>
      <w:r>
        <w:rPr/>
        <w:t>(8):1048–54. doi: </w:t>
      </w:r>
      <w:r>
        <w:rPr>
          <w:spacing w:val="-2"/>
        </w:rPr>
        <w:t>10.1016/j.cropro.2011.02.017.</w:t>
      </w:r>
    </w:p>
    <w:p>
      <w:pPr>
        <w:pStyle w:val="BodyText"/>
        <w:spacing w:before="12"/>
      </w:pPr>
    </w:p>
    <w:p>
      <w:pPr>
        <w:pStyle w:val="BodyText"/>
        <w:ind w:left="833" w:right="163" w:hanging="721"/>
      </w:pPr>
      <w:r>
        <w:rPr/>
        <w:t>Saunders,</w:t>
      </w:r>
      <w:r>
        <w:rPr>
          <w:spacing w:val="-4"/>
        </w:rPr>
        <w:t> </w:t>
      </w:r>
      <w:r>
        <w:rPr/>
        <w:t>G.</w:t>
      </w:r>
      <w:r>
        <w:rPr>
          <w:spacing w:val="-4"/>
        </w:rPr>
        <w:t> </w:t>
      </w:r>
      <w:r>
        <w:rPr/>
        <w:t>(1993).</w:t>
      </w:r>
      <w:r>
        <w:rPr>
          <w:spacing w:val="-4"/>
        </w:rPr>
        <w:t> </w:t>
      </w:r>
      <w:r>
        <w:rPr/>
        <w:t>Observations</w:t>
      </w:r>
      <w:r>
        <w:rPr>
          <w:spacing w:val="-3"/>
        </w:rPr>
        <w:t> </w:t>
      </w:r>
      <w:r>
        <w:rPr/>
        <w:t>on</w:t>
      </w:r>
      <w:r>
        <w:rPr>
          <w:spacing w:val="-4"/>
        </w:rPr>
        <w:t> </w:t>
      </w:r>
      <w:r>
        <w:rPr/>
        <w:t>the</w:t>
      </w:r>
      <w:r>
        <w:rPr>
          <w:spacing w:val="-4"/>
        </w:rPr>
        <w:t> </w:t>
      </w:r>
      <w:r>
        <w:rPr/>
        <w:t>effectiveness</w:t>
      </w:r>
      <w:r>
        <w:rPr>
          <w:spacing w:val="-3"/>
        </w:rPr>
        <w:t> </w:t>
      </w:r>
      <w:r>
        <w:rPr/>
        <w:t>of</w:t>
      </w:r>
      <w:r>
        <w:rPr>
          <w:spacing w:val="-4"/>
        </w:rPr>
        <w:t> </w:t>
      </w:r>
      <w:r>
        <w:rPr/>
        <w:t>shooting</w:t>
      </w:r>
      <w:r>
        <w:rPr>
          <w:spacing w:val="-4"/>
        </w:rPr>
        <w:t> </w:t>
      </w:r>
      <w:r>
        <w:rPr/>
        <w:t>feral</w:t>
      </w:r>
      <w:r>
        <w:rPr>
          <w:spacing w:val="-5"/>
        </w:rPr>
        <w:t> </w:t>
      </w:r>
      <w:r>
        <w:rPr/>
        <w:t>pigs</w:t>
      </w:r>
      <w:r>
        <w:rPr>
          <w:spacing w:val="-3"/>
        </w:rPr>
        <w:t> </w:t>
      </w:r>
      <w:r>
        <w:rPr/>
        <w:t>from</w:t>
      </w:r>
      <w:r>
        <w:rPr>
          <w:spacing w:val="-4"/>
        </w:rPr>
        <w:t> </w:t>
      </w:r>
      <w:r>
        <w:rPr/>
        <w:t>helicopters. </w:t>
      </w:r>
      <w:r>
        <w:rPr>
          <w:i/>
        </w:rPr>
        <w:t>Wildlife</w:t>
      </w:r>
      <w:r>
        <w:rPr>
          <w:i/>
        </w:rPr>
        <w:t> Research </w:t>
      </w:r>
      <w:r>
        <w:rPr>
          <w:b/>
        </w:rPr>
        <w:t>20</w:t>
      </w:r>
      <w:r>
        <w:rPr/>
        <w:t>(6):771. doi: 10.1071/WR9930771.</w:t>
      </w:r>
    </w:p>
    <w:p>
      <w:pPr>
        <w:pStyle w:val="BodyText"/>
        <w:spacing w:before="8"/>
      </w:pPr>
    </w:p>
    <w:p>
      <w:pPr>
        <w:pStyle w:val="BodyText"/>
        <w:ind w:left="833" w:right="364" w:hanging="721"/>
      </w:pPr>
      <w:r>
        <w:rPr/>
        <w:t>Saunders,</w:t>
      </w:r>
      <w:r>
        <w:rPr>
          <w:spacing w:val="-4"/>
        </w:rPr>
        <w:t> </w:t>
      </w:r>
      <w:r>
        <w:rPr/>
        <w:t>G.,</w:t>
      </w:r>
      <w:r>
        <w:rPr>
          <w:spacing w:val="-2"/>
        </w:rPr>
        <w:t> </w:t>
      </w:r>
      <w:r>
        <w:rPr/>
        <w:t>and</w:t>
      </w:r>
      <w:r>
        <w:rPr>
          <w:spacing w:val="-2"/>
        </w:rPr>
        <w:t> </w:t>
      </w:r>
      <w:r>
        <w:rPr/>
        <w:t>Bryant,</w:t>
      </w:r>
      <w:r>
        <w:rPr>
          <w:spacing w:val="-2"/>
        </w:rPr>
        <w:t> </w:t>
      </w:r>
      <w:r>
        <w:rPr/>
        <w:t>H.</w:t>
      </w:r>
      <w:r>
        <w:rPr>
          <w:spacing w:val="-4"/>
        </w:rPr>
        <w:t> </w:t>
      </w:r>
      <w:r>
        <w:rPr/>
        <w:t>(1988).</w:t>
      </w:r>
      <w:r>
        <w:rPr>
          <w:spacing w:val="-4"/>
        </w:rPr>
        <w:t> </w:t>
      </w:r>
      <w:r>
        <w:rPr/>
        <w:t>The</w:t>
      </w:r>
      <w:r>
        <w:rPr>
          <w:spacing w:val="-3"/>
        </w:rPr>
        <w:t> </w:t>
      </w:r>
      <w:r>
        <w:rPr/>
        <w:t>evaluation</w:t>
      </w:r>
      <w:r>
        <w:rPr>
          <w:spacing w:val="-2"/>
        </w:rPr>
        <w:t> </w:t>
      </w:r>
      <w:r>
        <w:rPr/>
        <w:t>of</w:t>
      </w:r>
      <w:r>
        <w:rPr>
          <w:spacing w:val="-4"/>
        </w:rPr>
        <w:t> </w:t>
      </w:r>
      <w:r>
        <w:rPr/>
        <w:t>a</w:t>
      </w:r>
      <w:r>
        <w:rPr>
          <w:spacing w:val="-5"/>
        </w:rPr>
        <w:t> </w:t>
      </w:r>
      <w:r>
        <w:rPr/>
        <w:t>feral</w:t>
      </w:r>
      <w:r>
        <w:rPr>
          <w:spacing w:val="-5"/>
        </w:rPr>
        <w:t> </w:t>
      </w:r>
      <w:r>
        <w:rPr/>
        <w:t>pig</w:t>
      </w:r>
      <w:r>
        <w:rPr>
          <w:spacing w:val="-2"/>
        </w:rPr>
        <w:t> </w:t>
      </w:r>
      <w:r>
        <w:rPr/>
        <w:t>eradication</w:t>
      </w:r>
      <w:r>
        <w:rPr>
          <w:spacing w:val="-3"/>
        </w:rPr>
        <w:t> </w:t>
      </w:r>
      <w:r>
        <w:rPr/>
        <w:t>program</w:t>
      </w:r>
      <w:r>
        <w:rPr>
          <w:spacing w:val="-4"/>
        </w:rPr>
        <w:t> </w:t>
      </w:r>
      <w:r>
        <w:rPr/>
        <w:t>during</w:t>
      </w:r>
      <w:r>
        <w:rPr>
          <w:spacing w:val="-4"/>
        </w:rPr>
        <w:t> </w:t>
      </w:r>
      <w:r>
        <w:rPr/>
        <w:t>a</w:t>
      </w:r>
      <w:r>
        <w:rPr>
          <w:spacing w:val="-5"/>
        </w:rPr>
        <w:t> </w:t>
      </w:r>
      <w:r>
        <w:rPr/>
        <w:t>simulated exotic disease outbreak. </w:t>
      </w:r>
      <w:r>
        <w:rPr>
          <w:i/>
        </w:rPr>
        <w:t>Wildlife Research </w:t>
      </w:r>
      <w:r>
        <w:rPr>
          <w:b/>
        </w:rPr>
        <w:t>15</w:t>
      </w:r>
      <w:r>
        <w:rPr/>
        <w:t>(1):73–81. doi: 10.1071/wr9880073.</w:t>
      </w:r>
    </w:p>
    <w:p>
      <w:pPr>
        <w:pStyle w:val="BodyText"/>
        <w:spacing w:before="11"/>
      </w:pPr>
    </w:p>
    <w:p>
      <w:pPr>
        <w:spacing w:before="0"/>
        <w:ind w:left="833" w:right="544" w:hanging="721"/>
        <w:jc w:val="left"/>
        <w:rPr>
          <w:sz w:val="20"/>
        </w:rPr>
      </w:pPr>
      <w:r>
        <w:rPr>
          <w:sz w:val="20"/>
        </w:rPr>
        <w:t>Saunders,</w:t>
      </w:r>
      <w:r>
        <w:rPr>
          <w:spacing w:val="-4"/>
          <w:sz w:val="20"/>
        </w:rPr>
        <w:t> </w:t>
      </w:r>
      <w:r>
        <w:rPr>
          <w:sz w:val="20"/>
        </w:rPr>
        <w:t>G.,</w:t>
      </w:r>
      <w:r>
        <w:rPr>
          <w:spacing w:val="-4"/>
          <w:sz w:val="20"/>
        </w:rPr>
        <w:t> </w:t>
      </w:r>
      <w:r>
        <w:rPr>
          <w:sz w:val="20"/>
        </w:rPr>
        <w:t>Gentle,</w:t>
      </w:r>
      <w:r>
        <w:rPr>
          <w:spacing w:val="-2"/>
          <w:sz w:val="20"/>
        </w:rPr>
        <w:t> </w:t>
      </w:r>
      <w:r>
        <w:rPr>
          <w:sz w:val="20"/>
        </w:rPr>
        <w:t>M.N.,</w:t>
      </w:r>
      <w:r>
        <w:rPr>
          <w:spacing w:val="-4"/>
          <w:sz w:val="20"/>
        </w:rPr>
        <w:t> </w:t>
      </w:r>
      <w:r>
        <w:rPr>
          <w:sz w:val="20"/>
        </w:rPr>
        <w:t>and</w:t>
      </w:r>
      <w:r>
        <w:rPr>
          <w:spacing w:val="-2"/>
          <w:sz w:val="20"/>
        </w:rPr>
        <w:t> </w:t>
      </w:r>
      <w:r>
        <w:rPr>
          <w:sz w:val="20"/>
        </w:rPr>
        <w:t>Dickman,</w:t>
      </w:r>
      <w:r>
        <w:rPr>
          <w:spacing w:val="-4"/>
          <w:sz w:val="20"/>
        </w:rPr>
        <w:t> </w:t>
      </w:r>
      <w:r>
        <w:rPr>
          <w:sz w:val="20"/>
        </w:rPr>
        <w:t>C.R.</w:t>
      </w:r>
      <w:r>
        <w:rPr>
          <w:spacing w:val="-4"/>
          <w:sz w:val="20"/>
        </w:rPr>
        <w:t> </w:t>
      </w:r>
      <w:r>
        <w:rPr>
          <w:sz w:val="20"/>
        </w:rPr>
        <w:t>(2010).</w:t>
      </w:r>
      <w:r>
        <w:rPr>
          <w:spacing w:val="-4"/>
          <w:sz w:val="20"/>
        </w:rPr>
        <w:t> </w:t>
      </w:r>
      <w:r>
        <w:rPr>
          <w:sz w:val="20"/>
        </w:rPr>
        <w:t>The</w:t>
      </w:r>
      <w:r>
        <w:rPr>
          <w:spacing w:val="-2"/>
          <w:sz w:val="20"/>
        </w:rPr>
        <w:t> </w:t>
      </w:r>
      <w:r>
        <w:rPr>
          <w:sz w:val="20"/>
        </w:rPr>
        <w:t>impacts</w:t>
      </w:r>
      <w:r>
        <w:rPr>
          <w:spacing w:val="-3"/>
          <w:sz w:val="20"/>
        </w:rPr>
        <w:t> </w:t>
      </w:r>
      <w:r>
        <w:rPr>
          <w:sz w:val="20"/>
        </w:rPr>
        <w:t>and</w:t>
      </w:r>
      <w:r>
        <w:rPr>
          <w:spacing w:val="-2"/>
          <w:sz w:val="20"/>
        </w:rPr>
        <w:t> </w:t>
      </w:r>
      <w:r>
        <w:rPr>
          <w:sz w:val="20"/>
        </w:rPr>
        <w:t>management</w:t>
      </w:r>
      <w:r>
        <w:rPr>
          <w:spacing w:val="-2"/>
          <w:sz w:val="20"/>
        </w:rPr>
        <w:t> </w:t>
      </w:r>
      <w:r>
        <w:rPr>
          <w:sz w:val="20"/>
        </w:rPr>
        <w:t>of</w:t>
      </w:r>
      <w:r>
        <w:rPr>
          <w:spacing w:val="-4"/>
          <w:sz w:val="20"/>
        </w:rPr>
        <w:t> </w:t>
      </w:r>
      <w:r>
        <w:rPr>
          <w:sz w:val="20"/>
        </w:rPr>
        <w:t>foxes </w:t>
      </w:r>
      <w:r>
        <w:rPr>
          <w:i/>
          <w:sz w:val="20"/>
        </w:rPr>
        <w:t>Vulpes</w:t>
      </w:r>
      <w:r>
        <w:rPr>
          <w:i/>
          <w:sz w:val="20"/>
        </w:rPr>
        <w:t> vulpes </w:t>
      </w:r>
      <w:r>
        <w:rPr>
          <w:sz w:val="20"/>
        </w:rPr>
        <w:t>in Australia. </w:t>
      </w:r>
      <w:r>
        <w:rPr>
          <w:i/>
          <w:sz w:val="20"/>
        </w:rPr>
        <w:t>Mammal Review </w:t>
      </w:r>
      <w:r>
        <w:rPr>
          <w:b/>
          <w:sz w:val="20"/>
        </w:rPr>
        <w:t>40</w:t>
      </w:r>
      <w:r>
        <w:rPr>
          <w:sz w:val="20"/>
        </w:rPr>
        <w:t>(3):181–211.</w:t>
      </w:r>
    </w:p>
    <w:p>
      <w:pPr>
        <w:pStyle w:val="BodyText"/>
        <w:spacing w:before="11"/>
      </w:pPr>
    </w:p>
    <w:p>
      <w:pPr>
        <w:pStyle w:val="BodyText"/>
        <w:ind w:left="833" w:right="163" w:hanging="721"/>
      </w:pPr>
      <w:r>
        <w:rPr/>
        <w:t>Saunders,</w:t>
      </w:r>
      <w:r>
        <w:rPr>
          <w:spacing w:val="-4"/>
        </w:rPr>
        <w:t> </w:t>
      </w:r>
      <w:r>
        <w:rPr/>
        <w:t>G.,</w:t>
      </w:r>
      <w:r>
        <w:rPr>
          <w:spacing w:val="-2"/>
        </w:rPr>
        <w:t> </w:t>
      </w:r>
      <w:r>
        <w:rPr/>
        <w:t>Kay,</w:t>
      </w:r>
      <w:r>
        <w:rPr>
          <w:spacing w:val="-2"/>
        </w:rPr>
        <w:t> </w:t>
      </w:r>
      <w:r>
        <w:rPr/>
        <w:t>B.,</w:t>
      </w:r>
      <w:r>
        <w:rPr>
          <w:spacing w:val="-2"/>
        </w:rPr>
        <w:t> </w:t>
      </w:r>
      <w:r>
        <w:rPr/>
        <w:t>and Nicol,</w:t>
      </w:r>
      <w:r>
        <w:rPr>
          <w:spacing w:val="-2"/>
        </w:rPr>
        <w:t> </w:t>
      </w:r>
      <w:r>
        <w:rPr/>
        <w:t>H.</w:t>
      </w:r>
      <w:r>
        <w:rPr>
          <w:spacing w:val="-4"/>
        </w:rPr>
        <w:t> </w:t>
      </w:r>
      <w:r>
        <w:rPr/>
        <w:t>(1993).</w:t>
      </w:r>
      <w:r>
        <w:rPr>
          <w:spacing w:val="-4"/>
        </w:rPr>
        <w:t> </w:t>
      </w:r>
      <w:r>
        <w:rPr/>
        <w:t>Factors</w:t>
      </w:r>
      <w:r>
        <w:rPr>
          <w:spacing w:val="-2"/>
        </w:rPr>
        <w:t> </w:t>
      </w:r>
      <w:r>
        <w:rPr/>
        <w:t>affecting</w:t>
      </w:r>
      <w:r>
        <w:rPr>
          <w:spacing w:val="-2"/>
        </w:rPr>
        <w:t> </w:t>
      </w:r>
      <w:r>
        <w:rPr/>
        <w:t>bait</w:t>
      </w:r>
      <w:r>
        <w:rPr>
          <w:spacing w:val="-4"/>
        </w:rPr>
        <w:t> </w:t>
      </w:r>
      <w:r>
        <w:rPr/>
        <w:t>uptake</w:t>
      </w:r>
      <w:r>
        <w:rPr>
          <w:spacing w:val="-2"/>
        </w:rPr>
        <w:t> </w:t>
      </w:r>
      <w:r>
        <w:rPr/>
        <w:t>and</w:t>
      </w:r>
      <w:r>
        <w:rPr>
          <w:spacing w:val="-2"/>
        </w:rPr>
        <w:t> </w:t>
      </w:r>
      <w:r>
        <w:rPr/>
        <w:t>trapping</w:t>
      </w:r>
      <w:r>
        <w:rPr>
          <w:spacing w:val="-4"/>
        </w:rPr>
        <w:t> </w:t>
      </w:r>
      <w:r>
        <w:rPr/>
        <w:t>success</w:t>
      </w:r>
      <w:r>
        <w:rPr>
          <w:spacing w:val="-3"/>
        </w:rPr>
        <w:t> </w:t>
      </w:r>
      <w:r>
        <w:rPr/>
        <w:t>for</w:t>
      </w:r>
      <w:r>
        <w:rPr>
          <w:spacing w:val="-3"/>
        </w:rPr>
        <w:t> </w:t>
      </w:r>
      <w:r>
        <w:rPr/>
        <w:t>feral</w:t>
      </w:r>
      <w:r>
        <w:rPr>
          <w:spacing w:val="-3"/>
        </w:rPr>
        <w:t> </w:t>
      </w:r>
      <w:r>
        <w:rPr/>
        <w:t>pigs (</w:t>
      </w:r>
      <w:r>
        <w:rPr>
          <w:i/>
        </w:rPr>
        <w:t>Sus scrofa</w:t>
      </w:r>
      <w:r>
        <w:rPr/>
        <w:t>) in Kosciusko National Park. </w:t>
      </w:r>
      <w:r>
        <w:rPr>
          <w:i/>
        </w:rPr>
        <w:t>Wildlife Research </w:t>
      </w:r>
      <w:r>
        <w:rPr>
          <w:b/>
        </w:rPr>
        <w:t>20</w:t>
      </w:r>
      <w:r>
        <w:rPr/>
        <w:t>(5):653–65. doi: 10.1071/wr9930653.</w:t>
      </w:r>
    </w:p>
    <w:p>
      <w:pPr>
        <w:pStyle w:val="BodyText"/>
        <w:spacing w:before="8"/>
      </w:pPr>
    </w:p>
    <w:p>
      <w:pPr>
        <w:spacing w:before="1"/>
        <w:ind w:left="833" w:right="163" w:hanging="721"/>
        <w:jc w:val="left"/>
        <w:rPr>
          <w:sz w:val="20"/>
        </w:rPr>
      </w:pPr>
      <w:r>
        <w:rPr>
          <w:sz w:val="20"/>
        </w:rPr>
        <w:t>Saunders,</w:t>
      </w:r>
      <w:r>
        <w:rPr>
          <w:spacing w:val="-4"/>
          <w:sz w:val="20"/>
        </w:rPr>
        <w:t> </w:t>
      </w:r>
      <w:r>
        <w:rPr>
          <w:sz w:val="20"/>
        </w:rPr>
        <w:t>G.,</w:t>
      </w:r>
      <w:r>
        <w:rPr>
          <w:spacing w:val="-2"/>
          <w:sz w:val="20"/>
        </w:rPr>
        <w:t> </w:t>
      </w:r>
      <w:r>
        <w:rPr>
          <w:sz w:val="20"/>
        </w:rPr>
        <w:t>Kinnear,</w:t>
      </w:r>
      <w:r>
        <w:rPr>
          <w:spacing w:val="-4"/>
          <w:sz w:val="20"/>
        </w:rPr>
        <w:t> </w:t>
      </w:r>
      <w:r>
        <w:rPr>
          <w:sz w:val="20"/>
        </w:rPr>
        <w:t>J,</w:t>
      </w:r>
      <w:r>
        <w:rPr>
          <w:spacing w:val="-4"/>
          <w:sz w:val="20"/>
        </w:rPr>
        <w:t> </w:t>
      </w:r>
      <w:r>
        <w:rPr>
          <w:sz w:val="20"/>
        </w:rPr>
        <w:t>Braysher,</w:t>
      </w:r>
      <w:r>
        <w:rPr>
          <w:spacing w:val="-4"/>
          <w:sz w:val="20"/>
        </w:rPr>
        <w:t> </w:t>
      </w:r>
      <w:r>
        <w:rPr>
          <w:sz w:val="20"/>
        </w:rPr>
        <w:t>M,</w:t>
      </w:r>
      <w:r>
        <w:rPr>
          <w:spacing w:val="-4"/>
          <w:sz w:val="20"/>
        </w:rPr>
        <w:t> </w:t>
      </w:r>
      <w:r>
        <w:rPr>
          <w:sz w:val="20"/>
        </w:rPr>
        <w:t>and</w:t>
      </w:r>
      <w:r>
        <w:rPr>
          <w:spacing w:val="-5"/>
          <w:sz w:val="20"/>
        </w:rPr>
        <w:t> </w:t>
      </w:r>
      <w:r>
        <w:rPr>
          <w:sz w:val="20"/>
        </w:rPr>
        <w:t>Coman,</w:t>
      </w:r>
      <w:r>
        <w:rPr>
          <w:spacing w:val="-2"/>
          <w:sz w:val="20"/>
        </w:rPr>
        <w:t> </w:t>
      </w:r>
      <w:r>
        <w:rPr>
          <w:sz w:val="20"/>
        </w:rPr>
        <w:t>B.</w:t>
      </w:r>
      <w:r>
        <w:rPr>
          <w:spacing w:val="-2"/>
          <w:sz w:val="20"/>
        </w:rPr>
        <w:t> </w:t>
      </w:r>
      <w:r>
        <w:rPr>
          <w:sz w:val="20"/>
        </w:rPr>
        <w:t>(1995). </w:t>
      </w:r>
      <w:r>
        <w:rPr>
          <w:i/>
          <w:sz w:val="20"/>
        </w:rPr>
        <w:t>Managing</w:t>
      </w:r>
      <w:r>
        <w:rPr>
          <w:i/>
          <w:spacing w:val="-2"/>
          <w:sz w:val="20"/>
        </w:rPr>
        <w:t> </w:t>
      </w:r>
      <w:r>
        <w:rPr>
          <w:i/>
          <w:sz w:val="20"/>
        </w:rPr>
        <w:t>Vertebrate</w:t>
      </w:r>
      <w:r>
        <w:rPr>
          <w:i/>
          <w:spacing w:val="-4"/>
          <w:sz w:val="20"/>
        </w:rPr>
        <w:t> </w:t>
      </w:r>
      <w:r>
        <w:rPr>
          <w:i/>
          <w:sz w:val="20"/>
        </w:rPr>
        <w:t>Pests:</w:t>
      </w:r>
      <w:r>
        <w:rPr>
          <w:i/>
          <w:spacing w:val="-4"/>
          <w:sz w:val="20"/>
        </w:rPr>
        <w:t> </w:t>
      </w:r>
      <w:r>
        <w:rPr>
          <w:i/>
          <w:sz w:val="20"/>
        </w:rPr>
        <w:t>foxes.</w:t>
      </w:r>
      <w:r>
        <w:rPr>
          <w:i/>
          <w:spacing w:val="-2"/>
          <w:sz w:val="20"/>
        </w:rPr>
        <w:t> </w:t>
      </w:r>
      <w:r>
        <w:rPr>
          <w:sz w:val="20"/>
        </w:rPr>
        <w:t>Canberra: Australian Government Publishing Service.</w:t>
      </w:r>
    </w:p>
    <w:p>
      <w:pPr>
        <w:pStyle w:val="BodyText"/>
        <w:spacing w:before="11"/>
      </w:pPr>
    </w:p>
    <w:p>
      <w:pPr>
        <w:pStyle w:val="BodyText"/>
        <w:ind w:left="833" w:right="163" w:hanging="721"/>
      </w:pPr>
      <w:r>
        <w:rPr/>
        <w:t>Saunders,</w:t>
      </w:r>
      <w:r>
        <w:rPr>
          <w:spacing w:val="-3"/>
        </w:rPr>
        <w:t> </w:t>
      </w:r>
      <w:r>
        <w:rPr/>
        <w:t>G.,</w:t>
      </w:r>
      <w:r>
        <w:rPr>
          <w:spacing w:val="-1"/>
        </w:rPr>
        <w:t> </w:t>
      </w:r>
      <w:r>
        <w:rPr/>
        <w:t>McIlroy,</w:t>
      </w:r>
      <w:r>
        <w:rPr>
          <w:spacing w:val="-3"/>
        </w:rPr>
        <w:t> </w:t>
      </w:r>
      <w:r>
        <w:rPr/>
        <w:t>J.,</w:t>
      </w:r>
      <w:r>
        <w:rPr>
          <w:spacing w:val="-1"/>
        </w:rPr>
        <w:t> </w:t>
      </w:r>
      <w:r>
        <w:rPr/>
        <w:t>Berghout,</w:t>
      </w:r>
      <w:r>
        <w:rPr>
          <w:spacing w:val="-3"/>
        </w:rPr>
        <w:t> </w:t>
      </w:r>
      <w:r>
        <w:rPr/>
        <w:t>M.,</w:t>
      </w:r>
      <w:r>
        <w:rPr>
          <w:spacing w:val="-3"/>
        </w:rPr>
        <w:t> </w:t>
      </w:r>
      <w:r>
        <w:rPr/>
        <w:t>Kay,</w:t>
      </w:r>
      <w:r>
        <w:rPr>
          <w:spacing w:val="-3"/>
        </w:rPr>
        <w:t> </w:t>
      </w:r>
      <w:r>
        <w:rPr/>
        <w:t>B.,</w:t>
      </w:r>
      <w:r>
        <w:rPr>
          <w:spacing w:val="-3"/>
        </w:rPr>
        <w:t> </w:t>
      </w:r>
      <w:r>
        <w:rPr/>
        <w:t>Gifford,</w:t>
      </w:r>
      <w:r>
        <w:rPr>
          <w:spacing w:val="-3"/>
        </w:rPr>
        <w:t> </w:t>
      </w:r>
      <w:r>
        <w:rPr/>
        <w:t>E.,</w:t>
      </w:r>
      <w:r>
        <w:rPr>
          <w:spacing w:val="-3"/>
        </w:rPr>
        <w:t> </w:t>
      </w:r>
      <w:r>
        <w:rPr/>
        <w:t>Perry,</w:t>
      </w:r>
      <w:r>
        <w:rPr>
          <w:spacing w:val="-3"/>
        </w:rPr>
        <w:t> </w:t>
      </w:r>
      <w:r>
        <w:rPr/>
        <w:t>R.,</w:t>
      </w:r>
      <w:r>
        <w:rPr>
          <w:spacing w:val="-3"/>
        </w:rPr>
        <w:t> </w:t>
      </w:r>
      <w:r>
        <w:rPr/>
        <w:t>and</w:t>
      </w:r>
      <w:r>
        <w:rPr>
          <w:spacing w:val="-1"/>
        </w:rPr>
        <w:t> </w:t>
      </w:r>
      <w:r>
        <w:rPr/>
        <w:t>Van</w:t>
      </w:r>
      <w:r>
        <w:rPr>
          <w:spacing w:val="-2"/>
        </w:rPr>
        <w:t> </w:t>
      </w:r>
      <w:r>
        <w:rPr/>
        <w:t>De,</w:t>
      </w:r>
      <w:r>
        <w:rPr>
          <w:spacing w:val="-3"/>
        </w:rPr>
        <w:t> </w:t>
      </w:r>
      <w:r>
        <w:rPr/>
        <w:t>V.</w:t>
      </w:r>
      <w:r>
        <w:rPr>
          <w:spacing w:val="-1"/>
        </w:rPr>
        <w:t> </w:t>
      </w:r>
      <w:r>
        <w:rPr/>
        <w:t>(2002).</w:t>
      </w:r>
      <w:r>
        <w:rPr>
          <w:spacing w:val="-3"/>
        </w:rPr>
        <w:t> </w:t>
      </w:r>
      <w:r>
        <w:rPr/>
        <w:t>The</w:t>
      </w:r>
      <w:r>
        <w:rPr>
          <w:spacing w:val="-1"/>
        </w:rPr>
        <w:t> </w:t>
      </w:r>
      <w:r>
        <w:rPr/>
        <w:t>effects</w:t>
      </w:r>
      <w:r>
        <w:rPr>
          <w:spacing w:val="-2"/>
        </w:rPr>
        <w:t> </w:t>
      </w:r>
      <w:r>
        <w:rPr/>
        <w:t>of induced sterility on the territorial behaviour and survival of foxes. </w:t>
      </w:r>
      <w:r>
        <w:rPr>
          <w:i/>
        </w:rPr>
        <w:t>Journal of Applied Ecology</w:t>
      </w:r>
      <w:r>
        <w:rPr>
          <w:i/>
        </w:rPr>
        <w:t> </w:t>
      </w:r>
      <w:r>
        <w:rPr>
          <w:b/>
          <w:spacing w:val="-2"/>
        </w:rPr>
        <w:t>39</w:t>
      </w:r>
      <w:r>
        <w:rPr>
          <w:spacing w:val="-2"/>
        </w:rPr>
        <w:t>(1):56–66.</w:t>
      </w:r>
    </w:p>
    <w:p>
      <w:pPr>
        <w:pStyle w:val="BodyText"/>
        <w:spacing w:before="11"/>
      </w:pPr>
    </w:p>
    <w:p>
      <w:pPr>
        <w:spacing w:before="0"/>
        <w:ind w:left="833" w:right="544" w:hanging="721"/>
        <w:jc w:val="left"/>
        <w:rPr>
          <w:sz w:val="20"/>
        </w:rPr>
      </w:pPr>
      <w:r>
        <w:rPr>
          <w:sz w:val="20"/>
        </w:rPr>
        <w:t>Saunders,</w:t>
      </w:r>
      <w:r>
        <w:rPr>
          <w:spacing w:val="-4"/>
          <w:sz w:val="20"/>
        </w:rPr>
        <w:t> </w:t>
      </w:r>
      <w:r>
        <w:rPr>
          <w:sz w:val="20"/>
        </w:rPr>
        <w:t>G.,</w:t>
      </w:r>
      <w:r>
        <w:rPr>
          <w:spacing w:val="-2"/>
          <w:sz w:val="20"/>
        </w:rPr>
        <w:t> </w:t>
      </w:r>
      <w:r>
        <w:rPr>
          <w:sz w:val="20"/>
        </w:rPr>
        <w:t>and</w:t>
      </w:r>
      <w:r>
        <w:rPr>
          <w:spacing w:val="-3"/>
          <w:sz w:val="20"/>
        </w:rPr>
        <w:t> </w:t>
      </w:r>
      <w:r>
        <w:rPr>
          <w:sz w:val="20"/>
        </w:rPr>
        <w:t>McLeod,</w:t>
      </w:r>
      <w:r>
        <w:rPr>
          <w:spacing w:val="-2"/>
          <w:sz w:val="20"/>
        </w:rPr>
        <w:t> </w:t>
      </w:r>
      <w:r>
        <w:rPr>
          <w:sz w:val="20"/>
        </w:rPr>
        <w:t>L.</w:t>
      </w:r>
      <w:r>
        <w:rPr>
          <w:spacing w:val="-4"/>
          <w:sz w:val="20"/>
        </w:rPr>
        <w:t> </w:t>
      </w:r>
      <w:r>
        <w:rPr>
          <w:sz w:val="20"/>
        </w:rPr>
        <w:t>(2007).</w:t>
      </w:r>
      <w:r>
        <w:rPr>
          <w:spacing w:val="-1"/>
          <w:sz w:val="20"/>
        </w:rPr>
        <w:t> </w:t>
      </w:r>
      <w:r>
        <w:rPr>
          <w:i/>
          <w:sz w:val="20"/>
        </w:rPr>
        <w:t>Improving</w:t>
      </w:r>
      <w:r>
        <w:rPr>
          <w:i/>
          <w:spacing w:val="-5"/>
          <w:sz w:val="20"/>
        </w:rPr>
        <w:t> </w:t>
      </w:r>
      <w:r>
        <w:rPr>
          <w:i/>
          <w:sz w:val="20"/>
        </w:rPr>
        <w:t>fox</w:t>
      </w:r>
      <w:r>
        <w:rPr>
          <w:i/>
          <w:spacing w:val="-3"/>
          <w:sz w:val="20"/>
        </w:rPr>
        <w:t> </w:t>
      </w:r>
      <w:r>
        <w:rPr>
          <w:i/>
          <w:sz w:val="20"/>
        </w:rPr>
        <w:t>management</w:t>
      </w:r>
      <w:r>
        <w:rPr>
          <w:i/>
          <w:spacing w:val="-4"/>
          <w:sz w:val="20"/>
        </w:rPr>
        <w:t> </w:t>
      </w:r>
      <w:r>
        <w:rPr>
          <w:i/>
          <w:sz w:val="20"/>
        </w:rPr>
        <w:t>strategies</w:t>
      </w:r>
      <w:r>
        <w:rPr>
          <w:i/>
          <w:spacing w:val="-3"/>
          <w:sz w:val="20"/>
        </w:rPr>
        <w:t> </w:t>
      </w:r>
      <w:r>
        <w:rPr>
          <w:i/>
          <w:sz w:val="20"/>
        </w:rPr>
        <w:t>in</w:t>
      </w:r>
      <w:r>
        <w:rPr>
          <w:i/>
          <w:spacing w:val="-1"/>
          <w:sz w:val="20"/>
        </w:rPr>
        <w:t> </w:t>
      </w:r>
      <w:r>
        <w:rPr>
          <w:i/>
          <w:sz w:val="20"/>
        </w:rPr>
        <w:t>Australia.</w:t>
      </w:r>
      <w:r>
        <w:rPr>
          <w:i/>
          <w:spacing w:val="-2"/>
          <w:sz w:val="20"/>
        </w:rPr>
        <w:t> </w:t>
      </w:r>
      <w:r>
        <w:rPr>
          <w:sz w:val="20"/>
        </w:rPr>
        <w:t>Bureau</w:t>
      </w:r>
      <w:r>
        <w:rPr>
          <w:spacing w:val="-3"/>
          <w:sz w:val="20"/>
        </w:rPr>
        <w:t> </w:t>
      </w:r>
      <w:r>
        <w:rPr>
          <w:sz w:val="20"/>
        </w:rPr>
        <w:t>of Resource Sciences, Australian Government Publishing Service.</w:t>
      </w:r>
    </w:p>
    <w:p>
      <w:pPr>
        <w:pStyle w:val="BodyText"/>
        <w:spacing w:before="9"/>
      </w:pPr>
    </w:p>
    <w:p>
      <w:pPr>
        <w:pStyle w:val="BodyText"/>
        <w:ind w:left="112"/>
      </w:pPr>
      <w:r>
        <w:rPr/>
        <w:t>Savarie,</w:t>
      </w:r>
      <w:r>
        <w:rPr>
          <w:spacing w:val="-7"/>
        </w:rPr>
        <w:t> </w:t>
      </w:r>
      <w:r>
        <w:rPr/>
        <w:t>P.J.,</w:t>
      </w:r>
      <w:r>
        <w:rPr>
          <w:spacing w:val="-6"/>
        </w:rPr>
        <w:t> </w:t>
      </w:r>
      <w:r>
        <w:rPr/>
        <w:t>Pan,</w:t>
      </w:r>
      <w:r>
        <w:rPr>
          <w:spacing w:val="-4"/>
        </w:rPr>
        <w:t> </w:t>
      </w:r>
      <w:r>
        <w:rPr/>
        <w:t>H.P.,</w:t>
      </w:r>
      <w:r>
        <w:rPr>
          <w:spacing w:val="-7"/>
        </w:rPr>
        <w:t> </w:t>
      </w:r>
      <w:r>
        <w:rPr/>
        <w:t>Hayes,</w:t>
      </w:r>
      <w:r>
        <w:rPr>
          <w:spacing w:val="-6"/>
        </w:rPr>
        <w:t> </w:t>
      </w:r>
      <w:r>
        <w:rPr/>
        <w:t>D.J.,</w:t>
      </w:r>
      <w:r>
        <w:rPr>
          <w:spacing w:val="-6"/>
        </w:rPr>
        <w:t> </w:t>
      </w:r>
      <w:r>
        <w:rPr/>
        <w:t>Roberts,</w:t>
      </w:r>
      <w:r>
        <w:rPr>
          <w:spacing w:val="-6"/>
        </w:rPr>
        <w:t> </w:t>
      </w:r>
      <w:r>
        <w:rPr/>
        <w:t>J.D.,</w:t>
      </w:r>
      <w:r>
        <w:rPr>
          <w:spacing w:val="-5"/>
        </w:rPr>
        <w:t> </w:t>
      </w:r>
      <w:r>
        <w:rPr/>
        <w:t>Dasch,</w:t>
      </w:r>
      <w:r>
        <w:rPr>
          <w:spacing w:val="-6"/>
        </w:rPr>
        <w:t> </w:t>
      </w:r>
      <w:r>
        <w:rPr/>
        <w:t>G.J.,</w:t>
      </w:r>
      <w:r>
        <w:rPr>
          <w:spacing w:val="-6"/>
        </w:rPr>
        <w:t> </w:t>
      </w:r>
      <w:r>
        <w:rPr/>
        <w:t>Felton,</w:t>
      </w:r>
      <w:r>
        <w:rPr>
          <w:spacing w:val="-4"/>
        </w:rPr>
        <w:t> </w:t>
      </w:r>
      <w:r>
        <w:rPr/>
        <w:t>R.,</w:t>
      </w:r>
      <w:r>
        <w:rPr>
          <w:spacing w:val="-7"/>
        </w:rPr>
        <w:t> </w:t>
      </w:r>
      <w:r>
        <w:rPr/>
        <w:t>and</w:t>
      </w:r>
      <w:r>
        <w:rPr>
          <w:spacing w:val="-5"/>
        </w:rPr>
        <w:t> </w:t>
      </w:r>
      <w:r>
        <w:rPr/>
        <w:t>Schafer,</w:t>
      </w:r>
      <w:r>
        <w:rPr>
          <w:spacing w:val="-3"/>
        </w:rPr>
        <w:t> </w:t>
      </w:r>
      <w:r>
        <w:rPr/>
        <w:t>E.W.</w:t>
      </w:r>
      <w:r>
        <w:rPr>
          <w:spacing w:val="-7"/>
        </w:rPr>
        <w:t> </w:t>
      </w:r>
      <w:r>
        <w:rPr>
          <w:spacing w:val="-2"/>
        </w:rPr>
        <w:t>(1983).</w:t>
      </w:r>
    </w:p>
    <w:p>
      <w:pPr>
        <w:spacing w:before="0"/>
        <w:ind w:left="833" w:right="340" w:firstLine="0"/>
        <w:jc w:val="left"/>
        <w:rPr>
          <w:sz w:val="20"/>
        </w:rPr>
      </w:pPr>
      <w:r>
        <w:rPr>
          <w:sz w:val="20"/>
        </w:rPr>
        <w:t>Comparative</w:t>
      </w:r>
      <w:r>
        <w:rPr>
          <w:spacing w:val="-3"/>
          <w:sz w:val="20"/>
        </w:rPr>
        <w:t> </w:t>
      </w:r>
      <w:r>
        <w:rPr>
          <w:sz w:val="20"/>
        </w:rPr>
        <w:t>acute</w:t>
      </w:r>
      <w:r>
        <w:rPr>
          <w:spacing w:val="-3"/>
          <w:sz w:val="20"/>
        </w:rPr>
        <w:t> </w:t>
      </w:r>
      <w:r>
        <w:rPr>
          <w:sz w:val="20"/>
        </w:rPr>
        <w:t>oral</w:t>
      </w:r>
      <w:r>
        <w:rPr>
          <w:spacing w:val="-6"/>
          <w:sz w:val="20"/>
        </w:rPr>
        <w:t> </w:t>
      </w:r>
      <w:r>
        <w:rPr>
          <w:sz w:val="20"/>
        </w:rPr>
        <w:t>toxicity</w:t>
      </w:r>
      <w:r>
        <w:rPr>
          <w:spacing w:val="-4"/>
          <w:sz w:val="20"/>
        </w:rPr>
        <w:t> </w:t>
      </w:r>
      <w:r>
        <w:rPr>
          <w:sz w:val="20"/>
        </w:rPr>
        <w:t>o</w:t>
      </w:r>
      <w:r>
        <w:rPr>
          <w:spacing w:val="-6"/>
          <w:sz w:val="20"/>
        </w:rPr>
        <w:t> </w:t>
      </w:r>
      <w:r>
        <w:rPr>
          <w:sz w:val="20"/>
        </w:rPr>
        <w:t>fpara-aminopropiophenone</w:t>
      </w:r>
      <w:r>
        <w:rPr>
          <w:spacing w:val="-5"/>
          <w:sz w:val="20"/>
        </w:rPr>
        <w:t> </w:t>
      </w:r>
      <w:r>
        <w:rPr>
          <w:sz w:val="20"/>
        </w:rPr>
        <w:t>(PAPP)</w:t>
      </w:r>
      <w:r>
        <w:rPr>
          <w:spacing w:val="-4"/>
          <w:sz w:val="20"/>
        </w:rPr>
        <w:t> </w:t>
      </w:r>
      <w:r>
        <w:rPr>
          <w:sz w:val="20"/>
        </w:rPr>
        <w:t>in</w:t>
      </w:r>
      <w:r>
        <w:rPr>
          <w:spacing w:val="-5"/>
          <w:sz w:val="20"/>
        </w:rPr>
        <w:t> </w:t>
      </w:r>
      <w:r>
        <w:rPr>
          <w:sz w:val="20"/>
        </w:rPr>
        <w:t>mammals</w:t>
      </w:r>
      <w:r>
        <w:rPr>
          <w:spacing w:val="-1"/>
          <w:sz w:val="20"/>
        </w:rPr>
        <w:t> </w:t>
      </w:r>
      <w:r>
        <w:rPr>
          <w:sz w:val="20"/>
        </w:rPr>
        <w:t>and</w:t>
      </w:r>
      <w:r>
        <w:rPr>
          <w:spacing w:val="-3"/>
          <w:sz w:val="20"/>
        </w:rPr>
        <w:t> </w:t>
      </w:r>
      <w:r>
        <w:rPr>
          <w:sz w:val="20"/>
        </w:rPr>
        <w:t>birds.</w:t>
      </w:r>
      <w:r>
        <w:rPr>
          <w:spacing w:val="-1"/>
          <w:sz w:val="20"/>
        </w:rPr>
        <w:t> </w:t>
      </w:r>
      <w:r>
        <w:rPr>
          <w:i/>
          <w:sz w:val="20"/>
        </w:rPr>
        <w:t>Bulletin</w:t>
      </w:r>
      <w:r>
        <w:rPr>
          <w:i/>
          <w:sz w:val="20"/>
        </w:rPr>
        <w:t> of Environmental Contamination and Toxicology </w:t>
      </w:r>
      <w:r>
        <w:rPr>
          <w:b/>
          <w:sz w:val="20"/>
        </w:rPr>
        <w:t>30</w:t>
      </w:r>
      <w:r>
        <w:rPr>
          <w:sz w:val="20"/>
        </w:rPr>
        <w:t>(1):122–26. doi: 10.1007/BF01610109.</w:t>
      </w:r>
    </w:p>
    <w:p>
      <w:pPr>
        <w:pStyle w:val="BodyText"/>
        <w:spacing w:before="11"/>
      </w:pPr>
    </w:p>
    <w:p>
      <w:pPr>
        <w:pStyle w:val="BodyText"/>
        <w:ind w:left="833" w:right="163" w:hanging="721"/>
      </w:pPr>
      <w:r>
        <w:rPr/>
        <w:t>Schultz,</w:t>
      </w:r>
      <w:r>
        <w:rPr>
          <w:spacing w:val="-4"/>
        </w:rPr>
        <w:t> </w:t>
      </w:r>
      <w:r>
        <w:rPr/>
        <w:t>R.N.,</w:t>
      </w:r>
      <w:r>
        <w:rPr>
          <w:spacing w:val="-2"/>
        </w:rPr>
        <w:t> </w:t>
      </w:r>
      <w:r>
        <w:rPr/>
        <w:t>Jonas,</w:t>
      </w:r>
      <w:r>
        <w:rPr>
          <w:spacing w:val="-2"/>
        </w:rPr>
        <w:t> </w:t>
      </w:r>
      <w:r>
        <w:rPr/>
        <w:t>K.W.,</w:t>
      </w:r>
      <w:r>
        <w:rPr>
          <w:spacing w:val="-2"/>
        </w:rPr>
        <w:t> </w:t>
      </w:r>
      <w:r>
        <w:rPr/>
        <w:t>Skuldt,</w:t>
      </w:r>
      <w:r>
        <w:rPr>
          <w:spacing w:val="-4"/>
        </w:rPr>
        <w:t> </w:t>
      </w:r>
      <w:r>
        <w:rPr/>
        <w:t>L.H.,</w:t>
      </w:r>
      <w:r>
        <w:rPr>
          <w:spacing w:val="-2"/>
        </w:rPr>
        <w:t> </w:t>
      </w:r>
      <w:r>
        <w:rPr/>
        <w:t>and</w:t>
      </w:r>
      <w:r>
        <w:rPr>
          <w:spacing w:val="-2"/>
        </w:rPr>
        <w:t> </w:t>
      </w:r>
      <w:r>
        <w:rPr/>
        <w:t>Wydeven,</w:t>
      </w:r>
      <w:r>
        <w:rPr>
          <w:spacing w:val="-4"/>
        </w:rPr>
        <w:t> </w:t>
      </w:r>
      <w:r>
        <w:rPr/>
        <w:t>A.P.</w:t>
      </w:r>
      <w:r>
        <w:rPr>
          <w:spacing w:val="-4"/>
        </w:rPr>
        <w:t> </w:t>
      </w:r>
      <w:r>
        <w:rPr/>
        <w:t>(2005).</w:t>
      </w:r>
      <w:r>
        <w:rPr>
          <w:spacing w:val="-2"/>
        </w:rPr>
        <w:t> </w:t>
      </w:r>
      <w:r>
        <w:rPr/>
        <w:t>Experimental</w:t>
      </w:r>
      <w:r>
        <w:rPr>
          <w:spacing w:val="-3"/>
        </w:rPr>
        <w:t> </w:t>
      </w:r>
      <w:r>
        <w:rPr/>
        <w:t>use</w:t>
      </w:r>
      <w:r>
        <w:rPr>
          <w:spacing w:val="-4"/>
        </w:rPr>
        <w:t> </w:t>
      </w:r>
      <w:r>
        <w:rPr/>
        <w:t>of</w:t>
      </w:r>
      <w:r>
        <w:rPr>
          <w:spacing w:val="-2"/>
        </w:rPr>
        <w:t> </w:t>
      </w:r>
      <w:r>
        <w:rPr/>
        <w:t>dog</w:t>
      </w:r>
      <w:r>
        <w:rPr>
          <w:rFonts w:ascii="Cambria Math" w:hAnsi="Cambria Math"/>
        </w:rPr>
        <w:t>‐</w:t>
      </w:r>
      <w:r>
        <w:rPr/>
        <w:t>training</w:t>
      </w:r>
      <w:r>
        <w:rPr>
          <w:spacing w:val="-2"/>
        </w:rPr>
        <w:t> </w:t>
      </w:r>
      <w:r>
        <w:rPr/>
        <w:t>shock collars to deter depredation by Gray Wolf </w:t>
      </w:r>
      <w:r>
        <w:rPr>
          <w:i/>
        </w:rPr>
        <w:t>Wildlife Society Bulletin </w:t>
      </w:r>
      <w:r>
        <w:rPr>
          <w:b/>
        </w:rPr>
        <w:t>33</w:t>
      </w:r>
      <w:r>
        <w:rPr/>
        <w:t>:142–48.</w:t>
      </w:r>
    </w:p>
    <w:p>
      <w:pPr>
        <w:pStyle w:val="BodyText"/>
        <w:spacing w:before="9"/>
      </w:pPr>
    </w:p>
    <w:p>
      <w:pPr>
        <w:spacing w:before="0"/>
        <w:ind w:left="112" w:right="0" w:firstLine="0"/>
        <w:jc w:val="left"/>
        <w:rPr>
          <w:sz w:val="20"/>
        </w:rPr>
      </w:pPr>
      <w:r>
        <w:rPr>
          <w:sz w:val="20"/>
        </w:rPr>
        <w:t>Seebens,</w:t>
      </w:r>
      <w:r>
        <w:rPr>
          <w:spacing w:val="-9"/>
          <w:sz w:val="20"/>
        </w:rPr>
        <w:t> </w:t>
      </w:r>
      <w:r>
        <w:rPr>
          <w:sz w:val="20"/>
        </w:rPr>
        <w:t>H.</w:t>
      </w:r>
      <w:r>
        <w:rPr>
          <w:spacing w:val="-9"/>
          <w:sz w:val="20"/>
        </w:rPr>
        <w:t> </w:t>
      </w:r>
      <w:r>
        <w:rPr>
          <w:sz w:val="20"/>
        </w:rPr>
        <w:t>(2024).</w:t>
      </w:r>
      <w:r>
        <w:rPr>
          <w:spacing w:val="-7"/>
          <w:sz w:val="20"/>
        </w:rPr>
        <w:t> </w:t>
      </w:r>
      <w:r>
        <w:rPr>
          <w:sz w:val="20"/>
        </w:rPr>
        <w:t>Biological</w:t>
      </w:r>
      <w:r>
        <w:rPr>
          <w:spacing w:val="-10"/>
          <w:sz w:val="20"/>
        </w:rPr>
        <w:t> </w:t>
      </w:r>
      <w:r>
        <w:rPr>
          <w:sz w:val="20"/>
        </w:rPr>
        <w:t>invasions</w:t>
      </w:r>
      <w:r>
        <w:rPr>
          <w:spacing w:val="-6"/>
          <w:sz w:val="20"/>
        </w:rPr>
        <w:t> </w:t>
      </w:r>
      <w:r>
        <w:rPr>
          <w:sz w:val="20"/>
        </w:rPr>
        <w:t>on</w:t>
      </w:r>
      <w:r>
        <w:rPr>
          <w:spacing w:val="-8"/>
          <w:sz w:val="20"/>
        </w:rPr>
        <w:t> </w:t>
      </w:r>
      <w:r>
        <w:rPr>
          <w:sz w:val="20"/>
        </w:rPr>
        <w:t>indigenous</w:t>
      </w:r>
      <w:r>
        <w:rPr>
          <w:spacing w:val="-8"/>
          <w:sz w:val="20"/>
        </w:rPr>
        <w:t> </w:t>
      </w:r>
      <w:r>
        <w:rPr>
          <w:sz w:val="20"/>
        </w:rPr>
        <w:t>peoples’</w:t>
      </w:r>
      <w:r>
        <w:rPr>
          <w:spacing w:val="-10"/>
          <w:sz w:val="20"/>
        </w:rPr>
        <w:t> </w:t>
      </w:r>
      <w:r>
        <w:rPr>
          <w:sz w:val="20"/>
        </w:rPr>
        <w:t>lands.</w:t>
      </w:r>
      <w:r>
        <w:rPr>
          <w:spacing w:val="-5"/>
          <w:sz w:val="20"/>
        </w:rPr>
        <w:t> </w:t>
      </w:r>
      <w:r>
        <w:rPr>
          <w:i/>
          <w:sz w:val="20"/>
        </w:rPr>
        <w:t>Nature</w:t>
      </w:r>
      <w:r>
        <w:rPr>
          <w:i/>
          <w:spacing w:val="-7"/>
          <w:sz w:val="20"/>
        </w:rPr>
        <w:t> </w:t>
      </w:r>
      <w:r>
        <w:rPr>
          <w:i/>
          <w:spacing w:val="-2"/>
          <w:sz w:val="20"/>
        </w:rPr>
        <w:t>Sustainability</w:t>
      </w:r>
      <w:r>
        <w:rPr>
          <w:spacing w:val="-2"/>
          <w:sz w:val="20"/>
        </w:rPr>
        <w:t>.</w:t>
      </w:r>
    </w:p>
    <w:p>
      <w:pPr>
        <w:pStyle w:val="BodyText"/>
        <w:spacing w:before="11"/>
      </w:pPr>
    </w:p>
    <w:p>
      <w:pPr>
        <w:pStyle w:val="BodyText"/>
        <w:ind w:left="833" w:right="163" w:hanging="721"/>
      </w:pPr>
      <w:r>
        <w:rPr/>
        <w:t>Shapiro, L., Eason, C.T., Hix, Steve, Ogilvie, S.C., and MacMorran, D. (2010). Para-aminopropiophenone (PAPP) research, development, registration, and application for humane predator control in New Zealand.</w:t>
      </w:r>
      <w:r>
        <w:rPr>
          <w:spacing w:val="-2"/>
        </w:rPr>
        <w:t> </w:t>
      </w:r>
      <w:r>
        <w:rPr/>
        <w:t>Pp.</w:t>
      </w:r>
      <w:r>
        <w:rPr>
          <w:spacing w:val="-4"/>
        </w:rPr>
        <w:t> </w:t>
      </w:r>
      <w:r>
        <w:rPr/>
        <w:t>115–18</w:t>
      </w:r>
      <w:r>
        <w:rPr>
          <w:spacing w:val="-4"/>
        </w:rPr>
        <w:t> </w:t>
      </w:r>
      <w:r>
        <w:rPr/>
        <w:t>in.</w:t>
      </w:r>
      <w:r>
        <w:rPr>
          <w:spacing w:val="-4"/>
        </w:rPr>
        <w:t> </w:t>
      </w:r>
      <w:r>
        <w:rPr/>
        <w:t>University</w:t>
      </w:r>
      <w:r>
        <w:rPr>
          <w:spacing w:val="-3"/>
        </w:rPr>
        <w:t> </w:t>
      </w:r>
      <w:r>
        <w:rPr/>
        <w:t>of</w:t>
      </w:r>
      <w:r>
        <w:rPr>
          <w:spacing w:val="-4"/>
        </w:rPr>
        <w:t> </w:t>
      </w:r>
      <w:r>
        <w:rPr/>
        <w:t>California</w:t>
      </w:r>
      <w:r>
        <w:rPr>
          <w:spacing w:val="-4"/>
        </w:rPr>
        <w:t> </w:t>
      </w:r>
      <w:r>
        <w:rPr/>
        <w:t>Davis</w:t>
      </w:r>
      <w:r>
        <w:rPr>
          <w:spacing w:val="-1"/>
        </w:rPr>
        <w:t> </w:t>
      </w:r>
      <w:r>
        <w:rPr/>
        <w:t>USA:</w:t>
      </w:r>
      <w:r>
        <w:rPr>
          <w:spacing w:val="-4"/>
        </w:rPr>
        <w:t> </w:t>
      </w:r>
      <w:r>
        <w:rPr/>
        <w:t>Proceedings</w:t>
      </w:r>
      <w:r>
        <w:rPr>
          <w:spacing w:val="-3"/>
        </w:rPr>
        <w:t> </w:t>
      </w:r>
      <w:r>
        <w:rPr/>
        <w:t>of</w:t>
      </w:r>
      <w:r>
        <w:rPr>
          <w:spacing w:val="-4"/>
        </w:rPr>
        <w:t> </w:t>
      </w:r>
      <w:r>
        <w:rPr/>
        <w:t>the</w:t>
      </w:r>
      <w:r>
        <w:rPr>
          <w:spacing w:val="-4"/>
        </w:rPr>
        <w:t> </w:t>
      </w:r>
      <w:r>
        <w:rPr/>
        <w:t>24th</w:t>
      </w:r>
      <w:r>
        <w:rPr>
          <w:spacing w:val="-3"/>
        </w:rPr>
        <w:t> </w:t>
      </w:r>
      <w:r>
        <w:rPr/>
        <w:t>Vertebrate</w:t>
      </w:r>
      <w:r>
        <w:rPr>
          <w:spacing w:val="-2"/>
        </w:rPr>
        <w:t> </w:t>
      </w:r>
      <w:r>
        <w:rPr/>
        <w:t>Pest </w:t>
      </w:r>
      <w:r>
        <w:rPr>
          <w:spacing w:val="-2"/>
        </w:rPr>
        <w:t>Conference.</w:t>
      </w:r>
    </w:p>
    <w:p>
      <w:pPr>
        <w:pStyle w:val="BodyText"/>
        <w:spacing w:before="9"/>
      </w:pPr>
    </w:p>
    <w:p>
      <w:pPr>
        <w:spacing w:before="0"/>
        <w:ind w:left="833" w:right="163" w:hanging="721"/>
        <w:jc w:val="left"/>
        <w:rPr>
          <w:sz w:val="20"/>
        </w:rPr>
      </w:pPr>
      <w:r>
        <w:rPr>
          <w:sz w:val="20"/>
        </w:rPr>
        <w:t>Shapiro,</w:t>
      </w:r>
      <w:r>
        <w:rPr>
          <w:spacing w:val="-1"/>
          <w:sz w:val="20"/>
        </w:rPr>
        <w:t> </w:t>
      </w:r>
      <w:r>
        <w:rPr>
          <w:sz w:val="20"/>
        </w:rPr>
        <w:t>L.</w:t>
      </w:r>
      <w:r>
        <w:rPr>
          <w:spacing w:val="-4"/>
          <w:sz w:val="20"/>
        </w:rPr>
        <w:t> </w:t>
      </w:r>
      <w:r>
        <w:rPr>
          <w:sz w:val="20"/>
        </w:rPr>
        <w:t>(2017).</w:t>
      </w:r>
      <w:r>
        <w:rPr>
          <w:spacing w:val="-1"/>
          <w:sz w:val="20"/>
        </w:rPr>
        <w:t> </w:t>
      </w:r>
      <w:r>
        <w:rPr>
          <w:sz w:val="20"/>
        </w:rPr>
        <w:t>Primary</w:t>
      </w:r>
      <w:r>
        <w:rPr>
          <w:spacing w:val="-3"/>
          <w:sz w:val="20"/>
        </w:rPr>
        <w:t> </w:t>
      </w:r>
      <w:r>
        <w:rPr>
          <w:sz w:val="20"/>
        </w:rPr>
        <w:t>poisoning</w:t>
      </w:r>
      <w:r>
        <w:rPr>
          <w:spacing w:val="-5"/>
          <w:sz w:val="20"/>
        </w:rPr>
        <w:t> </w:t>
      </w:r>
      <w:r>
        <w:rPr>
          <w:sz w:val="20"/>
        </w:rPr>
        <w:t>risk</w:t>
      </w:r>
      <w:r>
        <w:rPr>
          <w:spacing w:val="-3"/>
          <w:sz w:val="20"/>
        </w:rPr>
        <w:t> </w:t>
      </w:r>
      <w:r>
        <w:rPr>
          <w:sz w:val="20"/>
        </w:rPr>
        <w:t>for</w:t>
      </w:r>
      <w:r>
        <w:rPr>
          <w:spacing w:val="-1"/>
          <w:sz w:val="20"/>
        </w:rPr>
        <w:t> </w:t>
      </w:r>
      <w:r>
        <w:rPr>
          <w:sz w:val="20"/>
        </w:rPr>
        <w:t>encapsulated</w:t>
      </w:r>
      <w:r>
        <w:rPr>
          <w:spacing w:val="-4"/>
          <w:sz w:val="20"/>
        </w:rPr>
        <w:t> </w:t>
      </w:r>
      <w:r>
        <w:rPr>
          <w:sz w:val="20"/>
        </w:rPr>
        <w:t>sodium</w:t>
      </w:r>
      <w:r>
        <w:rPr>
          <w:spacing w:val="-2"/>
          <w:sz w:val="20"/>
        </w:rPr>
        <w:t> </w:t>
      </w:r>
      <w:r>
        <w:rPr>
          <w:sz w:val="20"/>
        </w:rPr>
        <w:t>nitrite,</w:t>
      </w:r>
      <w:r>
        <w:rPr>
          <w:spacing w:val="-2"/>
          <w:sz w:val="20"/>
        </w:rPr>
        <w:t> </w:t>
      </w:r>
      <w:r>
        <w:rPr>
          <w:sz w:val="20"/>
        </w:rPr>
        <w:t>a</w:t>
      </w:r>
      <w:r>
        <w:rPr>
          <w:spacing w:val="-4"/>
          <w:sz w:val="20"/>
        </w:rPr>
        <w:t> </w:t>
      </w:r>
      <w:r>
        <w:rPr>
          <w:sz w:val="20"/>
        </w:rPr>
        <w:t>new</w:t>
      </w:r>
      <w:r>
        <w:rPr>
          <w:spacing w:val="-4"/>
          <w:sz w:val="20"/>
        </w:rPr>
        <w:t> </w:t>
      </w:r>
      <w:r>
        <w:rPr>
          <w:sz w:val="20"/>
        </w:rPr>
        <w:t>tool</w:t>
      </w:r>
      <w:r>
        <w:rPr>
          <w:spacing w:val="-3"/>
          <w:sz w:val="20"/>
        </w:rPr>
        <w:t> </w:t>
      </w:r>
      <w:r>
        <w:rPr>
          <w:sz w:val="20"/>
        </w:rPr>
        <w:t>for</w:t>
      </w:r>
      <w:r>
        <w:rPr>
          <w:spacing w:val="-4"/>
          <w:sz w:val="20"/>
        </w:rPr>
        <w:t> </w:t>
      </w:r>
      <w:r>
        <w:rPr>
          <w:sz w:val="20"/>
        </w:rPr>
        <w:t>pest</w:t>
      </w:r>
      <w:r>
        <w:rPr>
          <w:spacing w:val="-4"/>
          <w:sz w:val="20"/>
        </w:rPr>
        <w:t> </w:t>
      </w:r>
      <w:r>
        <w:rPr>
          <w:sz w:val="20"/>
        </w:rPr>
        <w:t>control. </w:t>
      </w:r>
      <w:r>
        <w:rPr>
          <w:i/>
          <w:sz w:val="20"/>
        </w:rPr>
        <w:t>New</w:t>
      </w:r>
      <w:r>
        <w:rPr>
          <w:i/>
          <w:sz w:val="20"/>
        </w:rPr>
        <w:t> Zealand Journal of Zoology </w:t>
      </w:r>
      <w:r>
        <w:rPr>
          <w:b/>
          <w:sz w:val="20"/>
        </w:rPr>
        <w:t>44</w:t>
      </w:r>
      <w:r>
        <w:rPr>
          <w:sz w:val="20"/>
        </w:rPr>
        <w:t>:108–21.</w:t>
      </w:r>
    </w:p>
    <w:p>
      <w:pPr>
        <w:pStyle w:val="BodyText"/>
        <w:spacing w:before="11"/>
      </w:pPr>
    </w:p>
    <w:p>
      <w:pPr>
        <w:pStyle w:val="BodyText"/>
        <w:ind w:left="833" w:right="364" w:hanging="721"/>
      </w:pPr>
      <w:r>
        <w:rPr/>
        <w:t>Shapiro, L., Blackie, H., Arthur, D., Ross, J., and Eason, C. (2018). Secondary poisoning risk for encapsulated</w:t>
      </w:r>
      <w:r>
        <w:rPr>
          <w:spacing w:val="-4"/>
        </w:rPr>
        <w:t> </w:t>
      </w:r>
      <w:r>
        <w:rPr/>
        <w:t>sodium</w:t>
      </w:r>
      <w:r>
        <w:rPr>
          <w:spacing w:val="-4"/>
        </w:rPr>
        <w:t> </w:t>
      </w:r>
      <w:r>
        <w:rPr/>
        <w:t>nitrite,</w:t>
      </w:r>
      <w:r>
        <w:rPr>
          <w:spacing w:val="-4"/>
        </w:rPr>
        <w:t> </w:t>
      </w:r>
      <w:r>
        <w:rPr/>
        <w:t>a</w:t>
      </w:r>
      <w:r>
        <w:rPr>
          <w:spacing w:val="-5"/>
        </w:rPr>
        <w:t> </w:t>
      </w:r>
      <w:r>
        <w:rPr/>
        <w:t>new</w:t>
      </w:r>
      <w:r>
        <w:rPr>
          <w:spacing w:val="-4"/>
        </w:rPr>
        <w:t> </w:t>
      </w:r>
      <w:r>
        <w:rPr/>
        <w:t>tool</w:t>
      </w:r>
      <w:r>
        <w:rPr>
          <w:spacing w:val="-3"/>
        </w:rPr>
        <w:t> </w:t>
      </w:r>
      <w:r>
        <w:rPr/>
        <w:t>for</w:t>
      </w:r>
      <w:r>
        <w:rPr>
          <w:spacing w:val="-4"/>
        </w:rPr>
        <w:t> </w:t>
      </w:r>
      <w:r>
        <w:rPr/>
        <w:t>possum</w:t>
      </w:r>
      <w:r>
        <w:rPr>
          <w:spacing w:val="-4"/>
        </w:rPr>
        <w:t> </w:t>
      </w:r>
      <w:r>
        <w:rPr/>
        <w:t>control. </w:t>
      </w:r>
      <w:r>
        <w:rPr>
          <w:i/>
        </w:rPr>
        <w:t>New</w:t>
      </w:r>
      <w:r>
        <w:rPr>
          <w:i/>
          <w:spacing w:val="-4"/>
        </w:rPr>
        <w:t> </w:t>
      </w:r>
      <w:r>
        <w:rPr>
          <w:i/>
        </w:rPr>
        <w:t>Zealand</w:t>
      </w:r>
      <w:r>
        <w:rPr>
          <w:i/>
          <w:spacing w:val="-5"/>
        </w:rPr>
        <w:t> </w:t>
      </w:r>
      <w:r>
        <w:rPr>
          <w:i/>
        </w:rPr>
        <w:t>Journal</w:t>
      </w:r>
      <w:r>
        <w:rPr>
          <w:i/>
          <w:spacing w:val="-5"/>
        </w:rPr>
        <w:t> </w:t>
      </w:r>
      <w:r>
        <w:rPr>
          <w:i/>
        </w:rPr>
        <w:t>of</w:t>
      </w:r>
      <w:r>
        <w:rPr>
          <w:i/>
          <w:spacing w:val="-4"/>
        </w:rPr>
        <w:t> </w:t>
      </w:r>
      <w:r>
        <w:rPr>
          <w:i/>
        </w:rPr>
        <w:t>Ecology</w:t>
      </w:r>
      <w:r>
        <w:rPr>
          <w:i/>
        </w:rPr>
        <w:t> </w:t>
      </w:r>
      <w:r>
        <w:rPr>
          <w:b/>
        </w:rPr>
        <w:t>42</w:t>
      </w:r>
      <w:r>
        <w:rPr/>
        <w:t>(1):1–9. doi: 10.20417/nzjecol.42.6.</w:t>
      </w:r>
    </w:p>
    <w:p>
      <w:pPr>
        <w:pStyle w:val="BodyText"/>
        <w:spacing w:before="9"/>
      </w:pPr>
    </w:p>
    <w:p>
      <w:pPr>
        <w:pStyle w:val="BodyText"/>
        <w:ind w:left="833" w:right="678" w:hanging="721"/>
      </w:pPr>
      <w:r>
        <w:rPr/>
        <w:t>Shapiro, L., Eason, C., Bunt, C., Hix, S., Aylett, P., and MacMorran, D. (2016). Efficacy of encapsulated sodium</w:t>
      </w:r>
      <w:r>
        <w:rPr>
          <w:spacing w:val="-4"/>
        </w:rPr>
        <w:t> </w:t>
      </w:r>
      <w:r>
        <w:rPr/>
        <w:t>nitrite</w:t>
      </w:r>
      <w:r>
        <w:rPr>
          <w:spacing w:val="-4"/>
        </w:rPr>
        <w:t> </w:t>
      </w:r>
      <w:r>
        <w:rPr/>
        <w:t>as</w:t>
      </w:r>
      <w:r>
        <w:rPr>
          <w:spacing w:val="-3"/>
        </w:rPr>
        <w:t> </w:t>
      </w:r>
      <w:r>
        <w:rPr/>
        <w:t>a</w:t>
      </w:r>
      <w:r>
        <w:rPr>
          <w:spacing w:val="-2"/>
        </w:rPr>
        <w:t> </w:t>
      </w:r>
      <w:r>
        <w:rPr/>
        <w:t>new</w:t>
      </w:r>
      <w:r>
        <w:rPr>
          <w:spacing w:val="-2"/>
        </w:rPr>
        <w:t> </w:t>
      </w:r>
      <w:r>
        <w:rPr/>
        <w:t>tool</w:t>
      </w:r>
      <w:r>
        <w:rPr>
          <w:spacing w:val="-3"/>
        </w:rPr>
        <w:t> </w:t>
      </w:r>
      <w:r>
        <w:rPr/>
        <w:t>for</w:t>
      </w:r>
      <w:r>
        <w:rPr>
          <w:spacing w:val="-3"/>
        </w:rPr>
        <w:t> </w:t>
      </w:r>
      <w:r>
        <w:rPr/>
        <w:t>feral</w:t>
      </w:r>
      <w:r>
        <w:rPr>
          <w:spacing w:val="-5"/>
        </w:rPr>
        <w:t> </w:t>
      </w:r>
      <w:r>
        <w:rPr/>
        <w:t>pig</w:t>
      </w:r>
      <w:r>
        <w:rPr>
          <w:spacing w:val="-2"/>
        </w:rPr>
        <w:t> </w:t>
      </w:r>
      <w:r>
        <w:rPr/>
        <w:t>management. </w:t>
      </w:r>
      <w:r>
        <w:rPr>
          <w:i/>
        </w:rPr>
        <w:t>Journal</w:t>
      </w:r>
      <w:r>
        <w:rPr>
          <w:i/>
          <w:spacing w:val="-3"/>
        </w:rPr>
        <w:t> </w:t>
      </w:r>
      <w:r>
        <w:rPr>
          <w:i/>
        </w:rPr>
        <w:t>of</w:t>
      </w:r>
      <w:r>
        <w:rPr>
          <w:i/>
          <w:spacing w:val="-2"/>
        </w:rPr>
        <w:t> </w:t>
      </w:r>
      <w:r>
        <w:rPr>
          <w:i/>
        </w:rPr>
        <w:t>Pest</w:t>
      </w:r>
      <w:r>
        <w:rPr>
          <w:i/>
          <w:spacing w:val="-2"/>
        </w:rPr>
        <w:t> </w:t>
      </w:r>
      <w:r>
        <w:rPr>
          <w:i/>
        </w:rPr>
        <w:t>Science</w:t>
      </w:r>
      <w:r>
        <w:rPr>
          <w:i/>
          <w:spacing w:val="-2"/>
        </w:rPr>
        <w:t> </w:t>
      </w:r>
      <w:r>
        <w:rPr>
          <w:b/>
        </w:rPr>
        <w:t>89</w:t>
      </w:r>
      <w:r>
        <w:rPr/>
        <w:t>(2):489–95.</w:t>
      </w:r>
      <w:r>
        <w:rPr>
          <w:spacing w:val="-4"/>
        </w:rPr>
        <w:t> </w:t>
      </w:r>
      <w:r>
        <w:rPr/>
        <w:t>doi: </w:t>
      </w:r>
      <w:r>
        <w:rPr>
          <w:spacing w:val="-2"/>
        </w:rPr>
        <w:t>10.1007/s10340-015-0706-7.</w:t>
      </w:r>
    </w:p>
    <w:p>
      <w:pPr>
        <w:pStyle w:val="BodyText"/>
        <w:spacing w:before="11"/>
      </w:pPr>
    </w:p>
    <w:p>
      <w:pPr>
        <w:pStyle w:val="BodyText"/>
        <w:spacing w:before="1"/>
        <w:ind w:left="833" w:right="444" w:hanging="721"/>
      </w:pPr>
      <w:r>
        <w:rPr/>
        <w:t>Sharp, T. (2012a). NATSOP-PIG005 National Standard Operating Procedure: Poisoning of feral pigs with 1080. pestSMART, Centre for Invasive Species Solutions. Available at: </w:t>
      </w:r>
      <w:hyperlink r:id="rId115">
        <w:r>
          <w:rPr>
            <w:color w:val="0000FF"/>
            <w:u w:val="single" w:color="0000FF"/>
          </w:rPr>
          <w:t>https://pestsmart.org.au/</w:t>
        </w:r>
      </w:hyperlink>
      <w:r>
        <w:rPr>
          <w:color w:val="0000FF"/>
          <w:u w:val="none"/>
        </w:rPr>
        <w:t> </w:t>
      </w:r>
      <w:hyperlink r:id="rId115">
        <w:r>
          <w:rPr>
            <w:color w:val="0000FF"/>
            <w:u w:val="single" w:color="0000FF"/>
          </w:rPr>
          <w:t>toolkit-resource/poisoning-of-feral-pigs-with-sodium-fluroacetate-1080/</w:t>
        </w:r>
      </w:hyperlink>
      <w:r>
        <w:rPr>
          <w:color w:val="0000FF"/>
          <w:spacing w:val="-9"/>
          <w:u w:val="none"/>
        </w:rPr>
        <w:t> </w:t>
      </w:r>
      <w:r>
        <w:rPr>
          <w:u w:val="none"/>
        </w:rPr>
        <w:t>[accessed</w:t>
      </w:r>
      <w:r>
        <w:rPr>
          <w:spacing w:val="-10"/>
          <w:u w:val="none"/>
        </w:rPr>
        <w:t> </w:t>
      </w:r>
      <w:r>
        <w:rPr>
          <w:u w:val="none"/>
        </w:rPr>
        <w:t>14</w:t>
      </w:r>
      <w:r>
        <w:rPr>
          <w:spacing w:val="-9"/>
          <w:u w:val="none"/>
        </w:rPr>
        <w:t> </w:t>
      </w:r>
      <w:r>
        <w:rPr>
          <w:u w:val="none"/>
        </w:rPr>
        <w:t>October</w:t>
      </w:r>
      <w:r>
        <w:rPr>
          <w:spacing w:val="-8"/>
          <w:u w:val="none"/>
        </w:rPr>
        <w:t> </w:t>
      </w:r>
      <w:r>
        <w:rPr>
          <w:u w:val="none"/>
        </w:rPr>
        <w:t>2024].</w:t>
      </w:r>
    </w:p>
    <w:p>
      <w:pPr>
        <w:pStyle w:val="BodyText"/>
        <w:spacing w:before="8"/>
      </w:pPr>
    </w:p>
    <w:p>
      <w:pPr>
        <w:pStyle w:val="BodyText"/>
        <w:ind w:left="833" w:right="760" w:hanging="721"/>
      </w:pPr>
      <w:r>
        <w:rPr/>
        <w:t>Sharp, T. (2012b). NATSOP-PIG001 National Standard Operating Procedure: Trapping of feral pigs. pestSMART,</w:t>
      </w:r>
      <w:r>
        <w:rPr>
          <w:spacing w:val="-5"/>
        </w:rPr>
        <w:t> </w:t>
      </w:r>
      <w:r>
        <w:rPr/>
        <w:t>Centre</w:t>
      </w:r>
      <w:r>
        <w:rPr>
          <w:spacing w:val="-7"/>
        </w:rPr>
        <w:t> </w:t>
      </w:r>
      <w:r>
        <w:rPr/>
        <w:t>for</w:t>
      </w:r>
      <w:r>
        <w:rPr>
          <w:spacing w:val="-7"/>
        </w:rPr>
        <w:t> </w:t>
      </w:r>
      <w:r>
        <w:rPr/>
        <w:t>Invasive</w:t>
      </w:r>
      <w:r>
        <w:rPr>
          <w:spacing w:val="-7"/>
        </w:rPr>
        <w:t> </w:t>
      </w:r>
      <w:r>
        <w:rPr/>
        <w:t>Species</w:t>
      </w:r>
      <w:r>
        <w:rPr>
          <w:spacing w:val="-6"/>
        </w:rPr>
        <w:t> </w:t>
      </w:r>
      <w:r>
        <w:rPr/>
        <w:t>Solutions.</w:t>
      </w:r>
      <w:r>
        <w:rPr>
          <w:spacing w:val="-2"/>
        </w:rPr>
        <w:t> </w:t>
      </w:r>
      <w:r>
        <w:rPr/>
        <w:t>Available</w:t>
      </w:r>
      <w:r>
        <w:rPr>
          <w:spacing w:val="-7"/>
        </w:rPr>
        <w:t> </w:t>
      </w:r>
      <w:r>
        <w:rPr/>
        <w:t>at:</w:t>
      </w:r>
      <w:r>
        <w:rPr>
          <w:spacing w:val="-4"/>
        </w:rPr>
        <w:t> </w:t>
      </w:r>
      <w:hyperlink r:id="rId116">
        <w:r>
          <w:rPr>
            <w:color w:val="0000FF"/>
            <w:u w:val="single" w:color="0000FF"/>
          </w:rPr>
          <w:t>https://pestsmart.org.au/toolkit-</w:t>
        </w:r>
      </w:hyperlink>
      <w:r>
        <w:rPr>
          <w:color w:val="0000FF"/>
          <w:u w:val="none"/>
        </w:rPr>
        <w:t> </w:t>
      </w:r>
      <w:hyperlink r:id="rId116">
        <w:r>
          <w:rPr>
            <w:color w:val="0000FF"/>
            <w:u w:val="single" w:color="0000FF"/>
          </w:rPr>
          <w:t>resource/trapping-of-feral-pigs/</w:t>
        </w:r>
      </w:hyperlink>
      <w:r>
        <w:rPr>
          <w:color w:val="0000FF"/>
          <w:u w:val="none"/>
        </w:rPr>
        <w:t> </w:t>
      </w:r>
      <w:r>
        <w:rPr>
          <w:u w:val="none"/>
        </w:rPr>
        <w:t>[accessed 14 October 2024].</w:t>
      </w:r>
    </w:p>
    <w:p>
      <w:pPr>
        <w:pStyle w:val="BodyText"/>
        <w:spacing w:before="11"/>
      </w:pPr>
    </w:p>
    <w:p>
      <w:pPr>
        <w:pStyle w:val="BodyText"/>
        <w:spacing w:before="1"/>
        <w:ind w:left="833" w:right="459" w:hanging="721"/>
      </w:pPr>
      <w:r>
        <w:rPr/>
        <w:t>Sharp,</w:t>
      </w:r>
      <w:r>
        <w:rPr>
          <w:spacing w:val="-4"/>
        </w:rPr>
        <w:t> </w:t>
      </w:r>
      <w:r>
        <w:rPr/>
        <w:t>T.</w:t>
      </w:r>
      <w:r>
        <w:rPr>
          <w:spacing w:val="-4"/>
        </w:rPr>
        <w:t> </w:t>
      </w:r>
      <w:r>
        <w:rPr/>
        <w:t>(2012c).</w:t>
      </w:r>
      <w:r>
        <w:rPr>
          <w:spacing w:val="-4"/>
        </w:rPr>
        <w:t> </w:t>
      </w:r>
      <w:r>
        <w:rPr/>
        <w:t>NATSOP-PIG003</w:t>
      </w:r>
      <w:r>
        <w:rPr>
          <w:spacing w:val="-4"/>
        </w:rPr>
        <w:t> </w:t>
      </w:r>
      <w:r>
        <w:rPr/>
        <w:t>National</w:t>
      </w:r>
      <w:r>
        <w:rPr>
          <w:spacing w:val="-3"/>
        </w:rPr>
        <w:t> </w:t>
      </w:r>
      <w:r>
        <w:rPr/>
        <w:t>Standard</w:t>
      </w:r>
      <w:r>
        <w:rPr>
          <w:spacing w:val="-4"/>
        </w:rPr>
        <w:t> </w:t>
      </w:r>
      <w:r>
        <w:rPr/>
        <w:t>Operating</w:t>
      </w:r>
      <w:r>
        <w:rPr>
          <w:spacing w:val="-2"/>
        </w:rPr>
        <w:t> </w:t>
      </w:r>
      <w:r>
        <w:rPr/>
        <w:t>Procedure:</w:t>
      </w:r>
      <w:r>
        <w:rPr>
          <w:spacing w:val="-4"/>
        </w:rPr>
        <w:t> </w:t>
      </w:r>
      <w:r>
        <w:rPr/>
        <w:t>Ground</w:t>
      </w:r>
      <w:r>
        <w:rPr>
          <w:spacing w:val="-2"/>
        </w:rPr>
        <w:t> </w:t>
      </w:r>
      <w:r>
        <w:rPr/>
        <w:t>shooting</w:t>
      </w:r>
      <w:r>
        <w:rPr>
          <w:spacing w:val="-4"/>
        </w:rPr>
        <w:t> </w:t>
      </w:r>
      <w:r>
        <w:rPr/>
        <w:t>of</w:t>
      </w:r>
      <w:r>
        <w:rPr>
          <w:spacing w:val="-2"/>
        </w:rPr>
        <w:t> </w:t>
      </w:r>
      <w:r>
        <w:rPr/>
        <w:t>feral</w:t>
      </w:r>
      <w:r>
        <w:rPr>
          <w:spacing w:val="-5"/>
        </w:rPr>
        <w:t> </w:t>
      </w:r>
      <w:r>
        <w:rPr/>
        <w:t>pigs. pestSMART, Centre for Invasive Species Solutions. Available at: </w:t>
      </w:r>
      <w:hyperlink r:id="rId117">
        <w:r>
          <w:rPr>
            <w:color w:val="0000FF"/>
            <w:u w:val="single" w:color="0000FF"/>
          </w:rPr>
          <w:t>https://pestsmart.org.au/toolkit-</w:t>
        </w:r>
      </w:hyperlink>
      <w:r>
        <w:rPr>
          <w:color w:val="0000FF"/>
          <w:u w:val="none"/>
        </w:rPr>
        <w:t> </w:t>
      </w:r>
      <w:hyperlink r:id="rId117">
        <w:r>
          <w:rPr>
            <w:color w:val="0000FF"/>
            <w:u w:val="single" w:color="0000FF"/>
          </w:rPr>
          <w:t>resource/groundshooting-of-feral-pigs/</w:t>
        </w:r>
      </w:hyperlink>
      <w:r>
        <w:rPr>
          <w:color w:val="0000FF"/>
          <w:u w:val="none"/>
        </w:rPr>
        <w:t> </w:t>
      </w:r>
      <w:r>
        <w:rPr>
          <w:u w:val="none"/>
        </w:rPr>
        <w:t>[accessed 14 October 2024].</w:t>
      </w:r>
    </w:p>
    <w:p>
      <w:pPr>
        <w:spacing w:after="0"/>
        <w:sectPr>
          <w:pgSz w:w="11910" w:h="16850"/>
          <w:pgMar w:header="0" w:footer="688" w:top="1060" w:bottom="880" w:left="1020" w:right="780"/>
        </w:sectPr>
      </w:pPr>
    </w:p>
    <w:p>
      <w:pPr>
        <w:pStyle w:val="BodyText"/>
        <w:spacing w:before="71"/>
        <w:ind w:left="833" w:right="647" w:hanging="721"/>
      </w:pPr>
      <w:r>
        <w:rPr/>
        <w:t>Sharp,</w:t>
      </w:r>
      <w:r>
        <w:rPr>
          <w:spacing w:val="-4"/>
        </w:rPr>
        <w:t> </w:t>
      </w:r>
      <w:r>
        <w:rPr/>
        <w:t>T.</w:t>
      </w:r>
      <w:r>
        <w:rPr>
          <w:spacing w:val="-4"/>
        </w:rPr>
        <w:t> </w:t>
      </w:r>
      <w:r>
        <w:rPr/>
        <w:t>(2012d).</w:t>
      </w:r>
      <w:r>
        <w:rPr>
          <w:spacing w:val="-2"/>
        </w:rPr>
        <w:t> </w:t>
      </w:r>
      <w:r>
        <w:rPr/>
        <w:t>NATSOP-FOX004</w:t>
      </w:r>
      <w:r>
        <w:rPr>
          <w:spacing w:val="-4"/>
        </w:rPr>
        <w:t> </w:t>
      </w:r>
      <w:r>
        <w:rPr/>
        <w:t>national</w:t>
      </w:r>
      <w:r>
        <w:rPr>
          <w:spacing w:val="-5"/>
        </w:rPr>
        <w:t> </w:t>
      </w:r>
      <w:r>
        <w:rPr/>
        <w:t>standard</w:t>
      </w:r>
      <w:r>
        <w:rPr>
          <w:spacing w:val="-4"/>
        </w:rPr>
        <w:t> </w:t>
      </w:r>
      <w:r>
        <w:rPr/>
        <w:t>operating</w:t>
      </w:r>
      <w:r>
        <w:rPr>
          <w:spacing w:val="-3"/>
        </w:rPr>
        <w:t> </w:t>
      </w:r>
      <w:r>
        <w:rPr/>
        <w:t>procedure:</w:t>
      </w:r>
      <w:r>
        <w:rPr>
          <w:spacing w:val="-4"/>
        </w:rPr>
        <w:t> </w:t>
      </w:r>
      <w:r>
        <w:rPr/>
        <w:t>fumigation</w:t>
      </w:r>
      <w:r>
        <w:rPr>
          <w:spacing w:val="-3"/>
        </w:rPr>
        <w:t> </w:t>
      </w:r>
      <w:r>
        <w:rPr/>
        <w:t>of</w:t>
      </w:r>
      <w:r>
        <w:rPr>
          <w:spacing w:val="-4"/>
        </w:rPr>
        <w:t> </w:t>
      </w:r>
      <w:r>
        <w:rPr/>
        <w:t>fox</w:t>
      </w:r>
      <w:r>
        <w:rPr>
          <w:spacing w:val="-1"/>
        </w:rPr>
        <w:t> </w:t>
      </w:r>
      <w:r>
        <w:rPr/>
        <w:t>dens</w:t>
      </w:r>
      <w:r>
        <w:rPr>
          <w:spacing w:val="-3"/>
        </w:rPr>
        <w:t> </w:t>
      </w:r>
      <w:r>
        <w:rPr/>
        <w:t>using carbon monoxide. </w:t>
      </w:r>
      <w:r>
        <w:rPr>
          <w:i/>
        </w:rPr>
        <w:t>pestSmart</w:t>
      </w:r>
      <w:r>
        <w:rPr/>
        <w:t>. Retrieved 6 August 2024 (</w:t>
      </w:r>
      <w:hyperlink r:id="rId118">
        <w:r>
          <w:rPr>
            <w:color w:val="0000FF"/>
            <w:u w:val="single" w:color="0000FF"/>
          </w:rPr>
          <w:t>https://pestsmart.org.au/wp-</w:t>
        </w:r>
      </w:hyperlink>
      <w:r>
        <w:rPr>
          <w:color w:val="0000FF"/>
          <w:u w:val="none"/>
        </w:rPr>
        <w:t> </w:t>
      </w:r>
      <w:hyperlink r:id="rId118">
        <w:r>
          <w:rPr>
            <w:color w:val="0000FF"/>
            <w:u w:val="single" w:color="0000FF"/>
          </w:rPr>
          <w:t>content/uploads/sites/3/2024/04/NATSOP-FOX004.pdf</w:t>
        </w:r>
      </w:hyperlink>
      <w:r>
        <w:rPr>
          <w:u w:val="none"/>
        </w:rPr>
        <w:t>) [accessed 14 October 2024].</w:t>
      </w:r>
    </w:p>
    <w:p>
      <w:pPr>
        <w:pStyle w:val="BodyText"/>
        <w:spacing w:before="12"/>
      </w:pPr>
    </w:p>
    <w:p>
      <w:pPr>
        <w:pStyle w:val="BodyText"/>
        <w:ind w:left="833" w:right="426" w:hanging="721"/>
      </w:pPr>
      <w:r>
        <w:rPr/>
        <w:t>Sharp, T. (2012e). NATSOP-DOG001 National Standard Operating Procedure: Trapping of wild dogs using padded-jaw</w:t>
      </w:r>
      <w:r>
        <w:rPr>
          <w:spacing w:val="-11"/>
        </w:rPr>
        <w:t> </w:t>
      </w:r>
      <w:r>
        <w:rPr/>
        <w:t>traps.</w:t>
      </w:r>
      <w:r>
        <w:rPr>
          <w:spacing w:val="-11"/>
        </w:rPr>
        <w:t> </w:t>
      </w:r>
      <w:r>
        <w:rPr/>
        <w:t>Available</w:t>
      </w:r>
      <w:r>
        <w:rPr>
          <w:spacing w:val="-11"/>
        </w:rPr>
        <w:t> </w:t>
      </w:r>
      <w:r>
        <w:rPr/>
        <w:t>at:</w:t>
      </w:r>
      <w:r>
        <w:rPr>
          <w:spacing w:val="-7"/>
        </w:rPr>
        <w:t> </w:t>
      </w:r>
      <w:hyperlink r:id="rId119">
        <w:r>
          <w:rPr>
            <w:color w:val="0000FF"/>
            <w:u w:val="single" w:color="0000FF"/>
          </w:rPr>
          <w:t>https://pestsmart.org.au/toolkit-resource/trapping-of-wild-dogs-using-</w:t>
        </w:r>
      </w:hyperlink>
      <w:r>
        <w:rPr>
          <w:color w:val="0000FF"/>
          <w:u w:val="none"/>
        </w:rPr>
        <w:t> </w:t>
      </w:r>
      <w:hyperlink r:id="rId119">
        <w:r>
          <w:rPr>
            <w:color w:val="0000FF"/>
            <w:u w:val="single" w:color="0000FF"/>
          </w:rPr>
          <w:t>padded-jaw-traps</w:t>
        </w:r>
      </w:hyperlink>
      <w:r>
        <w:rPr>
          <w:color w:val="0000FF"/>
          <w:u w:val="none"/>
        </w:rPr>
        <w:t> </w:t>
      </w:r>
      <w:r>
        <w:rPr>
          <w:u w:val="none"/>
        </w:rPr>
        <w:t>[accessed 14 October 2024].</w:t>
      </w:r>
    </w:p>
    <w:p>
      <w:pPr>
        <w:pStyle w:val="BodyText"/>
        <w:spacing w:before="9"/>
      </w:pPr>
    </w:p>
    <w:p>
      <w:pPr>
        <w:pStyle w:val="BodyText"/>
        <w:ind w:left="833" w:right="392" w:hanging="721"/>
      </w:pPr>
      <w:r>
        <w:rPr/>
        <w:t>Sharp, T. (2012f). Natsop-Rab004 National Standard Operating Procedure: Diffusion Fumigation of rabbit warrens. pestSMART, Centre for Invasive Species Solutions. Available at: </w:t>
      </w:r>
      <w:hyperlink r:id="rId120">
        <w:r>
          <w:rPr>
            <w:color w:val="0000FF"/>
            <w:u w:val="single" w:color="0000FF"/>
          </w:rPr>
          <w:t>https://pestsmart.org.au/toolkit-resource/diffusionfumigation-of-rabbit-warrens/</w:t>
        </w:r>
      </w:hyperlink>
      <w:r>
        <w:rPr>
          <w:color w:val="0000FF"/>
          <w:spacing w:val="-12"/>
          <w:u w:val="none"/>
        </w:rPr>
        <w:t> </w:t>
      </w:r>
      <w:r>
        <w:rPr>
          <w:u w:val="none"/>
        </w:rPr>
        <w:t>[accessed</w:t>
      </w:r>
      <w:r>
        <w:rPr>
          <w:spacing w:val="-14"/>
          <w:u w:val="none"/>
        </w:rPr>
        <w:t> </w:t>
      </w:r>
      <w:r>
        <w:rPr>
          <w:u w:val="none"/>
        </w:rPr>
        <w:t>17</w:t>
      </w:r>
      <w:r>
        <w:rPr>
          <w:spacing w:val="-13"/>
          <w:u w:val="none"/>
        </w:rPr>
        <w:t> </w:t>
      </w:r>
      <w:r>
        <w:rPr>
          <w:u w:val="none"/>
        </w:rPr>
        <w:t>October </w:t>
      </w:r>
      <w:r>
        <w:rPr>
          <w:spacing w:val="-2"/>
          <w:u w:val="none"/>
        </w:rPr>
        <w:t>2024].</w:t>
      </w:r>
    </w:p>
    <w:p>
      <w:pPr>
        <w:pStyle w:val="BodyText"/>
        <w:spacing w:before="11"/>
      </w:pPr>
    </w:p>
    <w:p>
      <w:pPr>
        <w:spacing w:before="1"/>
        <w:ind w:left="833" w:right="364" w:hanging="721"/>
        <w:jc w:val="left"/>
        <w:rPr>
          <w:sz w:val="20"/>
        </w:rPr>
      </w:pPr>
      <w:r>
        <w:rPr>
          <w:sz w:val="20"/>
        </w:rPr>
        <w:t>Sharp,</w:t>
      </w:r>
      <w:r>
        <w:rPr>
          <w:spacing w:val="-3"/>
          <w:sz w:val="20"/>
        </w:rPr>
        <w:t> </w:t>
      </w:r>
      <w:r>
        <w:rPr>
          <w:sz w:val="20"/>
        </w:rPr>
        <w:t>T.,</w:t>
      </w:r>
      <w:r>
        <w:rPr>
          <w:spacing w:val="-3"/>
          <w:sz w:val="20"/>
        </w:rPr>
        <w:t> </w:t>
      </w:r>
      <w:r>
        <w:rPr>
          <w:sz w:val="20"/>
        </w:rPr>
        <w:t>and</w:t>
      </w:r>
      <w:r>
        <w:rPr>
          <w:spacing w:val="-2"/>
          <w:sz w:val="20"/>
        </w:rPr>
        <w:t> </w:t>
      </w:r>
      <w:r>
        <w:rPr>
          <w:sz w:val="20"/>
        </w:rPr>
        <w:t>Saunders,</w:t>
      </w:r>
      <w:r>
        <w:rPr>
          <w:spacing w:val="-3"/>
          <w:sz w:val="20"/>
        </w:rPr>
        <w:t> </w:t>
      </w:r>
      <w:r>
        <w:rPr>
          <w:sz w:val="20"/>
        </w:rPr>
        <w:t>G.</w:t>
      </w:r>
      <w:r>
        <w:rPr>
          <w:spacing w:val="-3"/>
          <w:sz w:val="20"/>
        </w:rPr>
        <w:t> </w:t>
      </w:r>
      <w:r>
        <w:rPr>
          <w:sz w:val="20"/>
        </w:rPr>
        <w:t>(2011). </w:t>
      </w:r>
      <w:r>
        <w:rPr>
          <w:i/>
          <w:sz w:val="20"/>
        </w:rPr>
        <w:t>A</w:t>
      </w:r>
      <w:r>
        <w:rPr>
          <w:i/>
          <w:spacing w:val="-1"/>
          <w:sz w:val="20"/>
        </w:rPr>
        <w:t> </w:t>
      </w:r>
      <w:r>
        <w:rPr>
          <w:i/>
          <w:sz w:val="20"/>
        </w:rPr>
        <w:t>model</w:t>
      </w:r>
      <w:r>
        <w:rPr>
          <w:i/>
          <w:spacing w:val="-2"/>
          <w:sz w:val="20"/>
        </w:rPr>
        <w:t> </w:t>
      </w:r>
      <w:r>
        <w:rPr>
          <w:i/>
          <w:sz w:val="20"/>
        </w:rPr>
        <w:t>for</w:t>
      </w:r>
      <w:r>
        <w:rPr>
          <w:i/>
          <w:spacing w:val="-3"/>
          <w:sz w:val="20"/>
        </w:rPr>
        <w:t> </w:t>
      </w:r>
      <w:r>
        <w:rPr>
          <w:i/>
          <w:sz w:val="20"/>
        </w:rPr>
        <w:t>assessing</w:t>
      </w:r>
      <w:r>
        <w:rPr>
          <w:i/>
          <w:spacing w:val="-4"/>
          <w:sz w:val="20"/>
        </w:rPr>
        <w:t> </w:t>
      </w:r>
      <w:r>
        <w:rPr>
          <w:i/>
          <w:sz w:val="20"/>
        </w:rPr>
        <w:t>the</w:t>
      </w:r>
      <w:r>
        <w:rPr>
          <w:i/>
          <w:spacing w:val="-4"/>
          <w:sz w:val="20"/>
        </w:rPr>
        <w:t> </w:t>
      </w:r>
      <w:r>
        <w:rPr>
          <w:i/>
          <w:sz w:val="20"/>
        </w:rPr>
        <w:t>relative</w:t>
      </w:r>
      <w:r>
        <w:rPr>
          <w:i/>
          <w:spacing w:val="-3"/>
          <w:sz w:val="20"/>
        </w:rPr>
        <w:t> </w:t>
      </w:r>
      <w:r>
        <w:rPr>
          <w:i/>
          <w:sz w:val="20"/>
        </w:rPr>
        <w:t>humaneness</w:t>
      </w:r>
      <w:r>
        <w:rPr>
          <w:i/>
          <w:spacing w:val="-2"/>
          <w:sz w:val="20"/>
        </w:rPr>
        <w:t> </w:t>
      </w:r>
      <w:r>
        <w:rPr>
          <w:i/>
          <w:sz w:val="20"/>
        </w:rPr>
        <w:t>of</w:t>
      </w:r>
      <w:r>
        <w:rPr>
          <w:i/>
          <w:spacing w:val="-3"/>
          <w:sz w:val="20"/>
        </w:rPr>
        <w:t> </w:t>
      </w:r>
      <w:r>
        <w:rPr>
          <w:i/>
          <w:sz w:val="20"/>
        </w:rPr>
        <w:t>pest</w:t>
      </w:r>
      <w:r>
        <w:rPr>
          <w:i/>
          <w:spacing w:val="-3"/>
          <w:sz w:val="20"/>
        </w:rPr>
        <w:t> </w:t>
      </w:r>
      <w:r>
        <w:rPr>
          <w:i/>
          <w:sz w:val="20"/>
        </w:rPr>
        <w:t>animal</w:t>
      </w:r>
      <w:r>
        <w:rPr>
          <w:i/>
          <w:spacing w:val="-4"/>
          <w:sz w:val="20"/>
        </w:rPr>
        <w:t> </w:t>
      </w:r>
      <w:r>
        <w:rPr>
          <w:i/>
          <w:sz w:val="20"/>
        </w:rPr>
        <w:t>control</w:t>
      </w:r>
      <w:r>
        <w:rPr>
          <w:i/>
          <w:sz w:val="20"/>
        </w:rPr>
        <w:t> methods (second edition)</w:t>
      </w:r>
      <w:r>
        <w:rPr>
          <w:sz w:val="20"/>
        </w:rPr>
        <w:t>. Canberra, ACT: Australian Government Department of Agriculture, Fisheries and Forestry.</w:t>
      </w:r>
    </w:p>
    <w:p>
      <w:pPr>
        <w:pStyle w:val="BodyText"/>
        <w:spacing w:before="9"/>
      </w:pPr>
    </w:p>
    <w:p>
      <w:pPr>
        <w:pStyle w:val="BodyText"/>
        <w:ind w:left="833" w:right="163" w:hanging="721"/>
      </w:pPr>
      <w:r>
        <w:rPr/>
        <w:t>Sherley,</w:t>
      </w:r>
      <w:r>
        <w:rPr>
          <w:spacing w:val="-4"/>
        </w:rPr>
        <w:t> </w:t>
      </w:r>
      <w:r>
        <w:rPr/>
        <w:t>M.</w:t>
      </w:r>
      <w:r>
        <w:rPr>
          <w:spacing w:val="-3"/>
        </w:rPr>
        <w:t> </w:t>
      </w:r>
      <w:r>
        <w:rPr/>
        <w:t>(2007).</w:t>
      </w:r>
      <w:r>
        <w:rPr>
          <w:spacing w:val="-4"/>
        </w:rPr>
        <w:t> </w:t>
      </w:r>
      <w:r>
        <w:rPr/>
        <w:t>Is</w:t>
      </w:r>
      <w:r>
        <w:rPr>
          <w:spacing w:val="-3"/>
        </w:rPr>
        <w:t> </w:t>
      </w:r>
      <w:r>
        <w:rPr/>
        <w:t>sodium</w:t>
      </w:r>
      <w:r>
        <w:rPr>
          <w:spacing w:val="-4"/>
        </w:rPr>
        <w:t> </w:t>
      </w:r>
      <w:r>
        <w:rPr/>
        <w:t>fluoroacetate</w:t>
      </w:r>
      <w:r>
        <w:rPr>
          <w:spacing w:val="-3"/>
        </w:rPr>
        <w:t> </w:t>
      </w:r>
      <w:r>
        <w:rPr/>
        <w:t>(1080)</w:t>
      </w:r>
      <w:r>
        <w:rPr>
          <w:spacing w:val="-4"/>
        </w:rPr>
        <w:t> </w:t>
      </w:r>
      <w:r>
        <w:rPr/>
        <w:t>a</w:t>
      </w:r>
      <w:r>
        <w:rPr>
          <w:spacing w:val="-4"/>
        </w:rPr>
        <w:t> </w:t>
      </w:r>
      <w:r>
        <w:rPr/>
        <w:t>humane</w:t>
      </w:r>
      <w:r>
        <w:rPr>
          <w:spacing w:val="-4"/>
        </w:rPr>
        <w:t> </w:t>
      </w:r>
      <w:r>
        <w:rPr/>
        <w:t>poison? </w:t>
      </w:r>
      <w:r>
        <w:rPr>
          <w:i/>
        </w:rPr>
        <w:t>Animal</w:t>
      </w:r>
      <w:r>
        <w:rPr>
          <w:i/>
          <w:spacing w:val="-3"/>
        </w:rPr>
        <w:t> </w:t>
      </w:r>
      <w:r>
        <w:rPr>
          <w:i/>
        </w:rPr>
        <w:t>Welfare</w:t>
      </w:r>
      <w:r>
        <w:rPr>
          <w:i/>
          <w:spacing w:val="-3"/>
        </w:rPr>
        <w:t> </w:t>
      </w:r>
      <w:r>
        <w:rPr>
          <w:b/>
        </w:rPr>
        <w:t>16</w:t>
      </w:r>
      <w:r>
        <w:rPr/>
        <w:t>(4):449–58.</w:t>
      </w:r>
      <w:r>
        <w:rPr>
          <w:spacing w:val="-4"/>
        </w:rPr>
        <w:t> </w:t>
      </w:r>
      <w:r>
        <w:rPr/>
        <w:t>doi: </w:t>
      </w:r>
      <w:r>
        <w:rPr>
          <w:spacing w:val="-2"/>
        </w:rPr>
        <w:t>10.1017/S096272860002738X.</w:t>
      </w:r>
    </w:p>
    <w:p>
      <w:pPr>
        <w:pStyle w:val="BodyText"/>
        <w:spacing w:before="11"/>
      </w:pPr>
    </w:p>
    <w:p>
      <w:pPr>
        <w:spacing w:before="0"/>
        <w:ind w:left="112" w:right="0" w:firstLine="0"/>
        <w:jc w:val="left"/>
        <w:rPr>
          <w:i/>
          <w:sz w:val="20"/>
        </w:rPr>
      </w:pPr>
      <w:r>
        <w:rPr>
          <w:sz w:val="20"/>
        </w:rPr>
        <w:t>Shivik,</w:t>
      </w:r>
      <w:r>
        <w:rPr>
          <w:spacing w:val="-10"/>
          <w:sz w:val="20"/>
        </w:rPr>
        <w:t> </w:t>
      </w:r>
      <w:r>
        <w:rPr>
          <w:sz w:val="20"/>
        </w:rPr>
        <w:t>J.A.</w:t>
      </w:r>
      <w:r>
        <w:rPr>
          <w:spacing w:val="-9"/>
          <w:sz w:val="20"/>
        </w:rPr>
        <w:t> </w:t>
      </w:r>
      <w:r>
        <w:rPr>
          <w:sz w:val="20"/>
        </w:rPr>
        <w:t>(2004).</w:t>
      </w:r>
      <w:r>
        <w:rPr>
          <w:spacing w:val="-6"/>
          <w:sz w:val="20"/>
        </w:rPr>
        <w:t> </w:t>
      </w:r>
      <w:r>
        <w:rPr>
          <w:sz w:val="20"/>
        </w:rPr>
        <w:t>Non-lethal</w:t>
      </w:r>
      <w:r>
        <w:rPr>
          <w:spacing w:val="-9"/>
          <w:sz w:val="20"/>
        </w:rPr>
        <w:t> </w:t>
      </w:r>
      <w:r>
        <w:rPr>
          <w:sz w:val="20"/>
        </w:rPr>
        <w:t>Alternatives</w:t>
      </w:r>
      <w:r>
        <w:rPr>
          <w:spacing w:val="-8"/>
          <w:sz w:val="20"/>
        </w:rPr>
        <w:t> </w:t>
      </w:r>
      <w:r>
        <w:rPr>
          <w:sz w:val="20"/>
        </w:rPr>
        <w:t>for</w:t>
      </w:r>
      <w:r>
        <w:rPr>
          <w:spacing w:val="-7"/>
          <w:sz w:val="20"/>
        </w:rPr>
        <w:t> </w:t>
      </w:r>
      <w:r>
        <w:rPr>
          <w:sz w:val="20"/>
        </w:rPr>
        <w:t>Predation</w:t>
      </w:r>
      <w:r>
        <w:rPr>
          <w:spacing w:val="-10"/>
          <w:sz w:val="20"/>
        </w:rPr>
        <w:t> </w:t>
      </w:r>
      <w:r>
        <w:rPr>
          <w:sz w:val="20"/>
        </w:rPr>
        <w:t>Management.</w:t>
      </w:r>
      <w:r>
        <w:rPr>
          <w:spacing w:val="-3"/>
          <w:sz w:val="20"/>
        </w:rPr>
        <w:t> </w:t>
      </w:r>
      <w:r>
        <w:rPr>
          <w:i/>
          <w:sz w:val="20"/>
        </w:rPr>
        <w:t>Sheep</w:t>
      </w:r>
      <w:r>
        <w:rPr>
          <w:i/>
          <w:spacing w:val="-9"/>
          <w:sz w:val="20"/>
        </w:rPr>
        <w:t> </w:t>
      </w:r>
      <w:r>
        <w:rPr>
          <w:i/>
          <w:sz w:val="20"/>
        </w:rPr>
        <w:t>and</w:t>
      </w:r>
      <w:r>
        <w:rPr>
          <w:i/>
          <w:spacing w:val="-9"/>
          <w:sz w:val="20"/>
        </w:rPr>
        <w:t> </w:t>
      </w:r>
      <w:r>
        <w:rPr>
          <w:i/>
          <w:sz w:val="20"/>
        </w:rPr>
        <w:t>Goat</w:t>
      </w:r>
      <w:r>
        <w:rPr>
          <w:i/>
          <w:spacing w:val="-8"/>
          <w:sz w:val="20"/>
        </w:rPr>
        <w:t> </w:t>
      </w:r>
      <w:r>
        <w:rPr>
          <w:i/>
          <w:sz w:val="20"/>
        </w:rPr>
        <w:t>Research</w:t>
      </w:r>
      <w:r>
        <w:rPr>
          <w:i/>
          <w:spacing w:val="-9"/>
          <w:sz w:val="20"/>
        </w:rPr>
        <w:t> </w:t>
      </w:r>
      <w:r>
        <w:rPr>
          <w:i/>
          <w:spacing w:val="-2"/>
          <w:sz w:val="20"/>
        </w:rPr>
        <w:t>Journal</w:t>
      </w:r>
    </w:p>
    <w:p>
      <w:pPr>
        <w:pStyle w:val="BodyText"/>
        <w:ind w:left="833"/>
      </w:pPr>
      <w:r>
        <w:rPr>
          <w:b/>
        </w:rPr>
        <w:t>19</w:t>
      </w:r>
      <w:r>
        <w:rPr/>
        <w:t>,</w:t>
      </w:r>
      <w:r>
        <w:rPr>
          <w:spacing w:val="-6"/>
        </w:rPr>
        <w:t> </w:t>
      </w:r>
      <w:r>
        <w:rPr>
          <w:spacing w:val="-2"/>
        </w:rPr>
        <w:t>64–71.</w:t>
      </w:r>
    </w:p>
    <w:p>
      <w:pPr>
        <w:pStyle w:val="BodyText"/>
        <w:spacing w:before="8"/>
      </w:pPr>
    </w:p>
    <w:p>
      <w:pPr>
        <w:pStyle w:val="BodyText"/>
        <w:ind w:left="833" w:right="163" w:hanging="721"/>
      </w:pPr>
      <w:r>
        <w:rPr/>
        <w:t>Shivik, J.A., Treves, A., and Callahan, P. (2003). Nonlethal techniques for managing predation: primary and secondary</w:t>
      </w:r>
      <w:r>
        <w:rPr>
          <w:spacing w:val="-8"/>
        </w:rPr>
        <w:t> </w:t>
      </w:r>
      <w:r>
        <w:rPr/>
        <w:t>repellents.</w:t>
      </w:r>
      <w:r>
        <w:rPr>
          <w:spacing w:val="-5"/>
        </w:rPr>
        <w:t> </w:t>
      </w:r>
      <w:r>
        <w:rPr>
          <w:i/>
        </w:rPr>
        <w:t>Conservation</w:t>
      </w:r>
      <w:r>
        <w:rPr>
          <w:i/>
          <w:spacing w:val="-7"/>
        </w:rPr>
        <w:t> </w:t>
      </w:r>
      <w:r>
        <w:rPr>
          <w:i/>
        </w:rPr>
        <w:t>Biology</w:t>
      </w:r>
      <w:r>
        <w:rPr>
          <w:i/>
          <w:spacing w:val="-6"/>
        </w:rPr>
        <w:t> </w:t>
      </w:r>
      <w:r>
        <w:rPr>
          <w:b/>
        </w:rPr>
        <w:t>17</w:t>
      </w:r>
      <w:r>
        <w:rPr/>
        <w:t>(6):1531–37.</w:t>
      </w:r>
      <w:r>
        <w:rPr>
          <w:spacing w:val="-7"/>
        </w:rPr>
        <w:t> </w:t>
      </w:r>
      <w:r>
        <w:rPr/>
        <w:t>doi:</w:t>
      </w:r>
      <w:r>
        <w:rPr>
          <w:spacing w:val="-8"/>
        </w:rPr>
        <w:t> </w:t>
      </w:r>
      <w:r>
        <w:rPr/>
        <w:t>10.1111/j.1523-1739.2003.00062.x.</w:t>
      </w:r>
    </w:p>
    <w:p>
      <w:pPr>
        <w:pStyle w:val="BodyText"/>
        <w:spacing w:before="11"/>
      </w:pPr>
    </w:p>
    <w:p>
      <w:pPr>
        <w:pStyle w:val="BodyText"/>
        <w:ind w:left="833" w:right="163" w:hanging="721"/>
      </w:pPr>
      <w:r>
        <w:rPr/>
        <w:t>Shivik,</w:t>
      </w:r>
      <w:r>
        <w:rPr>
          <w:spacing w:val="-4"/>
        </w:rPr>
        <w:t> </w:t>
      </w:r>
      <w:r>
        <w:rPr/>
        <w:t>J.A.,</w:t>
      </w:r>
      <w:r>
        <w:rPr>
          <w:spacing w:val="-2"/>
        </w:rPr>
        <w:t> </w:t>
      </w:r>
      <w:r>
        <w:rPr/>
        <w:t>Wilson,</w:t>
      </w:r>
      <w:r>
        <w:rPr>
          <w:spacing w:val="-4"/>
        </w:rPr>
        <w:t> </w:t>
      </w:r>
      <w:r>
        <w:rPr/>
        <w:t>R.,</w:t>
      </w:r>
      <w:r>
        <w:rPr>
          <w:spacing w:val="-2"/>
        </w:rPr>
        <w:t> </w:t>
      </w:r>
      <w:r>
        <w:rPr/>
        <w:t>R.,</w:t>
      </w:r>
      <w:r>
        <w:rPr>
          <w:spacing w:val="-2"/>
        </w:rPr>
        <w:t> </w:t>
      </w:r>
      <w:r>
        <w:rPr/>
        <w:t>and</w:t>
      </w:r>
      <w:r>
        <w:rPr>
          <w:spacing w:val="-4"/>
        </w:rPr>
        <w:t> </w:t>
      </w:r>
      <w:r>
        <w:rPr/>
        <w:t>Gilbert</w:t>
      </w:r>
      <w:r>
        <w:rPr>
          <w:rFonts w:ascii="Cambria Math" w:hAnsi="Cambria Math"/>
        </w:rPr>
        <w:t>‐</w:t>
      </w:r>
      <w:r>
        <w:rPr/>
        <w:t>Norton,</w:t>
      </w:r>
      <w:r>
        <w:rPr>
          <w:spacing w:val="-4"/>
        </w:rPr>
        <w:t> </w:t>
      </w:r>
      <w:r>
        <w:rPr/>
        <w:t>L.</w:t>
      </w:r>
      <w:r>
        <w:rPr>
          <w:spacing w:val="-4"/>
        </w:rPr>
        <w:t> </w:t>
      </w:r>
      <w:r>
        <w:rPr/>
        <w:t>(2011).</w:t>
      </w:r>
      <w:r>
        <w:rPr>
          <w:spacing w:val="-4"/>
        </w:rPr>
        <w:t> </w:t>
      </w:r>
      <w:r>
        <w:rPr/>
        <w:t>Will</w:t>
      </w:r>
      <w:r>
        <w:rPr>
          <w:spacing w:val="-5"/>
        </w:rPr>
        <w:t> </w:t>
      </w:r>
      <w:r>
        <w:rPr/>
        <w:t>an</w:t>
      </w:r>
      <w:r>
        <w:rPr>
          <w:spacing w:val="-2"/>
        </w:rPr>
        <w:t> </w:t>
      </w:r>
      <w:r>
        <w:rPr/>
        <w:t>artificial</w:t>
      </w:r>
      <w:r>
        <w:rPr>
          <w:spacing w:val="-5"/>
        </w:rPr>
        <w:t> </w:t>
      </w:r>
      <w:r>
        <w:rPr/>
        <w:t>scent</w:t>
      </w:r>
      <w:r>
        <w:rPr>
          <w:spacing w:val="-2"/>
        </w:rPr>
        <w:t> </w:t>
      </w:r>
      <w:r>
        <w:rPr/>
        <w:t>boundary</w:t>
      </w:r>
      <w:r>
        <w:rPr>
          <w:spacing w:val="-3"/>
        </w:rPr>
        <w:t> </w:t>
      </w:r>
      <w:r>
        <w:rPr/>
        <w:t>prevent</w:t>
      </w:r>
      <w:r>
        <w:rPr>
          <w:spacing w:val="-4"/>
        </w:rPr>
        <w:t> </w:t>
      </w:r>
      <w:r>
        <w:rPr/>
        <w:t>coyote intrusion? </w:t>
      </w:r>
      <w:r>
        <w:rPr>
          <w:i/>
        </w:rPr>
        <w:t>Wildlife Society Bulletin </w:t>
      </w:r>
      <w:r>
        <w:rPr>
          <w:b/>
        </w:rPr>
        <w:t>35</w:t>
      </w:r>
      <w:r>
        <w:rPr/>
        <w:t>(4):494–97. doi: 10.1002/wsb.68.</w:t>
      </w:r>
    </w:p>
    <w:p>
      <w:pPr>
        <w:pStyle w:val="BodyText"/>
        <w:spacing w:before="11"/>
      </w:pPr>
    </w:p>
    <w:p>
      <w:pPr>
        <w:pStyle w:val="BodyText"/>
        <w:ind w:left="833" w:right="163" w:hanging="721"/>
      </w:pPr>
      <w:r>
        <w:rPr/>
        <w:t>Smart,</w:t>
      </w:r>
      <w:r>
        <w:rPr>
          <w:spacing w:val="-2"/>
        </w:rPr>
        <w:t> </w:t>
      </w:r>
      <w:r>
        <w:rPr/>
        <w:t>J.,</w:t>
      </w:r>
      <w:r>
        <w:rPr>
          <w:spacing w:val="-4"/>
        </w:rPr>
        <w:t> </w:t>
      </w:r>
      <w:r>
        <w:rPr/>
        <w:t>and</w:t>
      </w:r>
      <w:r>
        <w:rPr>
          <w:spacing w:val="-4"/>
        </w:rPr>
        <w:t> </w:t>
      </w:r>
      <w:r>
        <w:rPr/>
        <w:t>Amar,</w:t>
      </w:r>
      <w:r>
        <w:rPr>
          <w:spacing w:val="-2"/>
        </w:rPr>
        <w:t> </w:t>
      </w:r>
      <w:r>
        <w:rPr/>
        <w:t>A.</w:t>
      </w:r>
      <w:r>
        <w:rPr>
          <w:spacing w:val="-4"/>
        </w:rPr>
        <w:t> </w:t>
      </w:r>
      <w:r>
        <w:rPr/>
        <w:t>(2018).</w:t>
      </w:r>
      <w:r>
        <w:rPr>
          <w:spacing w:val="-4"/>
        </w:rPr>
        <w:t> </w:t>
      </w:r>
      <w:r>
        <w:rPr/>
        <w:t>Diversionary</w:t>
      </w:r>
      <w:r>
        <w:rPr>
          <w:spacing w:val="-2"/>
        </w:rPr>
        <w:t> </w:t>
      </w:r>
      <w:r>
        <w:rPr/>
        <w:t>feeding</w:t>
      </w:r>
      <w:r>
        <w:rPr>
          <w:spacing w:val="-2"/>
        </w:rPr>
        <w:t> </w:t>
      </w:r>
      <w:r>
        <w:rPr/>
        <w:t>as</w:t>
      </w:r>
      <w:r>
        <w:rPr>
          <w:spacing w:val="-3"/>
        </w:rPr>
        <w:t> </w:t>
      </w:r>
      <w:r>
        <w:rPr/>
        <w:t>a</w:t>
      </w:r>
      <w:r>
        <w:rPr>
          <w:spacing w:val="-5"/>
        </w:rPr>
        <w:t> </w:t>
      </w:r>
      <w:r>
        <w:rPr/>
        <w:t>means</w:t>
      </w:r>
      <w:r>
        <w:rPr>
          <w:spacing w:val="-3"/>
        </w:rPr>
        <w:t> </w:t>
      </w:r>
      <w:r>
        <w:rPr/>
        <w:t>of</w:t>
      </w:r>
      <w:r>
        <w:rPr>
          <w:spacing w:val="-4"/>
        </w:rPr>
        <w:t> </w:t>
      </w:r>
      <w:r>
        <w:rPr/>
        <w:t>reducing</w:t>
      </w:r>
      <w:r>
        <w:rPr>
          <w:spacing w:val="-5"/>
        </w:rPr>
        <w:t> </w:t>
      </w:r>
      <w:r>
        <w:rPr/>
        <w:t>raptor</w:t>
      </w:r>
      <w:r>
        <w:rPr>
          <w:spacing w:val="-4"/>
        </w:rPr>
        <w:t> </w:t>
      </w:r>
      <w:r>
        <w:rPr/>
        <w:t>predation</w:t>
      </w:r>
      <w:r>
        <w:rPr>
          <w:spacing w:val="-4"/>
        </w:rPr>
        <w:t> </w:t>
      </w:r>
      <w:r>
        <w:rPr/>
        <w:t>at</w:t>
      </w:r>
      <w:r>
        <w:rPr>
          <w:spacing w:val="-2"/>
        </w:rPr>
        <w:t> </w:t>
      </w:r>
      <w:r>
        <w:rPr/>
        <w:t>seabird breeding colonies. </w:t>
      </w:r>
      <w:r>
        <w:rPr>
          <w:i/>
        </w:rPr>
        <w:t>Journal for Nature Conservation </w:t>
      </w:r>
      <w:r>
        <w:rPr>
          <w:b/>
        </w:rPr>
        <w:t>46</w:t>
      </w:r>
      <w:r>
        <w:rPr/>
        <w:t>:48–55. doi: 10.1016/j.jnc.2018.09.003.</w:t>
      </w:r>
    </w:p>
    <w:p>
      <w:pPr>
        <w:pStyle w:val="BodyText"/>
        <w:spacing w:before="9"/>
      </w:pPr>
    </w:p>
    <w:p>
      <w:pPr>
        <w:pStyle w:val="BodyText"/>
        <w:ind w:left="833" w:right="781" w:hanging="721"/>
        <w:jc w:val="both"/>
      </w:pPr>
      <w:r>
        <w:rPr/>
        <w:t>Smith,</w:t>
      </w:r>
      <w:r>
        <w:rPr>
          <w:spacing w:val="-2"/>
        </w:rPr>
        <w:t> </w:t>
      </w:r>
      <w:r>
        <w:rPr/>
        <w:t>B.R.,</w:t>
      </w:r>
      <w:r>
        <w:rPr>
          <w:spacing w:val="-4"/>
        </w:rPr>
        <w:t> </w:t>
      </w:r>
      <w:r>
        <w:rPr/>
        <w:t>Yarnell,</w:t>
      </w:r>
      <w:r>
        <w:rPr>
          <w:spacing w:val="-2"/>
        </w:rPr>
        <w:t> </w:t>
      </w:r>
      <w:r>
        <w:rPr/>
        <w:t>R.W.,</w:t>
      </w:r>
      <w:r>
        <w:rPr>
          <w:spacing w:val="-2"/>
        </w:rPr>
        <w:t> </w:t>
      </w:r>
      <w:r>
        <w:rPr/>
        <w:t>Uzal,</w:t>
      </w:r>
      <w:r>
        <w:rPr>
          <w:spacing w:val="-2"/>
        </w:rPr>
        <w:t> </w:t>
      </w:r>
      <w:r>
        <w:rPr/>
        <w:t>A.,</w:t>
      </w:r>
      <w:r>
        <w:rPr>
          <w:spacing w:val="-4"/>
        </w:rPr>
        <w:t> </w:t>
      </w:r>
      <w:r>
        <w:rPr/>
        <w:t>and</w:t>
      </w:r>
      <w:r>
        <w:rPr>
          <w:spacing w:val="-3"/>
        </w:rPr>
        <w:t> </w:t>
      </w:r>
      <w:r>
        <w:rPr/>
        <w:t>Whitehouse-Tedd,</w:t>
      </w:r>
      <w:r>
        <w:rPr>
          <w:spacing w:val="-2"/>
        </w:rPr>
        <w:t> </w:t>
      </w:r>
      <w:r>
        <w:rPr/>
        <w:t>K.</w:t>
      </w:r>
      <w:r>
        <w:rPr>
          <w:spacing w:val="-4"/>
        </w:rPr>
        <w:t> </w:t>
      </w:r>
      <w:r>
        <w:rPr/>
        <w:t>(2020).</w:t>
      </w:r>
      <w:r>
        <w:rPr>
          <w:spacing w:val="-4"/>
        </w:rPr>
        <w:t> </w:t>
      </w:r>
      <w:r>
        <w:rPr/>
        <w:t>The</w:t>
      </w:r>
      <w:r>
        <w:rPr>
          <w:spacing w:val="-3"/>
        </w:rPr>
        <w:t> </w:t>
      </w:r>
      <w:r>
        <w:rPr/>
        <w:t>ecological</w:t>
      </w:r>
      <w:r>
        <w:rPr>
          <w:spacing w:val="-5"/>
        </w:rPr>
        <w:t> </w:t>
      </w:r>
      <w:r>
        <w:rPr/>
        <w:t>effects</w:t>
      </w:r>
      <w:r>
        <w:rPr>
          <w:spacing w:val="-3"/>
        </w:rPr>
        <w:t> </w:t>
      </w:r>
      <w:r>
        <w:rPr/>
        <w:t>of</w:t>
      </w:r>
      <w:r>
        <w:rPr>
          <w:spacing w:val="-2"/>
        </w:rPr>
        <w:t> </w:t>
      </w:r>
      <w:r>
        <w:rPr/>
        <w:t>livestock guarding</w:t>
      </w:r>
      <w:r>
        <w:rPr>
          <w:spacing w:val="-1"/>
        </w:rPr>
        <w:t> </w:t>
      </w:r>
      <w:r>
        <w:rPr/>
        <w:t>dogs</w:t>
      </w:r>
      <w:r>
        <w:rPr>
          <w:spacing w:val="-2"/>
        </w:rPr>
        <w:t> </w:t>
      </w:r>
      <w:r>
        <w:rPr/>
        <w:t>(LGDs)</w:t>
      </w:r>
      <w:r>
        <w:rPr>
          <w:spacing w:val="-2"/>
        </w:rPr>
        <w:t> </w:t>
      </w:r>
      <w:r>
        <w:rPr/>
        <w:t>on</w:t>
      </w:r>
      <w:r>
        <w:rPr>
          <w:spacing w:val="-4"/>
        </w:rPr>
        <w:t> </w:t>
      </w:r>
      <w:r>
        <w:rPr/>
        <w:t>target</w:t>
      </w:r>
      <w:r>
        <w:rPr>
          <w:spacing w:val="-3"/>
        </w:rPr>
        <w:t> </w:t>
      </w:r>
      <w:r>
        <w:rPr/>
        <w:t>and</w:t>
      </w:r>
      <w:r>
        <w:rPr>
          <w:spacing w:val="-2"/>
        </w:rPr>
        <w:t> </w:t>
      </w:r>
      <w:r>
        <w:rPr/>
        <w:t>non-target</w:t>
      </w:r>
      <w:r>
        <w:rPr>
          <w:spacing w:val="-1"/>
        </w:rPr>
        <w:t> </w:t>
      </w:r>
      <w:r>
        <w:rPr/>
        <w:t>wildlife.</w:t>
      </w:r>
      <w:r>
        <w:rPr>
          <w:spacing w:val="-2"/>
        </w:rPr>
        <w:t> </w:t>
      </w:r>
      <w:r>
        <w:rPr>
          <w:i/>
        </w:rPr>
        <w:t>Journal</w:t>
      </w:r>
      <w:r>
        <w:rPr>
          <w:i/>
          <w:spacing w:val="-4"/>
        </w:rPr>
        <w:t> </w:t>
      </w:r>
      <w:r>
        <w:rPr>
          <w:i/>
        </w:rPr>
        <w:t>of</w:t>
      </w:r>
      <w:r>
        <w:rPr>
          <w:i/>
          <w:spacing w:val="-3"/>
        </w:rPr>
        <w:t> </w:t>
      </w:r>
      <w:r>
        <w:rPr>
          <w:i/>
        </w:rPr>
        <w:t>Vertebrate</w:t>
      </w:r>
      <w:r>
        <w:rPr>
          <w:i/>
          <w:spacing w:val="-1"/>
        </w:rPr>
        <w:t> </w:t>
      </w:r>
      <w:r>
        <w:rPr>
          <w:i/>
        </w:rPr>
        <w:t>Biology </w:t>
      </w:r>
      <w:r>
        <w:rPr>
          <w:b/>
        </w:rPr>
        <w:t>69</w:t>
      </w:r>
      <w:r>
        <w:rPr/>
        <w:t>(3).</w:t>
      </w:r>
      <w:r>
        <w:rPr>
          <w:spacing w:val="-3"/>
        </w:rPr>
        <w:t> </w:t>
      </w:r>
      <w:r>
        <w:rPr/>
        <w:t>doi: </w:t>
      </w:r>
      <w:r>
        <w:rPr>
          <w:spacing w:val="-2"/>
        </w:rPr>
        <w:t>10.25225/jvb.20103.</w:t>
      </w:r>
    </w:p>
    <w:p>
      <w:pPr>
        <w:pStyle w:val="BodyText"/>
        <w:spacing w:before="11"/>
      </w:pPr>
    </w:p>
    <w:p>
      <w:pPr>
        <w:pStyle w:val="BodyText"/>
        <w:spacing w:before="1"/>
        <w:ind w:left="833" w:right="232" w:hanging="721"/>
      </w:pPr>
      <w:r>
        <w:rPr/>
        <w:t>Smith,</w:t>
      </w:r>
      <w:r>
        <w:rPr>
          <w:spacing w:val="-3"/>
        </w:rPr>
        <w:t> </w:t>
      </w:r>
      <w:r>
        <w:rPr/>
        <w:t>B.P.,</w:t>
      </w:r>
      <w:r>
        <w:rPr>
          <w:spacing w:val="-5"/>
        </w:rPr>
        <w:t> </w:t>
      </w:r>
      <w:r>
        <w:rPr/>
        <w:t>and</w:t>
      </w:r>
      <w:r>
        <w:rPr>
          <w:spacing w:val="-4"/>
        </w:rPr>
        <w:t> </w:t>
      </w:r>
      <w:r>
        <w:rPr/>
        <w:t>Appleby,</w:t>
      </w:r>
      <w:r>
        <w:rPr>
          <w:spacing w:val="-3"/>
        </w:rPr>
        <w:t> </w:t>
      </w:r>
      <w:r>
        <w:rPr/>
        <w:t>R.G.</w:t>
      </w:r>
      <w:r>
        <w:rPr>
          <w:spacing w:val="-5"/>
        </w:rPr>
        <w:t> </w:t>
      </w:r>
      <w:r>
        <w:rPr/>
        <w:t>(2018).</w:t>
      </w:r>
      <w:r>
        <w:rPr>
          <w:spacing w:val="-5"/>
        </w:rPr>
        <w:t> </w:t>
      </w:r>
      <w:r>
        <w:rPr/>
        <w:t>Promoting</w:t>
      </w:r>
      <w:r>
        <w:rPr>
          <w:spacing w:val="-5"/>
        </w:rPr>
        <w:t> </w:t>
      </w:r>
      <w:r>
        <w:rPr/>
        <w:t>human–dingo</w:t>
      </w:r>
      <w:r>
        <w:rPr>
          <w:spacing w:val="-3"/>
        </w:rPr>
        <w:t> </w:t>
      </w:r>
      <w:r>
        <w:rPr/>
        <w:t>co-existence</w:t>
      </w:r>
      <w:r>
        <w:rPr>
          <w:spacing w:val="-3"/>
        </w:rPr>
        <w:t> </w:t>
      </w:r>
      <w:r>
        <w:rPr/>
        <w:t>in Australia:</w:t>
      </w:r>
      <w:r>
        <w:rPr>
          <w:spacing w:val="-3"/>
        </w:rPr>
        <w:t> </w:t>
      </w:r>
      <w:r>
        <w:rPr/>
        <w:t>moving</w:t>
      </w:r>
      <w:r>
        <w:rPr>
          <w:spacing w:val="-4"/>
        </w:rPr>
        <w:t> </w:t>
      </w:r>
      <w:r>
        <w:rPr/>
        <w:t>towards more innovative methods of protecting livestock rather than killing dingoes (</w:t>
      </w:r>
      <w:r>
        <w:rPr>
          <w:i/>
        </w:rPr>
        <w:t>Canis dingo</w:t>
      </w:r>
      <w:r>
        <w:rPr/>
        <w:t>). </w:t>
      </w:r>
      <w:r>
        <w:rPr>
          <w:i/>
        </w:rPr>
        <w:t>Wildlife</w:t>
      </w:r>
      <w:r>
        <w:rPr>
          <w:i/>
        </w:rPr>
        <w:t> Research </w:t>
      </w:r>
      <w:r>
        <w:rPr>
          <w:b/>
        </w:rPr>
        <w:t>45</w:t>
      </w:r>
      <w:r>
        <w:rPr/>
        <w:t>(1):1. doi: 10.1071/WR16161.</w:t>
      </w:r>
    </w:p>
    <w:p>
      <w:pPr>
        <w:pStyle w:val="BodyText"/>
        <w:spacing w:before="8"/>
      </w:pPr>
    </w:p>
    <w:p>
      <w:pPr>
        <w:pStyle w:val="BodyText"/>
        <w:ind w:left="833" w:right="364" w:hanging="721"/>
      </w:pPr>
      <w:r>
        <w:rPr/>
        <w:t>Smith,</w:t>
      </w:r>
      <w:r>
        <w:rPr>
          <w:spacing w:val="-2"/>
        </w:rPr>
        <w:t> </w:t>
      </w:r>
      <w:r>
        <w:rPr/>
        <w:t>B.P.,</w:t>
      </w:r>
      <w:r>
        <w:rPr>
          <w:spacing w:val="-2"/>
        </w:rPr>
        <w:t> </w:t>
      </w:r>
      <w:r>
        <w:rPr/>
        <w:t>Appleby,</w:t>
      </w:r>
      <w:r>
        <w:rPr>
          <w:spacing w:val="-4"/>
        </w:rPr>
        <w:t> </w:t>
      </w:r>
      <w:r>
        <w:rPr/>
        <w:t>R.G.,</w:t>
      </w:r>
      <w:r>
        <w:rPr>
          <w:spacing w:val="-2"/>
        </w:rPr>
        <w:t> </w:t>
      </w:r>
      <w:r>
        <w:rPr/>
        <w:t>and</w:t>
      </w:r>
      <w:r>
        <w:rPr>
          <w:spacing w:val="-4"/>
        </w:rPr>
        <w:t> </w:t>
      </w:r>
      <w:r>
        <w:rPr/>
        <w:t>Jordan,</w:t>
      </w:r>
      <w:r>
        <w:rPr>
          <w:spacing w:val="-2"/>
        </w:rPr>
        <w:t> </w:t>
      </w:r>
      <w:r>
        <w:rPr/>
        <w:t>N.R.</w:t>
      </w:r>
      <w:r>
        <w:rPr>
          <w:spacing w:val="-4"/>
        </w:rPr>
        <w:t> </w:t>
      </w:r>
      <w:r>
        <w:rPr/>
        <w:t>(2021). Co-existing</w:t>
      </w:r>
      <w:r>
        <w:rPr>
          <w:spacing w:val="-5"/>
        </w:rPr>
        <w:t> </w:t>
      </w:r>
      <w:r>
        <w:rPr/>
        <w:t>with</w:t>
      </w:r>
      <w:r>
        <w:rPr>
          <w:spacing w:val="-2"/>
        </w:rPr>
        <w:t> </w:t>
      </w:r>
      <w:r>
        <w:rPr/>
        <w:t>dingoes:</w:t>
      </w:r>
      <w:r>
        <w:rPr>
          <w:spacing w:val="-4"/>
        </w:rPr>
        <w:t> </w:t>
      </w:r>
      <w:r>
        <w:rPr/>
        <w:t>challenges</w:t>
      </w:r>
      <w:r>
        <w:rPr>
          <w:spacing w:val="-3"/>
        </w:rPr>
        <w:t> </w:t>
      </w:r>
      <w:r>
        <w:rPr/>
        <w:t>and</w:t>
      </w:r>
      <w:r>
        <w:rPr>
          <w:spacing w:val="-5"/>
        </w:rPr>
        <w:t> </w:t>
      </w:r>
      <w:r>
        <w:rPr/>
        <w:t>solutions</w:t>
      </w:r>
      <w:r>
        <w:rPr>
          <w:spacing w:val="-3"/>
        </w:rPr>
        <w:t> </w:t>
      </w:r>
      <w:r>
        <w:rPr/>
        <w:t>to implementing non-lethal management. </w:t>
      </w:r>
      <w:r>
        <w:rPr>
          <w:i/>
        </w:rPr>
        <w:t>Australian Zoologist </w:t>
      </w:r>
      <w:r>
        <w:rPr>
          <w:b/>
        </w:rPr>
        <w:t>41</w:t>
      </w:r>
      <w:r>
        <w:rPr/>
        <w:t>(3):491–510. doi: </w:t>
      </w:r>
      <w:r>
        <w:rPr>
          <w:spacing w:val="-2"/>
        </w:rPr>
        <w:t>10.7882/AZ.2020.024.</w:t>
      </w:r>
    </w:p>
    <w:p>
      <w:pPr>
        <w:pStyle w:val="BodyText"/>
        <w:spacing w:before="9"/>
      </w:pPr>
    </w:p>
    <w:p>
      <w:pPr>
        <w:pStyle w:val="BodyText"/>
        <w:ind w:left="833" w:right="697" w:hanging="721"/>
        <w:jc w:val="both"/>
      </w:pPr>
      <w:r>
        <w:rPr/>
        <w:t>Smith,</w:t>
      </w:r>
      <w:r>
        <w:rPr>
          <w:spacing w:val="-2"/>
        </w:rPr>
        <w:t> </w:t>
      </w:r>
      <w:r>
        <w:rPr/>
        <w:t>D.,</w:t>
      </w:r>
      <w:r>
        <w:rPr>
          <w:spacing w:val="-2"/>
        </w:rPr>
        <w:t> </w:t>
      </w:r>
      <w:r>
        <w:rPr/>
        <w:t>King,</w:t>
      </w:r>
      <w:r>
        <w:rPr>
          <w:spacing w:val="-4"/>
        </w:rPr>
        <w:t> </w:t>
      </w:r>
      <w:r>
        <w:rPr/>
        <w:t>R.,</w:t>
      </w:r>
      <w:r>
        <w:rPr>
          <w:spacing w:val="-4"/>
        </w:rPr>
        <w:t> </w:t>
      </w:r>
      <w:r>
        <w:rPr/>
        <w:t>and</w:t>
      </w:r>
      <w:r>
        <w:rPr>
          <w:spacing w:val="-2"/>
        </w:rPr>
        <w:t> </w:t>
      </w:r>
      <w:r>
        <w:rPr/>
        <w:t>Allen,</w:t>
      </w:r>
      <w:r>
        <w:rPr>
          <w:spacing w:val="-2"/>
        </w:rPr>
        <w:t> </w:t>
      </w:r>
      <w:r>
        <w:rPr/>
        <w:t>B.L.</w:t>
      </w:r>
      <w:r>
        <w:rPr>
          <w:spacing w:val="-4"/>
        </w:rPr>
        <w:t> </w:t>
      </w:r>
      <w:r>
        <w:rPr/>
        <w:t>(2020).</w:t>
      </w:r>
      <w:r>
        <w:rPr>
          <w:spacing w:val="-4"/>
        </w:rPr>
        <w:t> </w:t>
      </w:r>
      <w:r>
        <w:rPr/>
        <w:t>Impacts</w:t>
      </w:r>
      <w:r>
        <w:rPr>
          <w:spacing w:val="-3"/>
        </w:rPr>
        <w:t> </w:t>
      </w:r>
      <w:r>
        <w:rPr/>
        <w:t>of</w:t>
      </w:r>
      <w:r>
        <w:rPr>
          <w:spacing w:val="-2"/>
        </w:rPr>
        <w:t> </w:t>
      </w:r>
      <w:r>
        <w:rPr/>
        <w:t>exclusion</w:t>
      </w:r>
      <w:r>
        <w:rPr>
          <w:spacing w:val="-2"/>
        </w:rPr>
        <w:t> </w:t>
      </w:r>
      <w:r>
        <w:rPr/>
        <w:t>fencing</w:t>
      </w:r>
      <w:r>
        <w:rPr>
          <w:spacing w:val="-3"/>
        </w:rPr>
        <w:t> </w:t>
      </w:r>
      <w:r>
        <w:rPr/>
        <w:t>on</w:t>
      </w:r>
      <w:r>
        <w:rPr>
          <w:spacing w:val="-4"/>
        </w:rPr>
        <w:t> </w:t>
      </w:r>
      <w:r>
        <w:rPr/>
        <w:t>target and</w:t>
      </w:r>
      <w:r>
        <w:rPr>
          <w:spacing w:val="-2"/>
        </w:rPr>
        <w:t> </w:t>
      </w:r>
      <w:r>
        <w:rPr/>
        <w:t>non</w:t>
      </w:r>
      <w:r>
        <w:rPr>
          <w:rFonts w:ascii="Cambria Math" w:hAnsi="Cambria Math"/>
        </w:rPr>
        <w:t>‐</w:t>
      </w:r>
      <w:r>
        <w:rPr/>
        <w:t>target</w:t>
      </w:r>
      <w:r>
        <w:rPr>
          <w:spacing w:val="-4"/>
        </w:rPr>
        <w:t> </w:t>
      </w:r>
      <w:r>
        <w:rPr/>
        <w:t>fauna:</w:t>
      </w:r>
      <w:r>
        <w:rPr>
          <w:spacing w:val="-4"/>
        </w:rPr>
        <w:t> </w:t>
      </w:r>
      <w:r>
        <w:rPr/>
        <w:t>a global review. </w:t>
      </w:r>
      <w:r>
        <w:rPr>
          <w:i/>
        </w:rPr>
        <w:t>Biological Reviews </w:t>
      </w:r>
      <w:r>
        <w:rPr>
          <w:b/>
        </w:rPr>
        <w:t>95</w:t>
      </w:r>
      <w:r>
        <w:rPr/>
        <w:t>(6):1590–1606. doi: 10.1111/brv.12631.</w:t>
      </w:r>
    </w:p>
    <w:p>
      <w:pPr>
        <w:pStyle w:val="BodyText"/>
        <w:spacing w:before="11"/>
      </w:pPr>
    </w:p>
    <w:p>
      <w:pPr>
        <w:pStyle w:val="BodyText"/>
        <w:ind w:left="833" w:right="163" w:hanging="721"/>
      </w:pPr>
      <w:r>
        <w:rPr/>
        <w:t>Smith,</w:t>
      </w:r>
      <w:r>
        <w:rPr>
          <w:spacing w:val="-2"/>
        </w:rPr>
        <w:t> </w:t>
      </w:r>
      <w:r>
        <w:rPr/>
        <w:t>M.E.,</w:t>
      </w:r>
      <w:r>
        <w:rPr>
          <w:spacing w:val="-4"/>
        </w:rPr>
        <w:t> </w:t>
      </w:r>
      <w:r>
        <w:rPr/>
        <w:t>Linnell,</w:t>
      </w:r>
      <w:r>
        <w:rPr>
          <w:spacing w:val="-4"/>
        </w:rPr>
        <w:t> </w:t>
      </w:r>
      <w:r>
        <w:rPr/>
        <w:t>J.</w:t>
      </w:r>
      <w:r>
        <w:rPr>
          <w:spacing w:val="-4"/>
        </w:rPr>
        <w:t> </w:t>
      </w:r>
      <w:r>
        <w:rPr/>
        <w:t>D.</w:t>
      </w:r>
      <w:r>
        <w:rPr>
          <w:spacing w:val="-4"/>
        </w:rPr>
        <w:t> </w:t>
      </w:r>
      <w:r>
        <w:rPr/>
        <w:t>C.,</w:t>
      </w:r>
      <w:r>
        <w:rPr>
          <w:spacing w:val="-4"/>
        </w:rPr>
        <w:t> </w:t>
      </w:r>
      <w:r>
        <w:rPr/>
        <w:t>Odden,</w:t>
      </w:r>
      <w:r>
        <w:rPr>
          <w:spacing w:val="-4"/>
        </w:rPr>
        <w:t> </w:t>
      </w:r>
      <w:r>
        <w:rPr/>
        <w:t>J.,</w:t>
      </w:r>
      <w:r>
        <w:rPr>
          <w:spacing w:val="-4"/>
        </w:rPr>
        <w:t> </w:t>
      </w:r>
      <w:r>
        <w:rPr/>
        <w:t>and</w:t>
      </w:r>
      <w:r>
        <w:rPr>
          <w:spacing w:val="-3"/>
        </w:rPr>
        <w:t> </w:t>
      </w:r>
      <w:r>
        <w:rPr/>
        <w:t>Swenson,</w:t>
      </w:r>
      <w:r>
        <w:rPr>
          <w:spacing w:val="-2"/>
        </w:rPr>
        <w:t> </w:t>
      </w:r>
      <w:r>
        <w:rPr/>
        <w:t>J.E.</w:t>
      </w:r>
      <w:r>
        <w:rPr>
          <w:spacing w:val="-4"/>
        </w:rPr>
        <w:t> </w:t>
      </w:r>
      <w:r>
        <w:rPr/>
        <w:t>(2000).</w:t>
      </w:r>
      <w:r>
        <w:rPr>
          <w:spacing w:val="-4"/>
        </w:rPr>
        <w:t> </w:t>
      </w:r>
      <w:r>
        <w:rPr/>
        <w:t>Review</w:t>
      </w:r>
      <w:r>
        <w:rPr>
          <w:spacing w:val="-2"/>
        </w:rPr>
        <w:t> </w:t>
      </w:r>
      <w:r>
        <w:rPr/>
        <w:t>of</w:t>
      </w:r>
      <w:r>
        <w:rPr>
          <w:spacing w:val="-2"/>
        </w:rPr>
        <w:t> </w:t>
      </w:r>
      <w:r>
        <w:rPr/>
        <w:t>methods</w:t>
      </w:r>
      <w:r>
        <w:rPr>
          <w:spacing w:val="-3"/>
        </w:rPr>
        <w:t> </w:t>
      </w:r>
      <w:r>
        <w:rPr/>
        <w:t>to</w:t>
      </w:r>
      <w:r>
        <w:rPr>
          <w:spacing w:val="-2"/>
        </w:rPr>
        <w:t> </w:t>
      </w:r>
      <w:r>
        <w:rPr/>
        <w:t>reduce</w:t>
      </w:r>
      <w:r>
        <w:rPr>
          <w:spacing w:val="-2"/>
        </w:rPr>
        <w:t> </w:t>
      </w:r>
      <w:r>
        <w:rPr/>
        <w:t>livestock depredation. i. guardian animals. </w:t>
      </w:r>
      <w:r>
        <w:rPr>
          <w:i/>
        </w:rPr>
        <w:t>Acta Agriculturae Scandinavica </w:t>
      </w:r>
      <w:r>
        <w:rPr>
          <w:b/>
        </w:rPr>
        <w:t>50</w:t>
      </w:r>
      <w:r>
        <w:rPr/>
        <w:t>:279–90.</w:t>
      </w:r>
    </w:p>
    <w:p>
      <w:pPr>
        <w:pStyle w:val="BodyText"/>
        <w:spacing w:before="12"/>
      </w:pPr>
    </w:p>
    <w:p>
      <w:pPr>
        <w:pStyle w:val="BodyText"/>
        <w:ind w:left="833" w:right="163" w:hanging="721"/>
      </w:pPr>
      <w:r>
        <w:rPr/>
        <w:t>Smith,</w:t>
      </w:r>
      <w:r>
        <w:rPr>
          <w:spacing w:val="-2"/>
        </w:rPr>
        <w:t> </w:t>
      </w:r>
      <w:r>
        <w:rPr/>
        <w:t>M.E.,</w:t>
      </w:r>
      <w:r>
        <w:rPr>
          <w:spacing w:val="-4"/>
        </w:rPr>
        <w:t> </w:t>
      </w:r>
      <w:r>
        <w:rPr/>
        <w:t>Linnell,</w:t>
      </w:r>
      <w:r>
        <w:rPr>
          <w:spacing w:val="-4"/>
        </w:rPr>
        <w:t> </w:t>
      </w:r>
      <w:r>
        <w:rPr/>
        <w:t>J</w:t>
      </w:r>
      <w:r>
        <w:rPr>
          <w:spacing w:val="-3"/>
        </w:rPr>
        <w:t> </w:t>
      </w:r>
      <w:r>
        <w:rPr/>
        <w:t>D</w:t>
      </w:r>
      <w:r>
        <w:rPr>
          <w:spacing w:val="-2"/>
        </w:rPr>
        <w:t> </w:t>
      </w:r>
      <w:r>
        <w:rPr/>
        <w:t>C,</w:t>
      </w:r>
      <w:r>
        <w:rPr>
          <w:spacing w:val="-2"/>
        </w:rPr>
        <w:t> </w:t>
      </w:r>
      <w:r>
        <w:rPr/>
        <w:t>Odden,</w:t>
      </w:r>
      <w:r>
        <w:rPr>
          <w:spacing w:val="-2"/>
        </w:rPr>
        <w:t> </w:t>
      </w:r>
      <w:r>
        <w:rPr/>
        <w:t>J.,</w:t>
      </w:r>
      <w:r>
        <w:rPr>
          <w:spacing w:val="-4"/>
        </w:rPr>
        <w:t> </w:t>
      </w:r>
      <w:r>
        <w:rPr/>
        <w:t>and</w:t>
      </w:r>
      <w:r>
        <w:rPr>
          <w:spacing w:val="-4"/>
        </w:rPr>
        <w:t> </w:t>
      </w:r>
      <w:r>
        <w:rPr/>
        <w:t>Swenson,</w:t>
      </w:r>
      <w:r>
        <w:rPr>
          <w:spacing w:val="-4"/>
        </w:rPr>
        <w:t> </w:t>
      </w:r>
      <w:r>
        <w:rPr/>
        <w:t>J.E.</w:t>
      </w:r>
      <w:r>
        <w:rPr>
          <w:spacing w:val="-4"/>
        </w:rPr>
        <w:t> </w:t>
      </w:r>
      <w:r>
        <w:rPr/>
        <w:t>(2000).</w:t>
      </w:r>
      <w:r>
        <w:rPr>
          <w:spacing w:val="-4"/>
        </w:rPr>
        <w:t> </w:t>
      </w:r>
      <w:r>
        <w:rPr/>
        <w:t>Review</w:t>
      </w:r>
      <w:r>
        <w:rPr>
          <w:spacing w:val="-4"/>
        </w:rPr>
        <w:t> </w:t>
      </w:r>
      <w:r>
        <w:rPr/>
        <w:t>of</w:t>
      </w:r>
      <w:r>
        <w:rPr>
          <w:spacing w:val="-2"/>
        </w:rPr>
        <w:t> </w:t>
      </w:r>
      <w:r>
        <w:rPr/>
        <w:t>methods</w:t>
      </w:r>
      <w:r>
        <w:rPr>
          <w:spacing w:val="-3"/>
        </w:rPr>
        <w:t> </w:t>
      </w:r>
      <w:r>
        <w:rPr/>
        <w:t>to</w:t>
      </w:r>
      <w:r>
        <w:rPr>
          <w:spacing w:val="-5"/>
        </w:rPr>
        <w:t> </w:t>
      </w:r>
      <w:r>
        <w:rPr/>
        <w:t>reduce</w:t>
      </w:r>
      <w:r>
        <w:rPr>
          <w:spacing w:val="-2"/>
        </w:rPr>
        <w:t> </w:t>
      </w:r>
      <w:r>
        <w:rPr/>
        <w:t>livestock depredation ii. aversive conditioning, deterrents and repellents. </w:t>
      </w:r>
      <w:r>
        <w:rPr>
          <w:i/>
        </w:rPr>
        <w:t>Acta Agriculturae Scandinavica</w:t>
      </w:r>
      <w:r>
        <w:rPr>
          <w:i/>
        </w:rPr>
        <w:t> </w:t>
      </w:r>
      <w:r>
        <w:rPr>
          <w:b/>
          <w:spacing w:val="-2"/>
        </w:rPr>
        <w:t>50</w:t>
      </w:r>
      <w:r>
        <w:rPr>
          <w:spacing w:val="-2"/>
        </w:rPr>
        <w:t>:304–15.</w:t>
      </w:r>
    </w:p>
    <w:p>
      <w:pPr>
        <w:pStyle w:val="BodyText"/>
        <w:spacing w:before="9"/>
      </w:pPr>
    </w:p>
    <w:p>
      <w:pPr>
        <w:spacing w:before="0"/>
        <w:ind w:left="833" w:right="694" w:hanging="721"/>
        <w:jc w:val="both"/>
        <w:rPr>
          <w:sz w:val="20"/>
        </w:rPr>
      </w:pPr>
      <w:r>
        <w:rPr>
          <w:sz w:val="20"/>
        </w:rPr>
        <w:t>Smith,</w:t>
      </w:r>
      <w:r>
        <w:rPr>
          <w:spacing w:val="-2"/>
          <w:sz w:val="20"/>
        </w:rPr>
        <w:t> </w:t>
      </w:r>
      <w:r>
        <w:rPr>
          <w:sz w:val="20"/>
        </w:rPr>
        <w:t>M.,</w:t>
      </w:r>
      <w:r>
        <w:rPr>
          <w:spacing w:val="-2"/>
          <w:sz w:val="20"/>
        </w:rPr>
        <w:t> </w:t>
      </w:r>
      <w:r>
        <w:rPr>
          <w:sz w:val="20"/>
        </w:rPr>
        <w:t>Lapidge,</w:t>
      </w:r>
      <w:r>
        <w:rPr>
          <w:spacing w:val="-2"/>
          <w:sz w:val="20"/>
        </w:rPr>
        <w:t> </w:t>
      </w:r>
      <w:r>
        <w:rPr>
          <w:sz w:val="20"/>
        </w:rPr>
        <w:t>S.,</w:t>
      </w:r>
      <w:r>
        <w:rPr>
          <w:spacing w:val="-4"/>
          <w:sz w:val="20"/>
        </w:rPr>
        <w:t> </w:t>
      </w:r>
      <w:r>
        <w:rPr>
          <w:sz w:val="20"/>
        </w:rPr>
        <w:t>Cowled,</w:t>
      </w:r>
      <w:r>
        <w:rPr>
          <w:spacing w:val="-4"/>
          <w:sz w:val="20"/>
        </w:rPr>
        <w:t> </w:t>
      </w:r>
      <w:r>
        <w:rPr>
          <w:sz w:val="20"/>
        </w:rPr>
        <w:t>B.,</w:t>
      </w:r>
      <w:r>
        <w:rPr>
          <w:spacing w:val="-4"/>
          <w:sz w:val="20"/>
        </w:rPr>
        <w:t> </w:t>
      </w:r>
      <w:r>
        <w:rPr>
          <w:sz w:val="20"/>
        </w:rPr>
        <w:t>and</w:t>
      </w:r>
      <w:r>
        <w:rPr>
          <w:spacing w:val="-2"/>
          <w:sz w:val="20"/>
        </w:rPr>
        <w:t> </w:t>
      </w:r>
      <w:r>
        <w:rPr>
          <w:sz w:val="20"/>
        </w:rPr>
        <w:t>Staples,</w:t>
      </w:r>
      <w:r>
        <w:rPr>
          <w:spacing w:val="-2"/>
          <w:sz w:val="20"/>
        </w:rPr>
        <w:t> </w:t>
      </w:r>
      <w:r>
        <w:rPr>
          <w:sz w:val="20"/>
        </w:rPr>
        <w:t>L.</w:t>
      </w:r>
      <w:r>
        <w:rPr>
          <w:spacing w:val="-4"/>
          <w:sz w:val="20"/>
        </w:rPr>
        <w:t> </w:t>
      </w:r>
      <w:r>
        <w:rPr>
          <w:sz w:val="20"/>
        </w:rPr>
        <w:t>(2005).</w:t>
      </w:r>
      <w:r>
        <w:rPr>
          <w:spacing w:val="-4"/>
          <w:sz w:val="20"/>
        </w:rPr>
        <w:t> </w:t>
      </w:r>
      <w:r>
        <w:rPr>
          <w:sz w:val="20"/>
        </w:rPr>
        <w:t>The</w:t>
      </w:r>
      <w:r>
        <w:rPr>
          <w:spacing w:val="-4"/>
          <w:sz w:val="20"/>
        </w:rPr>
        <w:t> </w:t>
      </w:r>
      <w:r>
        <w:rPr>
          <w:sz w:val="20"/>
        </w:rPr>
        <w:t>design</w:t>
      </w:r>
      <w:r>
        <w:rPr>
          <w:spacing w:val="-2"/>
          <w:sz w:val="20"/>
        </w:rPr>
        <w:t> </w:t>
      </w:r>
      <w:r>
        <w:rPr>
          <w:sz w:val="20"/>
        </w:rPr>
        <w:t>and</w:t>
      </w:r>
      <w:r>
        <w:rPr>
          <w:spacing w:val="-4"/>
          <w:sz w:val="20"/>
        </w:rPr>
        <w:t> </w:t>
      </w:r>
      <w:r>
        <w:rPr>
          <w:sz w:val="20"/>
        </w:rPr>
        <w:t>development</w:t>
      </w:r>
      <w:r>
        <w:rPr>
          <w:spacing w:val="-4"/>
          <w:sz w:val="20"/>
        </w:rPr>
        <w:t> </w:t>
      </w:r>
      <w:r>
        <w:rPr>
          <w:sz w:val="20"/>
        </w:rPr>
        <w:t>of PIGOUT®</w:t>
      </w:r>
      <w:r>
        <w:rPr>
          <w:spacing w:val="-4"/>
          <w:sz w:val="20"/>
        </w:rPr>
        <w:t> </w:t>
      </w:r>
      <w:r>
        <w:rPr>
          <w:sz w:val="20"/>
        </w:rPr>
        <w:t>-</w:t>
      </w:r>
      <w:r>
        <w:rPr>
          <w:spacing w:val="-3"/>
          <w:sz w:val="20"/>
        </w:rPr>
        <w:t> </w:t>
      </w:r>
      <w:r>
        <w:rPr>
          <w:sz w:val="20"/>
        </w:rPr>
        <w:t>a target-specific feral pig bait. </w:t>
      </w:r>
      <w:r>
        <w:rPr>
          <w:i/>
          <w:sz w:val="20"/>
        </w:rPr>
        <w:t>13th Australasian Vertebrate</w:t>
      </w:r>
      <w:r>
        <w:rPr>
          <w:i/>
          <w:spacing w:val="-2"/>
          <w:sz w:val="20"/>
        </w:rPr>
        <w:t> </w:t>
      </w:r>
      <w:r>
        <w:rPr>
          <w:i/>
          <w:sz w:val="20"/>
        </w:rPr>
        <w:t>Pest</w:t>
      </w:r>
      <w:r>
        <w:rPr>
          <w:i/>
          <w:spacing w:val="-1"/>
          <w:sz w:val="20"/>
        </w:rPr>
        <w:t> </w:t>
      </w:r>
      <w:r>
        <w:rPr>
          <w:i/>
          <w:sz w:val="20"/>
        </w:rPr>
        <w:t>Conference Proceedings </w:t>
      </w:r>
      <w:r>
        <w:rPr>
          <w:sz w:val="20"/>
        </w:rPr>
        <w:t>129–35.</w:t>
      </w:r>
    </w:p>
    <w:p>
      <w:pPr>
        <w:pStyle w:val="BodyText"/>
        <w:spacing w:before="10"/>
      </w:pPr>
    </w:p>
    <w:p>
      <w:pPr>
        <w:pStyle w:val="BodyText"/>
        <w:spacing w:before="1"/>
        <w:ind w:left="833" w:right="452" w:hanging="721"/>
      </w:pPr>
      <w:r>
        <w:rPr/>
        <w:t>Snow, Nathan P., Foster, Justin A., VanNatta, Eric H., Horak, Katherine E., Humphrys, Simon T., Staples, Linton</w:t>
      </w:r>
      <w:r>
        <w:rPr>
          <w:spacing w:val="-5"/>
        </w:rPr>
        <w:t> </w:t>
      </w:r>
      <w:r>
        <w:rPr/>
        <w:t>D.,</w:t>
      </w:r>
      <w:r>
        <w:rPr>
          <w:spacing w:val="-4"/>
        </w:rPr>
        <w:t> </w:t>
      </w:r>
      <w:r>
        <w:rPr/>
        <w:t>Hewitt,</w:t>
      </w:r>
      <w:r>
        <w:rPr>
          <w:spacing w:val="-4"/>
        </w:rPr>
        <w:t> </w:t>
      </w:r>
      <w:r>
        <w:rPr/>
        <w:t>David</w:t>
      </w:r>
      <w:r>
        <w:rPr>
          <w:spacing w:val="-4"/>
        </w:rPr>
        <w:t> </w:t>
      </w:r>
      <w:r>
        <w:rPr/>
        <w:t>G.,</w:t>
      </w:r>
      <w:r>
        <w:rPr>
          <w:spacing w:val="-1"/>
        </w:rPr>
        <w:t> </w:t>
      </w:r>
      <w:r>
        <w:rPr/>
        <w:t>and</w:t>
      </w:r>
      <w:r>
        <w:rPr>
          <w:spacing w:val="-2"/>
        </w:rPr>
        <w:t> </w:t>
      </w:r>
      <w:r>
        <w:rPr/>
        <w:t>VerCauteren,</w:t>
      </w:r>
      <w:r>
        <w:rPr>
          <w:spacing w:val="-2"/>
        </w:rPr>
        <w:t> </w:t>
      </w:r>
      <w:r>
        <w:rPr/>
        <w:t>Kurt</w:t>
      </w:r>
      <w:r>
        <w:rPr>
          <w:spacing w:val="-4"/>
        </w:rPr>
        <w:t> </w:t>
      </w:r>
      <w:r>
        <w:rPr/>
        <w:t>C.</w:t>
      </w:r>
      <w:r>
        <w:rPr>
          <w:spacing w:val="-4"/>
        </w:rPr>
        <w:t> </w:t>
      </w:r>
      <w:r>
        <w:rPr/>
        <w:t>(2018).</w:t>
      </w:r>
      <w:r>
        <w:rPr>
          <w:spacing w:val="-2"/>
        </w:rPr>
        <w:t> </w:t>
      </w:r>
      <w:r>
        <w:rPr/>
        <w:t>Potential</w:t>
      </w:r>
      <w:r>
        <w:rPr>
          <w:spacing w:val="-5"/>
        </w:rPr>
        <w:t> </w:t>
      </w:r>
      <w:r>
        <w:rPr/>
        <w:t>secondary</w:t>
      </w:r>
      <w:r>
        <w:rPr>
          <w:spacing w:val="-1"/>
        </w:rPr>
        <w:t> </w:t>
      </w:r>
      <w:r>
        <w:rPr/>
        <w:t>poisoning</w:t>
      </w:r>
      <w:r>
        <w:rPr>
          <w:spacing w:val="-4"/>
        </w:rPr>
        <w:t> </w:t>
      </w:r>
      <w:r>
        <w:rPr/>
        <w:t>risks</w:t>
      </w:r>
      <w:r>
        <w:rPr>
          <w:spacing w:val="-3"/>
        </w:rPr>
        <w:t> </w:t>
      </w:r>
      <w:r>
        <w:rPr/>
        <w:t>to non-targets from a sodium nitrite toxic bait for invasive wild pigs. </w:t>
      </w:r>
      <w:r>
        <w:rPr>
          <w:i/>
        </w:rPr>
        <w:t>Pest Management Science</w:t>
      </w:r>
      <w:r>
        <w:rPr>
          <w:i/>
        </w:rPr>
        <w:t> </w:t>
      </w:r>
      <w:r>
        <w:rPr>
          <w:b/>
        </w:rPr>
        <w:t>74</w:t>
      </w:r>
      <w:r>
        <w:rPr/>
        <w:t>(1):181–88. doi: 10.1002/ps.4692.</w:t>
      </w:r>
    </w:p>
    <w:p>
      <w:pPr>
        <w:spacing w:after="0"/>
        <w:sectPr>
          <w:pgSz w:w="11910" w:h="16850"/>
          <w:pgMar w:header="0" w:footer="688" w:top="1060" w:bottom="880" w:left="1020" w:right="780"/>
        </w:sectPr>
      </w:pPr>
    </w:p>
    <w:p>
      <w:pPr>
        <w:pStyle w:val="BodyText"/>
        <w:spacing w:before="71"/>
        <w:ind w:left="833" w:right="364" w:hanging="721"/>
      </w:pPr>
      <w:r>
        <w:rPr/>
        <w:t>Snow,</w:t>
      </w:r>
      <w:r>
        <w:rPr>
          <w:spacing w:val="-3"/>
        </w:rPr>
        <w:t> </w:t>
      </w:r>
      <w:r>
        <w:rPr/>
        <w:t>N.P.,</w:t>
      </w:r>
      <w:r>
        <w:rPr>
          <w:spacing w:val="-3"/>
        </w:rPr>
        <w:t> </w:t>
      </w:r>
      <w:r>
        <w:rPr/>
        <w:t>Glow,</w:t>
      </w:r>
      <w:r>
        <w:rPr>
          <w:spacing w:val="-2"/>
        </w:rPr>
        <w:t> </w:t>
      </w:r>
      <w:r>
        <w:rPr/>
        <w:t>M.P.,</w:t>
      </w:r>
      <w:r>
        <w:rPr>
          <w:spacing w:val="-3"/>
        </w:rPr>
        <w:t> </w:t>
      </w:r>
      <w:r>
        <w:rPr/>
        <w:t>Foster,</w:t>
      </w:r>
      <w:r>
        <w:rPr>
          <w:spacing w:val="-3"/>
        </w:rPr>
        <w:t> </w:t>
      </w:r>
      <w:r>
        <w:rPr/>
        <w:t>J.A.,</w:t>
      </w:r>
      <w:r>
        <w:rPr>
          <w:spacing w:val="-3"/>
        </w:rPr>
        <w:t> </w:t>
      </w:r>
      <w:r>
        <w:rPr/>
        <w:t>and</w:t>
      </w:r>
      <w:r>
        <w:rPr>
          <w:spacing w:val="-3"/>
        </w:rPr>
        <w:t> </w:t>
      </w:r>
      <w:r>
        <w:rPr/>
        <w:t>VerCauteren,</w:t>
      </w:r>
      <w:r>
        <w:rPr>
          <w:spacing w:val="-3"/>
        </w:rPr>
        <w:t> </w:t>
      </w:r>
      <w:r>
        <w:rPr/>
        <w:t>K.C.</w:t>
      </w:r>
      <w:r>
        <w:rPr>
          <w:spacing w:val="-1"/>
        </w:rPr>
        <w:t> </w:t>
      </w:r>
      <w:r>
        <w:rPr/>
        <w:t>(2024).</w:t>
      </w:r>
      <w:r>
        <w:rPr>
          <w:spacing w:val="-3"/>
        </w:rPr>
        <w:t> </w:t>
      </w:r>
      <w:r>
        <w:rPr/>
        <w:t>Seasonal</w:t>
      </w:r>
      <w:r>
        <w:rPr>
          <w:spacing w:val="-3"/>
        </w:rPr>
        <w:t> </w:t>
      </w:r>
      <w:r>
        <w:rPr/>
        <w:t>efficacy</w:t>
      </w:r>
      <w:r>
        <w:rPr>
          <w:spacing w:val="-3"/>
        </w:rPr>
        <w:t> </w:t>
      </w:r>
      <w:r>
        <w:rPr/>
        <w:t>and</w:t>
      </w:r>
      <w:r>
        <w:rPr>
          <w:spacing w:val="-3"/>
        </w:rPr>
        <w:t> </w:t>
      </w:r>
      <w:r>
        <w:rPr/>
        <w:t>risks</w:t>
      </w:r>
      <w:r>
        <w:rPr>
          <w:spacing w:val="-3"/>
        </w:rPr>
        <w:t> </w:t>
      </w:r>
      <w:r>
        <w:rPr/>
        <w:t>from</w:t>
      </w:r>
      <w:r>
        <w:rPr>
          <w:spacing w:val="-3"/>
        </w:rPr>
        <w:t> </w:t>
      </w:r>
      <w:r>
        <w:rPr/>
        <w:t>a sodium nitrite toxic bait for wild pigs. </w:t>
      </w:r>
      <w:r>
        <w:rPr>
          <w:i/>
        </w:rPr>
        <w:t>Pest Management Science </w:t>
      </w:r>
      <w:r>
        <w:rPr>
          <w:b/>
        </w:rPr>
        <w:t>80</w:t>
      </w:r>
      <w:r>
        <w:rPr/>
        <w:t>(7):3227–37. doi: </w:t>
      </w:r>
      <w:r>
        <w:rPr>
          <w:spacing w:val="-2"/>
        </w:rPr>
        <w:t>10.1002/ps.8025.</w:t>
      </w:r>
    </w:p>
    <w:p>
      <w:pPr>
        <w:pStyle w:val="BodyText"/>
        <w:spacing w:before="12"/>
      </w:pPr>
    </w:p>
    <w:p>
      <w:pPr>
        <w:pStyle w:val="BodyText"/>
        <w:ind w:left="833" w:right="232" w:hanging="721"/>
      </w:pPr>
      <w:r>
        <w:rPr/>
        <w:t>Snow, N.P., Glow, M.P., Lavelle, M.J., Fischer, J.W., Cook, S.M., Lutman, M.W., Foster, J.A., and VerCauteren,</w:t>
      </w:r>
      <w:r>
        <w:rPr>
          <w:spacing w:val="-4"/>
        </w:rPr>
        <w:t> </w:t>
      </w:r>
      <w:r>
        <w:rPr/>
        <w:t>K.C.</w:t>
      </w:r>
      <w:r>
        <w:rPr>
          <w:spacing w:val="-4"/>
        </w:rPr>
        <w:t> </w:t>
      </w:r>
      <w:r>
        <w:rPr/>
        <w:t>(2022).</w:t>
      </w:r>
      <w:r>
        <w:rPr>
          <w:spacing w:val="-1"/>
        </w:rPr>
        <w:t> </w:t>
      </w:r>
      <w:r>
        <w:rPr/>
        <w:t>Dry</w:t>
      </w:r>
      <w:r>
        <w:rPr>
          <w:spacing w:val="-3"/>
        </w:rPr>
        <w:t> </w:t>
      </w:r>
      <w:r>
        <w:rPr/>
        <w:t>and</w:t>
      </w:r>
      <w:r>
        <w:rPr>
          <w:spacing w:val="-4"/>
        </w:rPr>
        <w:t> </w:t>
      </w:r>
      <w:r>
        <w:rPr/>
        <w:t>unwary</w:t>
      </w:r>
      <w:r>
        <w:rPr>
          <w:spacing w:val="-2"/>
        </w:rPr>
        <w:t> </w:t>
      </w:r>
      <w:r>
        <w:rPr/>
        <w:t>are</w:t>
      </w:r>
      <w:r>
        <w:rPr>
          <w:spacing w:val="-2"/>
        </w:rPr>
        <w:t> </w:t>
      </w:r>
      <w:r>
        <w:rPr/>
        <w:t>best</w:t>
      </w:r>
      <w:r>
        <w:rPr>
          <w:spacing w:val="-4"/>
        </w:rPr>
        <w:t> </w:t>
      </w:r>
      <w:r>
        <w:rPr/>
        <w:t>conditions</w:t>
      </w:r>
      <w:r>
        <w:rPr>
          <w:spacing w:val="-3"/>
        </w:rPr>
        <w:t> </w:t>
      </w:r>
      <w:r>
        <w:rPr/>
        <w:t>for</w:t>
      </w:r>
      <w:r>
        <w:rPr>
          <w:spacing w:val="-3"/>
        </w:rPr>
        <w:t> </w:t>
      </w:r>
      <w:r>
        <w:rPr/>
        <w:t>baiting</w:t>
      </w:r>
      <w:r>
        <w:rPr>
          <w:spacing w:val="-2"/>
        </w:rPr>
        <w:t> </w:t>
      </w:r>
      <w:r>
        <w:rPr/>
        <w:t>wild</w:t>
      </w:r>
      <w:r>
        <w:rPr>
          <w:spacing w:val="-2"/>
        </w:rPr>
        <w:t> </w:t>
      </w:r>
      <w:r>
        <w:rPr/>
        <w:t>pigs</w:t>
      </w:r>
      <w:r>
        <w:rPr>
          <w:spacing w:val="-1"/>
        </w:rPr>
        <w:t> </w:t>
      </w:r>
      <w:r>
        <w:rPr/>
        <w:t>(</w:t>
      </w:r>
      <w:r>
        <w:rPr>
          <w:i/>
        </w:rPr>
        <w:t>Sus</w:t>
      </w:r>
      <w:r>
        <w:rPr>
          <w:i/>
          <w:spacing w:val="-3"/>
        </w:rPr>
        <w:t> </w:t>
      </w:r>
      <w:r>
        <w:rPr>
          <w:i/>
        </w:rPr>
        <w:t>scrofa</w:t>
      </w:r>
      <w:r>
        <w:rPr/>
        <w:t>). </w:t>
      </w:r>
      <w:r>
        <w:rPr>
          <w:i/>
        </w:rPr>
        <w:t>Applied Animal Behaviour Science </w:t>
      </w:r>
      <w:r>
        <w:rPr>
          <w:b/>
        </w:rPr>
        <w:t>257</w:t>
      </w:r>
      <w:r>
        <w:rPr/>
        <w:t>.</w:t>
      </w:r>
    </w:p>
    <w:p>
      <w:pPr>
        <w:pStyle w:val="BodyText"/>
        <w:spacing w:before="9"/>
      </w:pPr>
    </w:p>
    <w:p>
      <w:pPr>
        <w:pStyle w:val="BodyText"/>
        <w:ind w:left="833" w:right="232" w:hanging="721"/>
      </w:pPr>
      <w:r>
        <w:rPr/>
        <w:t>Snow,</w:t>
      </w:r>
      <w:r>
        <w:rPr>
          <w:spacing w:val="-4"/>
        </w:rPr>
        <w:t> </w:t>
      </w:r>
      <w:r>
        <w:rPr/>
        <w:t>N.P.,</w:t>
      </w:r>
      <w:r>
        <w:rPr>
          <w:spacing w:val="-4"/>
        </w:rPr>
        <w:t> </w:t>
      </w:r>
      <w:r>
        <w:rPr/>
        <w:t>Horak,</w:t>
      </w:r>
      <w:r>
        <w:rPr>
          <w:spacing w:val="-4"/>
        </w:rPr>
        <w:t> </w:t>
      </w:r>
      <w:r>
        <w:rPr/>
        <w:t>K.E.,</w:t>
      </w:r>
      <w:r>
        <w:rPr>
          <w:spacing w:val="-2"/>
        </w:rPr>
        <w:t> </w:t>
      </w:r>
      <w:r>
        <w:rPr/>
        <w:t>Humphrys,</w:t>
      </w:r>
      <w:r>
        <w:rPr>
          <w:spacing w:val="-4"/>
        </w:rPr>
        <w:t> </w:t>
      </w:r>
      <w:r>
        <w:rPr/>
        <w:t>S.T.,</w:t>
      </w:r>
      <w:r>
        <w:rPr>
          <w:spacing w:val="-2"/>
        </w:rPr>
        <w:t> </w:t>
      </w:r>
      <w:r>
        <w:rPr/>
        <w:t>Staples,</w:t>
      </w:r>
      <w:r>
        <w:rPr>
          <w:spacing w:val="-2"/>
        </w:rPr>
        <w:t> </w:t>
      </w:r>
      <w:r>
        <w:rPr/>
        <w:t>L.D.,</w:t>
      </w:r>
      <w:r>
        <w:rPr>
          <w:spacing w:val="-4"/>
        </w:rPr>
        <w:t> </w:t>
      </w:r>
      <w:r>
        <w:rPr/>
        <w:t>Hewitt,</w:t>
      </w:r>
      <w:r>
        <w:rPr>
          <w:spacing w:val="-2"/>
        </w:rPr>
        <w:t> </w:t>
      </w:r>
      <w:r>
        <w:rPr/>
        <w:t>D.G.,</w:t>
      </w:r>
      <w:r>
        <w:rPr>
          <w:spacing w:val="-4"/>
        </w:rPr>
        <w:t> </w:t>
      </w:r>
      <w:r>
        <w:rPr/>
        <w:t>and</w:t>
      </w:r>
      <w:r>
        <w:rPr>
          <w:spacing w:val="-3"/>
        </w:rPr>
        <w:t> </w:t>
      </w:r>
      <w:r>
        <w:rPr/>
        <w:t>VerCauteren,</w:t>
      </w:r>
      <w:r>
        <w:rPr>
          <w:spacing w:val="-2"/>
        </w:rPr>
        <w:t> </w:t>
      </w:r>
      <w:r>
        <w:rPr/>
        <w:t>K.C.</w:t>
      </w:r>
      <w:r>
        <w:rPr>
          <w:spacing w:val="-1"/>
        </w:rPr>
        <w:t> </w:t>
      </w:r>
      <w:r>
        <w:rPr/>
        <w:t>(2019).</w:t>
      </w:r>
      <w:r>
        <w:rPr>
          <w:spacing w:val="-4"/>
        </w:rPr>
        <w:t> </w:t>
      </w:r>
      <w:r>
        <w:rPr/>
        <w:t>Low secondary risks for captive coyotes from a sodium nitrite toxic bait for invasive wild pigs. </w:t>
      </w:r>
      <w:r>
        <w:rPr>
          <w:i/>
        </w:rPr>
        <w:t>Wildlife</w:t>
      </w:r>
      <w:r>
        <w:rPr>
          <w:i/>
        </w:rPr>
        <w:t> Society Bulletin </w:t>
      </w:r>
      <w:r>
        <w:rPr>
          <w:b/>
        </w:rPr>
        <w:t>43</w:t>
      </w:r>
      <w:r>
        <w:rPr/>
        <w:t>:484–90.</w:t>
      </w:r>
    </w:p>
    <w:p>
      <w:pPr>
        <w:pStyle w:val="BodyText"/>
        <w:spacing w:before="11"/>
      </w:pPr>
    </w:p>
    <w:p>
      <w:pPr>
        <w:pStyle w:val="BodyText"/>
        <w:ind w:left="833" w:right="416" w:hanging="721"/>
      </w:pPr>
      <w:r>
        <w:rPr/>
        <w:t>Snow,</w:t>
      </w:r>
      <w:r>
        <w:rPr>
          <w:spacing w:val="-4"/>
        </w:rPr>
        <w:t> </w:t>
      </w:r>
      <w:r>
        <w:rPr/>
        <w:t>N.P.,</w:t>
      </w:r>
      <w:r>
        <w:rPr>
          <w:spacing w:val="-2"/>
        </w:rPr>
        <w:t> </w:t>
      </w:r>
      <w:r>
        <w:rPr/>
        <w:t>Wishart,</w:t>
      </w:r>
      <w:r>
        <w:rPr>
          <w:spacing w:val="-4"/>
        </w:rPr>
        <w:t> </w:t>
      </w:r>
      <w:r>
        <w:rPr/>
        <w:t>J.D.,</w:t>
      </w:r>
      <w:r>
        <w:rPr>
          <w:spacing w:val="-2"/>
        </w:rPr>
        <w:t> </w:t>
      </w:r>
      <w:r>
        <w:rPr/>
        <w:t>Foster,</w:t>
      </w:r>
      <w:r>
        <w:rPr>
          <w:spacing w:val="-4"/>
        </w:rPr>
        <w:t> </w:t>
      </w:r>
      <w:r>
        <w:rPr/>
        <w:t>J.A.,</w:t>
      </w:r>
      <w:r>
        <w:rPr>
          <w:spacing w:val="-2"/>
        </w:rPr>
        <w:t> </w:t>
      </w:r>
      <w:r>
        <w:rPr/>
        <w:t>Staples,</w:t>
      </w:r>
      <w:r>
        <w:rPr>
          <w:spacing w:val="-4"/>
        </w:rPr>
        <w:t> </w:t>
      </w:r>
      <w:r>
        <w:rPr/>
        <w:t>L.D.,</w:t>
      </w:r>
      <w:r>
        <w:rPr>
          <w:spacing w:val="-2"/>
        </w:rPr>
        <w:t> </w:t>
      </w:r>
      <w:r>
        <w:rPr/>
        <w:t>and</w:t>
      </w:r>
      <w:r>
        <w:rPr>
          <w:spacing w:val="-2"/>
        </w:rPr>
        <w:t> </w:t>
      </w:r>
      <w:r>
        <w:rPr/>
        <w:t>VerCauteren,</w:t>
      </w:r>
      <w:r>
        <w:rPr>
          <w:spacing w:val="-2"/>
        </w:rPr>
        <w:t> </w:t>
      </w:r>
      <w:r>
        <w:rPr/>
        <w:t>K.C.</w:t>
      </w:r>
      <w:r>
        <w:rPr>
          <w:spacing w:val="-4"/>
        </w:rPr>
        <w:t> </w:t>
      </w:r>
      <w:r>
        <w:rPr/>
        <w:t>(2021).</w:t>
      </w:r>
      <w:r>
        <w:rPr>
          <w:spacing w:val="-4"/>
        </w:rPr>
        <w:t> </w:t>
      </w:r>
      <w:r>
        <w:rPr/>
        <w:t>Efficacy</w:t>
      </w:r>
      <w:r>
        <w:rPr>
          <w:spacing w:val="-3"/>
        </w:rPr>
        <w:t> </w:t>
      </w:r>
      <w:r>
        <w:rPr/>
        <w:t>and</w:t>
      </w:r>
      <w:r>
        <w:rPr>
          <w:spacing w:val="-4"/>
        </w:rPr>
        <w:t> </w:t>
      </w:r>
      <w:r>
        <w:rPr/>
        <w:t>risks</w:t>
      </w:r>
      <w:r>
        <w:rPr>
          <w:spacing w:val="-3"/>
        </w:rPr>
        <w:t> </w:t>
      </w:r>
      <w:r>
        <w:rPr/>
        <w:t>from a modified sodium nitrite toxic bait for wild pigs. </w:t>
      </w:r>
      <w:r>
        <w:rPr>
          <w:i/>
        </w:rPr>
        <w:t>Pest Management Science </w:t>
      </w:r>
      <w:r>
        <w:rPr>
          <w:b/>
        </w:rPr>
        <w:t>77</w:t>
      </w:r>
      <w:r>
        <w:rPr/>
        <w:t>(4):1616–25. doi: </w:t>
      </w:r>
      <w:r>
        <w:rPr>
          <w:spacing w:val="-2"/>
        </w:rPr>
        <w:t>10.1002/ps.6180.</w:t>
      </w:r>
    </w:p>
    <w:p>
      <w:pPr>
        <w:pStyle w:val="BodyText"/>
        <w:spacing w:before="9"/>
      </w:pPr>
    </w:p>
    <w:p>
      <w:pPr>
        <w:pStyle w:val="BodyText"/>
        <w:ind w:left="833" w:right="364" w:hanging="721"/>
      </w:pPr>
      <w:r>
        <w:rPr/>
        <w:t>Sodeikat,</w:t>
      </w:r>
      <w:r>
        <w:rPr>
          <w:spacing w:val="-2"/>
        </w:rPr>
        <w:t> </w:t>
      </w:r>
      <w:r>
        <w:rPr/>
        <w:t>G.,</w:t>
      </w:r>
      <w:r>
        <w:rPr>
          <w:spacing w:val="-4"/>
        </w:rPr>
        <w:t> </w:t>
      </w:r>
      <w:r>
        <w:rPr/>
        <w:t>and</w:t>
      </w:r>
      <w:r>
        <w:rPr>
          <w:spacing w:val="-3"/>
        </w:rPr>
        <w:t> </w:t>
      </w:r>
      <w:r>
        <w:rPr/>
        <w:t>Pohlmeyer,</w:t>
      </w:r>
      <w:r>
        <w:rPr>
          <w:spacing w:val="-4"/>
        </w:rPr>
        <w:t> </w:t>
      </w:r>
      <w:r>
        <w:rPr/>
        <w:t>K.</w:t>
      </w:r>
      <w:r>
        <w:rPr>
          <w:spacing w:val="-4"/>
        </w:rPr>
        <w:t> </w:t>
      </w:r>
      <w:r>
        <w:rPr/>
        <w:t>(2003).</w:t>
      </w:r>
      <w:r>
        <w:rPr>
          <w:spacing w:val="-1"/>
        </w:rPr>
        <w:t> </w:t>
      </w:r>
      <w:r>
        <w:rPr/>
        <w:t>Escape</w:t>
      </w:r>
      <w:r>
        <w:rPr>
          <w:spacing w:val="-2"/>
        </w:rPr>
        <w:t> </w:t>
      </w:r>
      <w:r>
        <w:rPr/>
        <w:t>movements</w:t>
      </w:r>
      <w:r>
        <w:rPr>
          <w:spacing w:val="-3"/>
        </w:rPr>
        <w:t> </w:t>
      </w:r>
      <w:r>
        <w:rPr/>
        <w:t>of</w:t>
      </w:r>
      <w:r>
        <w:rPr>
          <w:spacing w:val="-4"/>
        </w:rPr>
        <w:t> </w:t>
      </w:r>
      <w:r>
        <w:rPr/>
        <w:t>family</w:t>
      </w:r>
      <w:r>
        <w:rPr>
          <w:spacing w:val="-3"/>
        </w:rPr>
        <w:t> </w:t>
      </w:r>
      <w:r>
        <w:rPr/>
        <w:t>groups</w:t>
      </w:r>
      <w:r>
        <w:rPr>
          <w:spacing w:val="-3"/>
        </w:rPr>
        <w:t> </w:t>
      </w:r>
      <w:r>
        <w:rPr/>
        <w:t>of</w:t>
      </w:r>
      <w:r>
        <w:rPr>
          <w:spacing w:val="-4"/>
        </w:rPr>
        <w:t> </w:t>
      </w:r>
      <w:r>
        <w:rPr/>
        <w:t>wild</w:t>
      </w:r>
      <w:r>
        <w:rPr>
          <w:spacing w:val="-2"/>
        </w:rPr>
        <w:t> </w:t>
      </w:r>
      <w:r>
        <w:rPr/>
        <w:t>boar</w:t>
      </w:r>
      <w:r>
        <w:rPr>
          <w:spacing w:val="-4"/>
        </w:rPr>
        <w:t> </w:t>
      </w:r>
      <w:r>
        <w:rPr/>
        <w:t>sus</w:t>
      </w:r>
      <w:r>
        <w:rPr>
          <w:spacing w:val="-3"/>
        </w:rPr>
        <w:t> </w:t>
      </w:r>
      <w:r>
        <w:rPr/>
        <w:t>scrofa influenced by drive hunts in lower Saxony, Germany. </w:t>
      </w:r>
      <w:r>
        <w:rPr>
          <w:i/>
        </w:rPr>
        <w:t>Wildlife Biology </w:t>
      </w:r>
      <w:r>
        <w:rPr>
          <w:b/>
        </w:rPr>
        <w:t>9</w:t>
      </w:r>
      <w:r>
        <w:rPr/>
        <w:t>(1):43–49. doi: </w:t>
      </w:r>
      <w:r>
        <w:rPr>
          <w:spacing w:val="-2"/>
        </w:rPr>
        <w:t>10.2981/wlb.2003.063.</w:t>
      </w:r>
    </w:p>
    <w:p>
      <w:pPr>
        <w:pStyle w:val="BodyText"/>
        <w:spacing w:before="12"/>
      </w:pPr>
    </w:p>
    <w:p>
      <w:pPr>
        <w:pStyle w:val="BodyText"/>
        <w:ind w:left="833" w:right="373" w:hanging="721"/>
        <w:jc w:val="both"/>
      </w:pPr>
      <w:r>
        <w:rPr/>
        <w:t>Southwell,</w:t>
      </w:r>
      <w:r>
        <w:rPr>
          <w:spacing w:val="-4"/>
        </w:rPr>
        <w:t> </w:t>
      </w:r>
      <w:r>
        <w:rPr/>
        <w:t>D.,</w:t>
      </w:r>
      <w:r>
        <w:rPr>
          <w:spacing w:val="-2"/>
        </w:rPr>
        <w:t> </w:t>
      </w:r>
      <w:r>
        <w:rPr/>
        <w:t>Boero,</w:t>
      </w:r>
      <w:r>
        <w:rPr>
          <w:spacing w:val="-2"/>
        </w:rPr>
        <w:t> </w:t>
      </w:r>
      <w:r>
        <w:rPr/>
        <w:t>V.,</w:t>
      </w:r>
      <w:r>
        <w:rPr>
          <w:spacing w:val="-4"/>
        </w:rPr>
        <w:t> </w:t>
      </w:r>
      <w:r>
        <w:rPr/>
        <w:t>Mewett,</w:t>
      </w:r>
      <w:r>
        <w:rPr>
          <w:spacing w:val="-2"/>
        </w:rPr>
        <w:t> </w:t>
      </w:r>
      <w:r>
        <w:rPr/>
        <w:t>O.,</w:t>
      </w:r>
      <w:r>
        <w:rPr>
          <w:spacing w:val="-4"/>
        </w:rPr>
        <w:t> </w:t>
      </w:r>
      <w:r>
        <w:rPr/>
        <w:t>McCowen,</w:t>
      </w:r>
      <w:r>
        <w:rPr>
          <w:spacing w:val="-2"/>
        </w:rPr>
        <w:t> </w:t>
      </w:r>
      <w:r>
        <w:rPr/>
        <w:t>S.,</w:t>
      </w:r>
      <w:r>
        <w:rPr>
          <w:spacing w:val="-4"/>
        </w:rPr>
        <w:t> </w:t>
      </w:r>
      <w:r>
        <w:rPr/>
        <w:t>and</w:t>
      </w:r>
      <w:r>
        <w:rPr>
          <w:spacing w:val="-4"/>
        </w:rPr>
        <w:t> </w:t>
      </w:r>
      <w:r>
        <w:rPr/>
        <w:t>Hennecke,</w:t>
      </w:r>
      <w:r>
        <w:rPr>
          <w:spacing w:val="-2"/>
        </w:rPr>
        <w:t> </w:t>
      </w:r>
      <w:r>
        <w:rPr/>
        <w:t>B.</w:t>
      </w:r>
      <w:r>
        <w:rPr>
          <w:spacing w:val="-4"/>
        </w:rPr>
        <w:t> </w:t>
      </w:r>
      <w:r>
        <w:rPr/>
        <w:t>(2013).</w:t>
      </w:r>
      <w:r>
        <w:rPr>
          <w:spacing w:val="-4"/>
        </w:rPr>
        <w:t> </w:t>
      </w:r>
      <w:r>
        <w:rPr/>
        <w:t>Understanding</w:t>
      </w:r>
      <w:r>
        <w:rPr>
          <w:spacing w:val="-4"/>
        </w:rPr>
        <w:t> </w:t>
      </w:r>
      <w:r>
        <w:rPr/>
        <w:t>the</w:t>
      </w:r>
      <w:r>
        <w:rPr>
          <w:spacing w:val="-4"/>
        </w:rPr>
        <w:t> </w:t>
      </w:r>
      <w:r>
        <w:rPr/>
        <w:t>drivers</w:t>
      </w:r>
      <w:r>
        <w:rPr>
          <w:spacing w:val="-2"/>
        </w:rPr>
        <w:t> </w:t>
      </w:r>
      <w:r>
        <w:rPr/>
        <w:t>and barriers to participation</w:t>
      </w:r>
      <w:r>
        <w:rPr>
          <w:spacing w:val="-1"/>
        </w:rPr>
        <w:t> </w:t>
      </w:r>
      <w:r>
        <w:rPr/>
        <w:t>in</w:t>
      </w:r>
      <w:r>
        <w:rPr>
          <w:spacing w:val="-1"/>
        </w:rPr>
        <w:t> </w:t>
      </w:r>
      <w:r>
        <w:rPr/>
        <w:t>wild canid</w:t>
      </w:r>
      <w:r>
        <w:rPr>
          <w:spacing w:val="-1"/>
        </w:rPr>
        <w:t> </w:t>
      </w:r>
      <w:r>
        <w:rPr/>
        <w:t>management in Australia:</w:t>
      </w:r>
      <w:r>
        <w:rPr>
          <w:spacing w:val="-1"/>
        </w:rPr>
        <w:t> </w:t>
      </w:r>
      <w:r>
        <w:rPr/>
        <w:t>implications for the adoption</w:t>
      </w:r>
      <w:r>
        <w:rPr>
          <w:spacing w:val="-2"/>
        </w:rPr>
        <w:t> </w:t>
      </w:r>
      <w:r>
        <w:rPr/>
        <w:t>of</w:t>
      </w:r>
      <w:r>
        <w:rPr>
          <w:spacing w:val="-1"/>
        </w:rPr>
        <w:t> </w:t>
      </w:r>
      <w:r>
        <w:rPr/>
        <w:t>a new toxin, para-aminopropiophenone. </w:t>
      </w:r>
      <w:r>
        <w:rPr>
          <w:i/>
        </w:rPr>
        <w:t>International Journal of Pest Management </w:t>
      </w:r>
      <w:r>
        <w:rPr>
          <w:b/>
        </w:rPr>
        <w:t>59</w:t>
      </w:r>
      <w:r>
        <w:rPr/>
        <w:t>(1):35–46.</w:t>
      </w:r>
    </w:p>
    <w:p>
      <w:pPr>
        <w:pStyle w:val="BodyText"/>
        <w:spacing w:before="9"/>
      </w:pPr>
    </w:p>
    <w:p>
      <w:pPr>
        <w:pStyle w:val="BodyText"/>
        <w:ind w:left="833" w:right="163" w:hanging="721"/>
      </w:pPr>
      <w:r>
        <w:rPr/>
        <w:t>Spencer,</w:t>
      </w:r>
      <w:r>
        <w:rPr>
          <w:spacing w:val="-4"/>
        </w:rPr>
        <w:t> </w:t>
      </w:r>
      <w:r>
        <w:rPr/>
        <w:t>E.,</w:t>
      </w:r>
      <w:r>
        <w:rPr>
          <w:spacing w:val="-4"/>
        </w:rPr>
        <w:t> </w:t>
      </w:r>
      <w:r>
        <w:rPr/>
        <w:t>and</w:t>
      </w:r>
      <w:r>
        <w:rPr>
          <w:spacing w:val="-4"/>
        </w:rPr>
        <w:t> </w:t>
      </w:r>
      <w:r>
        <w:rPr/>
        <w:t>Newsome,</w:t>
      </w:r>
      <w:r>
        <w:rPr>
          <w:spacing w:val="-4"/>
        </w:rPr>
        <w:t> </w:t>
      </w:r>
      <w:r>
        <w:rPr/>
        <w:t>T.</w:t>
      </w:r>
      <w:r>
        <w:rPr>
          <w:spacing w:val="-4"/>
        </w:rPr>
        <w:t> </w:t>
      </w:r>
      <w:r>
        <w:rPr/>
        <w:t>(2021).</w:t>
      </w:r>
      <w:r>
        <w:rPr>
          <w:spacing w:val="-4"/>
        </w:rPr>
        <w:t> </w:t>
      </w:r>
      <w:r>
        <w:rPr/>
        <w:t>Dingoes</w:t>
      </w:r>
      <w:r>
        <w:rPr>
          <w:spacing w:val="-3"/>
        </w:rPr>
        <w:t> </w:t>
      </w:r>
      <w:r>
        <w:rPr/>
        <w:t>dining</w:t>
      </w:r>
      <w:r>
        <w:rPr>
          <w:spacing w:val="-3"/>
        </w:rPr>
        <w:t> </w:t>
      </w:r>
      <w:r>
        <w:rPr/>
        <w:t>with</w:t>
      </w:r>
      <w:r>
        <w:rPr>
          <w:spacing w:val="-2"/>
        </w:rPr>
        <w:t> </w:t>
      </w:r>
      <w:r>
        <w:rPr/>
        <w:t>death. </w:t>
      </w:r>
      <w:r>
        <w:rPr>
          <w:i/>
        </w:rPr>
        <w:t>Australian</w:t>
      </w:r>
      <w:r>
        <w:rPr>
          <w:i/>
          <w:spacing w:val="-4"/>
        </w:rPr>
        <w:t> </w:t>
      </w:r>
      <w:r>
        <w:rPr>
          <w:i/>
        </w:rPr>
        <w:t>Zoologist</w:t>
      </w:r>
      <w:r>
        <w:rPr>
          <w:i/>
          <w:spacing w:val="-1"/>
        </w:rPr>
        <w:t> </w:t>
      </w:r>
      <w:r>
        <w:rPr>
          <w:b/>
        </w:rPr>
        <w:t>41</w:t>
      </w:r>
      <w:r>
        <w:rPr/>
        <w:t>(3):433–51.</w:t>
      </w:r>
      <w:r>
        <w:rPr>
          <w:spacing w:val="-2"/>
        </w:rPr>
        <w:t> </w:t>
      </w:r>
      <w:r>
        <w:rPr/>
        <w:t>doi: </w:t>
      </w:r>
      <w:r>
        <w:rPr>
          <w:spacing w:val="-2"/>
        </w:rPr>
        <w:t>10.7882/AZ.2021.008.</w:t>
      </w:r>
    </w:p>
    <w:p>
      <w:pPr>
        <w:pStyle w:val="BodyText"/>
        <w:spacing w:before="10"/>
      </w:pPr>
    </w:p>
    <w:p>
      <w:pPr>
        <w:pStyle w:val="BodyText"/>
        <w:spacing w:before="1"/>
        <w:ind w:left="112"/>
      </w:pPr>
      <w:r>
        <w:rPr/>
        <w:t>Spencer-Oatey,</w:t>
      </w:r>
      <w:r>
        <w:rPr>
          <w:spacing w:val="-8"/>
        </w:rPr>
        <w:t> </w:t>
      </w:r>
      <w:r>
        <w:rPr/>
        <w:t>H.</w:t>
      </w:r>
      <w:r>
        <w:rPr>
          <w:spacing w:val="-8"/>
        </w:rPr>
        <w:t> </w:t>
      </w:r>
      <w:r>
        <w:rPr/>
        <w:t>(2012).</w:t>
      </w:r>
      <w:r>
        <w:rPr>
          <w:spacing w:val="-3"/>
        </w:rPr>
        <w:t> </w:t>
      </w:r>
      <w:r>
        <w:rPr/>
        <w:t>What</w:t>
      </w:r>
      <w:r>
        <w:rPr>
          <w:spacing w:val="-8"/>
        </w:rPr>
        <w:t> </w:t>
      </w:r>
      <w:r>
        <w:rPr/>
        <w:t>is</w:t>
      </w:r>
      <w:r>
        <w:rPr>
          <w:spacing w:val="-7"/>
        </w:rPr>
        <w:t> </w:t>
      </w:r>
      <w:r>
        <w:rPr/>
        <w:t>Culture?</w:t>
      </w:r>
      <w:r>
        <w:rPr>
          <w:spacing w:val="-6"/>
        </w:rPr>
        <w:t> </w:t>
      </w:r>
      <w:r>
        <w:rPr/>
        <w:t>A</w:t>
      </w:r>
      <w:r>
        <w:rPr>
          <w:spacing w:val="-7"/>
        </w:rPr>
        <w:t> </w:t>
      </w:r>
      <w:r>
        <w:rPr/>
        <w:t>compilation</w:t>
      </w:r>
      <w:r>
        <w:rPr>
          <w:spacing w:val="-6"/>
        </w:rPr>
        <w:t> </w:t>
      </w:r>
      <w:r>
        <w:rPr/>
        <w:t>of</w:t>
      </w:r>
      <w:r>
        <w:rPr>
          <w:spacing w:val="-3"/>
        </w:rPr>
        <w:t> </w:t>
      </w:r>
      <w:r>
        <w:rPr/>
        <w:t>quotations.</w:t>
      </w:r>
      <w:r>
        <w:rPr>
          <w:spacing w:val="-7"/>
        </w:rPr>
        <w:t> </w:t>
      </w:r>
      <w:r>
        <w:rPr/>
        <w:t>GlobalPAD</w:t>
      </w:r>
      <w:r>
        <w:rPr>
          <w:spacing w:val="-8"/>
        </w:rPr>
        <w:t> </w:t>
      </w:r>
      <w:r>
        <w:rPr/>
        <w:t>Core</w:t>
      </w:r>
      <w:r>
        <w:rPr>
          <w:spacing w:val="-8"/>
        </w:rPr>
        <w:t> </w:t>
      </w:r>
      <w:r>
        <w:rPr>
          <w:spacing w:val="-2"/>
        </w:rPr>
        <w:t>Concepts.</w:t>
      </w:r>
    </w:p>
    <w:p>
      <w:pPr>
        <w:pStyle w:val="BodyText"/>
        <w:ind w:left="833"/>
      </w:pPr>
      <w:r>
        <w:rPr/>
        <w:t>Available</w:t>
      </w:r>
      <w:r>
        <w:rPr>
          <w:spacing w:val="-14"/>
        </w:rPr>
        <w:t> </w:t>
      </w:r>
      <w:r>
        <w:rPr/>
        <w:t>at:</w:t>
      </w:r>
      <w:r>
        <w:rPr>
          <w:spacing w:val="-13"/>
        </w:rPr>
        <w:t> </w:t>
      </w:r>
      <w:hyperlink r:id="rId121">
        <w:r>
          <w:rPr>
            <w:color w:val="0000FF"/>
            <w:u w:val="single" w:color="0000FF"/>
          </w:rPr>
          <w:t>http://go.warwick.ac.uk/globalpadintercultural</w:t>
        </w:r>
      </w:hyperlink>
      <w:r>
        <w:rPr>
          <w:color w:val="0000FF"/>
          <w:spacing w:val="-11"/>
          <w:u w:val="none"/>
        </w:rPr>
        <w:t> </w:t>
      </w:r>
      <w:r>
        <w:rPr>
          <w:u w:val="none"/>
        </w:rPr>
        <w:t>[accessed</w:t>
      </w:r>
      <w:r>
        <w:rPr>
          <w:spacing w:val="-14"/>
          <w:u w:val="none"/>
        </w:rPr>
        <w:t> </w:t>
      </w:r>
      <w:r>
        <w:rPr>
          <w:u w:val="none"/>
        </w:rPr>
        <w:t>17</w:t>
      </w:r>
      <w:r>
        <w:rPr>
          <w:spacing w:val="-14"/>
          <w:u w:val="none"/>
        </w:rPr>
        <w:t> </w:t>
      </w:r>
      <w:r>
        <w:rPr>
          <w:u w:val="none"/>
        </w:rPr>
        <w:t>February</w:t>
      </w:r>
      <w:r>
        <w:rPr>
          <w:spacing w:val="-11"/>
          <w:u w:val="none"/>
        </w:rPr>
        <w:t> </w:t>
      </w:r>
      <w:r>
        <w:rPr>
          <w:spacing w:val="-2"/>
          <w:u w:val="none"/>
        </w:rPr>
        <w:t>2025].</w:t>
      </w:r>
    </w:p>
    <w:p>
      <w:pPr>
        <w:pStyle w:val="BodyText"/>
        <w:spacing w:before="8"/>
      </w:pPr>
    </w:p>
    <w:p>
      <w:pPr>
        <w:pStyle w:val="BodyText"/>
        <w:ind w:right="1107"/>
        <w:jc w:val="right"/>
      </w:pPr>
      <w:r>
        <w:rPr/>
        <w:t>Strive,</w:t>
      </w:r>
      <w:r>
        <w:rPr>
          <w:spacing w:val="-8"/>
        </w:rPr>
        <w:t> </w:t>
      </w:r>
      <w:r>
        <w:rPr/>
        <w:t>T.,</w:t>
      </w:r>
      <w:r>
        <w:rPr>
          <w:spacing w:val="-8"/>
        </w:rPr>
        <w:t> </w:t>
      </w:r>
      <w:r>
        <w:rPr/>
        <w:t>Wright,</w:t>
      </w:r>
      <w:r>
        <w:rPr>
          <w:spacing w:val="-7"/>
        </w:rPr>
        <w:t> </w:t>
      </w:r>
      <w:r>
        <w:rPr/>
        <w:t>J.D.,</w:t>
      </w:r>
      <w:r>
        <w:rPr>
          <w:spacing w:val="-6"/>
        </w:rPr>
        <w:t> </w:t>
      </w:r>
      <w:r>
        <w:rPr/>
        <w:t>and</w:t>
      </w:r>
      <w:r>
        <w:rPr>
          <w:spacing w:val="-6"/>
        </w:rPr>
        <w:t> </w:t>
      </w:r>
      <w:r>
        <w:rPr/>
        <w:t>Robinson,</w:t>
      </w:r>
      <w:r>
        <w:rPr>
          <w:spacing w:val="-6"/>
        </w:rPr>
        <w:t> </w:t>
      </w:r>
      <w:r>
        <w:rPr/>
        <w:t>A.J.</w:t>
      </w:r>
      <w:r>
        <w:rPr>
          <w:spacing w:val="-7"/>
        </w:rPr>
        <w:t> </w:t>
      </w:r>
      <w:r>
        <w:rPr/>
        <w:t>(2009).</w:t>
      </w:r>
      <w:r>
        <w:rPr>
          <w:spacing w:val="-5"/>
        </w:rPr>
        <w:t> </w:t>
      </w:r>
      <w:r>
        <w:rPr/>
        <w:t>Identification</w:t>
      </w:r>
      <w:r>
        <w:rPr>
          <w:spacing w:val="-8"/>
        </w:rPr>
        <w:t> </w:t>
      </w:r>
      <w:r>
        <w:rPr/>
        <w:t>and</w:t>
      </w:r>
      <w:r>
        <w:rPr>
          <w:spacing w:val="-8"/>
        </w:rPr>
        <w:t> </w:t>
      </w:r>
      <w:r>
        <w:rPr/>
        <w:t>partial</w:t>
      </w:r>
      <w:r>
        <w:rPr>
          <w:spacing w:val="-9"/>
        </w:rPr>
        <w:t> </w:t>
      </w:r>
      <w:r>
        <w:rPr/>
        <w:t>characterisation</w:t>
      </w:r>
      <w:r>
        <w:rPr>
          <w:spacing w:val="-7"/>
        </w:rPr>
        <w:t> </w:t>
      </w:r>
      <w:r>
        <w:rPr/>
        <w:t>of</w:t>
      </w:r>
      <w:r>
        <w:rPr>
          <w:spacing w:val="-7"/>
        </w:rPr>
        <w:t> </w:t>
      </w:r>
      <w:r>
        <w:rPr/>
        <w:t>a</w:t>
      </w:r>
      <w:r>
        <w:rPr>
          <w:spacing w:val="-6"/>
        </w:rPr>
        <w:t> </w:t>
      </w:r>
      <w:r>
        <w:rPr>
          <w:spacing w:val="-5"/>
        </w:rPr>
        <w:t>new</w:t>
      </w:r>
    </w:p>
    <w:p>
      <w:pPr>
        <w:spacing w:before="1"/>
        <w:ind w:left="0" w:right="1046" w:firstLine="0"/>
        <w:jc w:val="right"/>
        <w:rPr>
          <w:sz w:val="20"/>
        </w:rPr>
      </w:pPr>
      <w:r>
        <w:rPr>
          <w:i/>
          <w:sz w:val="20"/>
        </w:rPr>
        <w:t>Lagovirus</w:t>
      </w:r>
      <w:r>
        <w:rPr>
          <w:i/>
          <w:spacing w:val="-9"/>
          <w:sz w:val="20"/>
        </w:rPr>
        <w:t> </w:t>
      </w:r>
      <w:r>
        <w:rPr>
          <w:sz w:val="20"/>
        </w:rPr>
        <w:t>in</w:t>
      </w:r>
      <w:r>
        <w:rPr>
          <w:spacing w:val="-7"/>
          <w:sz w:val="20"/>
        </w:rPr>
        <w:t> </w:t>
      </w:r>
      <w:r>
        <w:rPr>
          <w:sz w:val="20"/>
        </w:rPr>
        <w:t>Australian</w:t>
      </w:r>
      <w:r>
        <w:rPr>
          <w:spacing w:val="-8"/>
          <w:sz w:val="20"/>
        </w:rPr>
        <w:t> </w:t>
      </w:r>
      <w:r>
        <w:rPr>
          <w:sz w:val="20"/>
        </w:rPr>
        <w:t>wild</w:t>
      </w:r>
      <w:r>
        <w:rPr>
          <w:spacing w:val="-7"/>
          <w:sz w:val="20"/>
        </w:rPr>
        <w:t> </w:t>
      </w:r>
      <w:r>
        <w:rPr>
          <w:sz w:val="20"/>
        </w:rPr>
        <w:t>rabbits.</w:t>
      </w:r>
      <w:r>
        <w:rPr>
          <w:spacing w:val="-8"/>
          <w:sz w:val="20"/>
        </w:rPr>
        <w:t> </w:t>
      </w:r>
      <w:r>
        <w:rPr>
          <w:i/>
          <w:sz w:val="20"/>
        </w:rPr>
        <w:t>Virology</w:t>
      </w:r>
      <w:r>
        <w:rPr>
          <w:i/>
          <w:spacing w:val="-7"/>
          <w:sz w:val="20"/>
        </w:rPr>
        <w:t> </w:t>
      </w:r>
      <w:r>
        <w:rPr>
          <w:b/>
          <w:sz w:val="20"/>
        </w:rPr>
        <w:t>384</w:t>
      </w:r>
      <w:r>
        <w:rPr>
          <w:sz w:val="20"/>
        </w:rPr>
        <w:t>(1):97–105.</w:t>
      </w:r>
      <w:r>
        <w:rPr>
          <w:spacing w:val="-9"/>
          <w:sz w:val="20"/>
        </w:rPr>
        <w:t> </w:t>
      </w:r>
      <w:r>
        <w:rPr>
          <w:sz w:val="20"/>
        </w:rPr>
        <w:t>doi:</w:t>
      </w:r>
      <w:r>
        <w:rPr>
          <w:spacing w:val="-8"/>
          <w:sz w:val="20"/>
        </w:rPr>
        <w:t> </w:t>
      </w:r>
      <w:r>
        <w:rPr>
          <w:spacing w:val="-2"/>
          <w:sz w:val="20"/>
        </w:rPr>
        <w:t>10.1016/j.virol.2008.11.004.</w:t>
      </w:r>
    </w:p>
    <w:p>
      <w:pPr>
        <w:pStyle w:val="BodyText"/>
        <w:spacing w:before="10"/>
      </w:pPr>
    </w:p>
    <w:p>
      <w:pPr>
        <w:pStyle w:val="BodyText"/>
        <w:ind w:left="833" w:right="163" w:hanging="721"/>
      </w:pPr>
      <w:r>
        <w:rPr/>
        <w:t>Strive,</w:t>
      </w:r>
      <w:r>
        <w:rPr>
          <w:spacing w:val="-3"/>
        </w:rPr>
        <w:t> </w:t>
      </w:r>
      <w:r>
        <w:rPr/>
        <w:t>T.,</w:t>
      </w:r>
      <w:r>
        <w:rPr>
          <w:spacing w:val="-3"/>
        </w:rPr>
        <w:t> </w:t>
      </w:r>
      <w:r>
        <w:rPr/>
        <w:t>and</w:t>
      </w:r>
      <w:r>
        <w:rPr>
          <w:spacing w:val="-3"/>
        </w:rPr>
        <w:t> </w:t>
      </w:r>
      <w:r>
        <w:rPr/>
        <w:t>Cox,</w:t>
      </w:r>
      <w:r>
        <w:rPr>
          <w:spacing w:val="-3"/>
        </w:rPr>
        <w:t> </w:t>
      </w:r>
      <w:r>
        <w:rPr/>
        <w:t>T.E.</w:t>
      </w:r>
      <w:r>
        <w:rPr>
          <w:spacing w:val="-3"/>
        </w:rPr>
        <w:t> </w:t>
      </w:r>
      <w:r>
        <w:rPr/>
        <w:t>(2019).</w:t>
      </w:r>
      <w:r>
        <w:rPr>
          <w:spacing w:val="-3"/>
        </w:rPr>
        <w:t> </w:t>
      </w:r>
      <w:r>
        <w:rPr/>
        <w:t>Lethal</w:t>
      </w:r>
      <w:r>
        <w:rPr>
          <w:spacing w:val="-2"/>
        </w:rPr>
        <w:t> </w:t>
      </w:r>
      <w:r>
        <w:rPr/>
        <w:t>biological</w:t>
      </w:r>
      <w:r>
        <w:rPr>
          <w:spacing w:val="-4"/>
        </w:rPr>
        <w:t> </w:t>
      </w:r>
      <w:r>
        <w:rPr/>
        <w:t>control</w:t>
      </w:r>
      <w:r>
        <w:rPr>
          <w:spacing w:val="-4"/>
        </w:rPr>
        <w:t> </w:t>
      </w:r>
      <w:r>
        <w:rPr/>
        <w:t>of</w:t>
      </w:r>
      <w:r>
        <w:rPr>
          <w:spacing w:val="-3"/>
        </w:rPr>
        <w:t> </w:t>
      </w:r>
      <w:r>
        <w:rPr/>
        <w:t>rabbits –</w:t>
      </w:r>
      <w:r>
        <w:rPr>
          <w:spacing w:val="-1"/>
        </w:rPr>
        <w:t> </w:t>
      </w:r>
      <w:r>
        <w:rPr/>
        <w:t>the</w:t>
      </w:r>
      <w:r>
        <w:rPr>
          <w:spacing w:val="-2"/>
        </w:rPr>
        <w:t> </w:t>
      </w:r>
      <w:r>
        <w:rPr/>
        <w:t>most</w:t>
      </w:r>
      <w:r>
        <w:rPr>
          <w:spacing w:val="-1"/>
        </w:rPr>
        <w:t> </w:t>
      </w:r>
      <w:r>
        <w:rPr/>
        <w:t>powerful</w:t>
      </w:r>
      <w:r>
        <w:rPr>
          <w:spacing w:val="-4"/>
        </w:rPr>
        <w:t> </w:t>
      </w:r>
      <w:r>
        <w:rPr/>
        <w:t>tools</w:t>
      </w:r>
      <w:r>
        <w:rPr>
          <w:spacing w:val="-2"/>
        </w:rPr>
        <w:t> </w:t>
      </w:r>
      <w:r>
        <w:rPr/>
        <w:t>for</w:t>
      </w:r>
      <w:r>
        <w:rPr>
          <w:spacing w:val="-2"/>
        </w:rPr>
        <w:t> </w:t>
      </w:r>
      <w:r>
        <w:rPr/>
        <w:t>landscape- scale mitigation of rabbit impacts in Australia. </w:t>
      </w:r>
      <w:r>
        <w:rPr>
          <w:i/>
        </w:rPr>
        <w:t>Australian Zoologist </w:t>
      </w:r>
      <w:r>
        <w:rPr>
          <w:b/>
        </w:rPr>
        <w:t>40</w:t>
      </w:r>
      <w:r>
        <w:rPr/>
        <w:t>(118–128).</w:t>
      </w:r>
    </w:p>
    <w:p>
      <w:pPr>
        <w:pStyle w:val="BodyText"/>
        <w:spacing w:before="11"/>
      </w:pPr>
    </w:p>
    <w:p>
      <w:pPr>
        <w:pStyle w:val="BodyText"/>
        <w:ind w:left="833" w:right="163" w:hanging="721"/>
      </w:pPr>
      <w:r>
        <w:rPr/>
        <w:t>Strive, T., Elsworth, P., Liu, J., Wright, J.D., Kovaliski, J., and Capucci, L. (2013). The non-pathogenic Australian rabbit calicivirus rcv-a1 provides temporal and partial cross protection to lethal rabbit haemorrhagic</w:t>
      </w:r>
      <w:r>
        <w:rPr>
          <w:spacing w:val="-4"/>
        </w:rPr>
        <w:t> </w:t>
      </w:r>
      <w:r>
        <w:rPr/>
        <w:t>disease</w:t>
      </w:r>
      <w:r>
        <w:rPr>
          <w:spacing w:val="-5"/>
        </w:rPr>
        <w:t> </w:t>
      </w:r>
      <w:r>
        <w:rPr/>
        <w:t>virus</w:t>
      </w:r>
      <w:r>
        <w:rPr>
          <w:spacing w:val="-2"/>
        </w:rPr>
        <w:t> </w:t>
      </w:r>
      <w:r>
        <w:rPr/>
        <w:t>infection</w:t>
      </w:r>
      <w:r>
        <w:rPr>
          <w:spacing w:val="-5"/>
        </w:rPr>
        <w:t> </w:t>
      </w:r>
      <w:r>
        <w:rPr/>
        <w:t>which</w:t>
      </w:r>
      <w:r>
        <w:rPr>
          <w:spacing w:val="-5"/>
        </w:rPr>
        <w:t> </w:t>
      </w:r>
      <w:r>
        <w:rPr/>
        <w:t>is</w:t>
      </w:r>
      <w:r>
        <w:rPr>
          <w:spacing w:val="-2"/>
        </w:rPr>
        <w:t> </w:t>
      </w:r>
      <w:r>
        <w:rPr/>
        <w:t>not</w:t>
      </w:r>
      <w:r>
        <w:rPr>
          <w:spacing w:val="-3"/>
        </w:rPr>
        <w:t> </w:t>
      </w:r>
      <w:r>
        <w:rPr/>
        <w:t>dependent</w:t>
      </w:r>
      <w:r>
        <w:rPr>
          <w:spacing w:val="-5"/>
        </w:rPr>
        <w:t> </w:t>
      </w:r>
      <w:r>
        <w:rPr/>
        <w:t>on</w:t>
      </w:r>
      <w:r>
        <w:rPr>
          <w:spacing w:val="-3"/>
        </w:rPr>
        <w:t> </w:t>
      </w:r>
      <w:r>
        <w:rPr/>
        <w:t>antibody</w:t>
      </w:r>
      <w:r>
        <w:rPr>
          <w:spacing w:val="-4"/>
        </w:rPr>
        <w:t> </w:t>
      </w:r>
      <w:r>
        <w:rPr/>
        <w:t>titres. </w:t>
      </w:r>
      <w:r>
        <w:rPr>
          <w:i/>
        </w:rPr>
        <w:t>Veterinary</w:t>
      </w:r>
      <w:r>
        <w:rPr>
          <w:i/>
          <w:spacing w:val="-4"/>
        </w:rPr>
        <w:t> </w:t>
      </w:r>
      <w:r>
        <w:rPr>
          <w:i/>
        </w:rPr>
        <w:t>Research</w:t>
      </w:r>
      <w:r>
        <w:rPr>
          <w:i/>
        </w:rPr>
        <w:t> </w:t>
      </w:r>
      <w:r>
        <w:rPr>
          <w:b/>
        </w:rPr>
        <w:t>44</w:t>
      </w:r>
      <w:r>
        <w:rPr/>
        <w:t>(1):1–11. doi: 10.1186/1297-9716-44-51.</w:t>
      </w:r>
    </w:p>
    <w:p>
      <w:pPr>
        <w:pStyle w:val="BodyText"/>
        <w:spacing w:before="9"/>
      </w:pPr>
    </w:p>
    <w:p>
      <w:pPr>
        <w:spacing w:before="1"/>
        <w:ind w:left="833" w:right="544" w:hanging="721"/>
        <w:jc w:val="left"/>
        <w:rPr>
          <w:sz w:val="20"/>
        </w:rPr>
      </w:pPr>
      <w:r>
        <w:rPr>
          <w:sz w:val="20"/>
        </w:rPr>
        <w:t>Suren,</w:t>
      </w:r>
      <w:r>
        <w:rPr>
          <w:spacing w:val="-4"/>
          <w:sz w:val="20"/>
        </w:rPr>
        <w:t> </w:t>
      </w:r>
      <w:r>
        <w:rPr>
          <w:sz w:val="20"/>
        </w:rPr>
        <w:t>A.M.</w:t>
      </w:r>
      <w:r>
        <w:rPr>
          <w:spacing w:val="-4"/>
          <w:sz w:val="20"/>
        </w:rPr>
        <w:t> </w:t>
      </w:r>
      <w:r>
        <w:rPr>
          <w:sz w:val="20"/>
        </w:rPr>
        <w:t>(2006).</w:t>
      </w:r>
      <w:r>
        <w:rPr>
          <w:spacing w:val="-4"/>
          <w:sz w:val="20"/>
        </w:rPr>
        <w:t> </w:t>
      </w:r>
      <w:r>
        <w:rPr>
          <w:sz w:val="20"/>
        </w:rPr>
        <w:t>Quantifying</w:t>
      </w:r>
      <w:r>
        <w:rPr>
          <w:spacing w:val="-5"/>
          <w:sz w:val="20"/>
        </w:rPr>
        <w:t> </w:t>
      </w:r>
      <w:r>
        <w:rPr>
          <w:sz w:val="20"/>
        </w:rPr>
        <w:t>contamination</w:t>
      </w:r>
      <w:r>
        <w:rPr>
          <w:spacing w:val="-5"/>
          <w:sz w:val="20"/>
        </w:rPr>
        <w:t> </w:t>
      </w:r>
      <w:r>
        <w:rPr>
          <w:sz w:val="20"/>
        </w:rPr>
        <w:t>of</w:t>
      </w:r>
      <w:r>
        <w:rPr>
          <w:spacing w:val="-4"/>
          <w:sz w:val="20"/>
        </w:rPr>
        <w:t> </w:t>
      </w:r>
      <w:r>
        <w:rPr>
          <w:sz w:val="20"/>
        </w:rPr>
        <w:t>streams</w:t>
      </w:r>
      <w:r>
        <w:rPr>
          <w:spacing w:val="-3"/>
          <w:sz w:val="20"/>
        </w:rPr>
        <w:t> </w:t>
      </w:r>
      <w:r>
        <w:rPr>
          <w:sz w:val="20"/>
        </w:rPr>
        <w:t>by</w:t>
      </w:r>
      <w:r>
        <w:rPr>
          <w:spacing w:val="-3"/>
          <w:sz w:val="20"/>
        </w:rPr>
        <w:t> </w:t>
      </w:r>
      <w:r>
        <w:rPr>
          <w:sz w:val="20"/>
        </w:rPr>
        <w:t>1080</w:t>
      </w:r>
      <w:r>
        <w:rPr>
          <w:spacing w:val="-4"/>
          <w:sz w:val="20"/>
        </w:rPr>
        <w:t> </w:t>
      </w:r>
      <w:r>
        <w:rPr>
          <w:sz w:val="20"/>
        </w:rPr>
        <w:t>baits,</w:t>
      </w:r>
      <w:r>
        <w:rPr>
          <w:spacing w:val="-2"/>
          <w:sz w:val="20"/>
        </w:rPr>
        <w:t> </w:t>
      </w:r>
      <w:r>
        <w:rPr>
          <w:sz w:val="20"/>
        </w:rPr>
        <w:t>and</w:t>
      </w:r>
      <w:r>
        <w:rPr>
          <w:spacing w:val="-2"/>
          <w:sz w:val="20"/>
        </w:rPr>
        <w:t> </w:t>
      </w:r>
      <w:r>
        <w:rPr>
          <w:sz w:val="20"/>
        </w:rPr>
        <w:t>their</w:t>
      </w:r>
      <w:r>
        <w:rPr>
          <w:spacing w:val="-1"/>
          <w:sz w:val="20"/>
        </w:rPr>
        <w:t> </w:t>
      </w:r>
      <w:r>
        <w:rPr>
          <w:sz w:val="20"/>
        </w:rPr>
        <w:t>fate</w:t>
      </w:r>
      <w:r>
        <w:rPr>
          <w:spacing w:val="-2"/>
          <w:sz w:val="20"/>
        </w:rPr>
        <w:t> </w:t>
      </w:r>
      <w:r>
        <w:rPr>
          <w:sz w:val="20"/>
        </w:rPr>
        <w:t>in</w:t>
      </w:r>
      <w:r>
        <w:rPr>
          <w:spacing w:val="-2"/>
          <w:sz w:val="20"/>
        </w:rPr>
        <w:t> </w:t>
      </w:r>
      <w:r>
        <w:rPr>
          <w:sz w:val="20"/>
        </w:rPr>
        <w:t>water. </w:t>
      </w:r>
      <w:r>
        <w:rPr>
          <w:i/>
          <w:sz w:val="20"/>
        </w:rPr>
        <w:t>New</w:t>
      </w:r>
      <w:r>
        <w:rPr>
          <w:i/>
          <w:sz w:val="20"/>
        </w:rPr>
        <w:t> Zealand Journal of Marine and Freshwater Research </w:t>
      </w:r>
      <w:r>
        <w:rPr>
          <w:b/>
          <w:sz w:val="20"/>
        </w:rPr>
        <w:t>40</w:t>
      </w:r>
      <w:r>
        <w:rPr>
          <w:sz w:val="20"/>
        </w:rPr>
        <w:t>(1):159–67. doi: </w:t>
      </w:r>
      <w:r>
        <w:rPr>
          <w:spacing w:val="-2"/>
          <w:sz w:val="20"/>
        </w:rPr>
        <w:t>10.1080/00288330.2006.9517410.</w:t>
      </w:r>
    </w:p>
    <w:p>
      <w:pPr>
        <w:pStyle w:val="BodyText"/>
        <w:spacing w:before="11"/>
      </w:pPr>
    </w:p>
    <w:p>
      <w:pPr>
        <w:pStyle w:val="BodyText"/>
        <w:ind w:left="833" w:right="163" w:hanging="721"/>
      </w:pPr>
      <w:r>
        <w:rPr/>
        <w:t>Tapscott,</w:t>
      </w:r>
      <w:r>
        <w:rPr>
          <w:spacing w:val="-3"/>
        </w:rPr>
        <w:t> </w:t>
      </w:r>
      <w:r>
        <w:rPr/>
        <w:t>B.</w:t>
      </w:r>
      <w:r>
        <w:rPr>
          <w:spacing w:val="-4"/>
        </w:rPr>
        <w:t> </w:t>
      </w:r>
      <w:r>
        <w:rPr/>
        <w:t>(1997).</w:t>
      </w:r>
      <w:r>
        <w:rPr>
          <w:spacing w:val="-4"/>
        </w:rPr>
        <w:t> </w:t>
      </w:r>
      <w:r>
        <w:rPr/>
        <w:t>Guidelines</w:t>
      </w:r>
      <w:r>
        <w:rPr>
          <w:spacing w:val="-4"/>
        </w:rPr>
        <w:t> </w:t>
      </w:r>
      <w:r>
        <w:rPr/>
        <w:t>for</w:t>
      </w:r>
      <w:r>
        <w:rPr>
          <w:spacing w:val="-4"/>
        </w:rPr>
        <w:t> </w:t>
      </w:r>
      <w:r>
        <w:rPr/>
        <w:t>using</w:t>
      </w:r>
      <w:r>
        <w:rPr>
          <w:spacing w:val="-4"/>
        </w:rPr>
        <w:t> </w:t>
      </w:r>
      <w:r>
        <w:rPr/>
        <w:t>donkeys</w:t>
      </w:r>
      <w:r>
        <w:rPr>
          <w:spacing w:val="-4"/>
        </w:rPr>
        <w:t> </w:t>
      </w:r>
      <w:r>
        <w:rPr/>
        <w:t>as</w:t>
      </w:r>
      <w:r>
        <w:rPr>
          <w:spacing w:val="-4"/>
        </w:rPr>
        <w:t> </w:t>
      </w:r>
      <w:r>
        <w:rPr/>
        <w:t>guard</w:t>
      </w:r>
      <w:r>
        <w:rPr>
          <w:spacing w:val="-4"/>
        </w:rPr>
        <w:t> </w:t>
      </w:r>
      <w:r>
        <w:rPr/>
        <w:t>animals</w:t>
      </w:r>
      <w:r>
        <w:rPr>
          <w:spacing w:val="-4"/>
        </w:rPr>
        <w:t> </w:t>
      </w:r>
      <w:r>
        <w:rPr/>
        <w:t>with</w:t>
      </w:r>
      <w:r>
        <w:rPr>
          <w:spacing w:val="-3"/>
        </w:rPr>
        <w:t> </w:t>
      </w:r>
      <w:r>
        <w:rPr/>
        <w:t>sheep.</w:t>
      </w:r>
      <w:r>
        <w:rPr>
          <w:spacing w:val="-3"/>
        </w:rPr>
        <w:t> </w:t>
      </w:r>
      <w:r>
        <w:rPr/>
        <w:t>Available</w:t>
      </w:r>
      <w:r>
        <w:rPr>
          <w:spacing w:val="-4"/>
        </w:rPr>
        <w:t> </w:t>
      </w:r>
      <w:r>
        <w:rPr/>
        <w:t>at: </w:t>
      </w:r>
      <w:hyperlink r:id="rId122">
        <w:r>
          <w:rPr>
            <w:color w:val="0000FF"/>
            <w:u w:val="single" w:color="0000FF"/>
          </w:rPr>
          <w:t>http://www.</w:t>
        </w:r>
      </w:hyperlink>
      <w:r>
        <w:rPr>
          <w:color w:val="0000FF"/>
          <w:u w:val="none"/>
        </w:rPr>
        <w:t> </w:t>
      </w:r>
      <w:r>
        <w:rPr>
          <w:color w:val="0000FF"/>
          <w:u w:val="single" w:color="0000FF"/>
        </w:rPr>
        <w:t>omafra.gov.on.ca/english/livestock/sheep/facts/donkey2.htm</w:t>
      </w:r>
      <w:r>
        <w:rPr>
          <w:color w:val="0000FF"/>
          <w:u w:val="none"/>
        </w:rPr>
        <w:t> </w:t>
      </w:r>
      <w:r>
        <w:rPr>
          <w:u w:val="none"/>
        </w:rPr>
        <w:t>[accessed 25 October 2024].</w:t>
      </w:r>
    </w:p>
    <w:p>
      <w:pPr>
        <w:pStyle w:val="BodyText"/>
        <w:spacing w:before="9"/>
      </w:pPr>
    </w:p>
    <w:p>
      <w:pPr>
        <w:spacing w:before="0"/>
        <w:ind w:left="112" w:right="0" w:firstLine="0"/>
        <w:jc w:val="left"/>
        <w:rPr>
          <w:i/>
          <w:sz w:val="20"/>
        </w:rPr>
      </w:pPr>
      <w:r>
        <w:rPr>
          <w:sz w:val="20"/>
        </w:rPr>
        <w:t>Tauchmann,</w:t>
      </w:r>
      <w:r>
        <w:rPr>
          <w:spacing w:val="-8"/>
          <w:sz w:val="20"/>
        </w:rPr>
        <w:t> </w:t>
      </w:r>
      <w:r>
        <w:rPr>
          <w:sz w:val="20"/>
        </w:rPr>
        <w:t>A.</w:t>
      </w:r>
      <w:r>
        <w:rPr>
          <w:spacing w:val="-8"/>
          <w:sz w:val="20"/>
        </w:rPr>
        <w:t> </w:t>
      </w:r>
      <w:r>
        <w:rPr>
          <w:sz w:val="20"/>
        </w:rPr>
        <w:t>(1999).</w:t>
      </w:r>
      <w:r>
        <w:rPr>
          <w:spacing w:val="-5"/>
          <w:sz w:val="20"/>
        </w:rPr>
        <w:t> </w:t>
      </w:r>
      <w:r>
        <w:rPr>
          <w:i/>
          <w:sz w:val="20"/>
        </w:rPr>
        <w:t>Aversive</w:t>
      </w:r>
      <w:r>
        <w:rPr>
          <w:i/>
          <w:spacing w:val="-9"/>
          <w:sz w:val="20"/>
        </w:rPr>
        <w:t> </w:t>
      </w:r>
      <w:r>
        <w:rPr>
          <w:i/>
          <w:sz w:val="20"/>
        </w:rPr>
        <w:t>conditioning</w:t>
      </w:r>
      <w:r>
        <w:rPr>
          <w:i/>
          <w:spacing w:val="-9"/>
          <w:sz w:val="20"/>
        </w:rPr>
        <w:t> </w:t>
      </w:r>
      <w:r>
        <w:rPr>
          <w:i/>
          <w:sz w:val="20"/>
        </w:rPr>
        <w:t>trial</w:t>
      </w:r>
      <w:r>
        <w:rPr>
          <w:i/>
          <w:spacing w:val="-8"/>
          <w:sz w:val="20"/>
        </w:rPr>
        <w:t> </w:t>
      </w:r>
      <w:r>
        <w:rPr>
          <w:i/>
          <w:sz w:val="20"/>
        </w:rPr>
        <w:t>on</w:t>
      </w:r>
      <w:r>
        <w:rPr>
          <w:i/>
          <w:spacing w:val="-8"/>
          <w:sz w:val="20"/>
        </w:rPr>
        <w:t> </w:t>
      </w:r>
      <w:r>
        <w:rPr>
          <w:i/>
          <w:sz w:val="20"/>
        </w:rPr>
        <w:t>dingoes</w:t>
      </w:r>
      <w:r>
        <w:rPr>
          <w:i/>
          <w:spacing w:val="-7"/>
          <w:sz w:val="20"/>
        </w:rPr>
        <w:t> </w:t>
      </w:r>
      <w:r>
        <w:rPr>
          <w:i/>
          <w:sz w:val="20"/>
        </w:rPr>
        <w:t>using</w:t>
      </w:r>
      <w:r>
        <w:rPr>
          <w:i/>
          <w:spacing w:val="-7"/>
          <w:sz w:val="20"/>
        </w:rPr>
        <w:t> </w:t>
      </w:r>
      <w:r>
        <w:rPr>
          <w:i/>
          <w:sz w:val="20"/>
        </w:rPr>
        <w:t>lithium</w:t>
      </w:r>
      <w:r>
        <w:rPr>
          <w:i/>
          <w:spacing w:val="-7"/>
          <w:sz w:val="20"/>
        </w:rPr>
        <w:t> </w:t>
      </w:r>
      <w:r>
        <w:rPr>
          <w:i/>
          <w:sz w:val="20"/>
        </w:rPr>
        <w:t>chloride</w:t>
      </w:r>
      <w:r>
        <w:rPr>
          <w:i/>
          <w:spacing w:val="-9"/>
          <w:sz w:val="20"/>
        </w:rPr>
        <w:t> </w:t>
      </w:r>
      <w:r>
        <w:rPr>
          <w:i/>
          <w:sz w:val="20"/>
        </w:rPr>
        <w:t>and</w:t>
      </w:r>
      <w:r>
        <w:rPr>
          <w:i/>
          <w:spacing w:val="-9"/>
          <w:sz w:val="20"/>
        </w:rPr>
        <w:t> </w:t>
      </w:r>
      <w:r>
        <w:rPr>
          <w:i/>
          <w:spacing w:val="-2"/>
          <w:sz w:val="20"/>
        </w:rPr>
        <w:t>thiabendazole.</w:t>
      </w:r>
    </w:p>
    <w:p>
      <w:pPr>
        <w:spacing w:before="0"/>
        <w:ind w:left="833" w:right="0" w:firstLine="0"/>
        <w:jc w:val="left"/>
        <w:rPr>
          <w:sz w:val="20"/>
        </w:rPr>
      </w:pPr>
      <w:r>
        <w:rPr>
          <w:i/>
          <w:sz w:val="20"/>
        </w:rPr>
        <w:t>Unpublished</w:t>
      </w:r>
      <w:r>
        <w:rPr>
          <w:i/>
          <w:spacing w:val="-8"/>
          <w:sz w:val="20"/>
        </w:rPr>
        <w:t> </w:t>
      </w:r>
      <w:r>
        <w:rPr>
          <w:i/>
          <w:sz w:val="20"/>
        </w:rPr>
        <w:t>Report</w:t>
      </w:r>
      <w:r>
        <w:rPr>
          <w:sz w:val="20"/>
        </w:rPr>
        <w:t>.</w:t>
      </w:r>
      <w:r>
        <w:rPr>
          <w:spacing w:val="-9"/>
          <w:sz w:val="20"/>
        </w:rPr>
        <w:t> </w:t>
      </w:r>
      <w:r>
        <w:rPr>
          <w:sz w:val="20"/>
        </w:rPr>
        <w:t>The</w:t>
      </w:r>
      <w:r>
        <w:rPr>
          <w:spacing w:val="-9"/>
          <w:sz w:val="20"/>
        </w:rPr>
        <w:t> </w:t>
      </w:r>
      <w:r>
        <w:rPr>
          <w:sz w:val="20"/>
        </w:rPr>
        <w:t>University</w:t>
      </w:r>
      <w:r>
        <w:rPr>
          <w:spacing w:val="-9"/>
          <w:sz w:val="20"/>
        </w:rPr>
        <w:t> </w:t>
      </w:r>
      <w:r>
        <w:rPr>
          <w:sz w:val="20"/>
        </w:rPr>
        <w:t>of</w:t>
      </w:r>
      <w:r>
        <w:rPr>
          <w:spacing w:val="-9"/>
          <w:sz w:val="20"/>
        </w:rPr>
        <w:t> </w:t>
      </w:r>
      <w:r>
        <w:rPr>
          <w:sz w:val="20"/>
        </w:rPr>
        <w:t>Queensland,</w:t>
      </w:r>
      <w:r>
        <w:rPr>
          <w:spacing w:val="-9"/>
          <w:sz w:val="20"/>
        </w:rPr>
        <w:t> </w:t>
      </w:r>
      <w:r>
        <w:rPr>
          <w:sz w:val="20"/>
        </w:rPr>
        <w:t>Gattan,</w:t>
      </w:r>
      <w:r>
        <w:rPr>
          <w:spacing w:val="-9"/>
          <w:sz w:val="20"/>
        </w:rPr>
        <w:t> </w:t>
      </w:r>
      <w:r>
        <w:rPr>
          <w:spacing w:val="-4"/>
          <w:sz w:val="20"/>
        </w:rPr>
        <w:t>QLD.</w:t>
      </w:r>
    </w:p>
    <w:p>
      <w:pPr>
        <w:pStyle w:val="BodyText"/>
        <w:spacing w:before="11"/>
      </w:pPr>
    </w:p>
    <w:p>
      <w:pPr>
        <w:pStyle w:val="BodyText"/>
        <w:ind w:left="833" w:right="163" w:hanging="721"/>
      </w:pPr>
      <w:r>
        <w:rPr/>
        <w:t>Thompson,</w:t>
      </w:r>
      <w:r>
        <w:rPr>
          <w:spacing w:val="-3"/>
        </w:rPr>
        <w:t> </w:t>
      </w:r>
      <w:r>
        <w:rPr/>
        <w:t>J.A.,</w:t>
      </w:r>
      <w:r>
        <w:rPr>
          <w:spacing w:val="-3"/>
        </w:rPr>
        <w:t> </w:t>
      </w:r>
      <w:r>
        <w:rPr/>
        <w:t>and</w:t>
      </w:r>
      <w:r>
        <w:rPr>
          <w:spacing w:val="-4"/>
        </w:rPr>
        <w:t> </w:t>
      </w:r>
      <w:r>
        <w:rPr/>
        <w:t>Fleming,</w:t>
      </w:r>
      <w:r>
        <w:rPr>
          <w:spacing w:val="-1"/>
        </w:rPr>
        <w:t> </w:t>
      </w:r>
      <w:r>
        <w:rPr/>
        <w:t>P.J.S.</w:t>
      </w:r>
      <w:r>
        <w:rPr>
          <w:spacing w:val="-3"/>
        </w:rPr>
        <w:t> </w:t>
      </w:r>
      <w:r>
        <w:rPr/>
        <w:t>(1991).</w:t>
      </w:r>
      <w:r>
        <w:rPr>
          <w:spacing w:val="-3"/>
        </w:rPr>
        <w:t> </w:t>
      </w:r>
      <w:r>
        <w:rPr/>
        <w:t>The</w:t>
      </w:r>
      <w:r>
        <w:rPr>
          <w:spacing w:val="-4"/>
        </w:rPr>
        <w:t> </w:t>
      </w:r>
      <w:r>
        <w:rPr/>
        <w:t>cost</w:t>
      </w:r>
      <w:r>
        <w:rPr>
          <w:spacing w:val="-1"/>
        </w:rPr>
        <w:t> </w:t>
      </w:r>
      <w:r>
        <w:rPr/>
        <w:t>of</w:t>
      </w:r>
      <w:r>
        <w:rPr>
          <w:spacing w:val="-3"/>
        </w:rPr>
        <w:t> </w:t>
      </w:r>
      <w:r>
        <w:rPr/>
        <w:t>aerial</w:t>
      </w:r>
      <w:r>
        <w:rPr>
          <w:spacing w:val="-2"/>
        </w:rPr>
        <w:t> </w:t>
      </w:r>
      <w:r>
        <w:rPr/>
        <w:t>baiting</w:t>
      </w:r>
      <w:r>
        <w:rPr>
          <w:spacing w:val="-2"/>
        </w:rPr>
        <w:t> </w:t>
      </w:r>
      <w:r>
        <w:rPr/>
        <w:t>for</w:t>
      </w:r>
      <w:r>
        <w:rPr>
          <w:spacing w:val="-3"/>
        </w:rPr>
        <w:t> </w:t>
      </w:r>
      <w:r>
        <w:rPr/>
        <w:t>wild</w:t>
      </w:r>
      <w:r>
        <w:rPr>
          <w:spacing w:val="-1"/>
        </w:rPr>
        <w:t> </w:t>
      </w:r>
      <w:r>
        <w:rPr/>
        <w:t>dog</w:t>
      </w:r>
      <w:r>
        <w:rPr>
          <w:spacing w:val="-1"/>
        </w:rPr>
        <w:t> </w:t>
      </w:r>
      <w:r>
        <w:rPr/>
        <w:t>management</w:t>
      </w:r>
      <w:r>
        <w:rPr>
          <w:spacing w:val="-3"/>
        </w:rPr>
        <w:t> </w:t>
      </w:r>
      <w:r>
        <w:rPr/>
        <w:t>in</w:t>
      </w:r>
      <w:r>
        <w:rPr>
          <w:spacing w:val="-3"/>
        </w:rPr>
        <w:t> </w:t>
      </w:r>
      <w:r>
        <w:rPr/>
        <w:t>north- eastern New South Wales. </w:t>
      </w:r>
      <w:r>
        <w:rPr>
          <w:i/>
        </w:rPr>
        <w:t>The Rangeland Journal </w:t>
      </w:r>
      <w:r>
        <w:rPr>
          <w:b/>
        </w:rPr>
        <w:t>13</w:t>
      </w:r>
      <w:r>
        <w:rPr/>
        <w:t>(1):47. doi: 10.1071/RJ9910047.</w:t>
      </w:r>
    </w:p>
    <w:p>
      <w:pPr>
        <w:pStyle w:val="BodyText"/>
        <w:spacing w:before="10"/>
      </w:pPr>
    </w:p>
    <w:p>
      <w:pPr>
        <w:pStyle w:val="BodyText"/>
        <w:spacing w:before="1"/>
        <w:ind w:left="833" w:right="163" w:hanging="721"/>
      </w:pPr>
      <w:r>
        <w:rPr/>
        <w:t>Thompson,</w:t>
      </w:r>
      <w:r>
        <w:rPr>
          <w:spacing w:val="-3"/>
        </w:rPr>
        <w:t> </w:t>
      </w:r>
      <w:r>
        <w:rPr/>
        <w:t>J.A.,</w:t>
      </w:r>
      <w:r>
        <w:rPr>
          <w:spacing w:val="-3"/>
        </w:rPr>
        <w:t> </w:t>
      </w:r>
      <w:r>
        <w:rPr/>
        <w:t>and</w:t>
      </w:r>
      <w:r>
        <w:rPr>
          <w:spacing w:val="-4"/>
        </w:rPr>
        <w:t> </w:t>
      </w:r>
      <w:r>
        <w:rPr/>
        <w:t>Fleming,</w:t>
      </w:r>
      <w:r>
        <w:rPr>
          <w:spacing w:val="-1"/>
        </w:rPr>
        <w:t> </w:t>
      </w:r>
      <w:r>
        <w:rPr/>
        <w:t>P.J.S.</w:t>
      </w:r>
      <w:r>
        <w:rPr>
          <w:spacing w:val="-3"/>
        </w:rPr>
        <w:t> </w:t>
      </w:r>
      <w:r>
        <w:rPr/>
        <w:t>(1994).</w:t>
      </w:r>
      <w:r>
        <w:rPr>
          <w:spacing w:val="-3"/>
        </w:rPr>
        <w:t> </w:t>
      </w:r>
      <w:r>
        <w:rPr/>
        <w:t>Evaluation</w:t>
      </w:r>
      <w:r>
        <w:rPr>
          <w:spacing w:val="-3"/>
        </w:rPr>
        <w:t> </w:t>
      </w:r>
      <w:r>
        <w:rPr/>
        <w:t>of</w:t>
      </w:r>
      <w:r>
        <w:rPr>
          <w:spacing w:val="-3"/>
        </w:rPr>
        <w:t> </w:t>
      </w:r>
      <w:r>
        <w:rPr/>
        <w:t>the</w:t>
      </w:r>
      <w:r>
        <w:rPr>
          <w:spacing w:val="-2"/>
        </w:rPr>
        <w:t> </w:t>
      </w:r>
      <w:r>
        <w:rPr/>
        <w:t>efficacy</w:t>
      </w:r>
      <w:r>
        <w:rPr>
          <w:spacing w:val="-2"/>
        </w:rPr>
        <w:t> </w:t>
      </w:r>
      <w:r>
        <w:rPr/>
        <w:t>of</w:t>
      </w:r>
      <w:r>
        <w:rPr>
          <w:spacing w:val="-1"/>
        </w:rPr>
        <w:t> </w:t>
      </w:r>
      <w:r>
        <w:rPr/>
        <w:t>1080</w:t>
      </w:r>
      <w:r>
        <w:rPr>
          <w:spacing w:val="-3"/>
        </w:rPr>
        <w:t> </w:t>
      </w:r>
      <w:r>
        <w:rPr/>
        <w:t>poisoning</w:t>
      </w:r>
      <w:r>
        <w:rPr>
          <w:spacing w:val="-3"/>
        </w:rPr>
        <w:t> </w:t>
      </w:r>
      <w:r>
        <w:rPr/>
        <w:t>of</w:t>
      </w:r>
      <w:r>
        <w:rPr>
          <w:spacing w:val="-3"/>
        </w:rPr>
        <w:t> </w:t>
      </w:r>
      <w:r>
        <w:rPr/>
        <w:t>red</w:t>
      </w:r>
      <w:r>
        <w:rPr>
          <w:spacing w:val="-3"/>
        </w:rPr>
        <w:t> </w:t>
      </w:r>
      <w:r>
        <w:rPr/>
        <w:t>foxes</w:t>
      </w:r>
      <w:r>
        <w:rPr>
          <w:spacing w:val="-2"/>
        </w:rPr>
        <w:t> </w:t>
      </w:r>
      <w:r>
        <w:rPr/>
        <w:t>using visitation to non-toxic baits as an index of fox abundance. </w:t>
      </w:r>
      <w:r>
        <w:rPr>
          <w:i/>
        </w:rPr>
        <w:t>Wildlife Research </w:t>
      </w:r>
      <w:r>
        <w:rPr>
          <w:b/>
        </w:rPr>
        <w:t>21</w:t>
      </w:r>
      <w:r>
        <w:rPr/>
        <w:t>(1):27. doi: </w:t>
      </w:r>
      <w:r>
        <w:rPr>
          <w:spacing w:val="-2"/>
        </w:rPr>
        <w:t>10.1071/WR9940027.</w:t>
      </w:r>
    </w:p>
    <w:p>
      <w:pPr>
        <w:pStyle w:val="BodyText"/>
        <w:spacing w:before="8"/>
      </w:pPr>
    </w:p>
    <w:p>
      <w:pPr>
        <w:spacing w:before="0"/>
        <w:ind w:left="833" w:right="163" w:hanging="721"/>
        <w:jc w:val="left"/>
        <w:rPr>
          <w:sz w:val="20"/>
        </w:rPr>
      </w:pPr>
      <w:r>
        <w:rPr>
          <w:sz w:val="20"/>
        </w:rPr>
        <w:t>Thomson,</w:t>
      </w:r>
      <w:r>
        <w:rPr>
          <w:spacing w:val="-4"/>
          <w:sz w:val="20"/>
        </w:rPr>
        <w:t> </w:t>
      </w:r>
      <w:r>
        <w:rPr>
          <w:sz w:val="20"/>
        </w:rPr>
        <w:t>P.C.</w:t>
      </w:r>
      <w:r>
        <w:rPr>
          <w:spacing w:val="-4"/>
          <w:sz w:val="20"/>
        </w:rPr>
        <w:t> </w:t>
      </w:r>
      <w:r>
        <w:rPr>
          <w:sz w:val="20"/>
        </w:rPr>
        <w:t>(1984).</w:t>
      </w:r>
      <w:r>
        <w:rPr>
          <w:spacing w:val="-4"/>
          <w:sz w:val="20"/>
        </w:rPr>
        <w:t> </w:t>
      </w:r>
      <w:r>
        <w:rPr>
          <w:sz w:val="20"/>
        </w:rPr>
        <w:t>Dingoes</w:t>
      </w:r>
      <w:r>
        <w:rPr>
          <w:spacing w:val="-3"/>
          <w:sz w:val="20"/>
        </w:rPr>
        <w:t> </w:t>
      </w:r>
      <w:r>
        <w:rPr>
          <w:sz w:val="20"/>
        </w:rPr>
        <w:t>in</w:t>
      </w:r>
      <w:r>
        <w:rPr>
          <w:spacing w:val="-4"/>
          <w:sz w:val="20"/>
        </w:rPr>
        <w:t> </w:t>
      </w:r>
      <w:r>
        <w:rPr>
          <w:sz w:val="20"/>
        </w:rPr>
        <w:t>sheep</w:t>
      </w:r>
      <w:r>
        <w:rPr>
          <w:spacing w:val="-5"/>
          <w:sz w:val="20"/>
        </w:rPr>
        <w:t> </w:t>
      </w:r>
      <w:r>
        <w:rPr>
          <w:sz w:val="20"/>
        </w:rPr>
        <w:t>and</w:t>
      </w:r>
      <w:r>
        <w:rPr>
          <w:spacing w:val="-3"/>
          <w:sz w:val="20"/>
        </w:rPr>
        <w:t> </w:t>
      </w:r>
      <w:r>
        <w:rPr>
          <w:sz w:val="20"/>
        </w:rPr>
        <w:t>pastoral</w:t>
      </w:r>
      <w:r>
        <w:rPr>
          <w:spacing w:val="-3"/>
          <w:sz w:val="20"/>
        </w:rPr>
        <w:t> </w:t>
      </w:r>
      <w:r>
        <w:rPr>
          <w:sz w:val="20"/>
        </w:rPr>
        <w:t>areas. </w:t>
      </w:r>
      <w:r>
        <w:rPr>
          <w:i/>
          <w:sz w:val="20"/>
        </w:rPr>
        <w:t>Journal</w:t>
      </w:r>
      <w:r>
        <w:rPr>
          <w:i/>
          <w:spacing w:val="-3"/>
          <w:sz w:val="20"/>
        </w:rPr>
        <w:t> </w:t>
      </w:r>
      <w:r>
        <w:rPr>
          <w:i/>
          <w:sz w:val="20"/>
        </w:rPr>
        <w:t>of</w:t>
      </w:r>
      <w:r>
        <w:rPr>
          <w:i/>
          <w:spacing w:val="-2"/>
          <w:sz w:val="20"/>
        </w:rPr>
        <w:t> </w:t>
      </w:r>
      <w:r>
        <w:rPr>
          <w:i/>
          <w:sz w:val="20"/>
        </w:rPr>
        <w:t>Agriculture</w:t>
      </w:r>
      <w:r>
        <w:rPr>
          <w:i/>
          <w:spacing w:val="-4"/>
          <w:sz w:val="20"/>
        </w:rPr>
        <w:t> </w:t>
      </w:r>
      <w:r>
        <w:rPr>
          <w:i/>
          <w:sz w:val="20"/>
        </w:rPr>
        <w:t>Western</w:t>
      </w:r>
      <w:r>
        <w:rPr>
          <w:i/>
          <w:spacing w:val="-2"/>
          <w:sz w:val="20"/>
        </w:rPr>
        <w:t> </w:t>
      </w:r>
      <w:r>
        <w:rPr>
          <w:i/>
          <w:sz w:val="20"/>
        </w:rPr>
        <w:t>Australia </w:t>
      </w:r>
      <w:r>
        <w:rPr>
          <w:b/>
          <w:sz w:val="20"/>
        </w:rPr>
        <w:t>25</w:t>
      </w:r>
      <w:r>
        <w:rPr>
          <w:sz w:val="20"/>
        </w:rPr>
        <w:t>:27– </w:t>
      </w:r>
      <w:r>
        <w:rPr>
          <w:spacing w:val="-4"/>
          <w:sz w:val="20"/>
        </w:rPr>
        <w:t>31.</w:t>
      </w:r>
    </w:p>
    <w:p>
      <w:pPr>
        <w:spacing w:after="0"/>
        <w:jc w:val="left"/>
        <w:rPr>
          <w:sz w:val="20"/>
        </w:rPr>
        <w:sectPr>
          <w:pgSz w:w="11910" w:h="16850"/>
          <w:pgMar w:header="0" w:footer="688" w:top="1060" w:bottom="880" w:left="1020" w:right="780"/>
        </w:sectPr>
      </w:pPr>
    </w:p>
    <w:p>
      <w:pPr>
        <w:pStyle w:val="BodyText"/>
        <w:spacing w:before="71"/>
        <w:ind w:left="833" w:right="544" w:hanging="721"/>
      </w:pPr>
      <w:r>
        <w:rPr/>
        <w:t>Thomson,</w:t>
      </w:r>
      <w:r>
        <w:rPr>
          <w:spacing w:val="-4"/>
        </w:rPr>
        <w:t> </w:t>
      </w:r>
      <w:r>
        <w:rPr/>
        <w:t>P.C.</w:t>
      </w:r>
      <w:r>
        <w:rPr>
          <w:spacing w:val="-4"/>
        </w:rPr>
        <w:t> </w:t>
      </w:r>
      <w:r>
        <w:rPr/>
        <w:t>(1986).</w:t>
      </w:r>
      <w:r>
        <w:rPr>
          <w:spacing w:val="-4"/>
        </w:rPr>
        <w:t> </w:t>
      </w:r>
      <w:r>
        <w:rPr/>
        <w:t>The</w:t>
      </w:r>
      <w:r>
        <w:rPr>
          <w:spacing w:val="-2"/>
        </w:rPr>
        <w:t> </w:t>
      </w:r>
      <w:r>
        <w:rPr/>
        <w:t>effectiveness</w:t>
      </w:r>
      <w:r>
        <w:rPr>
          <w:spacing w:val="-3"/>
        </w:rPr>
        <w:t> </w:t>
      </w:r>
      <w:r>
        <w:rPr/>
        <w:t>of</w:t>
      </w:r>
      <w:r>
        <w:rPr>
          <w:spacing w:val="-2"/>
        </w:rPr>
        <w:t> </w:t>
      </w:r>
      <w:r>
        <w:rPr/>
        <w:t>aerial</w:t>
      </w:r>
      <w:r>
        <w:rPr>
          <w:spacing w:val="-3"/>
        </w:rPr>
        <w:t> </w:t>
      </w:r>
      <w:r>
        <w:rPr/>
        <w:t>baiting</w:t>
      </w:r>
      <w:r>
        <w:rPr>
          <w:spacing w:val="-5"/>
        </w:rPr>
        <w:t> </w:t>
      </w:r>
      <w:r>
        <w:rPr/>
        <w:t>for</w:t>
      </w:r>
      <w:r>
        <w:rPr>
          <w:spacing w:val="-3"/>
        </w:rPr>
        <w:t> </w:t>
      </w:r>
      <w:r>
        <w:rPr/>
        <w:t>the</w:t>
      </w:r>
      <w:r>
        <w:rPr>
          <w:spacing w:val="-5"/>
        </w:rPr>
        <w:t> </w:t>
      </w:r>
      <w:r>
        <w:rPr/>
        <w:t>control</w:t>
      </w:r>
      <w:r>
        <w:rPr>
          <w:spacing w:val="-3"/>
        </w:rPr>
        <w:t> </w:t>
      </w:r>
      <w:r>
        <w:rPr/>
        <w:t>of</w:t>
      </w:r>
      <w:r>
        <w:rPr>
          <w:spacing w:val="-2"/>
        </w:rPr>
        <w:t> </w:t>
      </w:r>
      <w:r>
        <w:rPr/>
        <w:t>dingoes</w:t>
      </w:r>
      <w:r>
        <w:rPr>
          <w:spacing w:val="-3"/>
        </w:rPr>
        <w:t> </w:t>
      </w:r>
      <w:r>
        <w:rPr/>
        <w:t>in</w:t>
      </w:r>
      <w:r>
        <w:rPr>
          <w:spacing w:val="-4"/>
        </w:rPr>
        <w:t> </w:t>
      </w:r>
      <w:r>
        <w:rPr/>
        <w:t>north-western Australia. </w:t>
      </w:r>
      <w:r>
        <w:rPr>
          <w:i/>
        </w:rPr>
        <w:t>Wildlife Research </w:t>
      </w:r>
      <w:r>
        <w:rPr>
          <w:b/>
        </w:rPr>
        <w:t>13</w:t>
      </w:r>
      <w:r>
        <w:rPr/>
        <w:t>(2):165. doi: 10.1071/WR9860165.</w:t>
      </w:r>
    </w:p>
    <w:p>
      <w:pPr>
        <w:pStyle w:val="BodyText"/>
        <w:spacing w:before="11"/>
      </w:pPr>
    </w:p>
    <w:p>
      <w:pPr>
        <w:pStyle w:val="BodyText"/>
        <w:spacing w:before="1"/>
        <w:ind w:left="833" w:right="163" w:hanging="721"/>
      </w:pPr>
      <w:r>
        <w:rPr/>
        <w:t>Thomson, P.C., and Kok, N.E. (2002). The fate of dried meat baits laid for fox control: the effects of bait presentation</w:t>
      </w:r>
      <w:r>
        <w:rPr>
          <w:spacing w:val="-4"/>
        </w:rPr>
        <w:t> </w:t>
      </w:r>
      <w:r>
        <w:rPr/>
        <w:t>on</w:t>
      </w:r>
      <w:r>
        <w:rPr>
          <w:spacing w:val="-4"/>
        </w:rPr>
        <w:t> </w:t>
      </w:r>
      <w:r>
        <w:rPr/>
        <w:t>take</w:t>
      </w:r>
      <w:r>
        <w:rPr>
          <w:spacing w:val="-2"/>
        </w:rPr>
        <w:t> </w:t>
      </w:r>
      <w:r>
        <w:rPr/>
        <w:t>by</w:t>
      </w:r>
      <w:r>
        <w:rPr>
          <w:spacing w:val="-3"/>
        </w:rPr>
        <w:t> </w:t>
      </w:r>
      <w:r>
        <w:rPr/>
        <w:t>foxes</w:t>
      </w:r>
      <w:r>
        <w:rPr>
          <w:spacing w:val="-3"/>
        </w:rPr>
        <w:t> </w:t>
      </w:r>
      <w:r>
        <w:rPr/>
        <w:t>and</w:t>
      </w:r>
      <w:r>
        <w:rPr>
          <w:spacing w:val="-2"/>
        </w:rPr>
        <w:t> </w:t>
      </w:r>
      <w:r>
        <w:rPr/>
        <w:t>non-target</w:t>
      </w:r>
      <w:r>
        <w:rPr>
          <w:spacing w:val="-4"/>
        </w:rPr>
        <w:t> </w:t>
      </w:r>
      <w:r>
        <w:rPr/>
        <w:t>species,</w:t>
      </w:r>
      <w:r>
        <w:rPr>
          <w:spacing w:val="-2"/>
        </w:rPr>
        <w:t> </w:t>
      </w:r>
      <w:r>
        <w:rPr/>
        <w:t>and</w:t>
      </w:r>
      <w:r>
        <w:rPr>
          <w:spacing w:val="-2"/>
        </w:rPr>
        <w:t> </w:t>
      </w:r>
      <w:r>
        <w:rPr/>
        <w:t>on</w:t>
      </w:r>
      <w:r>
        <w:rPr>
          <w:spacing w:val="-5"/>
        </w:rPr>
        <w:t> </w:t>
      </w:r>
      <w:r>
        <w:rPr/>
        <w:t>caching</w:t>
      </w:r>
      <w:r>
        <w:rPr>
          <w:spacing w:val="-3"/>
        </w:rPr>
        <w:t> </w:t>
      </w:r>
      <w:r>
        <w:rPr/>
        <w:t>by</w:t>
      </w:r>
      <w:r>
        <w:rPr>
          <w:spacing w:val="-3"/>
        </w:rPr>
        <w:t> </w:t>
      </w:r>
      <w:r>
        <w:rPr/>
        <w:t>foxes. </w:t>
      </w:r>
      <w:r>
        <w:rPr>
          <w:i/>
        </w:rPr>
        <w:t>Wildlife</w:t>
      </w:r>
      <w:r>
        <w:rPr>
          <w:i/>
          <w:spacing w:val="-4"/>
        </w:rPr>
        <w:t> </w:t>
      </w:r>
      <w:r>
        <w:rPr>
          <w:i/>
        </w:rPr>
        <w:t>Research</w:t>
      </w:r>
      <w:r>
        <w:rPr>
          <w:i/>
        </w:rPr>
        <w:t> </w:t>
      </w:r>
      <w:r>
        <w:rPr>
          <w:b/>
        </w:rPr>
        <w:t>29</w:t>
      </w:r>
      <w:r>
        <w:rPr/>
        <w:t>(4):371. doi: 10.1071/WR01098.</w:t>
      </w:r>
    </w:p>
    <w:p>
      <w:pPr>
        <w:pStyle w:val="BodyText"/>
        <w:spacing w:before="8"/>
      </w:pPr>
    </w:p>
    <w:p>
      <w:pPr>
        <w:pStyle w:val="BodyText"/>
        <w:ind w:left="833" w:right="544" w:hanging="721"/>
      </w:pPr>
      <w:r>
        <w:rPr/>
        <w:t>Thomson, P.C., Marlow, N.J., Rose, K., and Kok, N.E. (2000). The effectiveness of a large-scale baiting campaign</w:t>
      </w:r>
      <w:r>
        <w:rPr>
          <w:spacing w:val="-2"/>
        </w:rPr>
        <w:t> </w:t>
      </w:r>
      <w:r>
        <w:rPr/>
        <w:t>and</w:t>
      </w:r>
      <w:r>
        <w:rPr>
          <w:spacing w:val="-4"/>
        </w:rPr>
        <w:t> </w:t>
      </w:r>
      <w:r>
        <w:rPr/>
        <w:t>an</w:t>
      </w:r>
      <w:r>
        <w:rPr>
          <w:spacing w:val="-2"/>
        </w:rPr>
        <w:t> </w:t>
      </w:r>
      <w:r>
        <w:rPr/>
        <w:t>evaluation</w:t>
      </w:r>
      <w:r>
        <w:rPr>
          <w:spacing w:val="-4"/>
        </w:rPr>
        <w:t> </w:t>
      </w:r>
      <w:r>
        <w:rPr/>
        <w:t>of</w:t>
      </w:r>
      <w:r>
        <w:rPr>
          <w:spacing w:val="-2"/>
        </w:rPr>
        <w:t> </w:t>
      </w:r>
      <w:r>
        <w:rPr/>
        <w:t>a</w:t>
      </w:r>
      <w:r>
        <w:rPr>
          <w:spacing w:val="-4"/>
        </w:rPr>
        <w:t> </w:t>
      </w:r>
      <w:r>
        <w:rPr/>
        <w:t>buffer</w:t>
      </w:r>
      <w:r>
        <w:rPr>
          <w:spacing w:val="-3"/>
        </w:rPr>
        <w:t> </w:t>
      </w:r>
      <w:r>
        <w:rPr/>
        <w:t>zone</w:t>
      </w:r>
      <w:r>
        <w:rPr>
          <w:spacing w:val="-4"/>
        </w:rPr>
        <w:t> </w:t>
      </w:r>
      <w:r>
        <w:rPr/>
        <w:t>strategy</w:t>
      </w:r>
      <w:r>
        <w:rPr>
          <w:spacing w:val="-3"/>
        </w:rPr>
        <w:t> </w:t>
      </w:r>
      <w:r>
        <w:rPr/>
        <w:t>for</w:t>
      </w:r>
      <w:r>
        <w:rPr>
          <w:spacing w:val="-4"/>
        </w:rPr>
        <w:t> </w:t>
      </w:r>
      <w:r>
        <w:rPr/>
        <w:t>fox</w:t>
      </w:r>
      <w:r>
        <w:rPr>
          <w:spacing w:val="-3"/>
        </w:rPr>
        <w:t> </w:t>
      </w:r>
      <w:r>
        <w:rPr/>
        <w:t>control. </w:t>
      </w:r>
      <w:r>
        <w:rPr>
          <w:i/>
        </w:rPr>
        <w:t>Wildlife</w:t>
      </w:r>
      <w:r>
        <w:rPr>
          <w:i/>
          <w:spacing w:val="-4"/>
        </w:rPr>
        <w:t> </w:t>
      </w:r>
      <w:r>
        <w:rPr>
          <w:i/>
        </w:rPr>
        <w:t>Research</w:t>
      </w:r>
      <w:r>
        <w:rPr>
          <w:i/>
          <w:spacing w:val="-2"/>
        </w:rPr>
        <w:t> </w:t>
      </w:r>
      <w:r>
        <w:rPr>
          <w:b/>
        </w:rPr>
        <w:t>27</w:t>
      </w:r>
      <w:r>
        <w:rPr/>
        <w:t>(5):465. doi: 10.1071/WR99036.</w:t>
      </w:r>
    </w:p>
    <w:p>
      <w:pPr>
        <w:pStyle w:val="BodyText"/>
        <w:spacing w:before="12"/>
      </w:pPr>
    </w:p>
    <w:p>
      <w:pPr>
        <w:pStyle w:val="BodyText"/>
        <w:ind w:left="833" w:right="364" w:hanging="721"/>
      </w:pPr>
      <w:r>
        <w:rPr/>
        <w:t>de</w:t>
      </w:r>
      <w:r>
        <w:rPr>
          <w:spacing w:val="-4"/>
        </w:rPr>
        <w:t> </w:t>
      </w:r>
      <w:r>
        <w:rPr/>
        <w:t>Tores,</w:t>
      </w:r>
      <w:r>
        <w:rPr>
          <w:spacing w:val="-1"/>
        </w:rPr>
        <w:t> </w:t>
      </w:r>
      <w:r>
        <w:rPr/>
        <w:t>P.</w:t>
      </w:r>
      <w:r>
        <w:rPr>
          <w:spacing w:val="-3"/>
        </w:rPr>
        <w:t> </w:t>
      </w:r>
      <w:r>
        <w:rPr/>
        <w:t>(2020). ‘Native</w:t>
      </w:r>
      <w:r>
        <w:rPr>
          <w:spacing w:val="-1"/>
        </w:rPr>
        <w:t> </w:t>
      </w:r>
      <w:r>
        <w:rPr/>
        <w:t>fauna</w:t>
      </w:r>
      <w:r>
        <w:rPr>
          <w:spacing w:val="-3"/>
        </w:rPr>
        <w:t> </w:t>
      </w:r>
      <w:r>
        <w:rPr/>
        <w:t>response</w:t>
      </w:r>
      <w:r>
        <w:rPr>
          <w:spacing w:val="-3"/>
        </w:rPr>
        <w:t> </w:t>
      </w:r>
      <w:r>
        <w:rPr/>
        <w:t>to</w:t>
      </w:r>
      <w:r>
        <w:rPr>
          <w:spacing w:val="-1"/>
        </w:rPr>
        <w:t> </w:t>
      </w:r>
      <w:r>
        <w:rPr/>
        <w:t>large</w:t>
      </w:r>
      <w:r>
        <w:rPr>
          <w:spacing w:val="-3"/>
        </w:rPr>
        <w:t> </w:t>
      </w:r>
      <w:r>
        <w:rPr/>
        <w:t>scale</w:t>
      </w:r>
      <w:r>
        <w:rPr>
          <w:spacing w:val="-1"/>
        </w:rPr>
        <w:t> </w:t>
      </w:r>
      <w:r>
        <w:rPr/>
        <w:t>fox</w:t>
      </w:r>
      <w:r>
        <w:rPr>
          <w:spacing w:val="-2"/>
        </w:rPr>
        <w:t> </w:t>
      </w:r>
      <w:r>
        <w:rPr/>
        <w:t>control</w:t>
      </w:r>
      <w:r>
        <w:rPr>
          <w:spacing w:val="-2"/>
        </w:rPr>
        <w:t> </w:t>
      </w:r>
      <w:r>
        <w:rPr/>
        <w:t>in</w:t>
      </w:r>
      <w:r>
        <w:rPr>
          <w:spacing w:val="-3"/>
        </w:rPr>
        <w:t> </w:t>
      </w:r>
      <w:r>
        <w:rPr/>
        <w:t>the</w:t>
      </w:r>
      <w:r>
        <w:rPr>
          <w:spacing w:val="-4"/>
        </w:rPr>
        <w:t> </w:t>
      </w:r>
      <w:r>
        <w:rPr/>
        <w:t>northern</w:t>
      </w:r>
      <w:r>
        <w:rPr>
          <w:spacing w:val="-3"/>
        </w:rPr>
        <w:t> </w:t>
      </w:r>
      <w:r>
        <w:rPr/>
        <w:t>jarrah</w:t>
      </w:r>
      <w:r>
        <w:rPr>
          <w:spacing w:val="-4"/>
        </w:rPr>
        <w:t> </w:t>
      </w:r>
      <w:r>
        <w:rPr/>
        <w:t>forest</w:t>
      </w:r>
      <w:r>
        <w:rPr>
          <w:spacing w:val="-3"/>
        </w:rPr>
        <w:t> </w:t>
      </w:r>
      <w:r>
        <w:rPr/>
        <w:t>of</w:t>
      </w:r>
      <w:r>
        <w:rPr>
          <w:spacing w:val="-3"/>
        </w:rPr>
        <w:t> </w:t>
      </w:r>
      <w:r>
        <w:rPr/>
        <w:t>south- west western Australia: operation foxglove’. PhD Thesis, UNSW Sydney.</w:t>
      </w:r>
    </w:p>
    <w:p>
      <w:pPr>
        <w:pStyle w:val="BodyText"/>
        <w:spacing w:before="10"/>
      </w:pPr>
    </w:p>
    <w:p>
      <w:pPr>
        <w:spacing w:before="1"/>
        <w:ind w:left="833" w:right="163" w:hanging="721"/>
        <w:jc w:val="left"/>
        <w:rPr>
          <w:sz w:val="20"/>
        </w:rPr>
      </w:pPr>
      <w:r>
        <w:rPr>
          <w:sz w:val="20"/>
        </w:rPr>
        <w:t>Treves,</w:t>
      </w:r>
      <w:r>
        <w:rPr>
          <w:spacing w:val="-3"/>
          <w:sz w:val="20"/>
        </w:rPr>
        <w:t> </w:t>
      </w:r>
      <w:r>
        <w:rPr>
          <w:sz w:val="20"/>
        </w:rPr>
        <w:t>A.,</w:t>
      </w:r>
      <w:r>
        <w:rPr>
          <w:spacing w:val="-1"/>
          <w:sz w:val="20"/>
        </w:rPr>
        <w:t> </w:t>
      </w:r>
      <w:r>
        <w:rPr>
          <w:sz w:val="20"/>
        </w:rPr>
        <w:t>Krofel,</w:t>
      </w:r>
      <w:r>
        <w:rPr>
          <w:spacing w:val="-3"/>
          <w:sz w:val="20"/>
        </w:rPr>
        <w:t> </w:t>
      </w:r>
      <w:r>
        <w:rPr>
          <w:sz w:val="20"/>
        </w:rPr>
        <w:t>M.,</w:t>
      </w:r>
      <w:r>
        <w:rPr>
          <w:spacing w:val="-3"/>
          <w:sz w:val="20"/>
        </w:rPr>
        <w:t> </w:t>
      </w:r>
      <w:r>
        <w:rPr>
          <w:sz w:val="20"/>
        </w:rPr>
        <w:t>and</w:t>
      </w:r>
      <w:r>
        <w:rPr>
          <w:spacing w:val="-2"/>
          <w:sz w:val="20"/>
        </w:rPr>
        <w:t> </w:t>
      </w:r>
      <w:r>
        <w:rPr>
          <w:sz w:val="20"/>
        </w:rPr>
        <w:t>McManus,</w:t>
      </w:r>
      <w:r>
        <w:rPr>
          <w:spacing w:val="-3"/>
          <w:sz w:val="20"/>
        </w:rPr>
        <w:t> </w:t>
      </w:r>
      <w:r>
        <w:rPr>
          <w:sz w:val="20"/>
        </w:rPr>
        <w:t>J.</w:t>
      </w:r>
      <w:r>
        <w:rPr>
          <w:spacing w:val="-3"/>
          <w:sz w:val="20"/>
        </w:rPr>
        <w:t> </w:t>
      </w:r>
      <w:r>
        <w:rPr>
          <w:sz w:val="20"/>
        </w:rPr>
        <w:t>(2016).</w:t>
      </w:r>
      <w:r>
        <w:rPr>
          <w:spacing w:val="-3"/>
          <w:sz w:val="20"/>
        </w:rPr>
        <w:t> </w:t>
      </w:r>
      <w:r>
        <w:rPr>
          <w:sz w:val="20"/>
        </w:rPr>
        <w:t>Predator</w:t>
      </w:r>
      <w:r>
        <w:rPr>
          <w:spacing w:val="-3"/>
          <w:sz w:val="20"/>
        </w:rPr>
        <w:t> </w:t>
      </w:r>
      <w:r>
        <w:rPr>
          <w:sz w:val="20"/>
        </w:rPr>
        <w:t>control</w:t>
      </w:r>
      <w:r>
        <w:rPr>
          <w:spacing w:val="-4"/>
          <w:sz w:val="20"/>
        </w:rPr>
        <w:t> </w:t>
      </w:r>
      <w:r>
        <w:rPr>
          <w:sz w:val="20"/>
        </w:rPr>
        <w:t>should</w:t>
      </w:r>
      <w:r>
        <w:rPr>
          <w:spacing w:val="-1"/>
          <w:sz w:val="20"/>
        </w:rPr>
        <w:t> </w:t>
      </w:r>
      <w:r>
        <w:rPr>
          <w:sz w:val="20"/>
        </w:rPr>
        <w:t>not</w:t>
      </w:r>
      <w:r>
        <w:rPr>
          <w:spacing w:val="-1"/>
          <w:sz w:val="20"/>
        </w:rPr>
        <w:t> </w:t>
      </w:r>
      <w:r>
        <w:rPr>
          <w:sz w:val="20"/>
        </w:rPr>
        <w:t>be</w:t>
      </w:r>
      <w:r>
        <w:rPr>
          <w:spacing w:val="-2"/>
          <w:sz w:val="20"/>
        </w:rPr>
        <w:t> </w:t>
      </w:r>
      <w:r>
        <w:rPr>
          <w:sz w:val="20"/>
        </w:rPr>
        <w:t>a</w:t>
      </w:r>
      <w:r>
        <w:rPr>
          <w:spacing w:val="-1"/>
          <w:sz w:val="20"/>
        </w:rPr>
        <w:t> </w:t>
      </w:r>
      <w:r>
        <w:rPr>
          <w:sz w:val="20"/>
        </w:rPr>
        <w:t>shot</w:t>
      </w:r>
      <w:r>
        <w:rPr>
          <w:spacing w:val="-3"/>
          <w:sz w:val="20"/>
        </w:rPr>
        <w:t> </w:t>
      </w:r>
      <w:r>
        <w:rPr>
          <w:sz w:val="20"/>
        </w:rPr>
        <w:t>in</w:t>
      </w:r>
      <w:r>
        <w:rPr>
          <w:spacing w:val="-3"/>
          <w:sz w:val="20"/>
        </w:rPr>
        <w:t> </w:t>
      </w:r>
      <w:r>
        <w:rPr>
          <w:sz w:val="20"/>
        </w:rPr>
        <w:t>the</w:t>
      </w:r>
      <w:r>
        <w:rPr>
          <w:spacing w:val="-3"/>
          <w:sz w:val="20"/>
        </w:rPr>
        <w:t> </w:t>
      </w:r>
      <w:r>
        <w:rPr>
          <w:sz w:val="20"/>
        </w:rPr>
        <w:t>dark. </w:t>
      </w:r>
      <w:r>
        <w:rPr>
          <w:i/>
          <w:sz w:val="20"/>
        </w:rPr>
        <w:t>Frontiers</w:t>
      </w:r>
      <w:r>
        <w:rPr>
          <w:i/>
          <w:spacing w:val="-1"/>
          <w:sz w:val="20"/>
        </w:rPr>
        <w:t> </w:t>
      </w:r>
      <w:r>
        <w:rPr>
          <w:i/>
          <w:sz w:val="20"/>
        </w:rPr>
        <w:t>in</w:t>
      </w:r>
      <w:r>
        <w:rPr>
          <w:i/>
          <w:sz w:val="20"/>
        </w:rPr>
        <w:t> Ecology and the Environment </w:t>
      </w:r>
      <w:r>
        <w:rPr>
          <w:b/>
          <w:sz w:val="20"/>
        </w:rPr>
        <w:t>14</w:t>
      </w:r>
      <w:r>
        <w:rPr>
          <w:sz w:val="20"/>
        </w:rPr>
        <w:t>(7):380–88.</w:t>
      </w:r>
    </w:p>
    <w:p>
      <w:pPr>
        <w:pStyle w:val="BodyText"/>
        <w:spacing w:before="8"/>
      </w:pPr>
    </w:p>
    <w:p>
      <w:pPr>
        <w:pStyle w:val="BodyText"/>
        <w:spacing w:before="1"/>
        <w:ind w:left="833" w:right="544" w:hanging="721"/>
      </w:pPr>
      <w:r>
        <w:rPr/>
        <w:t>Twigg, Laurie E., Eldridge, Steve R., Edwards, Glenn P., Shakeshaft, Bernie J., dePreu, Nicki D., and Adams,</w:t>
      </w:r>
      <w:r>
        <w:rPr>
          <w:spacing w:val="-4"/>
        </w:rPr>
        <w:t> </w:t>
      </w:r>
      <w:r>
        <w:rPr/>
        <w:t>Neville.</w:t>
      </w:r>
      <w:r>
        <w:rPr>
          <w:spacing w:val="-4"/>
        </w:rPr>
        <w:t> </w:t>
      </w:r>
      <w:r>
        <w:rPr/>
        <w:t>(2000).</w:t>
      </w:r>
      <w:r>
        <w:rPr>
          <w:spacing w:val="-4"/>
        </w:rPr>
        <w:t> </w:t>
      </w:r>
      <w:r>
        <w:rPr/>
        <w:t>The</w:t>
      </w:r>
      <w:r>
        <w:rPr>
          <w:spacing w:val="-4"/>
        </w:rPr>
        <w:t> </w:t>
      </w:r>
      <w:r>
        <w:rPr/>
        <w:t>longevity</w:t>
      </w:r>
      <w:r>
        <w:rPr>
          <w:spacing w:val="-3"/>
        </w:rPr>
        <w:t> </w:t>
      </w:r>
      <w:r>
        <w:rPr/>
        <w:t>and</w:t>
      </w:r>
      <w:r>
        <w:rPr>
          <w:spacing w:val="-4"/>
        </w:rPr>
        <w:t> </w:t>
      </w:r>
      <w:r>
        <w:rPr/>
        <w:t>efficacy</w:t>
      </w:r>
      <w:r>
        <w:rPr>
          <w:spacing w:val="-3"/>
        </w:rPr>
        <w:t> </w:t>
      </w:r>
      <w:r>
        <w:rPr/>
        <w:t>of</w:t>
      </w:r>
      <w:r>
        <w:rPr>
          <w:spacing w:val="-2"/>
        </w:rPr>
        <w:t> </w:t>
      </w:r>
      <w:r>
        <w:rPr/>
        <w:t>1080</w:t>
      </w:r>
      <w:r>
        <w:rPr>
          <w:spacing w:val="-2"/>
        </w:rPr>
        <w:t> </w:t>
      </w:r>
      <w:r>
        <w:rPr/>
        <w:t>meat</w:t>
      </w:r>
      <w:r>
        <w:rPr>
          <w:spacing w:val="-4"/>
        </w:rPr>
        <w:t> </w:t>
      </w:r>
      <w:r>
        <w:rPr/>
        <w:t>baits</w:t>
      </w:r>
      <w:r>
        <w:rPr>
          <w:spacing w:val="-1"/>
        </w:rPr>
        <w:t> </w:t>
      </w:r>
      <w:r>
        <w:rPr/>
        <w:t>used</w:t>
      </w:r>
      <w:r>
        <w:rPr>
          <w:spacing w:val="-5"/>
        </w:rPr>
        <w:t> </w:t>
      </w:r>
      <w:r>
        <w:rPr/>
        <w:t>for</w:t>
      </w:r>
      <w:r>
        <w:rPr>
          <w:spacing w:val="-4"/>
        </w:rPr>
        <w:t> </w:t>
      </w:r>
      <w:r>
        <w:rPr/>
        <w:t>dingo</w:t>
      </w:r>
      <w:r>
        <w:rPr>
          <w:spacing w:val="-4"/>
        </w:rPr>
        <w:t> </w:t>
      </w:r>
      <w:r>
        <w:rPr/>
        <w:t>control</w:t>
      </w:r>
      <w:r>
        <w:rPr>
          <w:spacing w:val="-3"/>
        </w:rPr>
        <w:t> </w:t>
      </w:r>
      <w:r>
        <w:rPr/>
        <w:t>in central Australia. </w:t>
      </w:r>
      <w:r>
        <w:rPr>
          <w:i/>
        </w:rPr>
        <w:t>Wildlife Research </w:t>
      </w:r>
      <w:r>
        <w:rPr>
          <w:b/>
        </w:rPr>
        <w:t>27</w:t>
      </w:r>
      <w:r>
        <w:rPr/>
        <w:t>(5):473. doi: 10.1071/WR99044.</w:t>
      </w:r>
    </w:p>
    <w:p>
      <w:pPr>
        <w:pStyle w:val="BodyText"/>
        <w:spacing w:before="11"/>
      </w:pPr>
    </w:p>
    <w:p>
      <w:pPr>
        <w:pStyle w:val="BodyText"/>
        <w:ind w:left="833" w:right="163" w:hanging="721"/>
      </w:pPr>
      <w:r>
        <w:rPr/>
        <w:t>Twigg,</w:t>
      </w:r>
      <w:r>
        <w:rPr>
          <w:spacing w:val="-2"/>
        </w:rPr>
        <w:t> </w:t>
      </w:r>
      <w:r>
        <w:rPr/>
        <w:t>L.E.,</w:t>
      </w:r>
      <w:r>
        <w:rPr>
          <w:spacing w:val="-2"/>
        </w:rPr>
        <w:t> </w:t>
      </w:r>
      <w:r>
        <w:rPr/>
        <w:t>Lowe,</w:t>
      </w:r>
      <w:r>
        <w:rPr>
          <w:spacing w:val="-3"/>
        </w:rPr>
        <w:t> </w:t>
      </w:r>
      <w:r>
        <w:rPr/>
        <w:t>T.J.,</w:t>
      </w:r>
      <w:r>
        <w:rPr>
          <w:spacing w:val="-3"/>
        </w:rPr>
        <w:t> </w:t>
      </w:r>
      <w:r>
        <w:rPr/>
        <w:t>Kirkpatrick,</w:t>
      </w:r>
      <w:r>
        <w:rPr>
          <w:spacing w:val="-3"/>
        </w:rPr>
        <w:t> </w:t>
      </w:r>
      <w:r>
        <w:rPr/>
        <w:t>W.E.,</w:t>
      </w:r>
      <w:r>
        <w:rPr>
          <w:spacing w:val="-2"/>
        </w:rPr>
        <w:t> </w:t>
      </w:r>
      <w:r>
        <w:rPr/>
        <w:t>and</w:t>
      </w:r>
      <w:r>
        <w:rPr>
          <w:spacing w:val="-2"/>
        </w:rPr>
        <w:t> </w:t>
      </w:r>
      <w:r>
        <w:rPr/>
        <w:t>Martin,</w:t>
      </w:r>
      <w:r>
        <w:rPr>
          <w:spacing w:val="-2"/>
        </w:rPr>
        <w:t> </w:t>
      </w:r>
      <w:r>
        <w:rPr/>
        <w:t>G.R.</w:t>
      </w:r>
      <w:r>
        <w:rPr>
          <w:spacing w:val="-3"/>
        </w:rPr>
        <w:t> </w:t>
      </w:r>
      <w:r>
        <w:rPr/>
        <w:t>(2003).</w:t>
      </w:r>
      <w:r>
        <w:rPr>
          <w:spacing w:val="-3"/>
        </w:rPr>
        <w:t> </w:t>
      </w:r>
      <w:r>
        <w:rPr/>
        <w:t>Tissue</w:t>
      </w:r>
      <w:r>
        <w:rPr>
          <w:spacing w:val="-4"/>
        </w:rPr>
        <w:t> </w:t>
      </w:r>
      <w:r>
        <w:rPr/>
        <w:t>residue</w:t>
      </w:r>
      <w:r>
        <w:rPr>
          <w:spacing w:val="-3"/>
        </w:rPr>
        <w:t> </w:t>
      </w:r>
      <w:r>
        <w:rPr/>
        <w:t>levels</w:t>
      </w:r>
      <w:r>
        <w:rPr>
          <w:spacing w:val="-3"/>
        </w:rPr>
        <w:t> </w:t>
      </w:r>
      <w:r>
        <w:rPr/>
        <w:t>in</w:t>
      </w:r>
      <w:r>
        <w:rPr>
          <w:spacing w:val="-3"/>
        </w:rPr>
        <w:t> </w:t>
      </w:r>
      <w:r>
        <w:rPr/>
        <w:t>rabbits</w:t>
      </w:r>
      <w:r>
        <w:rPr>
          <w:spacing w:val="-3"/>
        </w:rPr>
        <w:t> </w:t>
      </w:r>
      <w:r>
        <w:rPr/>
        <w:t>and</w:t>
      </w:r>
      <w:r>
        <w:rPr>
          <w:spacing w:val="-4"/>
        </w:rPr>
        <w:t> </w:t>
      </w:r>
      <w:r>
        <w:rPr/>
        <w:t>rats poisoned with 1080 one-shot bait and the location of poisoned</w:t>
      </w:r>
      <w:r>
        <w:rPr>
          <w:spacing w:val="-1"/>
        </w:rPr>
        <w:t> </w:t>
      </w:r>
      <w:r>
        <w:rPr/>
        <w:t>rabbit carcasses. </w:t>
      </w:r>
      <w:r>
        <w:rPr>
          <w:i/>
        </w:rPr>
        <w:t>Wildlife Research</w:t>
      </w:r>
      <w:r>
        <w:rPr>
          <w:i/>
        </w:rPr>
        <w:t> </w:t>
      </w:r>
      <w:r>
        <w:rPr>
          <w:b/>
        </w:rPr>
        <w:t>30</w:t>
      </w:r>
      <w:r>
        <w:rPr/>
        <w:t>(6):621. doi: 10.1071/WR02098.</w:t>
      </w:r>
    </w:p>
    <w:p>
      <w:pPr>
        <w:pStyle w:val="BodyText"/>
        <w:spacing w:before="9"/>
      </w:pPr>
    </w:p>
    <w:p>
      <w:pPr>
        <w:pStyle w:val="BodyText"/>
        <w:ind w:left="833" w:right="163" w:hanging="721"/>
      </w:pPr>
      <w:r>
        <w:rPr/>
        <w:t>Twigg,</w:t>
      </w:r>
      <w:r>
        <w:rPr>
          <w:spacing w:val="-1"/>
        </w:rPr>
        <w:t> </w:t>
      </w:r>
      <w:r>
        <w:rPr/>
        <w:t>L.E.,</w:t>
      </w:r>
      <w:r>
        <w:rPr>
          <w:spacing w:val="-1"/>
        </w:rPr>
        <w:t> </w:t>
      </w:r>
      <w:r>
        <w:rPr/>
        <w:t>Lowe,</w:t>
      </w:r>
      <w:r>
        <w:rPr>
          <w:spacing w:val="-3"/>
        </w:rPr>
        <w:t> </w:t>
      </w:r>
      <w:r>
        <w:rPr/>
        <w:t>T.,</w:t>
      </w:r>
      <w:r>
        <w:rPr>
          <w:spacing w:val="-3"/>
        </w:rPr>
        <w:t> </w:t>
      </w:r>
      <w:r>
        <w:rPr/>
        <w:t>and</w:t>
      </w:r>
      <w:r>
        <w:rPr>
          <w:spacing w:val="-2"/>
        </w:rPr>
        <w:t> </w:t>
      </w:r>
      <w:r>
        <w:rPr/>
        <w:t>Martin,</w:t>
      </w:r>
      <w:r>
        <w:rPr>
          <w:spacing w:val="-3"/>
        </w:rPr>
        <w:t> </w:t>
      </w:r>
      <w:r>
        <w:rPr/>
        <w:t>G.</w:t>
      </w:r>
      <w:r>
        <w:rPr>
          <w:spacing w:val="-3"/>
        </w:rPr>
        <w:t> </w:t>
      </w:r>
      <w:r>
        <w:rPr/>
        <w:t>(2005).</w:t>
      </w:r>
      <w:r>
        <w:rPr>
          <w:spacing w:val="-1"/>
        </w:rPr>
        <w:t> </w:t>
      </w:r>
      <w:r>
        <w:rPr/>
        <w:t>Sodium</w:t>
      </w:r>
      <w:r>
        <w:rPr>
          <w:spacing w:val="-3"/>
        </w:rPr>
        <w:t> </w:t>
      </w:r>
      <w:r>
        <w:rPr/>
        <w:t>fluoroacetate</w:t>
      </w:r>
      <w:r>
        <w:rPr>
          <w:spacing w:val="-3"/>
        </w:rPr>
        <w:t> </w:t>
      </w:r>
      <w:r>
        <w:rPr/>
        <w:t>residues</w:t>
      </w:r>
      <w:r>
        <w:rPr>
          <w:spacing w:val="-2"/>
        </w:rPr>
        <w:t> </w:t>
      </w:r>
      <w:r>
        <w:rPr/>
        <w:t>and</w:t>
      </w:r>
      <w:r>
        <w:rPr>
          <w:spacing w:val="-2"/>
        </w:rPr>
        <w:t> </w:t>
      </w:r>
      <w:r>
        <w:rPr/>
        <w:t>carcass</w:t>
      </w:r>
      <w:r>
        <w:rPr>
          <w:spacing w:val="-2"/>
        </w:rPr>
        <w:t> </w:t>
      </w:r>
      <w:r>
        <w:rPr/>
        <w:t>degradation</w:t>
      </w:r>
      <w:r>
        <w:rPr>
          <w:spacing w:val="-3"/>
        </w:rPr>
        <w:t> </w:t>
      </w:r>
      <w:r>
        <w:rPr/>
        <w:t>of</w:t>
      </w:r>
      <w:r>
        <w:rPr>
          <w:spacing w:val="-3"/>
        </w:rPr>
        <w:t> </w:t>
      </w:r>
      <w:r>
        <w:rPr/>
        <w:t>free- ranging feral pigs poisoned with 1080. </w:t>
      </w:r>
      <w:r>
        <w:rPr>
          <w:i/>
        </w:rPr>
        <w:t>Wildlife Research </w:t>
      </w:r>
      <w:r>
        <w:rPr>
          <w:b/>
        </w:rPr>
        <w:t>32</w:t>
      </w:r>
      <w:r>
        <w:rPr/>
        <w:t>(6):573–80. doi: 10.1071/WR05026.</w:t>
      </w:r>
    </w:p>
    <w:p>
      <w:pPr>
        <w:pStyle w:val="BodyText"/>
        <w:spacing w:before="10"/>
      </w:pPr>
    </w:p>
    <w:p>
      <w:pPr>
        <w:pStyle w:val="BodyText"/>
        <w:spacing w:before="1"/>
        <w:ind w:left="833" w:right="598" w:hanging="721"/>
        <w:jc w:val="both"/>
      </w:pPr>
      <w:r>
        <w:rPr/>
        <w:t>Twigg, L.E., Lowe,</w:t>
      </w:r>
      <w:r>
        <w:rPr>
          <w:spacing w:val="-2"/>
        </w:rPr>
        <w:t> </w:t>
      </w:r>
      <w:r>
        <w:rPr/>
        <w:t>T.,</w:t>
      </w:r>
      <w:r>
        <w:rPr>
          <w:spacing w:val="-2"/>
        </w:rPr>
        <w:t> </w:t>
      </w:r>
      <w:r>
        <w:rPr/>
        <w:t>and</w:t>
      </w:r>
      <w:r>
        <w:rPr>
          <w:spacing w:val="-1"/>
        </w:rPr>
        <w:t> </w:t>
      </w:r>
      <w:r>
        <w:rPr/>
        <w:t>Martin,</w:t>
      </w:r>
      <w:r>
        <w:rPr>
          <w:spacing w:val="-2"/>
        </w:rPr>
        <w:t> </w:t>
      </w:r>
      <w:r>
        <w:rPr/>
        <w:t>G.</w:t>
      </w:r>
      <w:r>
        <w:rPr>
          <w:spacing w:val="-2"/>
        </w:rPr>
        <w:t> </w:t>
      </w:r>
      <w:r>
        <w:rPr/>
        <w:t>(2007). Bait</w:t>
      </w:r>
      <w:r>
        <w:rPr>
          <w:spacing w:val="-2"/>
        </w:rPr>
        <w:t> </w:t>
      </w:r>
      <w:r>
        <w:rPr/>
        <w:t>consumption by,</w:t>
      </w:r>
      <w:r>
        <w:rPr>
          <w:spacing w:val="-2"/>
        </w:rPr>
        <w:t> </w:t>
      </w:r>
      <w:r>
        <w:rPr/>
        <w:t>and</w:t>
      </w:r>
      <w:r>
        <w:rPr>
          <w:spacing w:val="-1"/>
        </w:rPr>
        <w:t> </w:t>
      </w:r>
      <w:r>
        <w:rPr/>
        <w:t>1080-based</w:t>
      </w:r>
      <w:r>
        <w:rPr>
          <w:spacing w:val="-2"/>
        </w:rPr>
        <w:t> </w:t>
      </w:r>
      <w:r>
        <w:rPr/>
        <w:t>control</w:t>
      </w:r>
      <w:r>
        <w:rPr>
          <w:spacing w:val="-3"/>
        </w:rPr>
        <w:t> </w:t>
      </w:r>
      <w:r>
        <w:rPr/>
        <w:t>of, feral</w:t>
      </w:r>
      <w:r>
        <w:rPr>
          <w:spacing w:val="-3"/>
        </w:rPr>
        <w:t> </w:t>
      </w:r>
      <w:r>
        <w:rPr/>
        <w:t>pigs</w:t>
      </w:r>
      <w:r>
        <w:rPr>
          <w:spacing w:val="-1"/>
        </w:rPr>
        <w:t> </w:t>
      </w:r>
      <w:r>
        <w:rPr/>
        <w:t>in the</w:t>
      </w:r>
      <w:r>
        <w:rPr>
          <w:spacing w:val="-6"/>
        </w:rPr>
        <w:t> </w:t>
      </w:r>
      <w:r>
        <w:rPr/>
        <w:t>mediterranean</w:t>
      </w:r>
      <w:r>
        <w:rPr>
          <w:spacing w:val="-3"/>
        </w:rPr>
        <w:t> </w:t>
      </w:r>
      <w:r>
        <w:rPr/>
        <w:t>climatic</w:t>
      </w:r>
      <w:r>
        <w:rPr>
          <w:spacing w:val="-2"/>
        </w:rPr>
        <w:t> </w:t>
      </w:r>
      <w:r>
        <w:rPr/>
        <w:t>region</w:t>
      </w:r>
      <w:r>
        <w:rPr>
          <w:spacing w:val="-5"/>
        </w:rPr>
        <w:t> </w:t>
      </w:r>
      <w:r>
        <w:rPr/>
        <w:t>of</w:t>
      </w:r>
      <w:r>
        <w:rPr>
          <w:spacing w:val="-5"/>
        </w:rPr>
        <w:t> </w:t>
      </w:r>
      <w:r>
        <w:rPr/>
        <w:t>south-western</w:t>
      </w:r>
      <w:r>
        <w:rPr>
          <w:spacing w:val="-2"/>
        </w:rPr>
        <w:t> </w:t>
      </w:r>
      <w:r>
        <w:rPr/>
        <w:t>Australia.</w:t>
      </w:r>
      <w:r>
        <w:rPr>
          <w:spacing w:val="-3"/>
        </w:rPr>
        <w:t> </w:t>
      </w:r>
      <w:r>
        <w:rPr>
          <w:i/>
        </w:rPr>
        <w:t>Wildlife</w:t>
      </w:r>
      <w:r>
        <w:rPr>
          <w:i/>
          <w:spacing w:val="-3"/>
        </w:rPr>
        <w:t> </w:t>
      </w:r>
      <w:r>
        <w:rPr>
          <w:i/>
        </w:rPr>
        <w:t>Research</w:t>
      </w:r>
      <w:r>
        <w:rPr>
          <w:i/>
          <w:spacing w:val="-1"/>
        </w:rPr>
        <w:t> </w:t>
      </w:r>
      <w:r>
        <w:rPr>
          <w:b/>
        </w:rPr>
        <w:t>34</w:t>
      </w:r>
      <w:r>
        <w:rPr/>
        <w:t>(2):125–39.</w:t>
      </w:r>
      <w:r>
        <w:rPr>
          <w:spacing w:val="-5"/>
        </w:rPr>
        <w:t> </w:t>
      </w:r>
      <w:r>
        <w:rPr/>
        <w:t>doi: </w:t>
      </w:r>
      <w:r>
        <w:rPr>
          <w:spacing w:val="-2"/>
        </w:rPr>
        <w:t>10.1071/WR06084.</w:t>
      </w:r>
    </w:p>
    <w:p>
      <w:pPr>
        <w:pStyle w:val="BodyText"/>
        <w:spacing w:before="8"/>
      </w:pPr>
    </w:p>
    <w:p>
      <w:pPr>
        <w:pStyle w:val="BodyText"/>
        <w:spacing w:before="1"/>
        <w:ind w:left="112"/>
      </w:pPr>
      <w:r>
        <w:rPr/>
        <w:t>Twigg,</w:t>
      </w:r>
      <w:r>
        <w:rPr>
          <w:spacing w:val="-5"/>
        </w:rPr>
        <w:t> </w:t>
      </w:r>
      <w:r>
        <w:rPr/>
        <w:t>L.E.,</w:t>
      </w:r>
      <w:r>
        <w:rPr>
          <w:spacing w:val="-7"/>
        </w:rPr>
        <w:t> </w:t>
      </w:r>
      <w:r>
        <w:rPr/>
        <w:t>Gray,</w:t>
      </w:r>
      <w:r>
        <w:rPr>
          <w:spacing w:val="-6"/>
        </w:rPr>
        <w:t> </w:t>
      </w:r>
      <w:r>
        <w:rPr/>
        <w:t>G.S.,</w:t>
      </w:r>
      <w:r>
        <w:rPr>
          <w:spacing w:val="-5"/>
        </w:rPr>
        <w:t> </w:t>
      </w:r>
      <w:r>
        <w:rPr/>
        <w:t>Massam,</w:t>
      </w:r>
      <w:r>
        <w:rPr>
          <w:spacing w:val="-6"/>
        </w:rPr>
        <w:t> </w:t>
      </w:r>
      <w:r>
        <w:rPr/>
        <w:t>M.C.,</w:t>
      </w:r>
      <w:r>
        <w:rPr>
          <w:spacing w:val="-5"/>
        </w:rPr>
        <w:t> </w:t>
      </w:r>
      <w:r>
        <w:rPr/>
        <w:t>Lowe,</w:t>
      </w:r>
      <w:r>
        <w:rPr>
          <w:spacing w:val="-6"/>
        </w:rPr>
        <w:t> </w:t>
      </w:r>
      <w:r>
        <w:rPr/>
        <w:t>T.J.,</w:t>
      </w:r>
      <w:r>
        <w:rPr>
          <w:spacing w:val="-5"/>
        </w:rPr>
        <w:t> </w:t>
      </w:r>
      <w:r>
        <w:rPr/>
        <w:t>Kirkpatrick,</w:t>
      </w:r>
      <w:r>
        <w:rPr>
          <w:spacing w:val="-6"/>
        </w:rPr>
        <w:t> </w:t>
      </w:r>
      <w:r>
        <w:rPr/>
        <w:t>W.,</w:t>
      </w:r>
      <w:r>
        <w:rPr>
          <w:spacing w:val="-5"/>
        </w:rPr>
        <w:t> </w:t>
      </w:r>
      <w:r>
        <w:rPr/>
        <w:t>Bendotti,</w:t>
      </w:r>
      <w:r>
        <w:rPr>
          <w:spacing w:val="-7"/>
        </w:rPr>
        <w:t> </w:t>
      </w:r>
      <w:r>
        <w:rPr/>
        <w:t>G.,</w:t>
      </w:r>
      <w:r>
        <w:rPr>
          <w:spacing w:val="-6"/>
        </w:rPr>
        <w:t> </w:t>
      </w:r>
      <w:r>
        <w:rPr/>
        <w:t>and</w:t>
      </w:r>
      <w:r>
        <w:rPr>
          <w:spacing w:val="-7"/>
        </w:rPr>
        <w:t> </w:t>
      </w:r>
      <w:r>
        <w:rPr/>
        <w:t>Chester,</w:t>
      </w:r>
      <w:r>
        <w:rPr>
          <w:spacing w:val="-7"/>
        </w:rPr>
        <w:t> </w:t>
      </w:r>
      <w:r>
        <w:rPr/>
        <w:t>D.R.</w:t>
      </w:r>
      <w:r>
        <w:rPr>
          <w:spacing w:val="-6"/>
        </w:rPr>
        <w:t> </w:t>
      </w:r>
      <w:r>
        <w:rPr>
          <w:spacing w:val="-2"/>
        </w:rPr>
        <w:t>(2001).</w:t>
      </w:r>
    </w:p>
    <w:p>
      <w:pPr>
        <w:spacing w:before="0"/>
        <w:ind w:left="833" w:right="0" w:firstLine="0"/>
        <w:jc w:val="left"/>
        <w:rPr>
          <w:sz w:val="20"/>
        </w:rPr>
      </w:pPr>
      <w:r>
        <w:rPr>
          <w:sz w:val="20"/>
        </w:rPr>
        <w:t>Evaluation</w:t>
      </w:r>
      <w:r>
        <w:rPr>
          <w:spacing w:val="-7"/>
          <w:sz w:val="20"/>
        </w:rPr>
        <w:t> </w:t>
      </w:r>
      <w:r>
        <w:rPr>
          <w:sz w:val="20"/>
        </w:rPr>
        <w:t>of</w:t>
      </w:r>
      <w:r>
        <w:rPr>
          <w:spacing w:val="-8"/>
          <w:sz w:val="20"/>
        </w:rPr>
        <w:t> </w:t>
      </w:r>
      <w:r>
        <w:rPr>
          <w:sz w:val="20"/>
        </w:rPr>
        <w:t>bait</w:t>
      </w:r>
      <w:r>
        <w:rPr>
          <w:spacing w:val="-6"/>
          <w:sz w:val="20"/>
        </w:rPr>
        <w:t> </w:t>
      </w:r>
      <w:r>
        <w:rPr>
          <w:sz w:val="20"/>
        </w:rPr>
        <w:t>stations</w:t>
      </w:r>
      <w:r>
        <w:rPr>
          <w:spacing w:val="-7"/>
          <w:sz w:val="20"/>
        </w:rPr>
        <w:t> </w:t>
      </w:r>
      <w:r>
        <w:rPr>
          <w:sz w:val="20"/>
        </w:rPr>
        <w:t>for</w:t>
      </w:r>
      <w:r>
        <w:rPr>
          <w:spacing w:val="-8"/>
          <w:sz w:val="20"/>
        </w:rPr>
        <w:t> </w:t>
      </w:r>
      <w:r>
        <w:rPr>
          <w:sz w:val="20"/>
        </w:rPr>
        <w:t>control</w:t>
      </w:r>
      <w:r>
        <w:rPr>
          <w:spacing w:val="-7"/>
          <w:sz w:val="20"/>
        </w:rPr>
        <w:t> </w:t>
      </w:r>
      <w:r>
        <w:rPr>
          <w:sz w:val="20"/>
        </w:rPr>
        <w:t>of</w:t>
      </w:r>
      <w:r>
        <w:rPr>
          <w:spacing w:val="-6"/>
          <w:sz w:val="20"/>
        </w:rPr>
        <w:t> </w:t>
      </w:r>
      <w:r>
        <w:rPr>
          <w:sz w:val="20"/>
        </w:rPr>
        <w:t>urban</w:t>
      </w:r>
      <w:r>
        <w:rPr>
          <w:spacing w:val="-6"/>
          <w:sz w:val="20"/>
        </w:rPr>
        <w:t> </w:t>
      </w:r>
      <w:r>
        <w:rPr>
          <w:sz w:val="20"/>
        </w:rPr>
        <w:t>rabbits.</w:t>
      </w:r>
      <w:r>
        <w:rPr>
          <w:spacing w:val="-1"/>
          <w:sz w:val="20"/>
        </w:rPr>
        <w:t> </w:t>
      </w:r>
      <w:r>
        <w:rPr>
          <w:i/>
          <w:sz w:val="20"/>
        </w:rPr>
        <w:t>Wildlife</w:t>
      </w:r>
      <w:r>
        <w:rPr>
          <w:i/>
          <w:spacing w:val="-7"/>
          <w:sz w:val="20"/>
        </w:rPr>
        <w:t> </w:t>
      </w:r>
      <w:r>
        <w:rPr>
          <w:i/>
          <w:sz w:val="20"/>
        </w:rPr>
        <w:t>Research</w:t>
      </w:r>
      <w:r>
        <w:rPr>
          <w:i/>
          <w:spacing w:val="-7"/>
          <w:sz w:val="20"/>
        </w:rPr>
        <w:t> </w:t>
      </w:r>
      <w:r>
        <w:rPr>
          <w:b/>
          <w:spacing w:val="-2"/>
          <w:sz w:val="20"/>
        </w:rPr>
        <w:t>28</w:t>
      </w:r>
      <w:r>
        <w:rPr>
          <w:spacing w:val="-2"/>
          <w:sz w:val="20"/>
        </w:rPr>
        <w:t>(3.):299–310.</w:t>
      </w:r>
    </w:p>
    <w:p>
      <w:pPr>
        <w:pStyle w:val="BodyText"/>
        <w:spacing w:before="11"/>
      </w:pPr>
    </w:p>
    <w:p>
      <w:pPr>
        <w:pStyle w:val="BodyText"/>
        <w:ind w:left="833" w:right="163" w:hanging="721"/>
      </w:pPr>
      <w:r>
        <w:rPr/>
        <w:t>Tyrell,</w:t>
      </w:r>
      <w:r>
        <w:rPr>
          <w:spacing w:val="-4"/>
        </w:rPr>
        <w:t> </w:t>
      </w:r>
      <w:r>
        <w:rPr/>
        <w:t>G.,</w:t>
      </w:r>
      <w:r>
        <w:rPr>
          <w:spacing w:val="-2"/>
        </w:rPr>
        <w:t> </w:t>
      </w:r>
      <w:r>
        <w:rPr/>
        <w:t>and</w:t>
      </w:r>
      <w:r>
        <w:rPr>
          <w:spacing w:val="-2"/>
        </w:rPr>
        <w:t> </w:t>
      </w:r>
      <w:r>
        <w:rPr/>
        <w:t>Hunt,</w:t>
      </w:r>
      <w:r>
        <w:rPr>
          <w:spacing w:val="-4"/>
        </w:rPr>
        <w:t> </w:t>
      </w:r>
      <w:r>
        <w:rPr/>
        <w:t>R.</w:t>
      </w:r>
      <w:r>
        <w:rPr>
          <w:spacing w:val="-4"/>
        </w:rPr>
        <w:t> </w:t>
      </w:r>
      <w:r>
        <w:rPr/>
        <w:t>(2006).</w:t>
      </w:r>
      <w:r>
        <w:rPr>
          <w:spacing w:val="-4"/>
        </w:rPr>
        <w:t> </w:t>
      </w:r>
      <w:r>
        <w:rPr/>
        <w:t>Llamas</w:t>
      </w:r>
      <w:r>
        <w:rPr>
          <w:spacing w:val="-3"/>
        </w:rPr>
        <w:t> </w:t>
      </w:r>
      <w:r>
        <w:rPr/>
        <w:t>as</w:t>
      </w:r>
      <w:r>
        <w:rPr>
          <w:spacing w:val="-3"/>
        </w:rPr>
        <w:t> </w:t>
      </w:r>
      <w:r>
        <w:rPr/>
        <w:t>livestock</w:t>
      </w:r>
      <w:r>
        <w:rPr>
          <w:spacing w:val="-3"/>
        </w:rPr>
        <w:t> </w:t>
      </w:r>
      <w:r>
        <w:rPr/>
        <w:t>guards.</w:t>
      </w:r>
      <w:r>
        <w:rPr>
          <w:spacing w:val="-4"/>
        </w:rPr>
        <w:t> </w:t>
      </w:r>
      <w:r>
        <w:rPr/>
        <w:t>Department</w:t>
      </w:r>
      <w:r>
        <w:rPr>
          <w:spacing w:val="-4"/>
        </w:rPr>
        <w:t> </w:t>
      </w:r>
      <w:r>
        <w:rPr/>
        <w:t>of</w:t>
      </w:r>
      <w:r>
        <w:rPr>
          <w:spacing w:val="-4"/>
        </w:rPr>
        <w:t> </w:t>
      </w:r>
      <w:r>
        <w:rPr/>
        <w:t>Environment</w:t>
      </w:r>
      <w:r>
        <w:rPr>
          <w:spacing w:val="-4"/>
        </w:rPr>
        <w:t> </w:t>
      </w:r>
      <w:r>
        <w:rPr/>
        <w:t>and</w:t>
      </w:r>
      <w:r>
        <w:rPr>
          <w:spacing w:val="-4"/>
        </w:rPr>
        <w:t> </w:t>
      </w:r>
      <w:r>
        <w:rPr/>
        <w:t>Climate</w:t>
      </w:r>
      <w:r>
        <w:rPr>
          <w:spacing w:val="-2"/>
        </w:rPr>
        <w:t> </w:t>
      </w:r>
      <w:r>
        <w:rPr/>
        <w:t>Change </w:t>
      </w:r>
      <w:r>
        <w:rPr>
          <w:spacing w:val="-4"/>
        </w:rPr>
        <w:t>NSW.</w:t>
      </w:r>
    </w:p>
    <w:p>
      <w:pPr>
        <w:pStyle w:val="BodyText"/>
        <w:spacing w:before="10"/>
      </w:pPr>
    </w:p>
    <w:p>
      <w:pPr>
        <w:pStyle w:val="BodyText"/>
        <w:spacing w:before="1"/>
        <w:ind w:left="833" w:right="451" w:hanging="721"/>
      </w:pPr>
      <w:r>
        <w:rPr/>
        <w:t>USDA</w:t>
      </w:r>
      <w:r>
        <w:rPr>
          <w:spacing w:val="-4"/>
        </w:rPr>
        <w:t> </w:t>
      </w:r>
      <w:r>
        <w:rPr/>
        <w:t>(2019).</w:t>
      </w:r>
      <w:r>
        <w:rPr>
          <w:spacing w:val="-4"/>
        </w:rPr>
        <w:t> </w:t>
      </w:r>
      <w:r>
        <w:rPr/>
        <w:t>Final</w:t>
      </w:r>
      <w:r>
        <w:rPr>
          <w:spacing w:val="-5"/>
        </w:rPr>
        <w:t> </w:t>
      </w:r>
      <w:r>
        <w:rPr/>
        <w:t>Environmental</w:t>
      </w:r>
      <w:r>
        <w:rPr>
          <w:spacing w:val="-3"/>
        </w:rPr>
        <w:t> </w:t>
      </w:r>
      <w:r>
        <w:rPr/>
        <w:t>Assessment -</w:t>
      </w:r>
      <w:r>
        <w:rPr>
          <w:spacing w:val="-3"/>
        </w:rPr>
        <w:t> </w:t>
      </w:r>
      <w:r>
        <w:rPr/>
        <w:t>A</w:t>
      </w:r>
      <w:r>
        <w:rPr>
          <w:spacing w:val="-2"/>
        </w:rPr>
        <w:t> </w:t>
      </w:r>
      <w:r>
        <w:rPr/>
        <w:t>Small</w:t>
      </w:r>
      <w:r>
        <w:rPr>
          <w:spacing w:val="-3"/>
        </w:rPr>
        <w:t> </w:t>
      </w:r>
      <w:r>
        <w:rPr/>
        <w:t>Scale</w:t>
      </w:r>
      <w:r>
        <w:rPr>
          <w:spacing w:val="-2"/>
        </w:rPr>
        <w:t> </w:t>
      </w:r>
      <w:r>
        <w:rPr/>
        <w:t>Field</w:t>
      </w:r>
      <w:r>
        <w:rPr>
          <w:spacing w:val="-2"/>
        </w:rPr>
        <w:t> </w:t>
      </w:r>
      <w:r>
        <w:rPr/>
        <w:t>Evaluation</w:t>
      </w:r>
      <w:r>
        <w:rPr>
          <w:spacing w:val="-2"/>
        </w:rPr>
        <w:t> </w:t>
      </w:r>
      <w:r>
        <w:rPr/>
        <w:t>of</w:t>
      </w:r>
      <w:r>
        <w:rPr>
          <w:spacing w:val="40"/>
        </w:rPr>
        <w:t> </w:t>
      </w:r>
      <w:r>
        <w:rPr/>
        <w:t>HOGGONE®</w:t>
      </w:r>
      <w:r>
        <w:rPr>
          <w:spacing w:val="-4"/>
        </w:rPr>
        <w:t> </w:t>
      </w:r>
      <w:r>
        <w:rPr/>
        <w:t>2</w:t>
      </w:r>
      <w:r>
        <w:rPr>
          <w:spacing w:val="-3"/>
        </w:rPr>
        <w:t> </w:t>
      </w:r>
      <w:r>
        <w:rPr/>
        <w:t>Sodium Nitrite Toxicant Bait for Feral Swine. United States Department of Agriculture Animal and Plant Health Inspection Service Wildlife Services. Available at: </w:t>
      </w:r>
      <w:hyperlink r:id="rId123">
        <w:r>
          <w:rPr>
            <w:color w:val="0000FF"/>
            <w:spacing w:val="-2"/>
            <w:u w:val="single" w:color="0000FF"/>
          </w:rPr>
          <w:t>https://www.aphis.usda.gov/sites/default/files/al-2019-sodium-nitrite-feral-swine-final-ea.pdf</w:t>
        </w:r>
      </w:hyperlink>
      <w:r>
        <w:rPr>
          <w:color w:val="0000FF"/>
          <w:spacing w:val="80"/>
          <w:u w:val="none"/>
        </w:rPr>
        <w:t> </w:t>
      </w:r>
      <w:r>
        <w:rPr>
          <w:u w:val="none"/>
        </w:rPr>
        <w:t>[accessed 29 July 2024].</w:t>
      </w:r>
    </w:p>
    <w:p>
      <w:pPr>
        <w:pStyle w:val="BodyText"/>
        <w:spacing w:before="9"/>
      </w:pPr>
    </w:p>
    <w:p>
      <w:pPr>
        <w:pStyle w:val="BodyText"/>
        <w:ind w:left="833" w:right="232" w:hanging="721"/>
      </w:pPr>
      <w:r>
        <w:rPr/>
        <w:t>Vaarzon</w:t>
      </w:r>
      <w:r>
        <w:rPr>
          <w:rFonts w:ascii="Cambria Math" w:hAnsi="Cambria Math"/>
        </w:rPr>
        <w:t>‐</w:t>
      </w:r>
      <w:r>
        <w:rPr/>
        <w:t>Morel, P., and Edwards, G. (2012). Incorporating aboriginal people’s perceptions of introduced animals</w:t>
      </w:r>
      <w:r>
        <w:rPr>
          <w:spacing w:val="-4"/>
        </w:rPr>
        <w:t> </w:t>
      </w:r>
      <w:r>
        <w:rPr/>
        <w:t>in</w:t>
      </w:r>
      <w:r>
        <w:rPr>
          <w:spacing w:val="-4"/>
        </w:rPr>
        <w:t> </w:t>
      </w:r>
      <w:r>
        <w:rPr/>
        <w:t>resource</w:t>
      </w:r>
      <w:r>
        <w:rPr>
          <w:spacing w:val="-4"/>
        </w:rPr>
        <w:t> </w:t>
      </w:r>
      <w:r>
        <w:rPr/>
        <w:t>management:</w:t>
      </w:r>
      <w:r>
        <w:rPr>
          <w:spacing w:val="-5"/>
        </w:rPr>
        <w:t> </w:t>
      </w:r>
      <w:r>
        <w:rPr/>
        <w:t>insights</w:t>
      </w:r>
      <w:r>
        <w:rPr>
          <w:spacing w:val="-4"/>
        </w:rPr>
        <w:t> </w:t>
      </w:r>
      <w:r>
        <w:rPr/>
        <w:t>from</w:t>
      </w:r>
      <w:r>
        <w:rPr>
          <w:spacing w:val="-3"/>
        </w:rPr>
        <w:t> </w:t>
      </w:r>
      <w:r>
        <w:rPr/>
        <w:t>the</w:t>
      </w:r>
      <w:r>
        <w:rPr>
          <w:spacing w:val="-3"/>
        </w:rPr>
        <w:t> </w:t>
      </w:r>
      <w:r>
        <w:rPr/>
        <w:t>feral</w:t>
      </w:r>
      <w:r>
        <w:rPr>
          <w:spacing w:val="-5"/>
        </w:rPr>
        <w:t> </w:t>
      </w:r>
      <w:r>
        <w:rPr/>
        <w:t>camel</w:t>
      </w:r>
      <w:r>
        <w:rPr>
          <w:spacing w:val="-4"/>
        </w:rPr>
        <w:t> </w:t>
      </w:r>
      <w:r>
        <w:rPr/>
        <w:t>project. </w:t>
      </w:r>
      <w:r>
        <w:rPr>
          <w:i/>
        </w:rPr>
        <w:t>Ecological</w:t>
      </w:r>
      <w:r>
        <w:rPr>
          <w:i/>
          <w:spacing w:val="-4"/>
        </w:rPr>
        <w:t> </w:t>
      </w:r>
      <w:r>
        <w:rPr>
          <w:i/>
        </w:rPr>
        <w:t>Management</w:t>
      </w:r>
      <w:r>
        <w:rPr>
          <w:i/>
          <w:spacing w:val="-4"/>
        </w:rPr>
        <w:t> </w:t>
      </w:r>
      <w:r>
        <w:rPr>
          <w:i/>
        </w:rPr>
        <w:t>&amp;</w:t>
      </w:r>
      <w:r>
        <w:rPr>
          <w:i/>
        </w:rPr>
        <w:t> Restoration </w:t>
      </w:r>
      <w:r>
        <w:rPr>
          <w:b/>
        </w:rPr>
        <w:t>13</w:t>
      </w:r>
      <w:r>
        <w:rPr/>
        <w:t>(1):65–71. doi: 10.1111/j.1442-8903.2011.00619.x.</w:t>
      </w:r>
    </w:p>
    <w:p>
      <w:pPr>
        <w:pStyle w:val="BodyText"/>
        <w:spacing w:before="10"/>
      </w:pPr>
    </w:p>
    <w:p>
      <w:pPr>
        <w:pStyle w:val="BodyText"/>
        <w:ind w:left="833" w:right="163" w:hanging="721"/>
      </w:pPr>
      <w:r>
        <w:rPr/>
        <w:t>Van</w:t>
      </w:r>
      <w:r>
        <w:rPr>
          <w:spacing w:val="-3"/>
        </w:rPr>
        <w:t> </w:t>
      </w:r>
      <w:r>
        <w:rPr/>
        <w:t>Polanen</w:t>
      </w:r>
      <w:r>
        <w:rPr>
          <w:spacing w:val="-2"/>
        </w:rPr>
        <w:t> </w:t>
      </w:r>
      <w:r>
        <w:rPr/>
        <w:t>Petel,</w:t>
      </w:r>
      <w:r>
        <w:rPr>
          <w:spacing w:val="-4"/>
        </w:rPr>
        <w:t> </w:t>
      </w:r>
      <w:r>
        <w:rPr/>
        <w:t>A.</w:t>
      </w:r>
      <w:r>
        <w:rPr>
          <w:spacing w:val="-2"/>
        </w:rPr>
        <w:t> </w:t>
      </w:r>
      <w:r>
        <w:rPr/>
        <w:t>M.,</w:t>
      </w:r>
      <w:r>
        <w:rPr>
          <w:spacing w:val="-2"/>
        </w:rPr>
        <w:t> </w:t>
      </w:r>
      <w:r>
        <w:rPr/>
        <w:t>Marks,</w:t>
      </w:r>
      <w:r>
        <w:rPr>
          <w:spacing w:val="-4"/>
        </w:rPr>
        <w:t> </w:t>
      </w:r>
      <w:r>
        <w:rPr/>
        <w:t>C.A.,</w:t>
      </w:r>
      <w:r>
        <w:rPr>
          <w:spacing w:val="-2"/>
        </w:rPr>
        <w:t> </w:t>
      </w:r>
      <w:r>
        <w:rPr/>
        <w:t>and</w:t>
      </w:r>
      <w:r>
        <w:rPr>
          <w:spacing w:val="-4"/>
        </w:rPr>
        <w:t> </w:t>
      </w:r>
      <w:r>
        <w:rPr/>
        <w:t>Morgan, D.G.</w:t>
      </w:r>
      <w:r>
        <w:rPr>
          <w:spacing w:val="-4"/>
        </w:rPr>
        <w:t> </w:t>
      </w:r>
      <w:r>
        <w:rPr/>
        <w:t>(2001).</w:t>
      </w:r>
      <w:r>
        <w:rPr>
          <w:spacing w:val="-4"/>
        </w:rPr>
        <w:t> </w:t>
      </w:r>
      <w:r>
        <w:rPr/>
        <w:t>Bait</w:t>
      </w:r>
      <w:r>
        <w:rPr>
          <w:spacing w:val="-2"/>
        </w:rPr>
        <w:t> </w:t>
      </w:r>
      <w:r>
        <w:rPr/>
        <w:t>palatability</w:t>
      </w:r>
      <w:r>
        <w:rPr>
          <w:spacing w:val="-3"/>
        </w:rPr>
        <w:t> </w:t>
      </w:r>
      <w:r>
        <w:rPr/>
        <w:t>influences</w:t>
      </w:r>
      <w:r>
        <w:rPr>
          <w:spacing w:val="-3"/>
        </w:rPr>
        <w:t> </w:t>
      </w:r>
      <w:r>
        <w:rPr/>
        <w:t>the</w:t>
      </w:r>
      <w:r>
        <w:rPr>
          <w:spacing w:val="-5"/>
        </w:rPr>
        <w:t> </w:t>
      </w:r>
      <w:r>
        <w:rPr/>
        <w:t>caching behaviour of the red fox (vulpes vulpes). </w:t>
      </w:r>
      <w:r>
        <w:rPr>
          <w:i/>
        </w:rPr>
        <w:t>Wildlife Research </w:t>
      </w:r>
      <w:r>
        <w:rPr>
          <w:b/>
        </w:rPr>
        <w:t>28</w:t>
      </w:r>
      <w:r>
        <w:rPr/>
        <w:t>(4):395. doi: 10.1071/WR00046.</w:t>
      </w:r>
    </w:p>
    <w:p>
      <w:pPr>
        <w:pStyle w:val="BodyText"/>
        <w:spacing w:before="11"/>
      </w:pPr>
    </w:p>
    <w:p>
      <w:pPr>
        <w:spacing w:before="0"/>
        <w:ind w:left="112" w:right="0" w:firstLine="0"/>
        <w:jc w:val="left"/>
        <w:rPr>
          <w:sz w:val="20"/>
        </w:rPr>
      </w:pPr>
      <w:r>
        <w:rPr>
          <w:sz w:val="20"/>
        </w:rPr>
        <w:t>Vanclay,</w:t>
      </w:r>
      <w:r>
        <w:rPr>
          <w:spacing w:val="-10"/>
          <w:sz w:val="20"/>
        </w:rPr>
        <w:t> </w:t>
      </w:r>
      <w:r>
        <w:rPr>
          <w:sz w:val="20"/>
        </w:rPr>
        <w:t>F.</w:t>
      </w:r>
      <w:r>
        <w:rPr>
          <w:spacing w:val="-10"/>
          <w:sz w:val="20"/>
        </w:rPr>
        <w:t> </w:t>
      </w:r>
      <w:r>
        <w:rPr>
          <w:sz w:val="20"/>
        </w:rPr>
        <w:t>(2002).</w:t>
      </w:r>
      <w:r>
        <w:rPr>
          <w:spacing w:val="-10"/>
          <w:sz w:val="20"/>
        </w:rPr>
        <w:t> </w:t>
      </w:r>
      <w:r>
        <w:rPr>
          <w:sz w:val="20"/>
        </w:rPr>
        <w:t>Conceptualising</w:t>
      </w:r>
      <w:r>
        <w:rPr>
          <w:spacing w:val="-9"/>
          <w:sz w:val="20"/>
        </w:rPr>
        <w:t> </w:t>
      </w:r>
      <w:r>
        <w:rPr>
          <w:sz w:val="20"/>
        </w:rPr>
        <w:t>social</w:t>
      </w:r>
      <w:r>
        <w:rPr>
          <w:spacing w:val="-9"/>
          <w:sz w:val="20"/>
        </w:rPr>
        <w:t> </w:t>
      </w:r>
      <w:r>
        <w:rPr>
          <w:sz w:val="20"/>
        </w:rPr>
        <w:t>impacts.</w:t>
      </w:r>
      <w:r>
        <w:rPr>
          <w:spacing w:val="-5"/>
          <w:sz w:val="20"/>
        </w:rPr>
        <w:t> </w:t>
      </w:r>
      <w:r>
        <w:rPr>
          <w:i/>
          <w:sz w:val="20"/>
        </w:rPr>
        <w:t>Environmental</w:t>
      </w:r>
      <w:r>
        <w:rPr>
          <w:i/>
          <w:spacing w:val="-11"/>
          <w:sz w:val="20"/>
        </w:rPr>
        <w:t> </w:t>
      </w:r>
      <w:r>
        <w:rPr>
          <w:i/>
          <w:sz w:val="20"/>
        </w:rPr>
        <w:t>Impact</w:t>
      </w:r>
      <w:r>
        <w:rPr>
          <w:i/>
          <w:spacing w:val="-8"/>
          <w:sz w:val="20"/>
        </w:rPr>
        <w:t> </w:t>
      </w:r>
      <w:r>
        <w:rPr>
          <w:i/>
          <w:sz w:val="20"/>
        </w:rPr>
        <w:t>Assessment</w:t>
      </w:r>
      <w:r>
        <w:rPr>
          <w:i/>
          <w:spacing w:val="-8"/>
          <w:sz w:val="20"/>
        </w:rPr>
        <w:t> </w:t>
      </w:r>
      <w:r>
        <w:rPr>
          <w:i/>
          <w:sz w:val="20"/>
        </w:rPr>
        <w:t>Review</w:t>
      </w:r>
      <w:r>
        <w:rPr>
          <w:i/>
          <w:spacing w:val="-6"/>
          <w:sz w:val="20"/>
        </w:rPr>
        <w:t> </w:t>
      </w:r>
      <w:r>
        <w:rPr>
          <w:b/>
          <w:spacing w:val="-2"/>
          <w:sz w:val="20"/>
        </w:rPr>
        <w:t>22</w:t>
      </w:r>
      <w:r>
        <w:rPr>
          <w:spacing w:val="-2"/>
          <w:sz w:val="20"/>
        </w:rPr>
        <w:t>:183–211.</w:t>
      </w:r>
    </w:p>
    <w:p>
      <w:pPr>
        <w:pStyle w:val="BodyText"/>
        <w:spacing w:before="10"/>
      </w:pPr>
    </w:p>
    <w:p>
      <w:pPr>
        <w:pStyle w:val="BodyText"/>
        <w:ind w:left="833" w:right="163" w:hanging="721"/>
      </w:pPr>
      <w:r>
        <w:rPr/>
        <w:t>VerCauteren,</w:t>
      </w:r>
      <w:r>
        <w:rPr>
          <w:spacing w:val="-5"/>
        </w:rPr>
        <w:t> </w:t>
      </w:r>
      <w:r>
        <w:rPr/>
        <w:t>K.C.,</w:t>
      </w:r>
      <w:r>
        <w:rPr>
          <w:spacing w:val="-3"/>
        </w:rPr>
        <w:t> </w:t>
      </w:r>
      <w:r>
        <w:rPr/>
        <w:t>Levelle,</w:t>
      </w:r>
      <w:r>
        <w:rPr>
          <w:spacing w:val="-3"/>
        </w:rPr>
        <w:t> </w:t>
      </w:r>
      <w:r>
        <w:rPr/>
        <w:t>M.J.,</w:t>
      </w:r>
      <w:r>
        <w:rPr>
          <w:spacing w:val="-5"/>
        </w:rPr>
        <w:t> </w:t>
      </w:r>
      <w:r>
        <w:rPr/>
        <w:t>Moyles,</w:t>
      </w:r>
      <w:r>
        <w:rPr>
          <w:spacing w:val="-3"/>
        </w:rPr>
        <w:t> </w:t>
      </w:r>
      <w:r>
        <w:rPr/>
        <w:t>S.</w:t>
      </w:r>
      <w:r>
        <w:rPr>
          <w:spacing w:val="-5"/>
        </w:rPr>
        <w:t> </w:t>
      </w:r>
      <w:r>
        <w:rPr/>
        <w:t>(2003).</w:t>
      </w:r>
      <w:r>
        <w:rPr>
          <w:spacing w:val="-5"/>
        </w:rPr>
        <w:t> </w:t>
      </w:r>
      <w:r>
        <w:rPr/>
        <w:t>Coyote</w:t>
      </w:r>
      <w:r>
        <w:rPr>
          <w:spacing w:val="-6"/>
        </w:rPr>
        <w:t> </w:t>
      </w:r>
      <w:r>
        <w:rPr/>
        <w:t>activated</w:t>
      </w:r>
      <w:r>
        <w:rPr>
          <w:spacing w:val="-5"/>
        </w:rPr>
        <w:t> </w:t>
      </w:r>
      <w:r>
        <w:rPr/>
        <w:t>frightening</w:t>
      </w:r>
      <w:r>
        <w:rPr>
          <w:spacing w:val="-4"/>
        </w:rPr>
        <w:t> </w:t>
      </w:r>
      <w:r>
        <w:rPr/>
        <w:t>devices</w:t>
      </w:r>
      <w:r>
        <w:rPr>
          <w:spacing w:val="-4"/>
        </w:rPr>
        <w:t> </w:t>
      </w:r>
      <w:r>
        <w:rPr/>
        <w:t>for</w:t>
      </w:r>
      <w:r>
        <w:rPr>
          <w:spacing w:val="-4"/>
        </w:rPr>
        <w:t> </w:t>
      </w:r>
      <w:r>
        <w:rPr/>
        <w:t>reducing</w:t>
      </w:r>
      <w:r>
        <w:rPr>
          <w:spacing w:val="-5"/>
        </w:rPr>
        <w:t> </w:t>
      </w:r>
      <w:r>
        <w:rPr/>
        <w:t>sheep predation on open range. USDA National Wildlife Research Centre, Staff Publication No. 285.</w:t>
      </w:r>
    </w:p>
    <w:p>
      <w:pPr>
        <w:pStyle w:val="BodyText"/>
        <w:spacing w:before="9"/>
      </w:pPr>
    </w:p>
    <w:p>
      <w:pPr>
        <w:pStyle w:val="BodyText"/>
        <w:ind w:left="833" w:right="163" w:hanging="721"/>
      </w:pPr>
      <w:r>
        <w:rPr/>
        <w:t>Wallach,</w:t>
      </w:r>
      <w:r>
        <w:rPr>
          <w:spacing w:val="-3"/>
        </w:rPr>
        <w:t> </w:t>
      </w:r>
      <w:r>
        <w:rPr/>
        <w:t>A.D.,</w:t>
      </w:r>
      <w:r>
        <w:rPr>
          <w:spacing w:val="-3"/>
        </w:rPr>
        <w:t> </w:t>
      </w:r>
      <w:r>
        <w:rPr/>
        <w:t>Ritchie,</w:t>
      </w:r>
      <w:r>
        <w:rPr>
          <w:spacing w:val="-2"/>
        </w:rPr>
        <w:t> </w:t>
      </w:r>
      <w:r>
        <w:rPr/>
        <w:t>E.G.,</w:t>
      </w:r>
      <w:r>
        <w:rPr>
          <w:spacing w:val="-3"/>
        </w:rPr>
        <w:t> </w:t>
      </w:r>
      <w:r>
        <w:rPr/>
        <w:t>Read,</w:t>
      </w:r>
      <w:r>
        <w:rPr>
          <w:spacing w:val="-3"/>
        </w:rPr>
        <w:t> </w:t>
      </w:r>
      <w:r>
        <w:rPr/>
        <w:t>J.,</w:t>
      </w:r>
      <w:r>
        <w:rPr>
          <w:spacing w:val="-3"/>
        </w:rPr>
        <w:t> </w:t>
      </w:r>
      <w:r>
        <w:rPr/>
        <w:t>and</w:t>
      </w:r>
      <w:r>
        <w:rPr>
          <w:spacing w:val="-4"/>
        </w:rPr>
        <w:t> </w:t>
      </w:r>
      <w:r>
        <w:rPr/>
        <w:t>O’Neill,</w:t>
      </w:r>
      <w:r>
        <w:rPr>
          <w:spacing w:val="-2"/>
        </w:rPr>
        <w:t> </w:t>
      </w:r>
      <w:r>
        <w:rPr/>
        <w:t>A.J.</w:t>
      </w:r>
      <w:r>
        <w:rPr>
          <w:spacing w:val="-3"/>
        </w:rPr>
        <w:t> </w:t>
      </w:r>
      <w:r>
        <w:rPr/>
        <w:t>(2009).</w:t>
      </w:r>
      <w:r>
        <w:rPr>
          <w:spacing w:val="-2"/>
        </w:rPr>
        <w:t> </w:t>
      </w:r>
      <w:r>
        <w:rPr/>
        <w:t>More</w:t>
      </w:r>
      <w:r>
        <w:rPr>
          <w:spacing w:val="-2"/>
        </w:rPr>
        <w:t> </w:t>
      </w:r>
      <w:r>
        <w:rPr/>
        <w:t>than</w:t>
      </w:r>
      <w:r>
        <w:rPr>
          <w:spacing w:val="-3"/>
        </w:rPr>
        <w:t> </w:t>
      </w:r>
      <w:r>
        <w:rPr/>
        <w:t>mere</w:t>
      </w:r>
      <w:r>
        <w:rPr>
          <w:spacing w:val="-3"/>
        </w:rPr>
        <w:t> </w:t>
      </w:r>
      <w:r>
        <w:rPr/>
        <w:t>numbers:</w:t>
      </w:r>
      <w:r>
        <w:rPr>
          <w:spacing w:val="-3"/>
        </w:rPr>
        <w:t> </w:t>
      </w:r>
      <w:r>
        <w:rPr/>
        <w:t>the</w:t>
      </w:r>
      <w:r>
        <w:rPr>
          <w:spacing w:val="-3"/>
        </w:rPr>
        <w:t> </w:t>
      </w:r>
      <w:r>
        <w:rPr/>
        <w:t>impact</w:t>
      </w:r>
      <w:r>
        <w:rPr>
          <w:spacing w:val="-2"/>
        </w:rPr>
        <w:t> </w:t>
      </w:r>
      <w:r>
        <w:rPr/>
        <w:t>of</w:t>
      </w:r>
      <w:r>
        <w:rPr>
          <w:spacing w:val="-2"/>
        </w:rPr>
        <w:t> </w:t>
      </w:r>
      <w:r>
        <w:rPr/>
        <w:t>lethal control on the social stability of a top-order predator. </w:t>
      </w:r>
      <w:r>
        <w:rPr>
          <w:i/>
        </w:rPr>
        <w:t>PLoS ONE </w:t>
      </w:r>
      <w:r>
        <w:rPr>
          <w:b/>
        </w:rPr>
        <w:t>4</w:t>
      </w:r>
      <w:r>
        <w:rPr/>
        <w:t>(9). doi: </w:t>
      </w:r>
      <w:r>
        <w:rPr>
          <w:spacing w:val="-2"/>
        </w:rPr>
        <w:t>10.1371/journal.pone.0006861.</w:t>
      </w:r>
    </w:p>
    <w:p>
      <w:pPr>
        <w:pStyle w:val="BodyText"/>
        <w:spacing w:before="11"/>
      </w:pPr>
    </w:p>
    <w:p>
      <w:pPr>
        <w:pStyle w:val="BodyText"/>
        <w:ind w:left="833" w:right="163" w:hanging="721"/>
      </w:pPr>
      <w:r>
        <w:rPr/>
        <w:t>Waltham, N.J., and Schaffer, J. (2021). Will fencing floodplain and riverine wetlands from feral pig damage conserve</w:t>
      </w:r>
      <w:r>
        <w:rPr>
          <w:spacing w:val="-6"/>
        </w:rPr>
        <w:t> </w:t>
      </w:r>
      <w:r>
        <w:rPr/>
        <w:t>fish</w:t>
      </w:r>
      <w:r>
        <w:rPr>
          <w:spacing w:val="-6"/>
        </w:rPr>
        <w:t> </w:t>
      </w:r>
      <w:r>
        <w:rPr/>
        <w:t>community</w:t>
      </w:r>
      <w:r>
        <w:rPr>
          <w:spacing w:val="-5"/>
        </w:rPr>
        <w:t> </w:t>
      </w:r>
      <w:r>
        <w:rPr/>
        <w:t>values?</w:t>
      </w:r>
      <w:r>
        <w:rPr>
          <w:spacing w:val="-3"/>
        </w:rPr>
        <w:t> </w:t>
      </w:r>
      <w:r>
        <w:rPr>
          <w:i/>
        </w:rPr>
        <w:t>Ecology</w:t>
      </w:r>
      <w:r>
        <w:rPr>
          <w:i/>
          <w:spacing w:val="-5"/>
        </w:rPr>
        <w:t> </w:t>
      </w:r>
      <w:r>
        <w:rPr>
          <w:i/>
        </w:rPr>
        <w:t>and</w:t>
      </w:r>
      <w:r>
        <w:rPr>
          <w:i/>
          <w:spacing w:val="-4"/>
        </w:rPr>
        <w:t> </w:t>
      </w:r>
      <w:r>
        <w:rPr>
          <w:i/>
        </w:rPr>
        <w:t>Evolution</w:t>
      </w:r>
      <w:r>
        <w:rPr>
          <w:i/>
          <w:spacing w:val="-4"/>
        </w:rPr>
        <w:t> </w:t>
      </w:r>
      <w:r>
        <w:rPr>
          <w:b/>
        </w:rPr>
        <w:t>11</w:t>
      </w:r>
      <w:r>
        <w:rPr/>
        <w:t>(20):13780–92.</w:t>
      </w:r>
      <w:r>
        <w:rPr>
          <w:spacing w:val="-6"/>
        </w:rPr>
        <w:t> </w:t>
      </w:r>
      <w:r>
        <w:rPr/>
        <w:t>doi:</w:t>
      </w:r>
      <w:r>
        <w:rPr>
          <w:spacing w:val="-4"/>
        </w:rPr>
        <w:t> </w:t>
      </w:r>
      <w:r>
        <w:rPr/>
        <w:t>10.1002/ece3.8054.</w:t>
      </w:r>
    </w:p>
    <w:p>
      <w:pPr>
        <w:spacing w:after="0"/>
        <w:sectPr>
          <w:pgSz w:w="11910" w:h="16850"/>
          <w:pgMar w:header="0" w:footer="688" w:top="1060" w:bottom="880" w:left="1020" w:right="780"/>
        </w:sectPr>
      </w:pPr>
    </w:p>
    <w:p>
      <w:pPr>
        <w:pStyle w:val="BodyText"/>
        <w:spacing w:before="71"/>
        <w:ind w:left="833" w:right="163" w:hanging="721"/>
      </w:pPr>
      <w:r>
        <w:rPr/>
        <w:t>Waltham,</w:t>
      </w:r>
      <w:r>
        <w:rPr>
          <w:spacing w:val="-4"/>
        </w:rPr>
        <w:t> </w:t>
      </w:r>
      <w:r>
        <w:rPr/>
        <w:t>N.J,</w:t>
      </w:r>
      <w:r>
        <w:rPr>
          <w:spacing w:val="-2"/>
        </w:rPr>
        <w:t> </w:t>
      </w:r>
      <w:r>
        <w:rPr/>
        <w:t>and</w:t>
      </w:r>
      <w:r>
        <w:rPr>
          <w:spacing w:val="-2"/>
        </w:rPr>
        <w:t> </w:t>
      </w:r>
      <w:r>
        <w:rPr/>
        <w:t>Schaffer,</w:t>
      </w:r>
      <w:r>
        <w:rPr>
          <w:spacing w:val="-4"/>
        </w:rPr>
        <w:t> </w:t>
      </w:r>
      <w:r>
        <w:rPr/>
        <w:t>J.</w:t>
      </w:r>
      <w:r>
        <w:rPr>
          <w:spacing w:val="-4"/>
        </w:rPr>
        <w:t> </w:t>
      </w:r>
      <w:r>
        <w:rPr/>
        <w:t>(2019).</w:t>
      </w:r>
      <w:r>
        <w:rPr>
          <w:spacing w:val="-2"/>
        </w:rPr>
        <w:t> </w:t>
      </w:r>
      <w:r>
        <w:rPr/>
        <w:t>Feral</w:t>
      </w:r>
      <w:r>
        <w:rPr>
          <w:spacing w:val="-3"/>
        </w:rPr>
        <w:t> </w:t>
      </w:r>
      <w:r>
        <w:rPr/>
        <w:t>pig</w:t>
      </w:r>
      <w:r>
        <w:rPr>
          <w:spacing w:val="-4"/>
        </w:rPr>
        <w:t> </w:t>
      </w:r>
      <w:r>
        <w:rPr/>
        <w:t>exclusion</w:t>
      </w:r>
      <w:r>
        <w:rPr>
          <w:spacing w:val="-3"/>
        </w:rPr>
        <w:t> </w:t>
      </w:r>
      <w:r>
        <w:rPr/>
        <w:t>fencing</w:t>
      </w:r>
      <w:r>
        <w:rPr>
          <w:spacing w:val="-3"/>
        </w:rPr>
        <w:t> </w:t>
      </w:r>
      <w:r>
        <w:rPr/>
        <w:t>provides</w:t>
      </w:r>
      <w:r>
        <w:rPr>
          <w:spacing w:val="-3"/>
        </w:rPr>
        <w:t> </w:t>
      </w:r>
      <w:r>
        <w:rPr/>
        <w:t>limited</w:t>
      </w:r>
      <w:r>
        <w:rPr>
          <w:spacing w:val="-2"/>
        </w:rPr>
        <w:t> </w:t>
      </w:r>
      <w:r>
        <w:rPr/>
        <w:t>fish</w:t>
      </w:r>
      <w:r>
        <w:rPr>
          <w:spacing w:val="-4"/>
        </w:rPr>
        <w:t> </w:t>
      </w:r>
      <w:r>
        <w:rPr/>
        <w:t>conservation</w:t>
      </w:r>
      <w:r>
        <w:rPr>
          <w:spacing w:val="-4"/>
        </w:rPr>
        <w:t> </w:t>
      </w:r>
      <w:r>
        <w:rPr/>
        <w:t>value</w:t>
      </w:r>
      <w:r>
        <w:rPr>
          <w:spacing w:val="-5"/>
        </w:rPr>
        <w:t> </w:t>
      </w:r>
      <w:r>
        <w:rPr/>
        <w:t>on tropical floodplains. </w:t>
      </w:r>
      <w:r>
        <w:rPr>
          <w:i/>
        </w:rPr>
        <w:t>bioRxiv </w:t>
      </w:r>
      <w:r>
        <w:rPr/>
        <w:t>625053.</w:t>
      </w:r>
    </w:p>
    <w:p>
      <w:pPr>
        <w:pStyle w:val="BodyText"/>
        <w:spacing w:before="11"/>
      </w:pPr>
    </w:p>
    <w:p>
      <w:pPr>
        <w:pStyle w:val="BodyText"/>
        <w:spacing w:before="1"/>
        <w:ind w:left="112"/>
      </w:pPr>
      <w:r>
        <w:rPr/>
        <w:t>Walton,</w:t>
      </w:r>
      <w:r>
        <w:rPr>
          <w:spacing w:val="-6"/>
        </w:rPr>
        <w:t> </w:t>
      </w:r>
      <w:r>
        <w:rPr/>
        <w:t>M.T.,</w:t>
      </w:r>
      <w:r>
        <w:rPr>
          <w:spacing w:val="-4"/>
        </w:rPr>
        <w:t> </w:t>
      </w:r>
      <w:r>
        <w:rPr/>
        <w:t>and</w:t>
      </w:r>
      <w:r>
        <w:rPr>
          <w:spacing w:val="-5"/>
        </w:rPr>
        <w:t> </w:t>
      </w:r>
      <w:r>
        <w:rPr/>
        <w:t>Feild,</w:t>
      </w:r>
      <w:r>
        <w:rPr>
          <w:spacing w:val="-6"/>
        </w:rPr>
        <w:t> </w:t>
      </w:r>
      <w:r>
        <w:rPr/>
        <w:t>C.</w:t>
      </w:r>
      <w:r>
        <w:rPr>
          <w:spacing w:val="-4"/>
        </w:rPr>
        <w:t> </w:t>
      </w:r>
      <w:r>
        <w:rPr/>
        <w:t>A.</w:t>
      </w:r>
      <w:r>
        <w:rPr>
          <w:spacing w:val="-5"/>
        </w:rPr>
        <w:t> </w:t>
      </w:r>
      <w:r>
        <w:rPr/>
        <w:t>(1989).</w:t>
      </w:r>
      <w:r>
        <w:rPr>
          <w:spacing w:val="-6"/>
        </w:rPr>
        <w:t> </w:t>
      </w:r>
      <w:r>
        <w:rPr/>
        <w:t>Use</w:t>
      </w:r>
      <w:r>
        <w:rPr>
          <w:spacing w:val="-3"/>
        </w:rPr>
        <w:t> </w:t>
      </w:r>
      <w:r>
        <w:rPr/>
        <w:t>of</w:t>
      </w:r>
      <w:r>
        <w:rPr>
          <w:spacing w:val="-6"/>
        </w:rPr>
        <w:t> </w:t>
      </w:r>
      <w:r>
        <w:rPr/>
        <w:t>donkeys</w:t>
      </w:r>
      <w:r>
        <w:rPr>
          <w:spacing w:val="-5"/>
        </w:rPr>
        <w:t> </w:t>
      </w:r>
      <w:r>
        <w:rPr/>
        <w:t>to</w:t>
      </w:r>
      <w:r>
        <w:rPr>
          <w:spacing w:val="-5"/>
        </w:rPr>
        <w:t> </w:t>
      </w:r>
      <w:r>
        <w:rPr/>
        <w:t>guard</w:t>
      </w:r>
      <w:r>
        <w:rPr>
          <w:spacing w:val="-6"/>
        </w:rPr>
        <w:t> </w:t>
      </w:r>
      <w:r>
        <w:rPr/>
        <w:t>sheep</w:t>
      </w:r>
      <w:r>
        <w:rPr>
          <w:spacing w:val="-6"/>
        </w:rPr>
        <w:t> </w:t>
      </w:r>
      <w:r>
        <w:rPr/>
        <w:t>and</w:t>
      </w:r>
      <w:r>
        <w:rPr>
          <w:spacing w:val="-5"/>
        </w:rPr>
        <w:t> </w:t>
      </w:r>
      <w:r>
        <w:rPr/>
        <w:t>goats</w:t>
      </w:r>
      <w:r>
        <w:rPr>
          <w:spacing w:val="-3"/>
        </w:rPr>
        <w:t> </w:t>
      </w:r>
      <w:r>
        <w:rPr/>
        <w:t>in Texas.</w:t>
      </w:r>
      <w:r>
        <w:rPr>
          <w:spacing w:val="-5"/>
        </w:rPr>
        <w:t> </w:t>
      </w:r>
      <w:r>
        <w:rPr/>
        <w:t>Pp.</w:t>
      </w:r>
      <w:r>
        <w:rPr>
          <w:spacing w:val="-6"/>
        </w:rPr>
        <w:t> </w:t>
      </w:r>
      <w:r>
        <w:rPr/>
        <w:t>87–94</w:t>
      </w:r>
      <w:r>
        <w:rPr>
          <w:spacing w:val="-4"/>
        </w:rPr>
        <w:t> </w:t>
      </w:r>
      <w:r>
        <w:rPr>
          <w:spacing w:val="-5"/>
        </w:rPr>
        <w:t>in</w:t>
      </w:r>
    </w:p>
    <w:p>
      <w:pPr>
        <w:spacing w:before="0"/>
        <w:ind w:left="833" w:right="0" w:firstLine="0"/>
        <w:jc w:val="left"/>
        <w:rPr>
          <w:sz w:val="20"/>
        </w:rPr>
      </w:pPr>
      <w:r>
        <w:rPr>
          <w:i/>
          <w:sz w:val="20"/>
        </w:rPr>
        <w:t>Fourth</w:t>
      </w:r>
      <w:r>
        <w:rPr>
          <w:i/>
          <w:spacing w:val="-9"/>
          <w:sz w:val="20"/>
        </w:rPr>
        <w:t> </w:t>
      </w:r>
      <w:r>
        <w:rPr>
          <w:i/>
          <w:sz w:val="20"/>
        </w:rPr>
        <w:t>Eastern</w:t>
      </w:r>
      <w:r>
        <w:rPr>
          <w:i/>
          <w:spacing w:val="-9"/>
          <w:sz w:val="20"/>
        </w:rPr>
        <w:t> </w:t>
      </w:r>
      <w:r>
        <w:rPr>
          <w:i/>
          <w:sz w:val="20"/>
        </w:rPr>
        <w:t>Wildlife</w:t>
      </w:r>
      <w:r>
        <w:rPr>
          <w:i/>
          <w:spacing w:val="-11"/>
          <w:sz w:val="20"/>
        </w:rPr>
        <w:t> </w:t>
      </w:r>
      <w:r>
        <w:rPr>
          <w:i/>
          <w:sz w:val="20"/>
        </w:rPr>
        <w:t>Damage</w:t>
      </w:r>
      <w:r>
        <w:rPr>
          <w:i/>
          <w:spacing w:val="-8"/>
          <w:sz w:val="20"/>
        </w:rPr>
        <w:t> </w:t>
      </w:r>
      <w:r>
        <w:rPr>
          <w:i/>
          <w:sz w:val="20"/>
        </w:rPr>
        <w:t>Control</w:t>
      </w:r>
      <w:r>
        <w:rPr>
          <w:i/>
          <w:spacing w:val="-9"/>
          <w:sz w:val="20"/>
        </w:rPr>
        <w:t> </w:t>
      </w:r>
      <w:r>
        <w:rPr>
          <w:i/>
          <w:sz w:val="20"/>
        </w:rPr>
        <w:t>Conference</w:t>
      </w:r>
      <w:r>
        <w:rPr>
          <w:sz w:val="20"/>
        </w:rPr>
        <w:t>.</w:t>
      </w:r>
      <w:r>
        <w:rPr>
          <w:spacing w:val="-7"/>
          <w:sz w:val="20"/>
        </w:rPr>
        <w:t> </w:t>
      </w:r>
      <w:r>
        <w:rPr>
          <w:sz w:val="20"/>
        </w:rPr>
        <w:t>University</w:t>
      </w:r>
      <w:r>
        <w:rPr>
          <w:spacing w:val="-10"/>
          <w:sz w:val="20"/>
        </w:rPr>
        <w:t> </w:t>
      </w:r>
      <w:r>
        <w:rPr>
          <w:sz w:val="20"/>
        </w:rPr>
        <w:t>of</w:t>
      </w:r>
      <w:r>
        <w:rPr>
          <w:spacing w:val="-8"/>
          <w:sz w:val="20"/>
        </w:rPr>
        <w:t> </w:t>
      </w:r>
      <w:r>
        <w:rPr>
          <w:sz w:val="20"/>
        </w:rPr>
        <w:t>Nebraska-</w:t>
      </w:r>
      <w:r>
        <w:rPr>
          <w:spacing w:val="-2"/>
          <w:sz w:val="20"/>
        </w:rPr>
        <w:t>Lincoln.</w:t>
      </w:r>
    </w:p>
    <w:p>
      <w:pPr>
        <w:pStyle w:val="BodyText"/>
        <w:spacing w:before="10"/>
      </w:pPr>
    </w:p>
    <w:p>
      <w:pPr>
        <w:spacing w:line="491" w:lineRule="auto" w:before="0"/>
        <w:ind w:left="112" w:right="1773" w:firstLine="0"/>
        <w:jc w:val="left"/>
        <w:rPr>
          <w:sz w:val="20"/>
        </w:rPr>
      </w:pPr>
      <w:r>
        <w:rPr>
          <w:sz w:val="20"/>
        </w:rPr>
        <w:t>Wamsley,</w:t>
      </w:r>
      <w:r>
        <w:rPr>
          <w:spacing w:val="-4"/>
          <w:sz w:val="20"/>
        </w:rPr>
        <w:t> </w:t>
      </w:r>
      <w:r>
        <w:rPr>
          <w:sz w:val="20"/>
        </w:rPr>
        <w:t>J.</w:t>
      </w:r>
      <w:r>
        <w:rPr>
          <w:spacing w:val="-4"/>
          <w:sz w:val="20"/>
        </w:rPr>
        <w:t> </w:t>
      </w:r>
      <w:r>
        <w:rPr>
          <w:sz w:val="20"/>
        </w:rPr>
        <w:t>(1995).</w:t>
      </w:r>
      <w:r>
        <w:rPr>
          <w:spacing w:val="-2"/>
          <w:sz w:val="20"/>
        </w:rPr>
        <w:t> </w:t>
      </w:r>
      <w:r>
        <w:rPr>
          <w:sz w:val="20"/>
        </w:rPr>
        <w:t>At</w:t>
      </w:r>
      <w:r>
        <w:rPr>
          <w:spacing w:val="-4"/>
          <w:sz w:val="20"/>
        </w:rPr>
        <w:t> </w:t>
      </w:r>
      <w:r>
        <w:rPr>
          <w:sz w:val="20"/>
        </w:rPr>
        <w:t>earth</w:t>
      </w:r>
      <w:r>
        <w:rPr>
          <w:spacing w:val="-4"/>
          <w:sz w:val="20"/>
        </w:rPr>
        <w:t> </w:t>
      </w:r>
      <w:r>
        <w:rPr>
          <w:sz w:val="20"/>
        </w:rPr>
        <w:t>sanctuaries,</w:t>
      </w:r>
      <w:r>
        <w:rPr>
          <w:spacing w:val="-4"/>
          <w:sz w:val="20"/>
        </w:rPr>
        <w:t> </w:t>
      </w:r>
      <w:r>
        <w:rPr>
          <w:sz w:val="20"/>
        </w:rPr>
        <w:t>the</w:t>
      </w:r>
      <w:r>
        <w:rPr>
          <w:spacing w:val="-4"/>
          <w:sz w:val="20"/>
        </w:rPr>
        <w:t> </w:t>
      </w:r>
      <w:r>
        <w:rPr>
          <w:sz w:val="20"/>
        </w:rPr>
        <w:t>only</w:t>
      </w:r>
      <w:r>
        <w:rPr>
          <w:spacing w:val="-3"/>
          <w:sz w:val="20"/>
        </w:rPr>
        <w:t> </w:t>
      </w:r>
      <w:r>
        <w:rPr>
          <w:sz w:val="20"/>
        </w:rPr>
        <w:t>good</w:t>
      </w:r>
      <w:r>
        <w:rPr>
          <w:spacing w:val="-4"/>
          <w:sz w:val="20"/>
        </w:rPr>
        <w:t> </w:t>
      </w:r>
      <w:r>
        <w:rPr>
          <w:sz w:val="20"/>
        </w:rPr>
        <w:t>cat</w:t>
      </w:r>
      <w:r>
        <w:rPr>
          <w:spacing w:val="-4"/>
          <w:sz w:val="20"/>
        </w:rPr>
        <w:t> </w:t>
      </w:r>
      <w:r>
        <w:rPr>
          <w:sz w:val="20"/>
        </w:rPr>
        <w:t>is</w:t>
      </w:r>
      <w:r>
        <w:rPr>
          <w:spacing w:val="-1"/>
          <w:sz w:val="20"/>
        </w:rPr>
        <w:t> </w:t>
      </w:r>
      <w:r>
        <w:rPr>
          <w:sz w:val="20"/>
        </w:rPr>
        <w:t>a</w:t>
      </w:r>
      <w:r>
        <w:rPr>
          <w:spacing w:val="-4"/>
          <w:sz w:val="20"/>
        </w:rPr>
        <w:t> </w:t>
      </w:r>
      <w:r>
        <w:rPr>
          <w:sz w:val="20"/>
        </w:rPr>
        <w:t>flat</w:t>
      </w:r>
      <w:r>
        <w:rPr>
          <w:spacing w:val="-4"/>
          <w:sz w:val="20"/>
        </w:rPr>
        <w:t> </w:t>
      </w:r>
      <w:r>
        <w:rPr>
          <w:sz w:val="20"/>
        </w:rPr>
        <w:t>cat. </w:t>
      </w:r>
      <w:r>
        <w:rPr>
          <w:i/>
          <w:sz w:val="20"/>
        </w:rPr>
        <w:t>Issues</w:t>
      </w:r>
      <w:r>
        <w:rPr>
          <w:i/>
          <w:spacing w:val="-2"/>
          <w:sz w:val="20"/>
        </w:rPr>
        <w:t> </w:t>
      </w:r>
      <w:r>
        <w:rPr>
          <w:b/>
          <w:sz w:val="20"/>
        </w:rPr>
        <w:t>32</w:t>
      </w:r>
      <w:r>
        <w:rPr>
          <w:sz w:val="20"/>
        </w:rPr>
        <w:t>:7–10. West, P. (2018). </w:t>
      </w:r>
      <w:r>
        <w:rPr>
          <w:i/>
          <w:sz w:val="20"/>
        </w:rPr>
        <w:t>Guide to introduced pest animals of Australia</w:t>
      </w:r>
      <w:r>
        <w:rPr>
          <w:sz w:val="20"/>
        </w:rPr>
        <w:t>. CSIRO Publishing.</w:t>
      </w:r>
    </w:p>
    <w:p>
      <w:pPr>
        <w:pStyle w:val="BodyText"/>
        <w:ind w:left="833" w:right="232" w:hanging="721"/>
      </w:pPr>
      <w:r>
        <w:rPr/>
        <w:t>Weeks,</w:t>
      </w:r>
      <w:r>
        <w:rPr>
          <w:spacing w:val="-2"/>
        </w:rPr>
        <w:t> </w:t>
      </w:r>
      <w:r>
        <w:rPr/>
        <w:t>A.R.,</w:t>
      </w:r>
      <w:r>
        <w:rPr>
          <w:spacing w:val="-2"/>
        </w:rPr>
        <w:t> </w:t>
      </w:r>
      <w:r>
        <w:rPr/>
        <w:t>Kriesner,</w:t>
      </w:r>
      <w:r>
        <w:rPr>
          <w:spacing w:val="-2"/>
        </w:rPr>
        <w:t> </w:t>
      </w:r>
      <w:r>
        <w:rPr/>
        <w:t>P.,</w:t>
      </w:r>
      <w:r>
        <w:rPr>
          <w:spacing w:val="-2"/>
        </w:rPr>
        <w:t> </w:t>
      </w:r>
      <w:r>
        <w:rPr/>
        <w:t>Bartonicek,</w:t>
      </w:r>
      <w:r>
        <w:rPr>
          <w:spacing w:val="-4"/>
        </w:rPr>
        <w:t> </w:t>
      </w:r>
      <w:r>
        <w:rPr/>
        <w:t>N.,</w:t>
      </w:r>
      <w:r>
        <w:rPr>
          <w:spacing w:val="-4"/>
        </w:rPr>
        <w:t> </w:t>
      </w:r>
      <w:r>
        <w:rPr/>
        <w:t>Van</w:t>
      </w:r>
      <w:r>
        <w:rPr>
          <w:spacing w:val="-5"/>
        </w:rPr>
        <w:t> </w:t>
      </w:r>
      <w:r>
        <w:rPr/>
        <w:t>Rooyen,</w:t>
      </w:r>
      <w:r>
        <w:rPr>
          <w:spacing w:val="-4"/>
        </w:rPr>
        <w:t> </w:t>
      </w:r>
      <w:r>
        <w:rPr/>
        <w:t>A.,</w:t>
      </w:r>
      <w:r>
        <w:rPr>
          <w:spacing w:val="-4"/>
        </w:rPr>
        <w:t> </w:t>
      </w:r>
      <w:r>
        <w:rPr/>
        <w:t>Cairns,</w:t>
      </w:r>
      <w:r>
        <w:rPr>
          <w:spacing w:val="-4"/>
        </w:rPr>
        <w:t> </w:t>
      </w:r>
      <w:r>
        <w:rPr/>
        <w:t>K.M.,</w:t>
      </w:r>
      <w:r>
        <w:rPr>
          <w:spacing w:val="-2"/>
        </w:rPr>
        <w:t> </w:t>
      </w:r>
      <w:r>
        <w:rPr/>
        <w:t>Ahrens,</w:t>
      </w:r>
      <w:r>
        <w:rPr>
          <w:spacing w:val="-2"/>
        </w:rPr>
        <w:t> </w:t>
      </w:r>
      <w:r>
        <w:rPr/>
        <w:t>C.W,</w:t>
      </w:r>
      <w:r>
        <w:rPr>
          <w:spacing w:val="-4"/>
        </w:rPr>
        <w:t> </w:t>
      </w:r>
      <w:r>
        <w:rPr/>
        <w:t>(2025).</w:t>
      </w:r>
      <w:r>
        <w:rPr>
          <w:spacing w:val="-4"/>
        </w:rPr>
        <w:t> </w:t>
      </w:r>
      <w:r>
        <w:rPr/>
        <w:t>Genetic structure and common ancestry expose the dingo-dog hybrid myth. </w:t>
      </w:r>
      <w:r>
        <w:rPr>
          <w:i/>
        </w:rPr>
        <w:t>Evolution Letters </w:t>
      </w:r>
      <w:r>
        <w:rPr>
          <w:b/>
        </w:rPr>
        <w:t>9</w:t>
      </w:r>
      <w:r>
        <w:rPr/>
        <w:t>, 1–12. </w:t>
      </w:r>
      <w:r>
        <w:rPr>
          <w:spacing w:val="-2"/>
        </w:rPr>
        <w:t>doi:</w:t>
      </w:r>
      <w:hyperlink r:id="rId124">
        <w:r>
          <w:rPr>
            <w:color w:val="0000FF"/>
            <w:spacing w:val="-2"/>
            <w:u w:val="single" w:color="0000FF"/>
          </w:rPr>
          <w:t>10.1093/evlett/qrae057</w:t>
        </w:r>
        <w:r>
          <w:rPr>
            <w:spacing w:val="-2"/>
            <w:u w:val="none"/>
          </w:rPr>
          <w:t>.</w:t>
        </w:r>
      </w:hyperlink>
    </w:p>
    <w:p>
      <w:pPr>
        <w:pStyle w:val="BodyText"/>
        <w:spacing w:before="7"/>
      </w:pPr>
    </w:p>
    <w:p>
      <w:pPr>
        <w:spacing w:before="0"/>
        <w:ind w:left="833" w:right="544" w:hanging="721"/>
        <w:jc w:val="left"/>
        <w:rPr>
          <w:sz w:val="20"/>
        </w:rPr>
      </w:pPr>
      <w:r>
        <w:rPr>
          <w:sz w:val="20"/>
        </w:rPr>
        <w:t>Wheeler,</w:t>
      </w:r>
      <w:r>
        <w:rPr>
          <w:spacing w:val="-4"/>
          <w:sz w:val="20"/>
        </w:rPr>
        <w:t> </w:t>
      </w:r>
      <w:r>
        <w:rPr>
          <w:sz w:val="20"/>
        </w:rPr>
        <w:t>S.H.</w:t>
      </w:r>
      <w:r>
        <w:rPr>
          <w:spacing w:val="-4"/>
          <w:sz w:val="20"/>
        </w:rPr>
        <w:t> </w:t>
      </w:r>
      <w:r>
        <w:rPr>
          <w:sz w:val="20"/>
        </w:rPr>
        <w:t>(1984).</w:t>
      </w:r>
      <w:r>
        <w:rPr>
          <w:spacing w:val="-4"/>
          <w:sz w:val="20"/>
        </w:rPr>
        <w:t> </w:t>
      </w:r>
      <w:r>
        <w:rPr>
          <w:sz w:val="20"/>
        </w:rPr>
        <w:t>How</w:t>
      </w:r>
      <w:r>
        <w:rPr>
          <w:spacing w:val="-2"/>
          <w:sz w:val="20"/>
        </w:rPr>
        <w:t> </w:t>
      </w:r>
      <w:r>
        <w:rPr>
          <w:sz w:val="20"/>
        </w:rPr>
        <w:t>rabbit</w:t>
      </w:r>
      <w:r>
        <w:rPr>
          <w:spacing w:val="-2"/>
          <w:sz w:val="20"/>
        </w:rPr>
        <w:t> </w:t>
      </w:r>
      <w:r>
        <w:rPr>
          <w:sz w:val="20"/>
        </w:rPr>
        <w:t>poisoning</w:t>
      </w:r>
      <w:r>
        <w:rPr>
          <w:spacing w:val="-2"/>
          <w:sz w:val="20"/>
        </w:rPr>
        <w:t> </w:t>
      </w:r>
      <w:r>
        <w:rPr>
          <w:sz w:val="20"/>
        </w:rPr>
        <w:t>methods</w:t>
      </w:r>
      <w:r>
        <w:rPr>
          <w:spacing w:val="-3"/>
          <w:sz w:val="20"/>
        </w:rPr>
        <w:t> </w:t>
      </w:r>
      <w:r>
        <w:rPr>
          <w:sz w:val="20"/>
        </w:rPr>
        <w:t>work. </w:t>
      </w:r>
      <w:r>
        <w:rPr>
          <w:i/>
          <w:sz w:val="20"/>
        </w:rPr>
        <w:t>Journal</w:t>
      </w:r>
      <w:r>
        <w:rPr>
          <w:i/>
          <w:spacing w:val="-3"/>
          <w:sz w:val="20"/>
        </w:rPr>
        <w:t> </w:t>
      </w:r>
      <w:r>
        <w:rPr>
          <w:i/>
          <w:sz w:val="20"/>
        </w:rPr>
        <w:t>of</w:t>
      </w:r>
      <w:r>
        <w:rPr>
          <w:i/>
          <w:spacing w:val="-4"/>
          <w:sz w:val="20"/>
        </w:rPr>
        <w:t> </w:t>
      </w:r>
      <w:r>
        <w:rPr>
          <w:i/>
          <w:sz w:val="20"/>
        </w:rPr>
        <w:t>the</w:t>
      </w:r>
      <w:r>
        <w:rPr>
          <w:i/>
          <w:spacing w:val="-5"/>
          <w:sz w:val="20"/>
        </w:rPr>
        <w:t> </w:t>
      </w:r>
      <w:r>
        <w:rPr>
          <w:i/>
          <w:sz w:val="20"/>
        </w:rPr>
        <w:t>Department</w:t>
      </w:r>
      <w:r>
        <w:rPr>
          <w:i/>
          <w:spacing w:val="-4"/>
          <w:sz w:val="20"/>
        </w:rPr>
        <w:t> </w:t>
      </w:r>
      <w:r>
        <w:rPr>
          <w:i/>
          <w:sz w:val="20"/>
        </w:rPr>
        <w:t>of</w:t>
      </w:r>
      <w:r>
        <w:rPr>
          <w:i/>
          <w:spacing w:val="-4"/>
          <w:sz w:val="20"/>
        </w:rPr>
        <w:t> </w:t>
      </w:r>
      <w:r>
        <w:rPr>
          <w:i/>
          <w:sz w:val="20"/>
        </w:rPr>
        <w:t>Agriculture,</w:t>
      </w:r>
      <w:r>
        <w:rPr>
          <w:i/>
          <w:sz w:val="20"/>
        </w:rPr>
        <w:t> Western Australia </w:t>
      </w:r>
      <w:r>
        <w:rPr>
          <w:b/>
          <w:sz w:val="20"/>
        </w:rPr>
        <w:t>25</w:t>
      </w:r>
      <w:r>
        <w:rPr>
          <w:sz w:val="20"/>
        </w:rPr>
        <w:t>, 15–16.</w:t>
      </w:r>
    </w:p>
    <w:p>
      <w:pPr>
        <w:pStyle w:val="BodyText"/>
        <w:spacing w:before="9"/>
      </w:pPr>
    </w:p>
    <w:p>
      <w:pPr>
        <w:pStyle w:val="BodyText"/>
        <w:ind w:left="833" w:right="364" w:hanging="721"/>
      </w:pPr>
      <w:r>
        <w:rPr/>
        <w:t>Whisson,</w:t>
      </w:r>
      <w:r>
        <w:rPr>
          <w:spacing w:val="-4"/>
        </w:rPr>
        <w:t> </w:t>
      </w:r>
      <w:r>
        <w:rPr/>
        <w:t>D.A.,</w:t>
      </w:r>
      <w:r>
        <w:rPr>
          <w:spacing w:val="-2"/>
        </w:rPr>
        <w:t> </w:t>
      </w:r>
      <w:r>
        <w:rPr/>
        <w:t>and</w:t>
      </w:r>
      <w:r>
        <w:rPr>
          <w:spacing w:val="-2"/>
        </w:rPr>
        <w:t> </w:t>
      </w:r>
      <w:r>
        <w:rPr/>
        <w:t>Ashman,</w:t>
      </w:r>
      <w:r>
        <w:rPr>
          <w:spacing w:val="-4"/>
        </w:rPr>
        <w:t> </w:t>
      </w:r>
      <w:r>
        <w:rPr/>
        <w:t>K.R.</w:t>
      </w:r>
      <w:r>
        <w:rPr>
          <w:spacing w:val="-4"/>
        </w:rPr>
        <w:t> </w:t>
      </w:r>
      <w:r>
        <w:rPr/>
        <w:t>(2020).</w:t>
      </w:r>
      <w:r>
        <w:rPr>
          <w:spacing w:val="-2"/>
        </w:rPr>
        <w:t> </w:t>
      </w:r>
      <w:r>
        <w:rPr/>
        <w:t>When</w:t>
      </w:r>
      <w:r>
        <w:rPr>
          <w:spacing w:val="-4"/>
        </w:rPr>
        <w:t> </w:t>
      </w:r>
      <w:r>
        <w:rPr/>
        <w:t>an</w:t>
      </w:r>
      <w:r>
        <w:rPr>
          <w:spacing w:val="-4"/>
        </w:rPr>
        <w:t> </w:t>
      </w:r>
      <w:r>
        <w:rPr/>
        <w:t>iconic</w:t>
      </w:r>
      <w:r>
        <w:rPr>
          <w:spacing w:val="-3"/>
        </w:rPr>
        <w:t> </w:t>
      </w:r>
      <w:r>
        <w:rPr/>
        <w:t>native</w:t>
      </w:r>
      <w:r>
        <w:rPr>
          <w:spacing w:val="-2"/>
        </w:rPr>
        <w:t> </w:t>
      </w:r>
      <w:r>
        <w:rPr/>
        <w:t>animal</w:t>
      </w:r>
      <w:r>
        <w:rPr>
          <w:spacing w:val="-3"/>
        </w:rPr>
        <w:t> </w:t>
      </w:r>
      <w:r>
        <w:rPr/>
        <w:t>is</w:t>
      </w:r>
      <w:r>
        <w:rPr>
          <w:spacing w:val="-3"/>
        </w:rPr>
        <w:t> </w:t>
      </w:r>
      <w:r>
        <w:rPr/>
        <w:t>overabundant:</w:t>
      </w:r>
      <w:r>
        <w:rPr>
          <w:spacing w:val="-2"/>
        </w:rPr>
        <w:t> </w:t>
      </w:r>
      <w:r>
        <w:rPr/>
        <w:t>the</w:t>
      </w:r>
      <w:r>
        <w:rPr>
          <w:spacing w:val="-2"/>
        </w:rPr>
        <w:t> </w:t>
      </w:r>
      <w:r>
        <w:rPr/>
        <w:t>koala</w:t>
      </w:r>
      <w:r>
        <w:rPr>
          <w:spacing w:val="-4"/>
        </w:rPr>
        <w:t> </w:t>
      </w:r>
      <w:r>
        <w:rPr/>
        <w:t>in southern Australia. </w:t>
      </w:r>
      <w:r>
        <w:rPr>
          <w:i/>
        </w:rPr>
        <w:t>Conservation Science and Practice </w:t>
      </w:r>
      <w:r>
        <w:rPr>
          <w:b/>
        </w:rPr>
        <w:t>2</w:t>
      </w:r>
      <w:r>
        <w:rPr/>
        <w:t>(5). doi: 10.1111/csp2.188.</w:t>
      </w:r>
    </w:p>
    <w:p>
      <w:pPr>
        <w:pStyle w:val="BodyText"/>
        <w:spacing w:before="11"/>
      </w:pPr>
    </w:p>
    <w:p>
      <w:pPr>
        <w:pStyle w:val="BodyText"/>
        <w:ind w:left="833" w:right="163" w:hanging="721"/>
      </w:pPr>
      <w:r>
        <w:rPr/>
        <w:t>Whitehouse-Tedd,</w:t>
      </w:r>
      <w:r>
        <w:rPr>
          <w:spacing w:val="-3"/>
        </w:rPr>
        <w:t> </w:t>
      </w:r>
      <w:r>
        <w:rPr/>
        <w:t>K.,</w:t>
      </w:r>
      <w:r>
        <w:rPr>
          <w:spacing w:val="-3"/>
        </w:rPr>
        <w:t> </w:t>
      </w:r>
      <w:r>
        <w:rPr/>
        <w:t>Wilkes,</w:t>
      </w:r>
      <w:r>
        <w:rPr>
          <w:spacing w:val="-5"/>
        </w:rPr>
        <w:t> </w:t>
      </w:r>
      <w:r>
        <w:rPr/>
        <w:t>R.,</w:t>
      </w:r>
      <w:r>
        <w:rPr>
          <w:spacing w:val="-3"/>
        </w:rPr>
        <w:t> </w:t>
      </w:r>
      <w:r>
        <w:rPr/>
        <w:t>Stannard,</w:t>
      </w:r>
      <w:r>
        <w:rPr>
          <w:spacing w:val="-3"/>
        </w:rPr>
        <w:t> </w:t>
      </w:r>
      <w:r>
        <w:rPr/>
        <w:t>C.,</w:t>
      </w:r>
      <w:r>
        <w:rPr>
          <w:spacing w:val="-3"/>
        </w:rPr>
        <w:t> </w:t>
      </w:r>
      <w:r>
        <w:rPr/>
        <w:t>Wettlaufer,</w:t>
      </w:r>
      <w:r>
        <w:rPr>
          <w:spacing w:val="-5"/>
        </w:rPr>
        <w:t> </w:t>
      </w:r>
      <w:r>
        <w:rPr/>
        <w:t>D.,</w:t>
      </w:r>
      <w:r>
        <w:rPr>
          <w:spacing w:val="-3"/>
        </w:rPr>
        <w:t> </w:t>
      </w:r>
      <w:r>
        <w:rPr/>
        <w:t>and</w:t>
      </w:r>
      <w:r>
        <w:rPr>
          <w:spacing w:val="-5"/>
        </w:rPr>
        <w:t> </w:t>
      </w:r>
      <w:r>
        <w:rPr/>
        <w:t>Cilliers,</w:t>
      </w:r>
      <w:r>
        <w:rPr>
          <w:spacing w:val="-5"/>
        </w:rPr>
        <w:t> </w:t>
      </w:r>
      <w:r>
        <w:rPr/>
        <w:t>D.</w:t>
      </w:r>
      <w:r>
        <w:rPr>
          <w:spacing w:val="-3"/>
        </w:rPr>
        <w:t> </w:t>
      </w:r>
      <w:r>
        <w:rPr/>
        <w:t>(2020).</w:t>
      </w:r>
      <w:r>
        <w:rPr>
          <w:spacing w:val="-5"/>
        </w:rPr>
        <w:t> </w:t>
      </w:r>
      <w:r>
        <w:rPr/>
        <w:t>Reported</w:t>
      </w:r>
      <w:r>
        <w:rPr>
          <w:spacing w:val="-5"/>
        </w:rPr>
        <w:t> </w:t>
      </w:r>
      <w:r>
        <w:rPr/>
        <w:t>livestock guarding dog-wildlife interactions: implications for conservation and animal welfare. </w:t>
      </w:r>
      <w:r>
        <w:rPr>
          <w:i/>
        </w:rPr>
        <w:t>Biological</w:t>
      </w:r>
      <w:r>
        <w:rPr>
          <w:i/>
        </w:rPr>
        <w:t> Conservation </w:t>
      </w:r>
      <w:r>
        <w:rPr>
          <w:b/>
        </w:rPr>
        <w:t>241</w:t>
      </w:r>
      <w:r>
        <w:rPr/>
        <w:t>:108249. doi: 10.1016/j.biocon.2019.108249.</w:t>
      </w:r>
    </w:p>
    <w:p>
      <w:pPr>
        <w:pStyle w:val="BodyText"/>
        <w:spacing w:before="11"/>
      </w:pPr>
    </w:p>
    <w:p>
      <w:pPr>
        <w:spacing w:before="0"/>
        <w:ind w:left="833" w:right="364" w:hanging="721"/>
        <w:jc w:val="left"/>
        <w:rPr>
          <w:sz w:val="20"/>
        </w:rPr>
      </w:pPr>
      <w:r>
        <w:rPr>
          <w:sz w:val="20"/>
        </w:rPr>
        <w:t>Wicks, S., Mazur, K., Please, P., and Ecker, Saan. (2014). </w:t>
      </w:r>
      <w:r>
        <w:rPr>
          <w:i/>
          <w:sz w:val="20"/>
        </w:rPr>
        <w:t>An integrated assessment of the impact of wild</w:t>
      </w:r>
      <w:r>
        <w:rPr>
          <w:i/>
          <w:sz w:val="20"/>
        </w:rPr>
        <w:t> dogs</w:t>
      </w:r>
      <w:r>
        <w:rPr>
          <w:i/>
          <w:spacing w:val="-4"/>
          <w:sz w:val="20"/>
        </w:rPr>
        <w:t> </w:t>
      </w:r>
      <w:r>
        <w:rPr>
          <w:i/>
          <w:sz w:val="20"/>
        </w:rPr>
        <w:t>in</w:t>
      </w:r>
      <w:r>
        <w:rPr>
          <w:i/>
          <w:spacing w:val="-5"/>
          <w:sz w:val="20"/>
        </w:rPr>
        <w:t> </w:t>
      </w:r>
      <w:r>
        <w:rPr>
          <w:i/>
          <w:sz w:val="20"/>
        </w:rPr>
        <w:t>Australia</w:t>
      </w:r>
      <w:r>
        <w:rPr>
          <w:sz w:val="20"/>
        </w:rPr>
        <w:t>.</w:t>
      </w:r>
      <w:r>
        <w:rPr>
          <w:spacing w:val="-3"/>
          <w:sz w:val="20"/>
        </w:rPr>
        <w:t> </w:t>
      </w:r>
      <w:r>
        <w:rPr>
          <w:i/>
          <w:sz w:val="20"/>
        </w:rPr>
        <w:t>Research</w:t>
      </w:r>
      <w:r>
        <w:rPr>
          <w:i/>
          <w:spacing w:val="-3"/>
          <w:sz w:val="20"/>
        </w:rPr>
        <w:t> </w:t>
      </w:r>
      <w:r>
        <w:rPr>
          <w:i/>
          <w:sz w:val="20"/>
        </w:rPr>
        <w:t>report</w:t>
      </w:r>
      <w:r>
        <w:rPr>
          <w:sz w:val="20"/>
        </w:rPr>
        <w:t>.</w:t>
      </w:r>
      <w:r>
        <w:rPr>
          <w:spacing w:val="-3"/>
          <w:sz w:val="20"/>
        </w:rPr>
        <w:t> </w:t>
      </w:r>
      <w:r>
        <w:rPr>
          <w:sz w:val="20"/>
        </w:rPr>
        <w:t>14.4.</w:t>
      </w:r>
      <w:r>
        <w:rPr>
          <w:spacing w:val="-5"/>
          <w:sz w:val="20"/>
        </w:rPr>
        <w:t> </w:t>
      </w:r>
      <w:r>
        <w:rPr>
          <w:sz w:val="20"/>
        </w:rPr>
        <w:t>Australian</w:t>
      </w:r>
      <w:r>
        <w:rPr>
          <w:spacing w:val="-4"/>
          <w:sz w:val="20"/>
        </w:rPr>
        <w:t> </w:t>
      </w:r>
      <w:r>
        <w:rPr>
          <w:sz w:val="20"/>
        </w:rPr>
        <w:t>Bureau</w:t>
      </w:r>
      <w:r>
        <w:rPr>
          <w:spacing w:val="-3"/>
          <w:sz w:val="20"/>
        </w:rPr>
        <w:t> </w:t>
      </w:r>
      <w:r>
        <w:rPr>
          <w:sz w:val="20"/>
        </w:rPr>
        <w:t>of</w:t>
      </w:r>
      <w:r>
        <w:rPr>
          <w:spacing w:val="-5"/>
          <w:sz w:val="20"/>
        </w:rPr>
        <w:t> </w:t>
      </w:r>
      <w:r>
        <w:rPr>
          <w:sz w:val="20"/>
        </w:rPr>
        <w:t>Agricultural</w:t>
      </w:r>
      <w:r>
        <w:rPr>
          <w:spacing w:val="-5"/>
          <w:sz w:val="20"/>
        </w:rPr>
        <w:t> </w:t>
      </w:r>
      <w:r>
        <w:rPr>
          <w:sz w:val="20"/>
        </w:rPr>
        <w:t>and</w:t>
      </w:r>
      <w:r>
        <w:rPr>
          <w:spacing w:val="-5"/>
          <w:sz w:val="20"/>
        </w:rPr>
        <w:t> </w:t>
      </w:r>
      <w:r>
        <w:rPr>
          <w:sz w:val="20"/>
        </w:rPr>
        <w:t>Resource</w:t>
      </w:r>
      <w:r>
        <w:rPr>
          <w:spacing w:val="-5"/>
          <w:sz w:val="20"/>
        </w:rPr>
        <w:t> </w:t>
      </w:r>
      <w:r>
        <w:rPr>
          <w:sz w:val="20"/>
        </w:rPr>
        <w:t>Economics and Sciences.</w:t>
      </w:r>
    </w:p>
    <w:p>
      <w:pPr>
        <w:pStyle w:val="BodyText"/>
        <w:spacing w:before="9"/>
      </w:pPr>
    </w:p>
    <w:p>
      <w:pPr>
        <w:spacing w:before="0"/>
        <w:ind w:left="833" w:right="163" w:hanging="721"/>
        <w:jc w:val="left"/>
        <w:rPr>
          <w:sz w:val="20"/>
        </w:rPr>
      </w:pPr>
      <w:r>
        <w:rPr>
          <w:sz w:val="20"/>
        </w:rPr>
        <w:t>Wilcox,</w:t>
      </w:r>
      <w:r>
        <w:rPr>
          <w:spacing w:val="-4"/>
          <w:sz w:val="20"/>
        </w:rPr>
        <w:t> </w:t>
      </w:r>
      <w:r>
        <w:rPr>
          <w:sz w:val="20"/>
        </w:rPr>
        <w:t>J.T.,</w:t>
      </w:r>
      <w:r>
        <w:rPr>
          <w:spacing w:val="-4"/>
          <w:sz w:val="20"/>
        </w:rPr>
        <w:t> </w:t>
      </w:r>
      <w:r>
        <w:rPr>
          <w:sz w:val="20"/>
        </w:rPr>
        <w:t>Aschehoug,</w:t>
      </w:r>
      <w:r>
        <w:rPr>
          <w:spacing w:val="-2"/>
          <w:sz w:val="20"/>
        </w:rPr>
        <w:t> </w:t>
      </w:r>
      <w:r>
        <w:rPr>
          <w:sz w:val="20"/>
        </w:rPr>
        <w:t>E.T.,</w:t>
      </w:r>
      <w:r>
        <w:rPr>
          <w:spacing w:val="-4"/>
          <w:sz w:val="20"/>
        </w:rPr>
        <w:t> </w:t>
      </w:r>
      <w:r>
        <w:rPr>
          <w:sz w:val="20"/>
        </w:rPr>
        <w:t>Scott,</w:t>
      </w:r>
      <w:r>
        <w:rPr>
          <w:spacing w:val="-2"/>
          <w:sz w:val="20"/>
        </w:rPr>
        <w:t> </w:t>
      </w:r>
      <w:r>
        <w:rPr>
          <w:sz w:val="20"/>
        </w:rPr>
        <w:t>C.A.,</w:t>
      </w:r>
      <w:r>
        <w:rPr>
          <w:spacing w:val="-4"/>
          <w:sz w:val="20"/>
        </w:rPr>
        <w:t> </w:t>
      </w:r>
      <w:r>
        <w:rPr>
          <w:sz w:val="20"/>
        </w:rPr>
        <w:t>and</w:t>
      </w:r>
      <w:r>
        <w:rPr>
          <w:spacing w:val="-5"/>
          <w:sz w:val="20"/>
        </w:rPr>
        <w:t> </w:t>
      </w:r>
      <w:r>
        <w:rPr>
          <w:sz w:val="20"/>
        </w:rPr>
        <w:t>van</w:t>
      </w:r>
      <w:r>
        <w:rPr>
          <w:spacing w:val="-4"/>
          <w:sz w:val="20"/>
        </w:rPr>
        <w:t> </w:t>
      </w:r>
      <w:r>
        <w:rPr>
          <w:sz w:val="20"/>
        </w:rPr>
        <w:t>Vuren,</w:t>
      </w:r>
      <w:r>
        <w:rPr>
          <w:spacing w:val="-4"/>
          <w:sz w:val="20"/>
        </w:rPr>
        <w:t> </w:t>
      </w:r>
      <w:r>
        <w:rPr>
          <w:sz w:val="20"/>
        </w:rPr>
        <w:t>D.H. (2004).</w:t>
      </w:r>
      <w:r>
        <w:rPr>
          <w:spacing w:val="-2"/>
          <w:sz w:val="20"/>
        </w:rPr>
        <w:t> </w:t>
      </w:r>
      <w:r>
        <w:rPr>
          <w:sz w:val="20"/>
        </w:rPr>
        <w:t>A</w:t>
      </w:r>
      <w:r>
        <w:rPr>
          <w:spacing w:val="-4"/>
          <w:sz w:val="20"/>
        </w:rPr>
        <w:t> </w:t>
      </w:r>
      <w:r>
        <w:rPr>
          <w:sz w:val="20"/>
        </w:rPr>
        <w:t>test</w:t>
      </w:r>
      <w:r>
        <w:rPr>
          <w:spacing w:val="-2"/>
          <w:sz w:val="20"/>
        </w:rPr>
        <w:t> </w:t>
      </w:r>
      <w:r>
        <w:rPr>
          <w:sz w:val="20"/>
        </w:rPr>
        <w:t>of</w:t>
      </w:r>
      <w:r>
        <w:rPr>
          <w:spacing w:val="-4"/>
          <w:sz w:val="20"/>
        </w:rPr>
        <w:t> </w:t>
      </w:r>
      <w:r>
        <w:rPr>
          <w:sz w:val="20"/>
        </w:rPr>
        <w:t>the</w:t>
      </w:r>
      <w:r>
        <w:rPr>
          <w:spacing w:val="-4"/>
          <w:sz w:val="20"/>
        </w:rPr>
        <w:t> </w:t>
      </w:r>
      <w:r>
        <w:rPr>
          <w:sz w:val="20"/>
        </w:rPr>
        <w:t>judas</w:t>
      </w:r>
      <w:r>
        <w:rPr>
          <w:spacing w:val="-3"/>
          <w:sz w:val="20"/>
        </w:rPr>
        <w:t> </w:t>
      </w:r>
      <w:r>
        <w:rPr>
          <w:sz w:val="20"/>
        </w:rPr>
        <w:t>technique</w:t>
      </w:r>
      <w:r>
        <w:rPr>
          <w:spacing w:val="-2"/>
          <w:sz w:val="20"/>
        </w:rPr>
        <w:t> </w:t>
      </w:r>
      <w:r>
        <w:rPr>
          <w:sz w:val="20"/>
        </w:rPr>
        <w:t>as</w:t>
      </w:r>
      <w:r>
        <w:rPr>
          <w:spacing w:val="-3"/>
          <w:sz w:val="20"/>
        </w:rPr>
        <w:t> </w:t>
      </w:r>
      <w:r>
        <w:rPr>
          <w:sz w:val="20"/>
        </w:rPr>
        <w:t>a method for eradicating feral pigs. </w:t>
      </w:r>
      <w:r>
        <w:rPr>
          <w:i/>
          <w:sz w:val="20"/>
        </w:rPr>
        <w:t>Transactions of the Western Section of the Wildlife Society</w:t>
      </w:r>
      <w:r>
        <w:rPr>
          <w:i/>
          <w:sz w:val="20"/>
        </w:rPr>
        <w:t> </w:t>
      </w:r>
      <w:r>
        <w:rPr>
          <w:b/>
          <w:spacing w:val="-2"/>
          <w:sz w:val="20"/>
        </w:rPr>
        <w:t>40</w:t>
      </w:r>
      <w:r>
        <w:rPr>
          <w:spacing w:val="-2"/>
          <w:sz w:val="20"/>
        </w:rPr>
        <w:t>:120–26.</w:t>
      </w:r>
    </w:p>
    <w:p>
      <w:pPr>
        <w:pStyle w:val="BodyText"/>
        <w:spacing w:before="9"/>
      </w:pPr>
    </w:p>
    <w:p>
      <w:pPr>
        <w:pStyle w:val="BodyText"/>
        <w:ind w:left="833" w:right="416" w:hanging="721"/>
      </w:pPr>
      <w:r>
        <w:rPr/>
        <w:t>Williams, B.L., Holtfreter, R.W., Ditchkoff, S.S., and Grand, J.B. (2011a). Efficiency of time</w:t>
      </w:r>
      <w:r>
        <w:rPr>
          <w:rFonts w:ascii="Cambria Math" w:hAnsi="Cambria Math"/>
        </w:rPr>
        <w:t>‐</w:t>
      </w:r>
      <w:r>
        <w:rPr/>
        <w:t>lapse intervals and</w:t>
      </w:r>
      <w:r>
        <w:rPr>
          <w:spacing w:val="-4"/>
        </w:rPr>
        <w:t> </w:t>
      </w:r>
      <w:r>
        <w:rPr/>
        <w:t>simple</w:t>
      </w:r>
      <w:r>
        <w:rPr>
          <w:spacing w:val="-3"/>
        </w:rPr>
        <w:t> </w:t>
      </w:r>
      <w:r>
        <w:rPr/>
        <w:t>baits</w:t>
      </w:r>
      <w:r>
        <w:rPr>
          <w:spacing w:val="-4"/>
        </w:rPr>
        <w:t> </w:t>
      </w:r>
      <w:r>
        <w:rPr/>
        <w:t>for</w:t>
      </w:r>
      <w:r>
        <w:rPr>
          <w:spacing w:val="-4"/>
        </w:rPr>
        <w:t> </w:t>
      </w:r>
      <w:r>
        <w:rPr/>
        <w:t>camera</w:t>
      </w:r>
      <w:r>
        <w:rPr>
          <w:spacing w:val="-4"/>
        </w:rPr>
        <w:t> </w:t>
      </w:r>
      <w:r>
        <w:rPr/>
        <w:t>surveys</w:t>
      </w:r>
      <w:r>
        <w:rPr>
          <w:spacing w:val="-4"/>
        </w:rPr>
        <w:t> </w:t>
      </w:r>
      <w:r>
        <w:rPr/>
        <w:t>of</w:t>
      </w:r>
      <w:r>
        <w:rPr>
          <w:spacing w:val="-4"/>
        </w:rPr>
        <w:t> </w:t>
      </w:r>
      <w:r>
        <w:rPr/>
        <w:t>wild</w:t>
      </w:r>
      <w:r>
        <w:rPr>
          <w:spacing w:val="-3"/>
        </w:rPr>
        <w:t> </w:t>
      </w:r>
      <w:r>
        <w:rPr/>
        <w:t>pigs.</w:t>
      </w:r>
      <w:r>
        <w:rPr>
          <w:spacing w:val="-1"/>
        </w:rPr>
        <w:t> </w:t>
      </w:r>
      <w:r>
        <w:rPr>
          <w:i/>
        </w:rPr>
        <w:t>The</w:t>
      </w:r>
      <w:r>
        <w:rPr>
          <w:i/>
          <w:spacing w:val="-4"/>
        </w:rPr>
        <w:t> </w:t>
      </w:r>
      <w:r>
        <w:rPr>
          <w:i/>
        </w:rPr>
        <w:t>Journal</w:t>
      </w:r>
      <w:r>
        <w:rPr>
          <w:i/>
          <w:spacing w:val="-4"/>
        </w:rPr>
        <w:t> </w:t>
      </w:r>
      <w:r>
        <w:rPr>
          <w:i/>
        </w:rPr>
        <w:t>of</w:t>
      </w:r>
      <w:r>
        <w:rPr>
          <w:i/>
          <w:spacing w:val="-3"/>
        </w:rPr>
        <w:t> </w:t>
      </w:r>
      <w:r>
        <w:rPr>
          <w:i/>
        </w:rPr>
        <w:t>Wildlife</w:t>
      </w:r>
      <w:r>
        <w:rPr>
          <w:i/>
          <w:spacing w:val="-4"/>
        </w:rPr>
        <w:t> </w:t>
      </w:r>
      <w:r>
        <w:rPr>
          <w:i/>
        </w:rPr>
        <w:t>Management </w:t>
      </w:r>
      <w:r>
        <w:rPr>
          <w:b/>
        </w:rPr>
        <w:t>75</w:t>
      </w:r>
      <w:r>
        <w:rPr/>
        <w:t>(3):655–59. doi: 10.1002/jwmg.75.</w:t>
      </w:r>
    </w:p>
    <w:p>
      <w:pPr>
        <w:pStyle w:val="BodyText"/>
        <w:spacing w:before="12"/>
      </w:pPr>
    </w:p>
    <w:p>
      <w:pPr>
        <w:pStyle w:val="BodyText"/>
        <w:ind w:left="833" w:right="232" w:hanging="721"/>
      </w:pPr>
      <w:r>
        <w:rPr/>
        <w:t>Williams,</w:t>
      </w:r>
      <w:r>
        <w:rPr>
          <w:spacing w:val="-2"/>
        </w:rPr>
        <w:t> </w:t>
      </w:r>
      <w:r>
        <w:rPr/>
        <w:t>B.L.,</w:t>
      </w:r>
      <w:r>
        <w:rPr>
          <w:spacing w:val="-4"/>
        </w:rPr>
        <w:t> </w:t>
      </w:r>
      <w:r>
        <w:rPr/>
        <w:t>Holtfreter,</w:t>
      </w:r>
      <w:r>
        <w:rPr>
          <w:spacing w:val="-4"/>
        </w:rPr>
        <w:t> </w:t>
      </w:r>
      <w:r>
        <w:rPr/>
        <w:t>R.W.,</w:t>
      </w:r>
      <w:r>
        <w:rPr>
          <w:spacing w:val="-4"/>
        </w:rPr>
        <w:t> </w:t>
      </w:r>
      <w:r>
        <w:rPr/>
        <w:t>Ditchkoff,</w:t>
      </w:r>
      <w:r>
        <w:rPr>
          <w:spacing w:val="-2"/>
        </w:rPr>
        <w:t> </w:t>
      </w:r>
      <w:r>
        <w:rPr/>
        <w:t>S.S.,</w:t>
      </w:r>
      <w:r>
        <w:rPr>
          <w:spacing w:val="-2"/>
        </w:rPr>
        <w:t> </w:t>
      </w:r>
      <w:r>
        <w:rPr/>
        <w:t>and</w:t>
      </w:r>
      <w:r>
        <w:rPr>
          <w:spacing w:val="-2"/>
        </w:rPr>
        <w:t> </w:t>
      </w:r>
      <w:r>
        <w:rPr/>
        <w:t>Grand,</w:t>
      </w:r>
      <w:r>
        <w:rPr>
          <w:spacing w:val="-4"/>
        </w:rPr>
        <w:t> </w:t>
      </w:r>
      <w:r>
        <w:rPr/>
        <w:t>J.B.</w:t>
      </w:r>
      <w:r>
        <w:rPr>
          <w:spacing w:val="-4"/>
        </w:rPr>
        <w:t> </w:t>
      </w:r>
      <w:r>
        <w:rPr/>
        <w:t>(2011b).</w:t>
      </w:r>
      <w:r>
        <w:rPr>
          <w:spacing w:val="-4"/>
        </w:rPr>
        <w:t> </w:t>
      </w:r>
      <w:r>
        <w:rPr/>
        <w:t>Trap</w:t>
      </w:r>
      <w:r>
        <w:rPr>
          <w:spacing w:val="-5"/>
        </w:rPr>
        <w:t> </w:t>
      </w:r>
      <w:r>
        <w:rPr/>
        <w:t>style</w:t>
      </w:r>
      <w:r>
        <w:rPr>
          <w:spacing w:val="-4"/>
        </w:rPr>
        <w:t> </w:t>
      </w:r>
      <w:r>
        <w:rPr/>
        <w:t>influences</w:t>
      </w:r>
      <w:r>
        <w:rPr>
          <w:spacing w:val="-3"/>
        </w:rPr>
        <w:t> </w:t>
      </w:r>
      <w:r>
        <w:rPr/>
        <w:t>wild</w:t>
      </w:r>
      <w:r>
        <w:rPr>
          <w:spacing w:val="-2"/>
        </w:rPr>
        <w:t> </w:t>
      </w:r>
      <w:r>
        <w:rPr/>
        <w:t>pig behaviour and trapping success. </w:t>
      </w:r>
      <w:r>
        <w:rPr>
          <w:i/>
        </w:rPr>
        <w:t>The Journal of Wildlife Management </w:t>
      </w:r>
      <w:r>
        <w:rPr>
          <w:b/>
        </w:rPr>
        <w:t>75</w:t>
      </w:r>
      <w:r>
        <w:rPr/>
        <w:t>(2):432–36. doi: </w:t>
      </w:r>
      <w:r>
        <w:rPr>
          <w:spacing w:val="-2"/>
        </w:rPr>
        <w:t>10.1002/jwmg.64.</w:t>
      </w:r>
    </w:p>
    <w:p>
      <w:pPr>
        <w:pStyle w:val="BodyText"/>
        <w:spacing w:before="9"/>
      </w:pPr>
    </w:p>
    <w:p>
      <w:pPr>
        <w:pStyle w:val="BodyText"/>
        <w:ind w:left="833" w:right="163" w:hanging="721"/>
      </w:pPr>
      <w:r>
        <w:rPr/>
        <w:t>Williams, C.K., and Moore, R.J. (1995). Effectiveness and cost-efficiency of control of the wild rabbit, </w:t>
      </w:r>
      <w:r>
        <w:rPr>
          <w:i/>
        </w:rPr>
        <w:t>Oryctolagus</w:t>
      </w:r>
      <w:r>
        <w:rPr>
          <w:i/>
          <w:spacing w:val="-5"/>
        </w:rPr>
        <w:t> </w:t>
      </w:r>
      <w:r>
        <w:rPr>
          <w:i/>
        </w:rPr>
        <w:t>cuniculus</w:t>
      </w:r>
      <w:r>
        <w:rPr>
          <w:i/>
          <w:spacing w:val="-3"/>
        </w:rPr>
        <w:t> </w:t>
      </w:r>
      <w:r>
        <w:rPr/>
        <w:t>(l.),</w:t>
      </w:r>
      <w:r>
        <w:rPr>
          <w:spacing w:val="-4"/>
        </w:rPr>
        <w:t> </w:t>
      </w:r>
      <w:r>
        <w:rPr/>
        <w:t>by</w:t>
      </w:r>
      <w:r>
        <w:rPr>
          <w:spacing w:val="-5"/>
        </w:rPr>
        <w:t> </w:t>
      </w:r>
      <w:r>
        <w:rPr/>
        <w:t>combinations</w:t>
      </w:r>
      <w:r>
        <w:rPr>
          <w:spacing w:val="-5"/>
        </w:rPr>
        <w:t> </w:t>
      </w:r>
      <w:r>
        <w:rPr/>
        <w:t>of</w:t>
      </w:r>
      <w:r>
        <w:rPr>
          <w:spacing w:val="-6"/>
        </w:rPr>
        <w:t> </w:t>
      </w:r>
      <w:r>
        <w:rPr/>
        <w:t>poisoning,</w:t>
      </w:r>
      <w:r>
        <w:rPr>
          <w:spacing w:val="-6"/>
        </w:rPr>
        <w:t> </w:t>
      </w:r>
      <w:r>
        <w:rPr/>
        <w:t>ripping,</w:t>
      </w:r>
      <w:r>
        <w:rPr>
          <w:spacing w:val="-4"/>
        </w:rPr>
        <w:t> </w:t>
      </w:r>
      <w:r>
        <w:rPr/>
        <w:t>fumigation</w:t>
      </w:r>
      <w:r>
        <w:rPr>
          <w:spacing w:val="-5"/>
        </w:rPr>
        <w:t> </w:t>
      </w:r>
      <w:r>
        <w:rPr/>
        <w:t>and</w:t>
      </w:r>
      <w:r>
        <w:rPr>
          <w:spacing w:val="-4"/>
        </w:rPr>
        <w:t> </w:t>
      </w:r>
      <w:r>
        <w:rPr/>
        <w:t>maintenance fumigation. </w:t>
      </w:r>
      <w:r>
        <w:rPr>
          <w:i/>
        </w:rPr>
        <w:t>Wildlife Research </w:t>
      </w:r>
      <w:r>
        <w:rPr>
          <w:b/>
        </w:rPr>
        <w:t>22</w:t>
      </w:r>
      <w:r>
        <w:rPr/>
        <w:t>(3):253. doi: 10.1071/WR9950253.</w:t>
      </w:r>
    </w:p>
    <w:p>
      <w:pPr>
        <w:pStyle w:val="BodyText"/>
        <w:spacing w:before="11"/>
      </w:pPr>
    </w:p>
    <w:p>
      <w:pPr>
        <w:spacing w:before="0"/>
        <w:ind w:left="112" w:right="0" w:firstLine="0"/>
        <w:jc w:val="left"/>
        <w:rPr>
          <w:sz w:val="20"/>
        </w:rPr>
      </w:pPr>
      <w:r>
        <w:rPr>
          <w:sz w:val="20"/>
        </w:rPr>
        <w:t>Williams,</w:t>
      </w:r>
      <w:r>
        <w:rPr>
          <w:spacing w:val="-6"/>
          <w:sz w:val="20"/>
        </w:rPr>
        <w:t> </w:t>
      </w:r>
      <w:r>
        <w:rPr>
          <w:sz w:val="20"/>
        </w:rPr>
        <w:t>K.,</w:t>
      </w:r>
      <w:r>
        <w:rPr>
          <w:spacing w:val="-6"/>
          <w:sz w:val="20"/>
        </w:rPr>
        <w:t> </w:t>
      </w:r>
      <w:r>
        <w:rPr>
          <w:sz w:val="20"/>
        </w:rPr>
        <w:t>Parer,</w:t>
      </w:r>
      <w:r>
        <w:rPr>
          <w:spacing w:val="-7"/>
          <w:sz w:val="20"/>
        </w:rPr>
        <w:t> </w:t>
      </w:r>
      <w:r>
        <w:rPr>
          <w:sz w:val="20"/>
        </w:rPr>
        <w:t>I.,</w:t>
      </w:r>
      <w:r>
        <w:rPr>
          <w:spacing w:val="-8"/>
          <w:sz w:val="20"/>
        </w:rPr>
        <w:t> </w:t>
      </w:r>
      <w:r>
        <w:rPr>
          <w:sz w:val="20"/>
        </w:rPr>
        <w:t>Coman,</w:t>
      </w:r>
      <w:r>
        <w:rPr>
          <w:spacing w:val="-5"/>
          <w:sz w:val="20"/>
        </w:rPr>
        <w:t> </w:t>
      </w:r>
      <w:r>
        <w:rPr>
          <w:sz w:val="20"/>
        </w:rPr>
        <w:t>B.,</w:t>
      </w:r>
      <w:r>
        <w:rPr>
          <w:spacing w:val="-6"/>
          <w:sz w:val="20"/>
        </w:rPr>
        <w:t> </w:t>
      </w:r>
      <w:r>
        <w:rPr>
          <w:sz w:val="20"/>
        </w:rPr>
        <w:t>Burley,</w:t>
      </w:r>
      <w:r>
        <w:rPr>
          <w:spacing w:val="-7"/>
          <w:sz w:val="20"/>
        </w:rPr>
        <w:t> </w:t>
      </w:r>
      <w:r>
        <w:rPr>
          <w:sz w:val="20"/>
        </w:rPr>
        <w:t>J.,</w:t>
      </w:r>
      <w:r>
        <w:rPr>
          <w:spacing w:val="-8"/>
          <w:sz w:val="20"/>
        </w:rPr>
        <w:t> </w:t>
      </w:r>
      <w:r>
        <w:rPr>
          <w:sz w:val="20"/>
        </w:rPr>
        <w:t>and</w:t>
      </w:r>
      <w:r>
        <w:rPr>
          <w:spacing w:val="-5"/>
          <w:sz w:val="20"/>
        </w:rPr>
        <w:t> </w:t>
      </w:r>
      <w:r>
        <w:rPr>
          <w:sz w:val="20"/>
        </w:rPr>
        <w:t>Braysher,</w:t>
      </w:r>
      <w:r>
        <w:rPr>
          <w:spacing w:val="-8"/>
          <w:sz w:val="20"/>
        </w:rPr>
        <w:t> </w:t>
      </w:r>
      <w:r>
        <w:rPr>
          <w:sz w:val="20"/>
        </w:rPr>
        <w:t>M.</w:t>
      </w:r>
      <w:r>
        <w:rPr>
          <w:spacing w:val="-7"/>
          <w:sz w:val="20"/>
        </w:rPr>
        <w:t> </w:t>
      </w:r>
      <w:r>
        <w:rPr>
          <w:sz w:val="20"/>
        </w:rPr>
        <w:t>(1995). </w:t>
      </w:r>
      <w:r>
        <w:rPr>
          <w:i/>
          <w:sz w:val="20"/>
        </w:rPr>
        <w:t>Managing</w:t>
      </w:r>
      <w:r>
        <w:rPr>
          <w:i/>
          <w:spacing w:val="-4"/>
          <w:sz w:val="20"/>
        </w:rPr>
        <w:t> </w:t>
      </w:r>
      <w:r>
        <w:rPr>
          <w:i/>
          <w:sz w:val="20"/>
        </w:rPr>
        <w:t>vertebrate</w:t>
      </w:r>
      <w:r>
        <w:rPr>
          <w:i/>
          <w:spacing w:val="-6"/>
          <w:sz w:val="20"/>
        </w:rPr>
        <w:t> </w:t>
      </w:r>
      <w:r>
        <w:rPr>
          <w:i/>
          <w:sz w:val="20"/>
        </w:rPr>
        <w:t>pests:</w:t>
      </w:r>
      <w:r>
        <w:rPr>
          <w:i/>
          <w:spacing w:val="-7"/>
          <w:sz w:val="20"/>
        </w:rPr>
        <w:t> </w:t>
      </w:r>
      <w:r>
        <w:rPr>
          <w:i/>
          <w:spacing w:val="-2"/>
          <w:sz w:val="20"/>
        </w:rPr>
        <w:t>rabbits</w:t>
      </w:r>
      <w:r>
        <w:rPr>
          <w:spacing w:val="-2"/>
          <w:sz w:val="20"/>
        </w:rPr>
        <w:t>.</w:t>
      </w:r>
    </w:p>
    <w:p>
      <w:pPr>
        <w:pStyle w:val="BodyText"/>
        <w:spacing w:before="1"/>
        <w:ind w:left="833"/>
      </w:pPr>
      <w:r>
        <w:rPr/>
        <w:t>Australian</w:t>
      </w:r>
      <w:r>
        <w:rPr>
          <w:spacing w:val="-12"/>
        </w:rPr>
        <w:t> </w:t>
      </w:r>
      <w:r>
        <w:rPr/>
        <w:t>Government</w:t>
      </w:r>
      <w:r>
        <w:rPr>
          <w:spacing w:val="-10"/>
        </w:rPr>
        <w:t> </w:t>
      </w:r>
      <w:r>
        <w:rPr/>
        <w:t>Publishing</w:t>
      </w:r>
      <w:r>
        <w:rPr>
          <w:spacing w:val="-11"/>
        </w:rPr>
        <w:t> </w:t>
      </w:r>
      <w:r>
        <w:rPr/>
        <w:t>Service</w:t>
      </w:r>
      <w:r>
        <w:rPr>
          <w:spacing w:val="-11"/>
        </w:rPr>
        <w:t> </w:t>
      </w:r>
      <w:r>
        <w:rPr>
          <w:spacing w:val="-2"/>
        </w:rPr>
        <w:t>Canberra.</w:t>
      </w:r>
    </w:p>
    <w:p>
      <w:pPr>
        <w:pStyle w:val="BodyText"/>
        <w:spacing w:before="8"/>
      </w:pPr>
    </w:p>
    <w:p>
      <w:pPr>
        <w:spacing w:before="0"/>
        <w:ind w:left="833" w:right="232" w:hanging="721"/>
        <w:jc w:val="left"/>
        <w:rPr>
          <w:sz w:val="20"/>
        </w:rPr>
      </w:pPr>
      <w:r>
        <w:rPr>
          <w:sz w:val="20"/>
        </w:rPr>
        <w:t>Wilson,</w:t>
      </w:r>
      <w:r>
        <w:rPr>
          <w:spacing w:val="-1"/>
          <w:sz w:val="20"/>
        </w:rPr>
        <w:t> </w:t>
      </w:r>
      <w:r>
        <w:rPr>
          <w:sz w:val="20"/>
        </w:rPr>
        <w:t>C.,</w:t>
      </w:r>
      <w:r>
        <w:rPr>
          <w:spacing w:val="-3"/>
          <w:sz w:val="20"/>
        </w:rPr>
        <w:t> </w:t>
      </w:r>
      <w:r>
        <w:rPr>
          <w:sz w:val="20"/>
        </w:rPr>
        <w:t>and</w:t>
      </w:r>
      <w:r>
        <w:rPr>
          <w:spacing w:val="-4"/>
          <w:sz w:val="20"/>
        </w:rPr>
        <w:t> </w:t>
      </w:r>
      <w:r>
        <w:rPr>
          <w:sz w:val="20"/>
        </w:rPr>
        <w:t>Gentle,</w:t>
      </w:r>
      <w:r>
        <w:rPr>
          <w:spacing w:val="-3"/>
          <w:sz w:val="20"/>
        </w:rPr>
        <w:t> </w:t>
      </w:r>
      <w:r>
        <w:rPr>
          <w:sz w:val="20"/>
        </w:rPr>
        <w:t>M.N.</w:t>
      </w:r>
      <w:r>
        <w:rPr>
          <w:spacing w:val="-3"/>
          <w:sz w:val="20"/>
        </w:rPr>
        <w:t> </w:t>
      </w:r>
      <w:r>
        <w:rPr>
          <w:sz w:val="20"/>
        </w:rPr>
        <w:t>(2022).</w:t>
      </w:r>
      <w:r>
        <w:rPr>
          <w:spacing w:val="-1"/>
          <w:sz w:val="20"/>
        </w:rPr>
        <w:t> </w:t>
      </w:r>
      <w:r>
        <w:rPr>
          <w:i/>
          <w:sz w:val="20"/>
        </w:rPr>
        <w:t>Feral</w:t>
      </w:r>
      <w:r>
        <w:rPr>
          <w:i/>
          <w:spacing w:val="-4"/>
          <w:sz w:val="20"/>
        </w:rPr>
        <w:t> </w:t>
      </w:r>
      <w:r>
        <w:rPr>
          <w:i/>
          <w:sz w:val="20"/>
        </w:rPr>
        <w:t>pig</w:t>
      </w:r>
      <w:r>
        <w:rPr>
          <w:i/>
          <w:spacing w:val="-3"/>
          <w:sz w:val="20"/>
        </w:rPr>
        <w:t> </w:t>
      </w:r>
      <w:r>
        <w:rPr>
          <w:i/>
          <w:sz w:val="20"/>
        </w:rPr>
        <w:t>population</w:t>
      </w:r>
      <w:r>
        <w:rPr>
          <w:i/>
          <w:spacing w:val="-4"/>
          <w:sz w:val="20"/>
        </w:rPr>
        <w:t> </w:t>
      </w:r>
      <w:r>
        <w:rPr>
          <w:i/>
          <w:sz w:val="20"/>
        </w:rPr>
        <w:t>control</w:t>
      </w:r>
      <w:r>
        <w:rPr>
          <w:i/>
          <w:spacing w:val="-4"/>
          <w:sz w:val="20"/>
        </w:rPr>
        <w:t> </w:t>
      </w:r>
      <w:r>
        <w:rPr>
          <w:i/>
          <w:sz w:val="20"/>
        </w:rPr>
        <w:t>techniques:</w:t>
      </w:r>
      <w:r>
        <w:rPr>
          <w:i/>
          <w:spacing w:val="-3"/>
          <w:sz w:val="20"/>
        </w:rPr>
        <w:t> </w:t>
      </w:r>
      <w:r>
        <w:rPr>
          <w:i/>
          <w:sz w:val="20"/>
        </w:rPr>
        <w:t>a</w:t>
      </w:r>
      <w:r>
        <w:rPr>
          <w:i/>
          <w:spacing w:val="-1"/>
          <w:sz w:val="20"/>
        </w:rPr>
        <w:t> </w:t>
      </w:r>
      <w:r>
        <w:rPr>
          <w:i/>
          <w:sz w:val="20"/>
        </w:rPr>
        <w:t>review</w:t>
      </w:r>
      <w:r>
        <w:rPr>
          <w:i/>
          <w:spacing w:val="-3"/>
          <w:sz w:val="20"/>
        </w:rPr>
        <w:t> </w:t>
      </w:r>
      <w:r>
        <w:rPr>
          <w:i/>
          <w:sz w:val="20"/>
        </w:rPr>
        <w:t>and</w:t>
      </w:r>
      <w:r>
        <w:rPr>
          <w:i/>
          <w:spacing w:val="-4"/>
          <w:sz w:val="20"/>
        </w:rPr>
        <w:t> </w:t>
      </w:r>
      <w:r>
        <w:rPr>
          <w:i/>
          <w:sz w:val="20"/>
        </w:rPr>
        <w:t>discussion</w:t>
      </w:r>
      <w:r>
        <w:rPr>
          <w:i/>
          <w:spacing w:val="-2"/>
          <w:sz w:val="20"/>
        </w:rPr>
        <w:t> </w:t>
      </w:r>
      <w:r>
        <w:rPr>
          <w:i/>
          <w:sz w:val="20"/>
        </w:rPr>
        <w:t>of</w:t>
      </w:r>
      <w:r>
        <w:rPr>
          <w:i/>
          <w:sz w:val="20"/>
        </w:rPr>
        <w:t> efficacy and efficiency for application in Queensland</w:t>
      </w:r>
      <w:r>
        <w:rPr>
          <w:sz w:val="20"/>
        </w:rPr>
        <w:t>. State of Queensland.</w:t>
      </w:r>
    </w:p>
    <w:p>
      <w:pPr>
        <w:pStyle w:val="BodyText"/>
        <w:spacing w:before="11"/>
      </w:pPr>
    </w:p>
    <w:p>
      <w:pPr>
        <w:pStyle w:val="BodyText"/>
        <w:ind w:left="833" w:right="232" w:hanging="721"/>
      </w:pPr>
      <w:r>
        <w:rPr/>
        <w:t>Wishart,</w:t>
      </w:r>
      <w:r>
        <w:rPr>
          <w:spacing w:val="-3"/>
        </w:rPr>
        <w:t> </w:t>
      </w:r>
      <w:r>
        <w:rPr/>
        <w:t>J.</w:t>
      </w:r>
      <w:r>
        <w:rPr>
          <w:spacing w:val="-3"/>
        </w:rPr>
        <w:t> </w:t>
      </w:r>
      <w:r>
        <w:rPr/>
        <w:t>(2013).</w:t>
      </w:r>
      <w:r>
        <w:rPr>
          <w:spacing w:val="-1"/>
        </w:rPr>
        <w:t> </w:t>
      </w:r>
      <w:r>
        <w:rPr/>
        <w:t>An</w:t>
      </w:r>
      <w:r>
        <w:rPr>
          <w:spacing w:val="-1"/>
        </w:rPr>
        <w:t> </w:t>
      </w:r>
      <w:r>
        <w:rPr/>
        <w:t>investigation</w:t>
      </w:r>
      <w:r>
        <w:rPr>
          <w:spacing w:val="-1"/>
        </w:rPr>
        <w:t> </w:t>
      </w:r>
      <w:r>
        <w:rPr/>
        <w:t>into</w:t>
      </w:r>
      <w:r>
        <w:rPr>
          <w:spacing w:val="-4"/>
        </w:rPr>
        <w:t> </w:t>
      </w:r>
      <w:r>
        <w:rPr/>
        <w:t>the</w:t>
      </w:r>
      <w:r>
        <w:rPr>
          <w:spacing w:val="-4"/>
        </w:rPr>
        <w:t> </w:t>
      </w:r>
      <w:r>
        <w:rPr/>
        <w:t>ecology</w:t>
      </w:r>
      <w:r>
        <w:rPr>
          <w:spacing w:val="-2"/>
        </w:rPr>
        <w:t> </w:t>
      </w:r>
      <w:r>
        <w:rPr/>
        <w:t>and</w:t>
      </w:r>
      <w:r>
        <w:rPr>
          <w:spacing w:val="-4"/>
        </w:rPr>
        <w:t> </w:t>
      </w:r>
      <w:r>
        <w:rPr/>
        <w:t>management</w:t>
      </w:r>
      <w:r>
        <w:rPr>
          <w:spacing w:val="-1"/>
        </w:rPr>
        <w:t> </w:t>
      </w:r>
      <w:r>
        <w:rPr/>
        <w:t>of</w:t>
      </w:r>
      <w:r>
        <w:rPr>
          <w:spacing w:val="-3"/>
        </w:rPr>
        <w:t> </w:t>
      </w:r>
      <w:r>
        <w:rPr/>
        <w:t>feral</w:t>
      </w:r>
      <w:r>
        <w:rPr>
          <w:spacing w:val="-2"/>
        </w:rPr>
        <w:t> </w:t>
      </w:r>
      <w:r>
        <w:rPr/>
        <w:t>pigs</w:t>
      </w:r>
      <w:r>
        <w:rPr>
          <w:spacing w:val="-2"/>
        </w:rPr>
        <w:t> </w:t>
      </w:r>
      <w:r>
        <w:rPr/>
        <w:t>(</w:t>
      </w:r>
      <w:r>
        <w:rPr>
          <w:i/>
        </w:rPr>
        <w:t>Sus</w:t>
      </w:r>
      <w:r>
        <w:rPr>
          <w:i/>
          <w:spacing w:val="-2"/>
        </w:rPr>
        <w:t> </w:t>
      </w:r>
      <w:r>
        <w:rPr>
          <w:i/>
        </w:rPr>
        <w:t>scrofa</w:t>
      </w:r>
      <w:r>
        <w:rPr/>
        <w:t>)</w:t>
      </w:r>
      <w:r>
        <w:rPr>
          <w:spacing w:val="-2"/>
        </w:rPr>
        <w:t> </w:t>
      </w:r>
      <w:r>
        <w:rPr/>
        <w:t>in</w:t>
      </w:r>
      <w:r>
        <w:rPr>
          <w:spacing w:val="-3"/>
        </w:rPr>
        <w:t> </w:t>
      </w:r>
      <w:r>
        <w:rPr/>
        <w:t>the Macquarie Marshes, New South Wales.</w:t>
      </w:r>
    </w:p>
    <w:p>
      <w:pPr>
        <w:pStyle w:val="BodyText"/>
        <w:spacing w:before="11"/>
      </w:pPr>
    </w:p>
    <w:p>
      <w:pPr>
        <w:pStyle w:val="BodyText"/>
        <w:ind w:left="112"/>
      </w:pPr>
      <w:r>
        <w:rPr/>
        <w:t>Wood,</w:t>
      </w:r>
      <w:r>
        <w:rPr>
          <w:spacing w:val="-7"/>
        </w:rPr>
        <w:t> </w:t>
      </w:r>
      <w:r>
        <w:rPr/>
        <w:t>DH.</w:t>
      </w:r>
      <w:r>
        <w:rPr>
          <w:spacing w:val="-7"/>
        </w:rPr>
        <w:t> </w:t>
      </w:r>
      <w:r>
        <w:rPr/>
        <w:t>(1985).</w:t>
      </w:r>
      <w:r>
        <w:rPr>
          <w:spacing w:val="-7"/>
        </w:rPr>
        <w:t> </w:t>
      </w:r>
      <w:r>
        <w:rPr/>
        <w:t>Effectiveness</w:t>
      </w:r>
      <w:r>
        <w:rPr>
          <w:spacing w:val="-7"/>
        </w:rPr>
        <w:t> </w:t>
      </w:r>
      <w:r>
        <w:rPr/>
        <w:t>and</w:t>
      </w:r>
      <w:r>
        <w:rPr>
          <w:spacing w:val="-7"/>
        </w:rPr>
        <w:t> </w:t>
      </w:r>
      <w:r>
        <w:rPr/>
        <w:t>economics</w:t>
      </w:r>
      <w:r>
        <w:rPr>
          <w:spacing w:val="-6"/>
        </w:rPr>
        <w:t> </w:t>
      </w:r>
      <w:r>
        <w:rPr/>
        <w:t>of</w:t>
      </w:r>
      <w:r>
        <w:rPr>
          <w:spacing w:val="-7"/>
        </w:rPr>
        <w:t> </w:t>
      </w:r>
      <w:r>
        <w:rPr/>
        <w:t>destruction</w:t>
      </w:r>
      <w:r>
        <w:rPr>
          <w:spacing w:val="-8"/>
        </w:rPr>
        <w:t> </w:t>
      </w:r>
      <w:r>
        <w:rPr/>
        <w:t>of</w:t>
      </w:r>
      <w:r>
        <w:rPr>
          <w:spacing w:val="-6"/>
        </w:rPr>
        <w:t> </w:t>
      </w:r>
      <w:r>
        <w:rPr/>
        <w:t>rabbit</w:t>
      </w:r>
      <w:r>
        <w:rPr>
          <w:spacing w:val="-6"/>
        </w:rPr>
        <w:t> </w:t>
      </w:r>
      <w:r>
        <w:rPr/>
        <w:t>warrens</w:t>
      </w:r>
      <w:r>
        <w:rPr>
          <w:spacing w:val="-6"/>
        </w:rPr>
        <w:t> </w:t>
      </w:r>
      <w:r>
        <w:rPr/>
        <w:t>in</w:t>
      </w:r>
      <w:r>
        <w:rPr>
          <w:spacing w:val="-7"/>
        </w:rPr>
        <w:t> </w:t>
      </w:r>
      <w:r>
        <w:rPr/>
        <w:t>sandy</w:t>
      </w:r>
      <w:r>
        <w:rPr>
          <w:spacing w:val="-6"/>
        </w:rPr>
        <w:t> </w:t>
      </w:r>
      <w:r>
        <w:rPr/>
        <w:t>soils</w:t>
      </w:r>
      <w:r>
        <w:rPr>
          <w:spacing w:val="-6"/>
        </w:rPr>
        <w:t> </w:t>
      </w:r>
      <w:r>
        <w:rPr/>
        <w:t>by</w:t>
      </w:r>
      <w:r>
        <w:rPr>
          <w:spacing w:val="-6"/>
        </w:rPr>
        <w:t> </w:t>
      </w:r>
      <w:r>
        <w:rPr>
          <w:spacing w:val="-2"/>
        </w:rPr>
        <w:t>ripping.</w:t>
      </w:r>
    </w:p>
    <w:p>
      <w:pPr>
        <w:spacing w:before="0"/>
        <w:ind w:left="833" w:right="0" w:firstLine="0"/>
        <w:jc w:val="left"/>
        <w:rPr>
          <w:sz w:val="20"/>
        </w:rPr>
      </w:pPr>
      <w:r>
        <w:rPr>
          <w:i/>
          <w:sz w:val="20"/>
        </w:rPr>
        <w:t>The</w:t>
      </w:r>
      <w:r>
        <w:rPr>
          <w:i/>
          <w:spacing w:val="-11"/>
          <w:sz w:val="20"/>
        </w:rPr>
        <w:t> </w:t>
      </w:r>
      <w:r>
        <w:rPr>
          <w:i/>
          <w:sz w:val="20"/>
        </w:rPr>
        <w:t>Rangeland</w:t>
      </w:r>
      <w:r>
        <w:rPr>
          <w:i/>
          <w:spacing w:val="-10"/>
          <w:sz w:val="20"/>
        </w:rPr>
        <w:t> </w:t>
      </w:r>
      <w:r>
        <w:rPr>
          <w:i/>
          <w:sz w:val="20"/>
        </w:rPr>
        <w:t>Journal</w:t>
      </w:r>
      <w:r>
        <w:rPr>
          <w:i/>
          <w:spacing w:val="-6"/>
          <w:sz w:val="20"/>
        </w:rPr>
        <w:t> </w:t>
      </w:r>
      <w:r>
        <w:rPr>
          <w:b/>
          <w:spacing w:val="-2"/>
          <w:sz w:val="20"/>
        </w:rPr>
        <w:t>7</w:t>
      </w:r>
      <w:r>
        <w:rPr>
          <w:spacing w:val="-2"/>
          <w:sz w:val="20"/>
        </w:rPr>
        <w:t>(2):122–29.</w:t>
      </w:r>
    </w:p>
    <w:p>
      <w:pPr>
        <w:pStyle w:val="BodyText"/>
        <w:spacing w:before="8"/>
      </w:pPr>
    </w:p>
    <w:p>
      <w:pPr>
        <w:spacing w:before="1"/>
        <w:ind w:left="833" w:right="163" w:hanging="721"/>
        <w:jc w:val="left"/>
        <w:rPr>
          <w:sz w:val="20"/>
        </w:rPr>
      </w:pPr>
      <w:r>
        <w:rPr>
          <w:sz w:val="20"/>
        </w:rPr>
        <w:t>Woodford,</w:t>
      </w:r>
      <w:r>
        <w:rPr>
          <w:spacing w:val="-3"/>
          <w:sz w:val="20"/>
        </w:rPr>
        <w:t> </w:t>
      </w:r>
      <w:r>
        <w:rPr>
          <w:sz w:val="20"/>
        </w:rPr>
        <w:t>L.,</w:t>
      </w:r>
      <w:r>
        <w:rPr>
          <w:spacing w:val="-3"/>
          <w:sz w:val="20"/>
        </w:rPr>
        <w:t> </w:t>
      </w:r>
      <w:r>
        <w:rPr>
          <w:sz w:val="20"/>
        </w:rPr>
        <w:t>Ramsey,</w:t>
      </w:r>
      <w:r>
        <w:rPr>
          <w:spacing w:val="-3"/>
          <w:sz w:val="20"/>
        </w:rPr>
        <w:t> </w:t>
      </w:r>
      <w:r>
        <w:rPr>
          <w:sz w:val="20"/>
        </w:rPr>
        <w:t>D.,</w:t>
      </w:r>
      <w:r>
        <w:rPr>
          <w:spacing w:val="-3"/>
          <w:sz w:val="20"/>
        </w:rPr>
        <w:t> </w:t>
      </w:r>
      <w:r>
        <w:rPr>
          <w:sz w:val="20"/>
        </w:rPr>
        <w:t>and</w:t>
      </w:r>
      <w:r>
        <w:rPr>
          <w:spacing w:val="-4"/>
          <w:sz w:val="20"/>
        </w:rPr>
        <w:t> </w:t>
      </w:r>
      <w:r>
        <w:rPr>
          <w:sz w:val="20"/>
        </w:rPr>
        <w:t>Robley,</w:t>
      </w:r>
      <w:r>
        <w:rPr>
          <w:spacing w:val="-3"/>
          <w:sz w:val="20"/>
        </w:rPr>
        <w:t> </w:t>
      </w:r>
      <w:r>
        <w:rPr>
          <w:sz w:val="20"/>
        </w:rPr>
        <w:t>A.</w:t>
      </w:r>
      <w:r>
        <w:rPr>
          <w:spacing w:val="-4"/>
          <w:sz w:val="20"/>
        </w:rPr>
        <w:t> </w:t>
      </w:r>
      <w:r>
        <w:rPr>
          <w:sz w:val="20"/>
        </w:rPr>
        <w:t>(2023). </w:t>
      </w:r>
      <w:r>
        <w:rPr>
          <w:i/>
          <w:sz w:val="20"/>
        </w:rPr>
        <w:t>Assessing</w:t>
      </w:r>
      <w:r>
        <w:rPr>
          <w:i/>
          <w:spacing w:val="-5"/>
          <w:sz w:val="20"/>
        </w:rPr>
        <w:t> </w:t>
      </w:r>
      <w:r>
        <w:rPr>
          <w:i/>
          <w:sz w:val="20"/>
        </w:rPr>
        <w:t>feral</w:t>
      </w:r>
      <w:r>
        <w:rPr>
          <w:i/>
          <w:spacing w:val="-3"/>
          <w:sz w:val="20"/>
        </w:rPr>
        <w:t> </w:t>
      </w:r>
      <w:r>
        <w:rPr>
          <w:i/>
          <w:sz w:val="20"/>
        </w:rPr>
        <w:t>pig</w:t>
      </w:r>
      <w:r>
        <w:rPr>
          <w:i/>
          <w:spacing w:val="-4"/>
          <w:sz w:val="20"/>
        </w:rPr>
        <w:t> </w:t>
      </w:r>
      <w:r>
        <w:rPr>
          <w:i/>
          <w:sz w:val="20"/>
        </w:rPr>
        <w:t>and</w:t>
      </w:r>
      <w:r>
        <w:rPr>
          <w:i/>
          <w:spacing w:val="-4"/>
          <w:sz w:val="20"/>
        </w:rPr>
        <w:t> </w:t>
      </w:r>
      <w:r>
        <w:rPr>
          <w:i/>
          <w:sz w:val="20"/>
        </w:rPr>
        <w:t>deer</w:t>
      </w:r>
      <w:r>
        <w:rPr>
          <w:i/>
          <w:spacing w:val="-3"/>
          <w:sz w:val="20"/>
        </w:rPr>
        <w:t> </w:t>
      </w:r>
      <w:r>
        <w:rPr>
          <w:i/>
          <w:sz w:val="20"/>
        </w:rPr>
        <w:t>abundance</w:t>
      </w:r>
      <w:r>
        <w:rPr>
          <w:i/>
          <w:spacing w:val="-3"/>
          <w:sz w:val="20"/>
        </w:rPr>
        <w:t> </w:t>
      </w:r>
      <w:r>
        <w:rPr>
          <w:i/>
          <w:sz w:val="20"/>
        </w:rPr>
        <w:t>in</w:t>
      </w:r>
      <w:r>
        <w:rPr>
          <w:i/>
          <w:spacing w:val="-3"/>
          <w:sz w:val="20"/>
        </w:rPr>
        <w:t> </w:t>
      </w:r>
      <w:r>
        <w:rPr>
          <w:i/>
          <w:sz w:val="20"/>
        </w:rPr>
        <w:t>indigenous</w:t>
      </w:r>
      <w:r>
        <w:rPr>
          <w:i/>
          <w:sz w:val="20"/>
        </w:rPr>
        <w:t> protected areas adjoining Budj Bim National Park</w:t>
      </w:r>
      <w:r>
        <w:rPr>
          <w:sz w:val="20"/>
        </w:rPr>
        <w:t>. Technical Report Series.</w:t>
      </w:r>
    </w:p>
    <w:p>
      <w:pPr>
        <w:pStyle w:val="BodyText"/>
        <w:spacing w:before="10"/>
      </w:pPr>
    </w:p>
    <w:p>
      <w:pPr>
        <w:spacing w:before="0"/>
        <w:ind w:left="112" w:right="0" w:firstLine="0"/>
        <w:jc w:val="left"/>
        <w:rPr>
          <w:sz w:val="20"/>
        </w:rPr>
      </w:pPr>
      <w:r>
        <w:rPr>
          <w:sz w:val="20"/>
        </w:rPr>
        <w:t>World</w:t>
      </w:r>
      <w:r>
        <w:rPr>
          <w:spacing w:val="-10"/>
          <w:sz w:val="20"/>
        </w:rPr>
        <w:t> </w:t>
      </w:r>
      <w:r>
        <w:rPr>
          <w:sz w:val="20"/>
        </w:rPr>
        <w:t>Health</w:t>
      </w:r>
      <w:r>
        <w:rPr>
          <w:spacing w:val="-9"/>
          <w:sz w:val="20"/>
        </w:rPr>
        <w:t> </w:t>
      </w:r>
      <w:r>
        <w:rPr>
          <w:sz w:val="20"/>
        </w:rPr>
        <w:t>Organisation.</w:t>
      </w:r>
      <w:r>
        <w:rPr>
          <w:spacing w:val="-8"/>
          <w:sz w:val="20"/>
        </w:rPr>
        <w:t> </w:t>
      </w:r>
      <w:r>
        <w:rPr>
          <w:sz w:val="20"/>
        </w:rPr>
        <w:t>(1988).</w:t>
      </w:r>
      <w:r>
        <w:rPr>
          <w:spacing w:val="-5"/>
          <w:sz w:val="20"/>
        </w:rPr>
        <w:t> </w:t>
      </w:r>
      <w:r>
        <w:rPr>
          <w:i/>
          <w:sz w:val="20"/>
        </w:rPr>
        <w:t>Phosphine</w:t>
      </w:r>
      <w:r>
        <w:rPr>
          <w:i/>
          <w:spacing w:val="-8"/>
          <w:sz w:val="20"/>
        </w:rPr>
        <w:t> </w:t>
      </w:r>
      <w:r>
        <w:rPr>
          <w:i/>
          <w:sz w:val="20"/>
        </w:rPr>
        <w:t>and</w:t>
      </w:r>
      <w:r>
        <w:rPr>
          <w:i/>
          <w:spacing w:val="-8"/>
          <w:sz w:val="20"/>
        </w:rPr>
        <w:t> </w:t>
      </w:r>
      <w:r>
        <w:rPr>
          <w:i/>
          <w:sz w:val="20"/>
        </w:rPr>
        <w:t>selected</w:t>
      </w:r>
      <w:r>
        <w:rPr>
          <w:i/>
          <w:spacing w:val="-11"/>
          <w:sz w:val="20"/>
        </w:rPr>
        <w:t> </w:t>
      </w:r>
      <w:r>
        <w:rPr>
          <w:i/>
          <w:sz w:val="20"/>
        </w:rPr>
        <w:t>metal</w:t>
      </w:r>
      <w:r>
        <w:rPr>
          <w:i/>
          <w:spacing w:val="-10"/>
          <w:sz w:val="20"/>
        </w:rPr>
        <w:t> </w:t>
      </w:r>
      <w:r>
        <w:rPr>
          <w:i/>
          <w:sz w:val="20"/>
        </w:rPr>
        <w:t>phosphides.</w:t>
      </w:r>
      <w:r>
        <w:rPr>
          <w:i/>
          <w:spacing w:val="-6"/>
          <w:sz w:val="20"/>
        </w:rPr>
        <w:t> </w:t>
      </w:r>
      <w:r>
        <w:rPr>
          <w:sz w:val="20"/>
        </w:rPr>
        <w:t>World</w:t>
      </w:r>
      <w:r>
        <w:rPr>
          <w:spacing w:val="-10"/>
          <w:sz w:val="20"/>
        </w:rPr>
        <w:t> </w:t>
      </w:r>
      <w:r>
        <w:rPr>
          <w:sz w:val="20"/>
        </w:rPr>
        <w:t>Health</w:t>
      </w:r>
      <w:r>
        <w:rPr>
          <w:spacing w:val="-11"/>
          <w:sz w:val="20"/>
        </w:rPr>
        <w:t> </w:t>
      </w:r>
      <w:r>
        <w:rPr>
          <w:spacing w:val="-2"/>
          <w:sz w:val="20"/>
        </w:rPr>
        <w:t>Organisation.</w:t>
      </w:r>
    </w:p>
    <w:p>
      <w:pPr>
        <w:spacing w:after="0"/>
        <w:jc w:val="left"/>
        <w:rPr>
          <w:sz w:val="20"/>
        </w:rPr>
        <w:sectPr>
          <w:pgSz w:w="11910" w:h="16850"/>
          <w:pgMar w:header="0" w:footer="688" w:top="1060" w:bottom="880" w:left="1020" w:right="780"/>
        </w:sectPr>
      </w:pPr>
    </w:p>
    <w:p>
      <w:pPr>
        <w:pStyle w:val="BodyText"/>
        <w:spacing w:before="71"/>
        <w:ind w:left="833" w:right="364" w:hanging="721"/>
      </w:pPr>
      <w:r>
        <w:rPr/>
        <w:t>Young,</w:t>
      </w:r>
      <w:r>
        <w:rPr>
          <w:spacing w:val="-1"/>
        </w:rPr>
        <w:t> </w:t>
      </w:r>
      <w:r>
        <w:rPr/>
        <w:t>L.K.,</w:t>
      </w:r>
      <w:r>
        <w:rPr>
          <w:spacing w:val="-3"/>
        </w:rPr>
        <w:t> </w:t>
      </w:r>
      <w:r>
        <w:rPr/>
        <w:t>Skinner,</w:t>
      </w:r>
      <w:r>
        <w:rPr>
          <w:spacing w:val="-3"/>
        </w:rPr>
        <w:t> </w:t>
      </w:r>
      <w:r>
        <w:rPr/>
        <w:t>K.,</w:t>
      </w:r>
      <w:r>
        <w:rPr>
          <w:spacing w:val="-3"/>
        </w:rPr>
        <w:t> </w:t>
      </w:r>
      <w:r>
        <w:rPr/>
        <w:t>Tyne,</w:t>
      </w:r>
      <w:r>
        <w:rPr>
          <w:spacing w:val="-3"/>
        </w:rPr>
        <w:t> </w:t>
      </w:r>
      <w:r>
        <w:rPr/>
        <w:t>J.F.,</w:t>
      </w:r>
      <w:r>
        <w:rPr>
          <w:spacing w:val="-3"/>
        </w:rPr>
        <w:t> </w:t>
      </w:r>
      <w:r>
        <w:rPr/>
        <w:t>and</w:t>
      </w:r>
      <w:r>
        <w:rPr>
          <w:spacing w:val="-2"/>
        </w:rPr>
        <w:t> </w:t>
      </w:r>
      <w:r>
        <w:rPr/>
        <w:t>Edwards,</w:t>
      </w:r>
      <w:r>
        <w:rPr>
          <w:spacing w:val="-3"/>
        </w:rPr>
        <w:t> </w:t>
      </w:r>
      <w:r>
        <w:rPr/>
        <w:t>G.</w:t>
      </w:r>
      <w:r>
        <w:rPr>
          <w:spacing w:val="-1"/>
        </w:rPr>
        <w:t> </w:t>
      </w:r>
      <w:r>
        <w:rPr/>
        <w:t>(2024).</w:t>
      </w:r>
      <w:r>
        <w:rPr>
          <w:spacing w:val="-3"/>
        </w:rPr>
        <w:t> </w:t>
      </w:r>
      <w:r>
        <w:rPr/>
        <w:t>Increasing</w:t>
      </w:r>
      <w:r>
        <w:rPr>
          <w:spacing w:val="-3"/>
        </w:rPr>
        <w:t> </w:t>
      </w:r>
      <w:r>
        <w:rPr/>
        <w:t>the</w:t>
      </w:r>
      <w:r>
        <w:rPr>
          <w:spacing w:val="-3"/>
        </w:rPr>
        <w:t> </w:t>
      </w:r>
      <w:r>
        <w:rPr/>
        <w:t>target</w:t>
      </w:r>
      <w:r>
        <w:rPr>
          <w:spacing w:val="-3"/>
        </w:rPr>
        <w:t> </w:t>
      </w:r>
      <w:r>
        <w:rPr/>
        <w:t>specificity</w:t>
      </w:r>
      <w:r>
        <w:rPr>
          <w:spacing w:val="-2"/>
        </w:rPr>
        <w:t> </w:t>
      </w:r>
      <w:r>
        <w:rPr/>
        <w:t>of</w:t>
      </w:r>
      <w:r>
        <w:rPr>
          <w:spacing w:val="-3"/>
        </w:rPr>
        <w:t> </w:t>
      </w:r>
      <w:r>
        <w:rPr/>
        <w:t>the</w:t>
      </w:r>
      <w:r>
        <w:rPr>
          <w:spacing w:val="-3"/>
        </w:rPr>
        <w:t> </w:t>
      </w:r>
      <w:r>
        <w:rPr/>
        <w:t>canid- pest ejector for red fox (</w:t>
      </w:r>
      <w:r>
        <w:rPr>
          <w:i/>
        </w:rPr>
        <w:t>Vulpes vulpes</w:t>
      </w:r>
      <w:r>
        <w:rPr/>
        <w:t>) control by using a collar to exclude larger canids. </w:t>
      </w:r>
      <w:r>
        <w:rPr>
          <w:i/>
        </w:rPr>
        <w:t>Wildlife</w:t>
      </w:r>
      <w:r>
        <w:rPr>
          <w:i/>
        </w:rPr>
        <w:t> Research </w:t>
      </w:r>
      <w:r>
        <w:rPr>
          <w:b/>
        </w:rPr>
        <w:t>51</w:t>
      </w:r>
      <w:r>
        <w:rPr/>
        <w:t>(6):1–12. doi: 10.1071/WR23147.</w:t>
      </w:r>
    </w:p>
    <w:p>
      <w:pPr>
        <w:pStyle w:val="BodyText"/>
        <w:spacing w:before="12"/>
      </w:pPr>
    </w:p>
    <w:p>
      <w:pPr>
        <w:pStyle w:val="BodyText"/>
        <w:ind w:left="833" w:right="364" w:hanging="721"/>
      </w:pPr>
      <w:r>
        <w:rPr/>
        <w:t>Zarco-Gonzalez,</w:t>
      </w:r>
      <w:r>
        <w:rPr>
          <w:spacing w:val="-3"/>
        </w:rPr>
        <w:t> </w:t>
      </w:r>
      <w:r>
        <w:rPr/>
        <w:t>M.,</w:t>
      </w:r>
      <w:r>
        <w:rPr>
          <w:spacing w:val="-5"/>
        </w:rPr>
        <w:t> </w:t>
      </w:r>
      <w:r>
        <w:rPr/>
        <w:t>and</w:t>
      </w:r>
      <w:r>
        <w:rPr>
          <w:spacing w:val="-4"/>
        </w:rPr>
        <w:t> </w:t>
      </w:r>
      <w:r>
        <w:rPr/>
        <w:t>Monroy-Vichis,</w:t>
      </w:r>
      <w:r>
        <w:rPr>
          <w:spacing w:val="-5"/>
        </w:rPr>
        <w:t> </w:t>
      </w:r>
      <w:r>
        <w:rPr/>
        <w:t>O.</w:t>
      </w:r>
      <w:r>
        <w:rPr>
          <w:spacing w:val="-5"/>
        </w:rPr>
        <w:t> </w:t>
      </w:r>
      <w:r>
        <w:rPr/>
        <w:t>(2014).</w:t>
      </w:r>
      <w:r>
        <w:rPr>
          <w:spacing w:val="-3"/>
        </w:rPr>
        <w:t> </w:t>
      </w:r>
      <w:r>
        <w:rPr/>
        <w:t>Effectiveness</w:t>
      </w:r>
      <w:r>
        <w:rPr>
          <w:spacing w:val="-4"/>
        </w:rPr>
        <w:t> </w:t>
      </w:r>
      <w:r>
        <w:rPr/>
        <w:t>of low-cost</w:t>
      </w:r>
      <w:r>
        <w:rPr>
          <w:spacing w:val="-5"/>
        </w:rPr>
        <w:t> </w:t>
      </w:r>
      <w:r>
        <w:rPr/>
        <w:t>deterrents</w:t>
      </w:r>
      <w:r>
        <w:rPr>
          <w:spacing w:val="-4"/>
        </w:rPr>
        <w:t> </w:t>
      </w:r>
      <w:r>
        <w:rPr/>
        <w:t>in</w:t>
      </w:r>
      <w:r>
        <w:rPr>
          <w:spacing w:val="-3"/>
        </w:rPr>
        <w:t> </w:t>
      </w:r>
      <w:r>
        <w:rPr/>
        <w:t>decreasing livestock predation by felids: a case in central Mexico. </w:t>
      </w:r>
      <w:r>
        <w:rPr>
          <w:i/>
        </w:rPr>
        <w:t>Animal Conservation </w:t>
      </w:r>
      <w:r>
        <w:rPr>
          <w:b/>
        </w:rPr>
        <w:t>17</w:t>
      </w:r>
      <w:r>
        <w:rPr/>
        <w:t>:371–78.</w:t>
      </w:r>
    </w:p>
    <w:p>
      <w:pPr>
        <w:spacing w:after="0"/>
        <w:sectPr>
          <w:pgSz w:w="11910" w:h="16850"/>
          <w:pgMar w:header="0" w:footer="688" w:top="1060" w:bottom="880" w:left="1020" w:right="780"/>
        </w:sectPr>
      </w:pPr>
    </w:p>
    <w:p>
      <w:pPr>
        <w:pStyle w:val="Heading2"/>
        <w:spacing w:before="60"/>
        <w:ind w:left="112" w:firstLine="0"/>
      </w:pPr>
      <w:bookmarkStart w:name="_TOC_250001" w:id="119"/>
      <w:bookmarkEnd w:id="119"/>
      <w:r>
        <w:rPr>
          <w:color w:val="001F5F"/>
          <w:spacing w:val="-2"/>
        </w:rPr>
        <w:t>Appendices</w:t>
      </w:r>
    </w:p>
    <w:p>
      <w:pPr>
        <w:pStyle w:val="BodyText"/>
        <w:spacing w:before="232"/>
        <w:rPr>
          <w:b/>
          <w:sz w:val="32"/>
        </w:rPr>
      </w:pPr>
    </w:p>
    <w:p>
      <w:pPr>
        <w:pStyle w:val="Heading3"/>
        <w:ind w:left="112" w:firstLine="0"/>
      </w:pPr>
      <w:bookmarkStart w:name="_TOC_250000" w:id="120"/>
      <w:r>
        <w:rPr/>
        <w:t>Appendix</w:t>
      </w:r>
      <w:r>
        <w:rPr>
          <w:spacing w:val="-4"/>
        </w:rPr>
        <w:t> </w:t>
      </w:r>
      <w:r>
        <w:rPr/>
        <w:t>1.</w:t>
      </w:r>
      <w:r>
        <w:rPr>
          <w:spacing w:val="-6"/>
        </w:rPr>
        <w:t> </w:t>
      </w:r>
      <w:r>
        <w:rPr/>
        <w:t>Information</w:t>
      </w:r>
      <w:r>
        <w:rPr>
          <w:spacing w:val="-5"/>
        </w:rPr>
        <w:t> </w:t>
      </w:r>
      <w:r>
        <w:rPr/>
        <w:t>required</w:t>
      </w:r>
      <w:r>
        <w:rPr>
          <w:spacing w:val="-4"/>
        </w:rPr>
        <w:t> </w:t>
      </w:r>
      <w:r>
        <w:rPr/>
        <w:t>to</w:t>
      </w:r>
      <w:r>
        <w:rPr>
          <w:spacing w:val="-6"/>
        </w:rPr>
        <w:t> </w:t>
      </w:r>
      <w:r>
        <w:rPr/>
        <w:t>parameterise</w:t>
      </w:r>
      <w:r>
        <w:rPr>
          <w:spacing w:val="-3"/>
        </w:rPr>
        <w:t> </w:t>
      </w:r>
      <w:r>
        <w:rPr/>
        <w:t>cost-effectiveness</w:t>
      </w:r>
      <w:r>
        <w:rPr>
          <w:spacing w:val="-5"/>
        </w:rPr>
        <w:t> </w:t>
      </w:r>
      <w:r>
        <w:rPr/>
        <w:t>models</w:t>
      </w:r>
      <w:r>
        <w:rPr>
          <w:spacing w:val="-4"/>
        </w:rPr>
        <w:t> </w:t>
      </w:r>
      <w:r>
        <w:rPr/>
        <w:t>of</w:t>
      </w:r>
      <w:r>
        <w:rPr>
          <w:spacing w:val="-5"/>
        </w:rPr>
        <w:t> </w:t>
      </w:r>
      <w:r>
        <w:rPr/>
        <w:t>pest</w:t>
      </w:r>
      <w:r>
        <w:rPr>
          <w:spacing w:val="-8"/>
        </w:rPr>
        <w:t> </w:t>
      </w:r>
      <w:bookmarkEnd w:id="120"/>
      <w:r>
        <w:rPr>
          <w:spacing w:val="-2"/>
        </w:rPr>
        <w:t>control</w:t>
      </w:r>
    </w:p>
    <w:p>
      <w:pPr>
        <w:pStyle w:val="BodyText"/>
        <w:spacing w:before="57"/>
        <w:ind w:left="112"/>
      </w:pPr>
      <w:r>
        <w:rPr/>
        <w:t>An operation can be a single control event or encompass several events, e.g. total number of days over which baiting or trapping occurs before baits are replaced/removed</w:t>
      </w:r>
      <w:r>
        <w:rPr>
          <w:spacing w:val="-1"/>
        </w:rPr>
        <w:t> </w:t>
      </w:r>
      <w:r>
        <w:rPr/>
        <w:t>or a</w:t>
      </w:r>
      <w:r>
        <w:rPr>
          <w:spacing w:val="-2"/>
        </w:rPr>
        <w:t> </w:t>
      </w:r>
      <w:r>
        <w:rPr/>
        <w:t>trap pulled</w:t>
      </w:r>
      <w:r>
        <w:rPr>
          <w:spacing w:val="-2"/>
        </w:rPr>
        <w:t> </w:t>
      </w:r>
      <w:r>
        <w:rPr/>
        <w:t>up is</w:t>
      </w:r>
      <w:r>
        <w:rPr>
          <w:spacing w:val="-1"/>
        </w:rPr>
        <w:t> </w:t>
      </w:r>
      <w:r>
        <w:rPr/>
        <w:t>an</w:t>
      </w:r>
      <w:r>
        <w:rPr>
          <w:spacing w:val="-2"/>
        </w:rPr>
        <w:t> </w:t>
      </w:r>
      <w:r>
        <w:rPr/>
        <w:t>event,</w:t>
      </w:r>
      <w:r>
        <w:rPr>
          <w:spacing w:val="-2"/>
        </w:rPr>
        <w:t> </w:t>
      </w:r>
      <w:r>
        <w:rPr/>
        <w:t>several</w:t>
      </w:r>
      <w:r>
        <w:rPr>
          <w:spacing w:val="-3"/>
        </w:rPr>
        <w:t> </w:t>
      </w:r>
      <w:r>
        <w:rPr/>
        <w:t>baiting/trapping</w:t>
      </w:r>
      <w:r>
        <w:rPr>
          <w:spacing w:val="-2"/>
        </w:rPr>
        <w:t> </w:t>
      </w:r>
      <w:r>
        <w:rPr/>
        <w:t>events make</w:t>
      </w:r>
      <w:r>
        <w:rPr>
          <w:spacing w:val="-2"/>
        </w:rPr>
        <w:t> </w:t>
      </w:r>
      <w:r>
        <w:rPr/>
        <w:t>up</w:t>
      </w:r>
      <w:r>
        <w:rPr>
          <w:spacing w:val="-2"/>
        </w:rPr>
        <w:t> </w:t>
      </w:r>
      <w:r>
        <w:rPr/>
        <w:t>an operation, a</w:t>
      </w:r>
      <w:r>
        <w:rPr>
          <w:spacing w:val="-2"/>
        </w:rPr>
        <w:t> </w:t>
      </w:r>
      <w:r>
        <w:rPr/>
        <w:t>single</w:t>
      </w:r>
      <w:r>
        <w:rPr>
          <w:spacing w:val="-2"/>
        </w:rPr>
        <w:t> </w:t>
      </w:r>
      <w:r>
        <w:rPr/>
        <w:t>flight</w:t>
      </w:r>
      <w:r>
        <w:rPr>
          <w:spacing w:val="-2"/>
        </w:rPr>
        <w:t> </w:t>
      </w:r>
      <w:r>
        <w:rPr/>
        <w:t>shooting</w:t>
      </w:r>
      <w:r>
        <w:rPr>
          <w:spacing w:val="-1"/>
        </w:rPr>
        <w:t> </w:t>
      </w:r>
      <w:r>
        <w:rPr/>
        <w:t>is</w:t>
      </w:r>
      <w:r>
        <w:rPr>
          <w:spacing w:val="-1"/>
        </w:rPr>
        <w:t> </w:t>
      </w:r>
      <w:r>
        <w:rPr/>
        <w:t>an</w:t>
      </w:r>
      <w:r>
        <w:rPr>
          <w:spacing w:val="-1"/>
        </w:rPr>
        <w:t> </w:t>
      </w:r>
      <w:r>
        <w:rPr/>
        <w:t>event,</w:t>
      </w:r>
      <w:r>
        <w:rPr>
          <w:spacing w:val="-2"/>
        </w:rPr>
        <w:t> </w:t>
      </w:r>
      <w:r>
        <w:rPr/>
        <w:t>several</w:t>
      </w:r>
      <w:r>
        <w:rPr>
          <w:spacing w:val="-3"/>
        </w:rPr>
        <w:t> </w:t>
      </w:r>
      <w:r>
        <w:rPr/>
        <w:t>flights,</w:t>
      </w:r>
      <w:r>
        <w:rPr>
          <w:spacing w:val="-2"/>
        </w:rPr>
        <w:t> </w:t>
      </w:r>
      <w:r>
        <w:rPr/>
        <w:t>either</w:t>
      </w:r>
      <w:r>
        <w:rPr>
          <w:spacing w:val="-2"/>
        </w:rPr>
        <w:t> </w:t>
      </w:r>
      <w:r>
        <w:rPr/>
        <w:t>per day or over multiple days is an operation, ripping or fumigating warrens per day in an event, multiple consecutive days is an operation.</w:t>
      </w:r>
    </w:p>
    <w:p>
      <w:pPr>
        <w:pStyle w:val="Heading7"/>
        <w:spacing w:before="198"/>
      </w:pPr>
      <w:r>
        <w:rPr>
          <w:color w:val="1F1546"/>
        </w:rPr>
        <w:t>Table</w:t>
      </w:r>
      <w:r>
        <w:rPr>
          <w:color w:val="1F1546"/>
          <w:spacing w:val="-8"/>
        </w:rPr>
        <w:t> </w:t>
      </w:r>
      <w:r>
        <w:rPr>
          <w:color w:val="1F1546"/>
        </w:rPr>
        <w:t>A1.</w:t>
      </w:r>
      <w:r>
        <w:rPr>
          <w:color w:val="1F1546"/>
          <w:spacing w:val="-8"/>
        </w:rPr>
        <w:t> </w:t>
      </w:r>
      <w:r>
        <w:rPr>
          <w:color w:val="1F1546"/>
        </w:rPr>
        <w:t>Data</w:t>
      </w:r>
      <w:r>
        <w:rPr>
          <w:color w:val="1F1546"/>
          <w:spacing w:val="-6"/>
        </w:rPr>
        <w:t> </w:t>
      </w:r>
      <w:r>
        <w:rPr>
          <w:color w:val="1F1546"/>
        </w:rPr>
        <w:t>required</w:t>
      </w:r>
      <w:r>
        <w:rPr>
          <w:color w:val="1F1546"/>
          <w:spacing w:val="-8"/>
        </w:rPr>
        <w:t> </w:t>
      </w:r>
      <w:r>
        <w:rPr>
          <w:color w:val="1F1546"/>
        </w:rPr>
        <w:t>from</w:t>
      </w:r>
      <w:r>
        <w:rPr>
          <w:color w:val="1F1546"/>
          <w:spacing w:val="-6"/>
        </w:rPr>
        <w:t> </w:t>
      </w:r>
      <w:r>
        <w:rPr>
          <w:color w:val="1F1546"/>
        </w:rPr>
        <w:t>lethal</w:t>
      </w:r>
      <w:r>
        <w:rPr>
          <w:color w:val="1F1546"/>
          <w:spacing w:val="-8"/>
        </w:rPr>
        <w:t> </w:t>
      </w:r>
      <w:r>
        <w:rPr>
          <w:color w:val="1F1546"/>
        </w:rPr>
        <w:t>rabbit</w:t>
      </w:r>
      <w:r>
        <w:rPr>
          <w:color w:val="1F1546"/>
          <w:spacing w:val="-7"/>
        </w:rPr>
        <w:t> </w:t>
      </w:r>
      <w:r>
        <w:rPr>
          <w:color w:val="1F1546"/>
        </w:rPr>
        <w:t>control</w:t>
      </w:r>
      <w:r>
        <w:rPr>
          <w:color w:val="1F1546"/>
          <w:spacing w:val="-8"/>
        </w:rPr>
        <w:t> </w:t>
      </w:r>
      <w:r>
        <w:rPr>
          <w:color w:val="1F1546"/>
        </w:rPr>
        <w:t>operations</w:t>
      </w:r>
      <w:r>
        <w:rPr>
          <w:color w:val="1F1546"/>
          <w:spacing w:val="-8"/>
        </w:rPr>
        <w:t> </w:t>
      </w:r>
      <w:r>
        <w:rPr>
          <w:color w:val="1F1546"/>
        </w:rPr>
        <w:t>to</w:t>
      </w:r>
      <w:r>
        <w:rPr>
          <w:color w:val="1F1546"/>
          <w:spacing w:val="-7"/>
        </w:rPr>
        <w:t> </w:t>
      </w:r>
      <w:r>
        <w:rPr>
          <w:color w:val="1F1546"/>
        </w:rPr>
        <w:t>parameterise</w:t>
      </w:r>
      <w:r>
        <w:rPr>
          <w:color w:val="1F1546"/>
          <w:spacing w:val="-6"/>
        </w:rPr>
        <w:t> </w:t>
      </w:r>
      <w:r>
        <w:rPr>
          <w:color w:val="1F1546"/>
        </w:rPr>
        <w:t>cost-effectiveness</w:t>
      </w:r>
      <w:r>
        <w:rPr>
          <w:color w:val="1F1546"/>
          <w:spacing w:val="-6"/>
        </w:rPr>
        <w:t> </w:t>
      </w:r>
      <w:r>
        <w:rPr>
          <w:color w:val="1F1546"/>
          <w:spacing w:val="-2"/>
        </w:rPr>
        <w:t>models.</w:t>
      </w:r>
    </w:p>
    <w:p>
      <w:pPr>
        <w:pStyle w:val="BodyText"/>
        <w:spacing w:before="8"/>
        <w:rPr>
          <w:b/>
          <w:sz w:val="10"/>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4"/>
        <w:gridCol w:w="8302"/>
      </w:tblGrid>
      <w:tr>
        <w:trPr>
          <w:trHeight w:val="350" w:hRule="atLeast"/>
        </w:trPr>
        <w:tc>
          <w:tcPr>
            <w:tcW w:w="5444" w:type="dxa"/>
            <w:shd w:val="clear" w:color="auto" w:fill="004B96"/>
          </w:tcPr>
          <w:p>
            <w:pPr>
              <w:pStyle w:val="TableParagraph"/>
              <w:spacing w:before="60"/>
              <w:ind w:left="110"/>
              <w:rPr>
                <w:b/>
                <w:sz w:val="20"/>
              </w:rPr>
            </w:pPr>
            <w:r>
              <w:rPr>
                <w:b/>
                <w:color w:val="FFFFFF"/>
                <w:spacing w:val="-2"/>
                <w:sz w:val="20"/>
              </w:rPr>
              <w:t>Parameter</w:t>
            </w:r>
          </w:p>
        </w:tc>
        <w:tc>
          <w:tcPr>
            <w:tcW w:w="8302" w:type="dxa"/>
            <w:shd w:val="clear" w:color="auto" w:fill="004B96"/>
          </w:tcPr>
          <w:p>
            <w:pPr>
              <w:pStyle w:val="TableParagraph"/>
              <w:spacing w:before="60"/>
              <w:ind w:left="108"/>
              <w:rPr>
                <w:b/>
                <w:sz w:val="20"/>
              </w:rPr>
            </w:pPr>
            <w:r>
              <w:rPr>
                <w:b/>
                <w:color w:val="FFFFFF"/>
                <w:spacing w:val="-2"/>
                <w:sz w:val="20"/>
              </w:rPr>
              <w:t>Description</w:t>
            </w:r>
          </w:p>
        </w:tc>
      </w:tr>
      <w:tr>
        <w:trPr>
          <w:trHeight w:val="369" w:hRule="atLeast"/>
        </w:trPr>
        <w:tc>
          <w:tcPr>
            <w:tcW w:w="5444" w:type="dxa"/>
          </w:tcPr>
          <w:p>
            <w:pPr>
              <w:pStyle w:val="TableParagraph"/>
              <w:spacing w:before="78"/>
              <w:ind w:left="110"/>
              <w:rPr>
                <w:b/>
                <w:sz w:val="20"/>
              </w:rPr>
            </w:pPr>
            <w:r>
              <w:rPr>
                <w:b/>
                <w:spacing w:val="-2"/>
                <w:sz w:val="20"/>
              </w:rPr>
              <w:t>Operational</w:t>
            </w:r>
            <w:r>
              <w:rPr>
                <w:b/>
                <w:spacing w:val="6"/>
                <w:sz w:val="20"/>
              </w:rPr>
              <w:t> </w:t>
            </w:r>
            <w:r>
              <w:rPr>
                <w:b/>
                <w:spacing w:val="-4"/>
                <w:sz w:val="20"/>
              </w:rPr>
              <w:t>data</w:t>
            </w:r>
          </w:p>
        </w:tc>
        <w:tc>
          <w:tcPr>
            <w:tcW w:w="8302" w:type="dxa"/>
          </w:tcPr>
          <w:p>
            <w:pPr>
              <w:pStyle w:val="TableParagraph"/>
              <w:rPr>
                <w:rFonts w:ascii="Times New Roman"/>
                <w:sz w:val="20"/>
              </w:rPr>
            </w:pPr>
          </w:p>
        </w:tc>
      </w:tr>
      <w:tr>
        <w:trPr>
          <w:trHeight w:val="369" w:hRule="atLeast"/>
        </w:trPr>
        <w:tc>
          <w:tcPr>
            <w:tcW w:w="5444" w:type="dxa"/>
          </w:tcPr>
          <w:p>
            <w:pPr>
              <w:pStyle w:val="TableParagraph"/>
              <w:spacing w:before="78"/>
              <w:ind w:left="110"/>
              <w:rPr>
                <w:sz w:val="20"/>
              </w:rPr>
            </w:pPr>
            <w:r>
              <w:rPr>
                <w:sz w:val="20"/>
              </w:rPr>
              <w:t>Date</w:t>
            </w:r>
            <w:r>
              <w:rPr>
                <w:spacing w:val="-7"/>
                <w:sz w:val="20"/>
              </w:rPr>
              <w:t> </w:t>
            </w:r>
            <w:r>
              <w:rPr>
                <w:sz w:val="20"/>
              </w:rPr>
              <w:t>and</w:t>
            </w:r>
            <w:r>
              <w:rPr>
                <w:spacing w:val="-5"/>
                <w:sz w:val="20"/>
              </w:rPr>
              <w:t> </w:t>
            </w:r>
            <w:r>
              <w:rPr>
                <w:spacing w:val="-2"/>
                <w:sz w:val="20"/>
              </w:rPr>
              <w:t>location</w:t>
            </w:r>
          </w:p>
        </w:tc>
        <w:tc>
          <w:tcPr>
            <w:tcW w:w="8302" w:type="dxa"/>
          </w:tcPr>
          <w:p>
            <w:pPr>
              <w:pStyle w:val="TableParagraph"/>
              <w:spacing w:before="78"/>
              <w:ind w:left="108"/>
              <w:rPr>
                <w:sz w:val="20"/>
              </w:rPr>
            </w:pPr>
            <w:r>
              <w:rPr>
                <w:sz w:val="20"/>
              </w:rPr>
              <w:t>Location</w:t>
            </w:r>
            <w:r>
              <w:rPr>
                <w:spacing w:val="-8"/>
                <w:sz w:val="20"/>
              </w:rPr>
              <w:t> </w:t>
            </w:r>
            <w:r>
              <w:rPr>
                <w:sz w:val="20"/>
              </w:rPr>
              <w:t>should</w:t>
            </w:r>
            <w:r>
              <w:rPr>
                <w:spacing w:val="-6"/>
                <w:sz w:val="20"/>
              </w:rPr>
              <w:t> </w:t>
            </w:r>
            <w:r>
              <w:rPr>
                <w:sz w:val="20"/>
              </w:rPr>
              <w:t>be</w:t>
            </w:r>
            <w:r>
              <w:rPr>
                <w:spacing w:val="-7"/>
                <w:sz w:val="20"/>
              </w:rPr>
              <w:t> </w:t>
            </w:r>
            <w:r>
              <w:rPr>
                <w:sz w:val="20"/>
              </w:rPr>
              <w:t>x</w:t>
            </w:r>
            <w:r>
              <w:rPr>
                <w:spacing w:val="-5"/>
                <w:sz w:val="20"/>
              </w:rPr>
              <w:t> </w:t>
            </w:r>
            <w:r>
              <w:rPr>
                <w:sz w:val="20"/>
              </w:rPr>
              <w:t>y</w:t>
            </w:r>
            <w:r>
              <w:rPr>
                <w:spacing w:val="-6"/>
                <w:sz w:val="20"/>
              </w:rPr>
              <w:t> </w:t>
            </w:r>
            <w:r>
              <w:rPr>
                <w:sz w:val="20"/>
              </w:rPr>
              <w:t>coordinates</w:t>
            </w:r>
            <w:r>
              <w:rPr>
                <w:spacing w:val="-2"/>
                <w:sz w:val="20"/>
              </w:rPr>
              <w:t> </w:t>
            </w:r>
            <w:r>
              <w:rPr>
                <w:sz w:val="20"/>
              </w:rPr>
              <w:t>of</w:t>
            </w:r>
            <w:r>
              <w:rPr>
                <w:spacing w:val="-4"/>
                <w:sz w:val="20"/>
              </w:rPr>
              <w:t> </w:t>
            </w:r>
            <w:r>
              <w:rPr>
                <w:sz w:val="20"/>
              </w:rPr>
              <w:t>event</w:t>
            </w:r>
            <w:r>
              <w:rPr>
                <w:spacing w:val="-5"/>
                <w:sz w:val="20"/>
              </w:rPr>
              <w:t> </w:t>
            </w:r>
            <w:r>
              <w:rPr>
                <w:spacing w:val="-2"/>
                <w:sz w:val="20"/>
              </w:rPr>
              <w:t>location</w:t>
            </w:r>
          </w:p>
        </w:tc>
      </w:tr>
      <w:tr>
        <w:trPr>
          <w:trHeight w:val="371" w:hRule="atLeast"/>
        </w:trPr>
        <w:tc>
          <w:tcPr>
            <w:tcW w:w="5444" w:type="dxa"/>
          </w:tcPr>
          <w:p>
            <w:pPr>
              <w:pStyle w:val="TableParagraph"/>
              <w:spacing w:before="78"/>
              <w:ind w:left="110"/>
              <w:rPr>
                <w:sz w:val="20"/>
              </w:rPr>
            </w:pPr>
            <w:r>
              <w:rPr>
                <w:sz w:val="20"/>
              </w:rPr>
              <w:t>Area</w:t>
            </w:r>
            <w:r>
              <w:rPr>
                <w:spacing w:val="-5"/>
                <w:sz w:val="20"/>
              </w:rPr>
              <w:t> </w:t>
            </w:r>
            <w:r>
              <w:rPr>
                <w:sz w:val="20"/>
              </w:rPr>
              <w:t>(ha)</w:t>
            </w:r>
            <w:r>
              <w:rPr>
                <w:spacing w:val="-3"/>
                <w:sz w:val="20"/>
              </w:rPr>
              <w:t> </w:t>
            </w:r>
            <w:r>
              <w:rPr>
                <w:sz w:val="20"/>
              </w:rPr>
              <w:t>of</w:t>
            </w:r>
            <w:r>
              <w:rPr>
                <w:spacing w:val="-5"/>
                <w:sz w:val="20"/>
              </w:rPr>
              <w:t> </w:t>
            </w:r>
            <w:r>
              <w:rPr>
                <w:spacing w:val="-2"/>
                <w:sz w:val="20"/>
              </w:rPr>
              <w:t>control</w:t>
            </w:r>
          </w:p>
        </w:tc>
        <w:tc>
          <w:tcPr>
            <w:tcW w:w="8302" w:type="dxa"/>
          </w:tcPr>
          <w:p>
            <w:pPr>
              <w:pStyle w:val="TableParagraph"/>
              <w:spacing w:before="78"/>
              <w:ind w:left="108"/>
              <w:rPr>
                <w:sz w:val="20"/>
              </w:rPr>
            </w:pPr>
            <w:r>
              <w:rPr>
                <w:sz w:val="20"/>
              </w:rPr>
              <w:t>Needs</w:t>
            </w:r>
            <w:r>
              <w:rPr>
                <w:spacing w:val="-6"/>
                <w:sz w:val="20"/>
              </w:rPr>
              <w:t> </w:t>
            </w:r>
            <w:r>
              <w:rPr>
                <w:sz w:val="20"/>
              </w:rPr>
              <w:t>to</w:t>
            </w:r>
            <w:r>
              <w:rPr>
                <w:spacing w:val="-7"/>
                <w:sz w:val="20"/>
              </w:rPr>
              <w:t> </w:t>
            </w:r>
            <w:r>
              <w:rPr>
                <w:sz w:val="20"/>
              </w:rPr>
              <w:t>be</w:t>
            </w:r>
            <w:r>
              <w:rPr>
                <w:spacing w:val="-5"/>
                <w:sz w:val="20"/>
              </w:rPr>
              <w:t> </w:t>
            </w:r>
            <w:r>
              <w:rPr>
                <w:sz w:val="20"/>
              </w:rPr>
              <w:t>the</w:t>
            </w:r>
            <w:r>
              <w:rPr>
                <w:spacing w:val="-5"/>
                <w:sz w:val="20"/>
              </w:rPr>
              <w:t> </w:t>
            </w:r>
            <w:r>
              <w:rPr>
                <w:sz w:val="20"/>
              </w:rPr>
              <w:t>effective</w:t>
            </w:r>
            <w:r>
              <w:rPr>
                <w:spacing w:val="-6"/>
                <w:sz w:val="20"/>
              </w:rPr>
              <w:t> </w:t>
            </w:r>
            <w:r>
              <w:rPr>
                <w:sz w:val="20"/>
              </w:rPr>
              <w:t>area</w:t>
            </w:r>
            <w:r>
              <w:rPr>
                <w:spacing w:val="-8"/>
                <w:sz w:val="20"/>
              </w:rPr>
              <w:t> </w:t>
            </w:r>
            <w:r>
              <w:rPr>
                <w:sz w:val="20"/>
              </w:rPr>
              <w:t>treated</w:t>
            </w:r>
            <w:r>
              <w:rPr>
                <w:spacing w:val="-3"/>
                <w:sz w:val="20"/>
              </w:rPr>
              <w:t> </w:t>
            </w:r>
            <w:r>
              <w:rPr>
                <w:sz w:val="20"/>
              </w:rPr>
              <w:t>per</w:t>
            </w:r>
            <w:r>
              <w:rPr>
                <w:spacing w:val="-6"/>
                <w:sz w:val="20"/>
              </w:rPr>
              <w:t> </w:t>
            </w:r>
            <w:r>
              <w:rPr>
                <w:spacing w:val="-2"/>
                <w:sz w:val="20"/>
              </w:rPr>
              <w:t>event.</w:t>
            </w:r>
          </w:p>
        </w:tc>
      </w:tr>
      <w:tr>
        <w:trPr>
          <w:trHeight w:val="1057" w:hRule="atLeast"/>
        </w:trPr>
        <w:tc>
          <w:tcPr>
            <w:tcW w:w="5444" w:type="dxa"/>
          </w:tcPr>
          <w:p>
            <w:pPr>
              <w:pStyle w:val="TableParagraph"/>
              <w:spacing w:before="78"/>
              <w:ind w:left="110"/>
              <w:rPr>
                <w:sz w:val="20"/>
              </w:rPr>
            </w:pPr>
            <w:r>
              <w:rPr>
                <w:sz w:val="20"/>
              </w:rPr>
              <w:t>No.</w:t>
            </w:r>
            <w:r>
              <w:rPr>
                <w:spacing w:val="-7"/>
                <w:sz w:val="20"/>
              </w:rPr>
              <w:t> </w:t>
            </w:r>
            <w:r>
              <w:rPr>
                <w:sz w:val="20"/>
              </w:rPr>
              <w:t>of</w:t>
            </w:r>
            <w:r>
              <w:rPr>
                <w:spacing w:val="-4"/>
                <w:sz w:val="20"/>
              </w:rPr>
              <w:t> </w:t>
            </w:r>
            <w:r>
              <w:rPr>
                <w:sz w:val="20"/>
              </w:rPr>
              <w:t>units</w:t>
            </w:r>
            <w:r>
              <w:rPr>
                <w:spacing w:val="-6"/>
                <w:sz w:val="20"/>
              </w:rPr>
              <w:t> </w:t>
            </w:r>
            <w:r>
              <w:rPr>
                <w:sz w:val="20"/>
              </w:rPr>
              <w:t>of</w:t>
            </w:r>
            <w:r>
              <w:rPr>
                <w:spacing w:val="-6"/>
                <w:sz w:val="20"/>
              </w:rPr>
              <w:t> </w:t>
            </w:r>
            <w:r>
              <w:rPr>
                <w:sz w:val="20"/>
              </w:rPr>
              <w:t>control</w:t>
            </w:r>
            <w:r>
              <w:rPr>
                <w:spacing w:val="-5"/>
                <w:sz w:val="20"/>
              </w:rPr>
              <w:t> </w:t>
            </w:r>
            <w:r>
              <w:rPr>
                <w:sz w:val="20"/>
              </w:rPr>
              <w:t>used</w:t>
            </w:r>
            <w:r>
              <w:rPr>
                <w:spacing w:val="-1"/>
                <w:sz w:val="20"/>
              </w:rPr>
              <w:t> </w:t>
            </w:r>
            <w:r>
              <w:rPr>
                <w:sz w:val="20"/>
              </w:rPr>
              <w:t>and</w:t>
            </w:r>
            <w:r>
              <w:rPr>
                <w:spacing w:val="-5"/>
                <w:sz w:val="20"/>
              </w:rPr>
              <w:t> </w:t>
            </w:r>
            <w:r>
              <w:rPr>
                <w:sz w:val="20"/>
              </w:rPr>
              <w:t>duration</w:t>
            </w:r>
            <w:r>
              <w:rPr>
                <w:spacing w:val="-4"/>
                <w:sz w:val="20"/>
              </w:rPr>
              <w:t> </w:t>
            </w:r>
            <w:r>
              <w:rPr>
                <w:sz w:val="20"/>
              </w:rPr>
              <w:t>per</w:t>
            </w:r>
            <w:r>
              <w:rPr>
                <w:spacing w:val="-5"/>
                <w:sz w:val="20"/>
              </w:rPr>
              <w:t> </w:t>
            </w:r>
            <w:r>
              <w:rPr>
                <w:spacing w:val="-2"/>
                <w:sz w:val="20"/>
              </w:rPr>
              <w:t>operations</w:t>
            </w:r>
          </w:p>
        </w:tc>
        <w:tc>
          <w:tcPr>
            <w:tcW w:w="8302" w:type="dxa"/>
          </w:tcPr>
          <w:p>
            <w:pPr>
              <w:pStyle w:val="TableParagraph"/>
              <w:spacing w:before="78"/>
              <w:ind w:left="108" w:right="2410"/>
              <w:rPr>
                <w:sz w:val="20"/>
              </w:rPr>
            </w:pPr>
            <w:r>
              <w:rPr>
                <w:sz w:val="20"/>
              </w:rPr>
              <w:t>Kg</w:t>
            </w:r>
            <w:r>
              <w:rPr>
                <w:spacing w:val="-5"/>
                <w:sz w:val="20"/>
              </w:rPr>
              <w:t> </w:t>
            </w:r>
            <w:r>
              <w:rPr>
                <w:sz w:val="20"/>
              </w:rPr>
              <w:t>of</w:t>
            </w:r>
            <w:r>
              <w:rPr>
                <w:spacing w:val="-5"/>
                <w:sz w:val="20"/>
              </w:rPr>
              <w:t> </w:t>
            </w:r>
            <w:r>
              <w:rPr>
                <w:sz w:val="20"/>
              </w:rPr>
              <w:t>carrots,</w:t>
            </w:r>
            <w:r>
              <w:rPr>
                <w:spacing w:val="-5"/>
                <w:sz w:val="20"/>
              </w:rPr>
              <w:t> </w:t>
            </w:r>
            <w:r>
              <w:rPr>
                <w:sz w:val="20"/>
              </w:rPr>
              <w:t>oats</w:t>
            </w:r>
            <w:r>
              <w:rPr>
                <w:spacing w:val="-4"/>
                <w:sz w:val="20"/>
              </w:rPr>
              <w:t> </w:t>
            </w:r>
            <w:r>
              <w:rPr>
                <w:sz w:val="20"/>
              </w:rPr>
              <w:t>or</w:t>
            </w:r>
            <w:r>
              <w:rPr>
                <w:spacing w:val="-4"/>
                <w:sz w:val="20"/>
              </w:rPr>
              <w:t> </w:t>
            </w:r>
            <w:r>
              <w:rPr>
                <w:sz w:val="20"/>
              </w:rPr>
              <w:t>pindone</w:t>
            </w:r>
            <w:r>
              <w:rPr>
                <w:spacing w:val="-4"/>
                <w:sz w:val="20"/>
              </w:rPr>
              <w:t> </w:t>
            </w:r>
            <w:r>
              <w:rPr>
                <w:sz w:val="20"/>
              </w:rPr>
              <w:t>laid/km</w:t>
            </w:r>
            <w:r>
              <w:rPr>
                <w:spacing w:val="-5"/>
                <w:sz w:val="20"/>
              </w:rPr>
              <w:t> </w:t>
            </w:r>
            <w:r>
              <w:rPr>
                <w:sz w:val="20"/>
              </w:rPr>
              <w:t>and</w:t>
            </w:r>
            <w:r>
              <w:rPr>
                <w:spacing w:val="-4"/>
                <w:sz w:val="20"/>
              </w:rPr>
              <w:t> </w:t>
            </w:r>
            <w:r>
              <w:rPr>
                <w:sz w:val="20"/>
              </w:rPr>
              <w:t>number</w:t>
            </w:r>
            <w:r>
              <w:rPr>
                <w:spacing w:val="-4"/>
                <w:sz w:val="20"/>
              </w:rPr>
              <w:t> </w:t>
            </w:r>
            <w:r>
              <w:rPr>
                <w:sz w:val="20"/>
              </w:rPr>
              <w:t>of</w:t>
            </w:r>
            <w:r>
              <w:rPr>
                <w:spacing w:val="-3"/>
                <w:sz w:val="20"/>
              </w:rPr>
              <w:t> </w:t>
            </w:r>
            <w:r>
              <w:rPr>
                <w:sz w:val="20"/>
              </w:rPr>
              <w:t>transects No. of rabbits inoculated with RHDV-K5 per day</w:t>
            </w:r>
          </w:p>
          <w:p>
            <w:pPr>
              <w:pStyle w:val="TableParagraph"/>
              <w:ind w:left="108" w:right="841"/>
              <w:rPr>
                <w:sz w:val="20"/>
              </w:rPr>
            </w:pPr>
            <w:r>
              <w:rPr>
                <w:sz w:val="20"/>
              </w:rPr>
              <w:t>No.</w:t>
            </w:r>
            <w:r>
              <w:rPr>
                <w:spacing w:val="-6"/>
                <w:sz w:val="20"/>
              </w:rPr>
              <w:t> </w:t>
            </w:r>
            <w:r>
              <w:rPr>
                <w:sz w:val="20"/>
              </w:rPr>
              <w:t>of</w:t>
            </w:r>
            <w:r>
              <w:rPr>
                <w:spacing w:val="-4"/>
                <w:sz w:val="20"/>
              </w:rPr>
              <w:t> </w:t>
            </w:r>
            <w:r>
              <w:rPr>
                <w:sz w:val="20"/>
              </w:rPr>
              <w:t>warrens</w:t>
            </w:r>
            <w:r>
              <w:rPr>
                <w:spacing w:val="-4"/>
                <w:sz w:val="20"/>
              </w:rPr>
              <w:t> </w:t>
            </w:r>
            <w:r>
              <w:rPr>
                <w:sz w:val="20"/>
              </w:rPr>
              <w:t>fumigated,</w:t>
            </w:r>
            <w:r>
              <w:rPr>
                <w:spacing w:val="-3"/>
                <w:sz w:val="20"/>
              </w:rPr>
              <w:t> </w:t>
            </w:r>
            <w:r>
              <w:rPr>
                <w:sz w:val="20"/>
              </w:rPr>
              <w:t>and</w:t>
            </w:r>
            <w:r>
              <w:rPr>
                <w:spacing w:val="-4"/>
                <w:sz w:val="20"/>
              </w:rPr>
              <w:t> </w:t>
            </w:r>
            <w:r>
              <w:rPr>
                <w:sz w:val="20"/>
              </w:rPr>
              <w:t>no.</w:t>
            </w:r>
            <w:r>
              <w:rPr>
                <w:spacing w:val="-4"/>
                <w:sz w:val="20"/>
              </w:rPr>
              <w:t> </w:t>
            </w:r>
            <w:r>
              <w:rPr>
                <w:sz w:val="20"/>
              </w:rPr>
              <w:t>of</w:t>
            </w:r>
            <w:r>
              <w:rPr>
                <w:spacing w:val="-6"/>
                <w:sz w:val="20"/>
              </w:rPr>
              <w:t> </w:t>
            </w:r>
            <w:r>
              <w:rPr>
                <w:sz w:val="20"/>
              </w:rPr>
              <w:t>phosphine/chloropicrin</w:t>
            </w:r>
            <w:r>
              <w:rPr>
                <w:spacing w:val="-6"/>
                <w:sz w:val="20"/>
              </w:rPr>
              <w:t> </w:t>
            </w:r>
            <w:r>
              <w:rPr>
                <w:sz w:val="20"/>
              </w:rPr>
              <w:t>tablets</w:t>
            </w:r>
            <w:r>
              <w:rPr>
                <w:spacing w:val="-5"/>
                <w:sz w:val="20"/>
              </w:rPr>
              <w:t> </w:t>
            </w:r>
            <w:r>
              <w:rPr>
                <w:sz w:val="20"/>
              </w:rPr>
              <w:t>used/warren No. of traps used, and no. of trap nights to catch rabbit for inoculation</w:t>
            </w:r>
          </w:p>
        </w:tc>
      </w:tr>
      <w:tr>
        <w:trPr>
          <w:trHeight w:val="2299" w:hRule="atLeast"/>
        </w:trPr>
        <w:tc>
          <w:tcPr>
            <w:tcW w:w="5444" w:type="dxa"/>
          </w:tcPr>
          <w:p>
            <w:pPr>
              <w:pStyle w:val="TableParagraph"/>
              <w:spacing w:line="229" w:lineRule="exact"/>
              <w:ind w:left="110"/>
              <w:rPr>
                <w:sz w:val="20"/>
              </w:rPr>
            </w:pPr>
            <w:r>
              <w:rPr>
                <w:sz w:val="20"/>
              </w:rPr>
              <w:t>Time</w:t>
            </w:r>
            <w:r>
              <w:rPr>
                <w:spacing w:val="-8"/>
                <w:sz w:val="20"/>
              </w:rPr>
              <w:t> </w:t>
            </w:r>
            <w:r>
              <w:rPr>
                <w:sz w:val="20"/>
              </w:rPr>
              <w:t>spent</w:t>
            </w:r>
            <w:r>
              <w:rPr>
                <w:spacing w:val="-4"/>
                <w:sz w:val="20"/>
              </w:rPr>
              <w:t> </w:t>
            </w:r>
            <w:r>
              <w:rPr>
                <w:sz w:val="20"/>
              </w:rPr>
              <w:t>on</w:t>
            </w:r>
            <w:r>
              <w:rPr>
                <w:spacing w:val="-8"/>
                <w:sz w:val="20"/>
              </w:rPr>
              <w:t> </w:t>
            </w:r>
            <w:r>
              <w:rPr>
                <w:sz w:val="20"/>
              </w:rPr>
              <w:t>control</w:t>
            </w:r>
            <w:r>
              <w:rPr>
                <w:spacing w:val="-6"/>
                <w:sz w:val="20"/>
              </w:rPr>
              <w:t> </w:t>
            </w:r>
            <w:r>
              <w:rPr>
                <w:spacing w:val="-2"/>
                <w:sz w:val="20"/>
              </w:rPr>
              <w:t>effort</w:t>
            </w:r>
          </w:p>
        </w:tc>
        <w:tc>
          <w:tcPr>
            <w:tcW w:w="8302" w:type="dxa"/>
          </w:tcPr>
          <w:p>
            <w:pPr>
              <w:pStyle w:val="TableParagraph"/>
              <w:spacing w:line="229" w:lineRule="exact"/>
              <w:ind w:left="108"/>
              <w:rPr>
                <w:sz w:val="20"/>
              </w:rPr>
            </w:pPr>
            <w:r>
              <w:rPr>
                <w:sz w:val="20"/>
              </w:rPr>
              <w:t>Number</w:t>
            </w:r>
            <w:r>
              <w:rPr>
                <w:spacing w:val="-7"/>
                <w:sz w:val="20"/>
              </w:rPr>
              <w:t> </w:t>
            </w:r>
            <w:r>
              <w:rPr>
                <w:sz w:val="20"/>
              </w:rPr>
              <w:t>of</w:t>
            </w:r>
            <w:r>
              <w:rPr>
                <w:spacing w:val="-4"/>
                <w:sz w:val="20"/>
              </w:rPr>
              <w:t> </w:t>
            </w:r>
            <w:r>
              <w:rPr>
                <w:sz w:val="20"/>
              </w:rPr>
              <w:t>hours</w:t>
            </w:r>
            <w:r>
              <w:rPr>
                <w:spacing w:val="-5"/>
                <w:sz w:val="20"/>
              </w:rPr>
              <w:t> </w:t>
            </w:r>
            <w:r>
              <w:rPr>
                <w:sz w:val="20"/>
              </w:rPr>
              <w:t>per</w:t>
            </w:r>
            <w:r>
              <w:rPr>
                <w:spacing w:val="-6"/>
                <w:sz w:val="20"/>
              </w:rPr>
              <w:t> </w:t>
            </w:r>
            <w:r>
              <w:rPr>
                <w:sz w:val="20"/>
              </w:rPr>
              <w:t>person</w:t>
            </w:r>
            <w:r>
              <w:rPr>
                <w:spacing w:val="-7"/>
                <w:sz w:val="20"/>
              </w:rPr>
              <w:t> </w:t>
            </w:r>
            <w:r>
              <w:rPr>
                <w:sz w:val="20"/>
              </w:rPr>
              <w:t>spent</w:t>
            </w:r>
            <w:r>
              <w:rPr>
                <w:spacing w:val="-3"/>
                <w:sz w:val="20"/>
              </w:rPr>
              <w:t> </w:t>
            </w:r>
            <w:r>
              <w:rPr>
                <w:sz w:val="20"/>
              </w:rPr>
              <w:t>on</w:t>
            </w:r>
            <w:r>
              <w:rPr>
                <w:spacing w:val="-5"/>
                <w:sz w:val="20"/>
              </w:rPr>
              <w:t> </w:t>
            </w:r>
            <w:r>
              <w:rPr>
                <w:sz w:val="20"/>
              </w:rPr>
              <w:t>operation.</w:t>
            </w:r>
            <w:r>
              <w:rPr>
                <w:spacing w:val="-6"/>
                <w:sz w:val="20"/>
              </w:rPr>
              <w:t> </w:t>
            </w:r>
            <w:r>
              <w:rPr>
                <w:sz w:val="20"/>
              </w:rPr>
              <w:t>For</w:t>
            </w:r>
            <w:r>
              <w:rPr>
                <w:spacing w:val="-3"/>
                <w:sz w:val="20"/>
              </w:rPr>
              <w:t> </w:t>
            </w:r>
            <w:r>
              <w:rPr>
                <w:spacing w:val="-2"/>
                <w:sz w:val="20"/>
              </w:rPr>
              <w:t>example:</w:t>
            </w:r>
          </w:p>
          <w:p>
            <w:pPr>
              <w:pStyle w:val="TableParagraph"/>
              <w:numPr>
                <w:ilvl w:val="0"/>
                <w:numId w:val="31"/>
              </w:numPr>
              <w:tabs>
                <w:tab w:pos="827" w:val="left" w:leader="none"/>
              </w:tabs>
              <w:spacing w:line="240" w:lineRule="auto" w:before="121" w:after="0"/>
              <w:ind w:left="827" w:right="0" w:hanging="359"/>
              <w:jc w:val="left"/>
              <w:rPr>
                <w:sz w:val="20"/>
              </w:rPr>
            </w:pPr>
            <w:r>
              <w:rPr>
                <w:sz w:val="20"/>
              </w:rPr>
              <w:t>hours</w:t>
            </w:r>
            <w:r>
              <w:rPr>
                <w:spacing w:val="-4"/>
                <w:sz w:val="20"/>
              </w:rPr>
              <w:t> </w:t>
            </w:r>
            <w:r>
              <w:rPr>
                <w:sz w:val="20"/>
              </w:rPr>
              <w:t>per</w:t>
            </w:r>
            <w:r>
              <w:rPr>
                <w:spacing w:val="-3"/>
                <w:sz w:val="20"/>
              </w:rPr>
              <w:t> </w:t>
            </w:r>
            <w:r>
              <w:rPr>
                <w:sz w:val="20"/>
              </w:rPr>
              <w:t>person</w:t>
            </w:r>
            <w:r>
              <w:rPr>
                <w:spacing w:val="-4"/>
                <w:sz w:val="20"/>
              </w:rPr>
              <w:t> </w:t>
            </w:r>
            <w:r>
              <w:rPr>
                <w:sz w:val="20"/>
              </w:rPr>
              <w:t>to</w:t>
            </w:r>
            <w:r>
              <w:rPr>
                <w:spacing w:val="-5"/>
                <w:sz w:val="20"/>
              </w:rPr>
              <w:t> </w:t>
            </w:r>
            <w:r>
              <w:rPr>
                <w:sz w:val="20"/>
              </w:rPr>
              <w:t>lay</w:t>
            </w:r>
            <w:r>
              <w:rPr>
                <w:spacing w:val="-5"/>
                <w:sz w:val="20"/>
              </w:rPr>
              <w:t> </w:t>
            </w:r>
            <w:r>
              <w:rPr>
                <w:sz w:val="20"/>
              </w:rPr>
              <w:t>(free</w:t>
            </w:r>
            <w:r>
              <w:rPr>
                <w:spacing w:val="-5"/>
                <w:sz w:val="20"/>
              </w:rPr>
              <w:t> </w:t>
            </w:r>
            <w:r>
              <w:rPr>
                <w:sz w:val="20"/>
              </w:rPr>
              <w:t>feed</w:t>
            </w:r>
            <w:r>
              <w:rPr>
                <w:spacing w:val="-6"/>
                <w:sz w:val="20"/>
              </w:rPr>
              <w:t> </w:t>
            </w:r>
            <w:r>
              <w:rPr>
                <w:sz w:val="20"/>
              </w:rPr>
              <w:t>and</w:t>
            </w:r>
            <w:r>
              <w:rPr>
                <w:spacing w:val="-6"/>
                <w:sz w:val="20"/>
              </w:rPr>
              <w:t> </w:t>
            </w:r>
            <w:r>
              <w:rPr>
                <w:sz w:val="20"/>
              </w:rPr>
              <w:t>poison)</w:t>
            </w:r>
            <w:r>
              <w:rPr>
                <w:spacing w:val="-3"/>
                <w:sz w:val="20"/>
              </w:rPr>
              <w:t> </w:t>
            </w:r>
            <w:r>
              <w:rPr>
                <w:spacing w:val="-4"/>
                <w:sz w:val="20"/>
              </w:rPr>
              <w:t>baits</w:t>
            </w:r>
          </w:p>
          <w:p>
            <w:pPr>
              <w:pStyle w:val="TableParagraph"/>
              <w:numPr>
                <w:ilvl w:val="0"/>
                <w:numId w:val="31"/>
              </w:numPr>
              <w:tabs>
                <w:tab w:pos="827" w:val="left" w:leader="none"/>
              </w:tabs>
              <w:spacing w:line="240" w:lineRule="auto" w:before="79" w:after="0"/>
              <w:ind w:left="827" w:right="0" w:hanging="359"/>
              <w:jc w:val="left"/>
              <w:rPr>
                <w:sz w:val="20"/>
              </w:rPr>
            </w:pPr>
            <w:r>
              <w:rPr>
                <w:sz w:val="20"/>
              </w:rPr>
              <w:t>hours</w:t>
            </w:r>
            <w:r>
              <w:rPr>
                <w:spacing w:val="-7"/>
                <w:sz w:val="20"/>
              </w:rPr>
              <w:t> </w:t>
            </w:r>
            <w:r>
              <w:rPr>
                <w:sz w:val="20"/>
              </w:rPr>
              <w:t>per</w:t>
            </w:r>
            <w:r>
              <w:rPr>
                <w:spacing w:val="-5"/>
                <w:sz w:val="20"/>
              </w:rPr>
              <w:t> </w:t>
            </w:r>
            <w:r>
              <w:rPr>
                <w:sz w:val="20"/>
              </w:rPr>
              <w:t>person</w:t>
            </w:r>
            <w:r>
              <w:rPr>
                <w:spacing w:val="-8"/>
                <w:sz w:val="20"/>
              </w:rPr>
              <w:t> </w:t>
            </w:r>
            <w:r>
              <w:rPr>
                <w:sz w:val="20"/>
              </w:rPr>
              <w:t>preparing</w:t>
            </w:r>
            <w:r>
              <w:rPr>
                <w:spacing w:val="-6"/>
                <w:sz w:val="20"/>
              </w:rPr>
              <w:t> </w:t>
            </w:r>
            <w:r>
              <w:rPr>
                <w:spacing w:val="-4"/>
                <w:sz w:val="20"/>
              </w:rPr>
              <w:t>baits</w:t>
            </w:r>
          </w:p>
          <w:p>
            <w:pPr>
              <w:pStyle w:val="TableParagraph"/>
              <w:numPr>
                <w:ilvl w:val="0"/>
                <w:numId w:val="31"/>
              </w:numPr>
              <w:tabs>
                <w:tab w:pos="827" w:val="left" w:leader="none"/>
              </w:tabs>
              <w:spacing w:line="240" w:lineRule="auto" w:before="79" w:after="0"/>
              <w:ind w:left="827" w:right="0" w:hanging="359"/>
              <w:jc w:val="left"/>
              <w:rPr>
                <w:sz w:val="20"/>
              </w:rPr>
            </w:pPr>
            <w:r>
              <w:rPr>
                <w:sz w:val="20"/>
              </w:rPr>
              <w:t>hours</w:t>
            </w:r>
            <w:r>
              <w:rPr>
                <w:spacing w:val="-8"/>
                <w:sz w:val="20"/>
              </w:rPr>
              <w:t> </w:t>
            </w:r>
            <w:r>
              <w:rPr>
                <w:sz w:val="20"/>
              </w:rPr>
              <w:t>per</w:t>
            </w:r>
            <w:r>
              <w:rPr>
                <w:spacing w:val="-6"/>
                <w:sz w:val="20"/>
              </w:rPr>
              <w:t> </w:t>
            </w:r>
            <w:r>
              <w:rPr>
                <w:sz w:val="20"/>
              </w:rPr>
              <w:t>person</w:t>
            </w:r>
            <w:r>
              <w:rPr>
                <w:spacing w:val="-6"/>
                <w:sz w:val="20"/>
              </w:rPr>
              <w:t> </w:t>
            </w:r>
            <w:r>
              <w:rPr>
                <w:spacing w:val="-2"/>
                <w:sz w:val="20"/>
              </w:rPr>
              <w:t>fumigating</w:t>
            </w:r>
          </w:p>
          <w:p>
            <w:pPr>
              <w:pStyle w:val="TableParagraph"/>
              <w:numPr>
                <w:ilvl w:val="0"/>
                <w:numId w:val="31"/>
              </w:numPr>
              <w:tabs>
                <w:tab w:pos="827" w:val="left" w:leader="none"/>
              </w:tabs>
              <w:spacing w:line="240" w:lineRule="auto" w:before="77" w:after="0"/>
              <w:ind w:left="827" w:right="0" w:hanging="359"/>
              <w:jc w:val="left"/>
              <w:rPr>
                <w:sz w:val="20"/>
              </w:rPr>
            </w:pPr>
            <w:r>
              <w:rPr>
                <w:sz w:val="20"/>
              </w:rPr>
              <w:t>hours</w:t>
            </w:r>
            <w:r>
              <w:rPr>
                <w:spacing w:val="-6"/>
                <w:sz w:val="20"/>
              </w:rPr>
              <w:t> </w:t>
            </w:r>
            <w:r>
              <w:rPr>
                <w:sz w:val="20"/>
              </w:rPr>
              <w:t>per</w:t>
            </w:r>
            <w:r>
              <w:rPr>
                <w:spacing w:val="-6"/>
                <w:sz w:val="20"/>
              </w:rPr>
              <w:t> </w:t>
            </w:r>
            <w:r>
              <w:rPr>
                <w:sz w:val="20"/>
              </w:rPr>
              <w:t>person</w:t>
            </w:r>
            <w:r>
              <w:rPr>
                <w:spacing w:val="-6"/>
                <w:sz w:val="20"/>
              </w:rPr>
              <w:t> </w:t>
            </w:r>
            <w:r>
              <w:rPr>
                <w:sz w:val="20"/>
              </w:rPr>
              <w:t>ripping</w:t>
            </w:r>
            <w:r>
              <w:rPr>
                <w:spacing w:val="-7"/>
                <w:sz w:val="20"/>
              </w:rPr>
              <w:t> </w:t>
            </w:r>
            <w:r>
              <w:rPr>
                <w:spacing w:val="-2"/>
                <w:sz w:val="20"/>
              </w:rPr>
              <w:t>warrens</w:t>
            </w:r>
          </w:p>
          <w:p>
            <w:pPr>
              <w:pStyle w:val="TableParagraph"/>
              <w:numPr>
                <w:ilvl w:val="0"/>
                <w:numId w:val="31"/>
              </w:numPr>
              <w:tabs>
                <w:tab w:pos="827" w:val="left" w:leader="none"/>
              </w:tabs>
              <w:spacing w:line="297" w:lineRule="auto" w:before="79" w:after="0"/>
              <w:ind w:left="108" w:right="1494" w:firstLine="360"/>
              <w:jc w:val="left"/>
              <w:rPr>
                <w:sz w:val="20"/>
              </w:rPr>
            </w:pPr>
            <w:r>
              <w:rPr>
                <w:sz w:val="20"/>
              </w:rPr>
              <w:t>hours</w:t>
            </w:r>
            <w:r>
              <w:rPr>
                <w:spacing w:val="-4"/>
                <w:sz w:val="20"/>
              </w:rPr>
              <w:t> </w:t>
            </w:r>
            <w:r>
              <w:rPr>
                <w:sz w:val="20"/>
              </w:rPr>
              <w:t>per</w:t>
            </w:r>
            <w:r>
              <w:rPr>
                <w:spacing w:val="-3"/>
                <w:sz w:val="20"/>
              </w:rPr>
              <w:t> </w:t>
            </w:r>
            <w:r>
              <w:rPr>
                <w:sz w:val="20"/>
              </w:rPr>
              <w:t>person</w:t>
            </w:r>
            <w:r>
              <w:rPr>
                <w:spacing w:val="-5"/>
                <w:sz w:val="20"/>
              </w:rPr>
              <w:t> </w:t>
            </w:r>
            <w:r>
              <w:rPr>
                <w:sz w:val="20"/>
              </w:rPr>
              <w:t>spent</w:t>
            </w:r>
            <w:r>
              <w:rPr>
                <w:spacing w:val="-5"/>
                <w:sz w:val="20"/>
              </w:rPr>
              <w:t> </w:t>
            </w:r>
            <w:r>
              <w:rPr>
                <w:sz w:val="20"/>
              </w:rPr>
              <w:t>trapping</w:t>
            </w:r>
            <w:r>
              <w:rPr>
                <w:spacing w:val="-6"/>
                <w:sz w:val="20"/>
              </w:rPr>
              <w:t> </w:t>
            </w:r>
            <w:r>
              <w:rPr>
                <w:sz w:val="20"/>
              </w:rPr>
              <w:t>rabbits</w:t>
            </w:r>
            <w:r>
              <w:rPr>
                <w:spacing w:val="-5"/>
                <w:sz w:val="20"/>
              </w:rPr>
              <w:t> </w:t>
            </w:r>
            <w:r>
              <w:rPr>
                <w:sz w:val="20"/>
              </w:rPr>
              <w:t>to</w:t>
            </w:r>
            <w:r>
              <w:rPr>
                <w:spacing w:val="-5"/>
                <w:sz w:val="20"/>
              </w:rPr>
              <w:t> </w:t>
            </w:r>
            <w:r>
              <w:rPr>
                <w:sz w:val="20"/>
              </w:rPr>
              <w:t>inoculate</w:t>
            </w:r>
            <w:r>
              <w:rPr>
                <w:spacing w:val="-5"/>
                <w:sz w:val="20"/>
              </w:rPr>
              <w:t> </w:t>
            </w:r>
            <w:r>
              <w:rPr>
                <w:sz w:val="20"/>
              </w:rPr>
              <w:t>with</w:t>
            </w:r>
            <w:r>
              <w:rPr>
                <w:spacing w:val="-6"/>
                <w:sz w:val="20"/>
              </w:rPr>
              <w:t> </w:t>
            </w:r>
            <w:r>
              <w:rPr>
                <w:sz w:val="20"/>
              </w:rPr>
              <w:t>RHDV-K5. Excludes administration costs.</w:t>
            </w:r>
          </w:p>
        </w:tc>
      </w:tr>
      <w:tr>
        <w:trPr>
          <w:trHeight w:val="350" w:hRule="atLeast"/>
        </w:trPr>
        <w:tc>
          <w:tcPr>
            <w:tcW w:w="5444" w:type="dxa"/>
          </w:tcPr>
          <w:p>
            <w:pPr>
              <w:pStyle w:val="TableParagraph"/>
              <w:spacing w:line="229" w:lineRule="exact"/>
              <w:ind w:left="110"/>
              <w:rPr>
                <w:sz w:val="20"/>
              </w:rPr>
            </w:pPr>
            <w:r>
              <w:rPr>
                <w:sz w:val="20"/>
              </w:rPr>
              <w:t>Labour</w:t>
            </w:r>
            <w:r>
              <w:rPr>
                <w:spacing w:val="-4"/>
                <w:sz w:val="20"/>
              </w:rPr>
              <w:t> </w:t>
            </w:r>
            <w:r>
              <w:rPr>
                <w:sz w:val="20"/>
              </w:rPr>
              <w:t>cost</w:t>
            </w:r>
            <w:r>
              <w:rPr>
                <w:spacing w:val="-5"/>
                <w:sz w:val="20"/>
              </w:rPr>
              <w:t> </w:t>
            </w:r>
            <w:r>
              <w:rPr>
                <w:sz w:val="20"/>
              </w:rPr>
              <w:t>for</w:t>
            </w:r>
            <w:r>
              <w:rPr>
                <w:spacing w:val="-5"/>
                <w:sz w:val="20"/>
              </w:rPr>
              <w:t> </w:t>
            </w:r>
            <w:r>
              <w:rPr>
                <w:sz w:val="20"/>
              </w:rPr>
              <w:t>each</w:t>
            </w:r>
            <w:r>
              <w:rPr>
                <w:spacing w:val="-5"/>
                <w:sz w:val="20"/>
              </w:rPr>
              <w:t> </w:t>
            </w:r>
            <w:r>
              <w:rPr>
                <w:spacing w:val="-2"/>
                <w:sz w:val="20"/>
              </w:rPr>
              <w:t>method</w:t>
            </w:r>
          </w:p>
        </w:tc>
        <w:tc>
          <w:tcPr>
            <w:tcW w:w="8302" w:type="dxa"/>
          </w:tcPr>
          <w:p>
            <w:pPr>
              <w:pStyle w:val="TableParagraph"/>
              <w:spacing w:line="229" w:lineRule="exact"/>
              <w:ind w:left="108"/>
              <w:rPr>
                <w:sz w:val="20"/>
              </w:rPr>
            </w:pPr>
            <w:r>
              <w:rPr>
                <w:sz w:val="20"/>
              </w:rPr>
              <w:t>Cost</w:t>
            </w:r>
            <w:r>
              <w:rPr>
                <w:spacing w:val="-7"/>
                <w:sz w:val="20"/>
              </w:rPr>
              <w:t> </w:t>
            </w:r>
            <w:r>
              <w:rPr>
                <w:sz w:val="20"/>
              </w:rPr>
              <w:t>($)</w:t>
            </w:r>
            <w:r>
              <w:rPr>
                <w:spacing w:val="-6"/>
                <w:sz w:val="20"/>
              </w:rPr>
              <w:t> </w:t>
            </w:r>
            <w:r>
              <w:rPr>
                <w:sz w:val="20"/>
              </w:rPr>
              <w:t>per</w:t>
            </w:r>
            <w:r>
              <w:rPr>
                <w:spacing w:val="-6"/>
                <w:sz w:val="20"/>
              </w:rPr>
              <w:t> </w:t>
            </w:r>
            <w:r>
              <w:rPr>
                <w:sz w:val="20"/>
              </w:rPr>
              <w:t>hour</w:t>
            </w:r>
            <w:r>
              <w:rPr>
                <w:spacing w:val="-6"/>
                <w:sz w:val="20"/>
              </w:rPr>
              <w:t> </w:t>
            </w:r>
            <w:r>
              <w:rPr>
                <w:sz w:val="20"/>
              </w:rPr>
              <w:t>per</w:t>
            </w:r>
            <w:r>
              <w:rPr>
                <w:spacing w:val="-6"/>
                <w:sz w:val="20"/>
              </w:rPr>
              <w:t> </w:t>
            </w:r>
            <w:r>
              <w:rPr>
                <w:sz w:val="20"/>
              </w:rPr>
              <w:t>person</w:t>
            </w:r>
            <w:r>
              <w:rPr>
                <w:spacing w:val="-7"/>
                <w:sz w:val="20"/>
              </w:rPr>
              <w:t> </w:t>
            </w:r>
            <w:r>
              <w:rPr>
                <w:sz w:val="20"/>
              </w:rPr>
              <w:t>spent</w:t>
            </w:r>
            <w:r>
              <w:rPr>
                <w:spacing w:val="-5"/>
                <w:sz w:val="20"/>
              </w:rPr>
              <w:t> </w:t>
            </w:r>
            <w:r>
              <w:rPr>
                <w:sz w:val="20"/>
              </w:rPr>
              <w:t>on</w:t>
            </w:r>
            <w:r>
              <w:rPr>
                <w:spacing w:val="-6"/>
                <w:sz w:val="20"/>
              </w:rPr>
              <w:t> </w:t>
            </w:r>
            <w:r>
              <w:rPr>
                <w:sz w:val="20"/>
              </w:rPr>
              <w:t>the</w:t>
            </w:r>
            <w:r>
              <w:rPr>
                <w:spacing w:val="-6"/>
                <w:sz w:val="20"/>
              </w:rPr>
              <w:t> </w:t>
            </w:r>
            <w:r>
              <w:rPr>
                <w:sz w:val="20"/>
              </w:rPr>
              <w:t>operational</w:t>
            </w:r>
            <w:r>
              <w:rPr>
                <w:spacing w:val="-7"/>
                <w:sz w:val="20"/>
              </w:rPr>
              <w:t> </w:t>
            </w:r>
            <w:r>
              <w:rPr>
                <w:sz w:val="20"/>
              </w:rPr>
              <w:t>implementation</w:t>
            </w:r>
            <w:r>
              <w:rPr>
                <w:spacing w:val="-7"/>
                <w:sz w:val="20"/>
              </w:rPr>
              <w:t> </w:t>
            </w:r>
            <w:r>
              <w:rPr>
                <w:sz w:val="20"/>
              </w:rPr>
              <w:t>of</w:t>
            </w:r>
            <w:r>
              <w:rPr>
                <w:spacing w:val="-7"/>
                <w:sz w:val="20"/>
              </w:rPr>
              <w:t> </w:t>
            </w:r>
            <w:r>
              <w:rPr>
                <w:spacing w:val="-2"/>
                <w:sz w:val="20"/>
              </w:rPr>
              <w:t>control</w:t>
            </w:r>
          </w:p>
        </w:tc>
      </w:tr>
      <w:tr>
        <w:trPr>
          <w:trHeight w:val="1039" w:hRule="atLeast"/>
        </w:trPr>
        <w:tc>
          <w:tcPr>
            <w:tcW w:w="5444" w:type="dxa"/>
          </w:tcPr>
          <w:p>
            <w:pPr>
              <w:pStyle w:val="TableParagraph"/>
              <w:spacing w:line="229" w:lineRule="exact"/>
              <w:ind w:left="110"/>
              <w:rPr>
                <w:sz w:val="20"/>
              </w:rPr>
            </w:pPr>
            <w:r>
              <w:rPr>
                <w:sz w:val="20"/>
              </w:rPr>
              <w:t>Cost</w:t>
            </w:r>
            <w:r>
              <w:rPr>
                <w:spacing w:val="-4"/>
                <w:sz w:val="20"/>
              </w:rPr>
              <w:t> </w:t>
            </w:r>
            <w:r>
              <w:rPr>
                <w:sz w:val="20"/>
              </w:rPr>
              <w:t>and</w:t>
            </w:r>
            <w:r>
              <w:rPr>
                <w:spacing w:val="-5"/>
                <w:sz w:val="20"/>
              </w:rPr>
              <w:t> </w:t>
            </w:r>
            <w:r>
              <w:rPr>
                <w:sz w:val="20"/>
              </w:rPr>
              <w:t>amount</w:t>
            </w:r>
            <w:r>
              <w:rPr>
                <w:spacing w:val="-5"/>
                <w:sz w:val="20"/>
              </w:rPr>
              <w:t> </w:t>
            </w:r>
            <w:r>
              <w:rPr>
                <w:sz w:val="20"/>
              </w:rPr>
              <w:t>of</w:t>
            </w:r>
            <w:r>
              <w:rPr>
                <w:spacing w:val="-3"/>
                <w:sz w:val="20"/>
              </w:rPr>
              <w:t> </w:t>
            </w:r>
            <w:r>
              <w:rPr>
                <w:spacing w:val="-2"/>
                <w:sz w:val="20"/>
              </w:rPr>
              <w:t>materials</w:t>
            </w:r>
          </w:p>
        </w:tc>
        <w:tc>
          <w:tcPr>
            <w:tcW w:w="8302" w:type="dxa"/>
          </w:tcPr>
          <w:p>
            <w:pPr>
              <w:pStyle w:val="TableParagraph"/>
              <w:ind w:left="108" w:right="3611"/>
              <w:rPr>
                <w:sz w:val="20"/>
              </w:rPr>
            </w:pPr>
            <w:r>
              <w:rPr>
                <w:sz w:val="20"/>
              </w:rPr>
              <w:t>Cost</w:t>
            </w:r>
            <w:r>
              <w:rPr>
                <w:spacing w:val="-6"/>
                <w:sz w:val="20"/>
              </w:rPr>
              <w:t> </w:t>
            </w:r>
            <w:r>
              <w:rPr>
                <w:sz w:val="20"/>
              </w:rPr>
              <w:t>of</w:t>
            </w:r>
            <w:r>
              <w:rPr>
                <w:spacing w:val="-6"/>
                <w:sz w:val="20"/>
              </w:rPr>
              <w:t> </w:t>
            </w:r>
            <w:r>
              <w:rPr>
                <w:sz w:val="20"/>
              </w:rPr>
              <w:t>free</w:t>
            </w:r>
            <w:r>
              <w:rPr>
                <w:spacing w:val="-6"/>
                <w:sz w:val="20"/>
              </w:rPr>
              <w:t> </w:t>
            </w:r>
            <w:r>
              <w:rPr>
                <w:sz w:val="20"/>
              </w:rPr>
              <w:t>feed</w:t>
            </w:r>
            <w:r>
              <w:rPr>
                <w:spacing w:val="-6"/>
                <w:sz w:val="20"/>
              </w:rPr>
              <w:t> </w:t>
            </w:r>
            <w:r>
              <w:rPr>
                <w:sz w:val="20"/>
              </w:rPr>
              <w:t>and</w:t>
            </w:r>
            <w:r>
              <w:rPr>
                <w:spacing w:val="-5"/>
                <w:sz w:val="20"/>
              </w:rPr>
              <w:t> </w:t>
            </w:r>
            <w:r>
              <w:rPr>
                <w:sz w:val="20"/>
              </w:rPr>
              <w:t>poison</w:t>
            </w:r>
            <w:r>
              <w:rPr>
                <w:spacing w:val="-5"/>
                <w:sz w:val="20"/>
              </w:rPr>
              <w:t> </w:t>
            </w:r>
            <w:r>
              <w:rPr>
                <w:sz w:val="20"/>
              </w:rPr>
              <w:t>baits</w:t>
            </w:r>
            <w:r>
              <w:rPr>
                <w:spacing w:val="-6"/>
                <w:sz w:val="20"/>
              </w:rPr>
              <w:t> </w:t>
            </w:r>
            <w:r>
              <w:rPr>
                <w:sz w:val="20"/>
              </w:rPr>
              <w:t>per</w:t>
            </w:r>
            <w:r>
              <w:rPr>
                <w:spacing w:val="-4"/>
                <w:sz w:val="20"/>
              </w:rPr>
              <w:t> </w:t>
            </w:r>
            <w:r>
              <w:rPr>
                <w:sz w:val="20"/>
              </w:rPr>
              <w:t>operation Cost of fumigant per control event</w:t>
            </w:r>
          </w:p>
          <w:p>
            <w:pPr>
              <w:pStyle w:val="TableParagraph"/>
              <w:ind w:left="108" w:right="2410"/>
              <w:rPr>
                <w:sz w:val="20"/>
              </w:rPr>
            </w:pPr>
            <w:r>
              <w:rPr>
                <w:sz w:val="20"/>
              </w:rPr>
              <w:t>Cost</w:t>
            </w:r>
            <w:r>
              <w:rPr>
                <w:spacing w:val="-5"/>
                <w:sz w:val="20"/>
              </w:rPr>
              <w:t> </w:t>
            </w:r>
            <w:r>
              <w:rPr>
                <w:sz w:val="20"/>
              </w:rPr>
              <w:t>of</w:t>
            </w:r>
            <w:r>
              <w:rPr>
                <w:spacing w:val="-3"/>
                <w:sz w:val="20"/>
              </w:rPr>
              <w:t> </w:t>
            </w:r>
            <w:r>
              <w:rPr>
                <w:sz w:val="20"/>
              </w:rPr>
              <w:t>machine</w:t>
            </w:r>
            <w:r>
              <w:rPr>
                <w:spacing w:val="-5"/>
                <w:sz w:val="20"/>
              </w:rPr>
              <w:t> </w:t>
            </w:r>
            <w:r>
              <w:rPr>
                <w:sz w:val="20"/>
              </w:rPr>
              <w:t>per</w:t>
            </w:r>
            <w:r>
              <w:rPr>
                <w:spacing w:val="-5"/>
                <w:sz w:val="20"/>
              </w:rPr>
              <w:t> </w:t>
            </w:r>
            <w:r>
              <w:rPr>
                <w:sz w:val="20"/>
              </w:rPr>
              <w:t>hour</w:t>
            </w:r>
            <w:r>
              <w:rPr>
                <w:spacing w:val="-5"/>
                <w:sz w:val="20"/>
              </w:rPr>
              <w:t> </w:t>
            </w:r>
            <w:r>
              <w:rPr>
                <w:sz w:val="20"/>
              </w:rPr>
              <w:t>to</w:t>
            </w:r>
            <w:r>
              <w:rPr>
                <w:spacing w:val="-5"/>
                <w:sz w:val="20"/>
              </w:rPr>
              <w:t> </w:t>
            </w:r>
            <w:r>
              <w:rPr>
                <w:sz w:val="20"/>
              </w:rPr>
              <w:t>rip</w:t>
            </w:r>
            <w:r>
              <w:rPr>
                <w:spacing w:val="-5"/>
                <w:sz w:val="20"/>
              </w:rPr>
              <w:t> </w:t>
            </w:r>
            <w:r>
              <w:rPr>
                <w:sz w:val="20"/>
              </w:rPr>
              <w:t>warrens/create</w:t>
            </w:r>
            <w:r>
              <w:rPr>
                <w:spacing w:val="-4"/>
                <w:sz w:val="20"/>
              </w:rPr>
              <w:t> </w:t>
            </w:r>
            <w:r>
              <w:rPr>
                <w:sz w:val="20"/>
              </w:rPr>
              <w:t>furrows</w:t>
            </w:r>
            <w:r>
              <w:rPr>
                <w:spacing w:val="-3"/>
                <w:sz w:val="20"/>
              </w:rPr>
              <w:t> </w:t>
            </w:r>
            <w:r>
              <w:rPr>
                <w:sz w:val="20"/>
              </w:rPr>
              <w:t>(if</w:t>
            </w:r>
            <w:r>
              <w:rPr>
                <w:spacing w:val="-5"/>
                <w:sz w:val="20"/>
              </w:rPr>
              <w:t> </w:t>
            </w:r>
            <w:r>
              <w:rPr>
                <w:sz w:val="20"/>
              </w:rPr>
              <w:t>hired) Cost of RHDV-K5 per event</w:t>
            </w:r>
          </w:p>
        </w:tc>
      </w:tr>
    </w:tbl>
    <w:p>
      <w:pPr>
        <w:pStyle w:val="BodyText"/>
        <w:rPr>
          <w:b/>
        </w:rPr>
      </w:pPr>
    </w:p>
    <w:p>
      <w:pPr>
        <w:pStyle w:val="BodyText"/>
        <w:spacing w:before="118"/>
        <w:rPr>
          <w:b/>
        </w:rPr>
      </w:pPr>
    </w:p>
    <w:p>
      <w:pPr>
        <w:tabs>
          <w:tab w:pos="14685" w:val="right" w:leader="none"/>
        </w:tabs>
        <w:spacing w:before="0"/>
        <w:ind w:left="10199" w:right="0" w:firstLine="0"/>
        <w:jc w:val="left"/>
        <w:rPr>
          <w:sz w:val="20"/>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r>
        <w:rPr>
          <w:sz w:val="18"/>
        </w:rPr>
        <w:tab/>
      </w:r>
      <w:r>
        <w:rPr>
          <w:spacing w:val="-5"/>
          <w:sz w:val="20"/>
        </w:rPr>
        <w:t>131</w:t>
      </w:r>
    </w:p>
    <w:p>
      <w:pPr>
        <w:spacing w:after="0"/>
        <w:jc w:val="left"/>
        <w:rPr>
          <w:sz w:val="20"/>
        </w:rPr>
        <w:sectPr>
          <w:footerReference w:type="default" r:id="rId125"/>
          <w:pgSz w:w="16850" w:h="11910" w:orient="landscape"/>
          <w:pgMar w:header="0" w:footer="0" w:top="1160" w:bottom="280" w:left="1020" w:right="1020"/>
        </w:sectPr>
      </w:pPr>
    </w:p>
    <w:p>
      <w:pPr>
        <w:pStyle w:val="BodyText"/>
        <w:spacing w:before="3"/>
        <w:rPr>
          <w:sz w:val="2"/>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4"/>
        <w:gridCol w:w="8302"/>
      </w:tblGrid>
      <w:tr>
        <w:trPr>
          <w:trHeight w:val="350" w:hRule="atLeast"/>
        </w:trPr>
        <w:tc>
          <w:tcPr>
            <w:tcW w:w="5444" w:type="dxa"/>
            <w:shd w:val="clear" w:color="auto" w:fill="004B96"/>
          </w:tcPr>
          <w:p>
            <w:pPr>
              <w:pStyle w:val="TableParagraph"/>
              <w:spacing w:before="62"/>
              <w:ind w:left="110"/>
              <w:rPr>
                <w:b/>
                <w:sz w:val="20"/>
              </w:rPr>
            </w:pPr>
            <w:r>
              <w:rPr>
                <w:b/>
                <w:color w:val="FFFFFF"/>
                <w:spacing w:val="-2"/>
                <w:sz w:val="20"/>
              </w:rPr>
              <w:t>Parameter</w:t>
            </w:r>
          </w:p>
        </w:tc>
        <w:tc>
          <w:tcPr>
            <w:tcW w:w="8302" w:type="dxa"/>
            <w:shd w:val="clear" w:color="auto" w:fill="004B96"/>
          </w:tcPr>
          <w:p>
            <w:pPr>
              <w:pStyle w:val="TableParagraph"/>
              <w:spacing w:before="62"/>
              <w:ind w:left="108"/>
              <w:rPr>
                <w:b/>
                <w:sz w:val="20"/>
              </w:rPr>
            </w:pPr>
            <w:r>
              <w:rPr>
                <w:b/>
                <w:color w:val="FFFFFF"/>
                <w:spacing w:val="-2"/>
                <w:sz w:val="20"/>
              </w:rPr>
              <w:t>Description</w:t>
            </w:r>
          </w:p>
        </w:tc>
      </w:tr>
      <w:tr>
        <w:trPr>
          <w:trHeight w:val="810" w:hRule="atLeast"/>
        </w:trPr>
        <w:tc>
          <w:tcPr>
            <w:tcW w:w="5444" w:type="dxa"/>
          </w:tcPr>
          <w:p>
            <w:pPr>
              <w:pStyle w:val="TableParagraph"/>
              <w:spacing w:before="2"/>
              <w:ind w:left="110"/>
              <w:rPr>
                <w:sz w:val="20"/>
              </w:rPr>
            </w:pPr>
            <w:r>
              <w:rPr>
                <w:sz w:val="20"/>
              </w:rPr>
              <w:t>Distance</w:t>
            </w:r>
            <w:r>
              <w:rPr>
                <w:spacing w:val="-10"/>
                <w:sz w:val="20"/>
              </w:rPr>
              <w:t> </w:t>
            </w:r>
            <w:r>
              <w:rPr>
                <w:spacing w:val="-2"/>
                <w:sz w:val="20"/>
              </w:rPr>
              <w:t>travelled</w:t>
            </w:r>
          </w:p>
        </w:tc>
        <w:tc>
          <w:tcPr>
            <w:tcW w:w="8302" w:type="dxa"/>
          </w:tcPr>
          <w:p>
            <w:pPr>
              <w:pStyle w:val="TableParagraph"/>
              <w:ind w:left="108" w:right="3611"/>
              <w:rPr>
                <w:sz w:val="20"/>
              </w:rPr>
            </w:pPr>
            <w:r>
              <w:rPr>
                <w:sz w:val="20"/>
              </w:rPr>
              <w:t>Km</w:t>
            </w:r>
            <w:r>
              <w:rPr>
                <w:spacing w:val="-4"/>
                <w:sz w:val="20"/>
              </w:rPr>
              <w:t> </w:t>
            </w:r>
            <w:r>
              <w:rPr>
                <w:sz w:val="20"/>
              </w:rPr>
              <w:t>flown</w:t>
            </w:r>
            <w:r>
              <w:rPr>
                <w:spacing w:val="-4"/>
                <w:sz w:val="20"/>
              </w:rPr>
              <w:t> </w:t>
            </w:r>
            <w:r>
              <w:rPr>
                <w:sz w:val="20"/>
              </w:rPr>
              <w:t>or</w:t>
            </w:r>
            <w:r>
              <w:rPr>
                <w:spacing w:val="-3"/>
                <w:sz w:val="20"/>
              </w:rPr>
              <w:t> </w:t>
            </w:r>
            <w:r>
              <w:rPr>
                <w:sz w:val="20"/>
              </w:rPr>
              <w:t>driven</w:t>
            </w:r>
            <w:r>
              <w:rPr>
                <w:spacing w:val="-5"/>
                <w:sz w:val="20"/>
              </w:rPr>
              <w:t> </w:t>
            </w:r>
            <w:r>
              <w:rPr>
                <w:sz w:val="20"/>
              </w:rPr>
              <w:t>to</w:t>
            </w:r>
            <w:r>
              <w:rPr>
                <w:spacing w:val="-4"/>
                <w:sz w:val="20"/>
              </w:rPr>
              <w:t> </w:t>
            </w:r>
            <w:r>
              <w:rPr>
                <w:sz w:val="20"/>
              </w:rPr>
              <w:t>and</w:t>
            </w:r>
            <w:r>
              <w:rPr>
                <w:spacing w:val="-5"/>
                <w:sz w:val="20"/>
              </w:rPr>
              <w:t> </w:t>
            </w:r>
            <w:r>
              <w:rPr>
                <w:sz w:val="20"/>
              </w:rPr>
              <w:t>from</w:t>
            </w:r>
            <w:r>
              <w:rPr>
                <w:spacing w:val="-4"/>
                <w:sz w:val="20"/>
              </w:rPr>
              <w:t> </w:t>
            </w:r>
            <w:r>
              <w:rPr>
                <w:sz w:val="20"/>
              </w:rPr>
              <w:t>and</w:t>
            </w:r>
            <w:r>
              <w:rPr>
                <w:spacing w:val="-5"/>
                <w:sz w:val="20"/>
              </w:rPr>
              <w:t> </w:t>
            </w:r>
            <w:r>
              <w:rPr>
                <w:sz w:val="20"/>
              </w:rPr>
              <w:t>at</w:t>
            </w:r>
            <w:r>
              <w:rPr>
                <w:spacing w:val="-4"/>
                <w:sz w:val="20"/>
              </w:rPr>
              <w:t> </w:t>
            </w:r>
            <w:r>
              <w:rPr>
                <w:sz w:val="20"/>
              </w:rPr>
              <w:t>control</w:t>
            </w:r>
            <w:r>
              <w:rPr>
                <w:spacing w:val="-5"/>
                <w:sz w:val="20"/>
              </w:rPr>
              <w:t> </w:t>
            </w:r>
            <w:r>
              <w:rPr>
                <w:sz w:val="20"/>
              </w:rPr>
              <w:t>site Km flown or driven during control event</w:t>
            </w:r>
          </w:p>
        </w:tc>
      </w:tr>
      <w:tr>
        <w:trPr>
          <w:trHeight w:val="930" w:hRule="atLeast"/>
        </w:trPr>
        <w:tc>
          <w:tcPr>
            <w:tcW w:w="5444" w:type="dxa"/>
          </w:tcPr>
          <w:p>
            <w:pPr>
              <w:pStyle w:val="TableParagraph"/>
              <w:spacing w:line="229" w:lineRule="exact"/>
              <w:ind w:left="110"/>
              <w:rPr>
                <w:sz w:val="20"/>
              </w:rPr>
            </w:pPr>
            <w:r>
              <w:rPr>
                <w:sz w:val="20"/>
              </w:rPr>
              <w:t>Cost</w:t>
            </w:r>
            <w:r>
              <w:rPr>
                <w:spacing w:val="-5"/>
                <w:sz w:val="20"/>
              </w:rPr>
              <w:t> </w:t>
            </w:r>
            <w:r>
              <w:rPr>
                <w:sz w:val="20"/>
              </w:rPr>
              <w:t>of</w:t>
            </w:r>
            <w:r>
              <w:rPr>
                <w:spacing w:val="-4"/>
                <w:sz w:val="20"/>
              </w:rPr>
              <w:t> </w:t>
            </w:r>
            <w:r>
              <w:rPr>
                <w:spacing w:val="-2"/>
                <w:sz w:val="20"/>
              </w:rPr>
              <w:t>travel</w:t>
            </w:r>
          </w:p>
        </w:tc>
        <w:tc>
          <w:tcPr>
            <w:tcW w:w="8302" w:type="dxa"/>
          </w:tcPr>
          <w:p>
            <w:pPr>
              <w:pStyle w:val="TableParagraph"/>
              <w:spacing w:line="229" w:lineRule="exact"/>
              <w:ind w:left="108"/>
              <w:rPr>
                <w:sz w:val="20"/>
              </w:rPr>
            </w:pPr>
            <w:r>
              <w:rPr>
                <w:sz w:val="20"/>
              </w:rPr>
              <w:t>$</w:t>
            </w:r>
            <w:r>
              <w:rPr>
                <w:spacing w:val="-5"/>
                <w:sz w:val="20"/>
              </w:rPr>
              <w:t> </w:t>
            </w:r>
            <w:r>
              <w:rPr>
                <w:sz w:val="20"/>
              </w:rPr>
              <w:t>per</w:t>
            </w:r>
            <w:r>
              <w:rPr>
                <w:spacing w:val="-1"/>
                <w:sz w:val="20"/>
              </w:rPr>
              <w:t> </w:t>
            </w:r>
            <w:r>
              <w:rPr>
                <w:sz w:val="20"/>
              </w:rPr>
              <w:t>litre</w:t>
            </w:r>
            <w:r>
              <w:rPr>
                <w:spacing w:val="-3"/>
                <w:sz w:val="20"/>
              </w:rPr>
              <w:t> </w:t>
            </w:r>
            <w:r>
              <w:rPr>
                <w:sz w:val="20"/>
              </w:rPr>
              <w:t>of</w:t>
            </w:r>
            <w:r>
              <w:rPr>
                <w:spacing w:val="-4"/>
                <w:sz w:val="20"/>
              </w:rPr>
              <w:t> </w:t>
            </w:r>
            <w:r>
              <w:rPr>
                <w:sz w:val="20"/>
              </w:rPr>
              <w:t>fuel</w:t>
            </w:r>
            <w:r>
              <w:rPr>
                <w:spacing w:val="-4"/>
                <w:sz w:val="20"/>
              </w:rPr>
              <w:t> </w:t>
            </w:r>
            <w:r>
              <w:rPr>
                <w:sz w:val="20"/>
              </w:rPr>
              <w:t>or</w:t>
            </w:r>
            <w:r>
              <w:rPr>
                <w:spacing w:val="-4"/>
                <w:sz w:val="20"/>
              </w:rPr>
              <w:t> </w:t>
            </w:r>
            <w:r>
              <w:rPr>
                <w:sz w:val="20"/>
              </w:rPr>
              <w:t>total</w:t>
            </w:r>
            <w:r>
              <w:rPr>
                <w:spacing w:val="-5"/>
                <w:sz w:val="20"/>
              </w:rPr>
              <w:t> </w:t>
            </w:r>
            <w:r>
              <w:rPr>
                <w:sz w:val="20"/>
              </w:rPr>
              <w:t>fuel</w:t>
            </w:r>
            <w:r>
              <w:rPr>
                <w:spacing w:val="-5"/>
                <w:sz w:val="20"/>
              </w:rPr>
              <w:t> </w:t>
            </w:r>
            <w:r>
              <w:rPr>
                <w:sz w:val="20"/>
              </w:rPr>
              <w:t>cost</w:t>
            </w:r>
            <w:r>
              <w:rPr>
                <w:spacing w:val="-2"/>
                <w:sz w:val="20"/>
              </w:rPr>
              <w:t> </w:t>
            </w:r>
            <w:r>
              <w:rPr>
                <w:sz w:val="20"/>
              </w:rPr>
              <w:t>per</w:t>
            </w:r>
            <w:r>
              <w:rPr>
                <w:spacing w:val="-2"/>
                <w:sz w:val="20"/>
              </w:rPr>
              <w:t> </w:t>
            </w:r>
            <w:r>
              <w:rPr>
                <w:spacing w:val="-4"/>
                <w:sz w:val="20"/>
              </w:rPr>
              <w:t>event</w:t>
            </w:r>
          </w:p>
          <w:p>
            <w:pPr>
              <w:pStyle w:val="TableParagraph"/>
              <w:spacing w:before="120"/>
              <w:ind w:left="108" w:right="4291"/>
              <w:rPr>
                <w:sz w:val="20"/>
              </w:rPr>
            </w:pPr>
            <w:r>
              <w:rPr>
                <w:sz w:val="20"/>
              </w:rPr>
              <w:t>cost of flying a control event ($/hr) Helicopter</w:t>
            </w:r>
            <w:r>
              <w:rPr>
                <w:spacing w:val="-12"/>
                <w:sz w:val="20"/>
              </w:rPr>
              <w:t> </w:t>
            </w:r>
            <w:r>
              <w:rPr>
                <w:sz w:val="20"/>
              </w:rPr>
              <w:t>standby</w:t>
            </w:r>
            <w:r>
              <w:rPr>
                <w:spacing w:val="-11"/>
                <w:sz w:val="20"/>
              </w:rPr>
              <w:t> </w:t>
            </w:r>
            <w:r>
              <w:rPr>
                <w:sz w:val="20"/>
              </w:rPr>
              <w:t>rate</w:t>
            </w:r>
            <w:r>
              <w:rPr>
                <w:spacing w:val="-11"/>
                <w:sz w:val="20"/>
              </w:rPr>
              <w:t> </w:t>
            </w:r>
            <w:r>
              <w:rPr>
                <w:sz w:val="20"/>
              </w:rPr>
              <w:t>per</w:t>
            </w:r>
            <w:r>
              <w:rPr>
                <w:spacing w:val="-9"/>
                <w:sz w:val="20"/>
              </w:rPr>
              <w:t> </w:t>
            </w:r>
            <w:r>
              <w:rPr>
                <w:sz w:val="20"/>
              </w:rPr>
              <w:t>operations</w:t>
            </w:r>
          </w:p>
        </w:tc>
      </w:tr>
      <w:tr>
        <w:trPr>
          <w:trHeight w:val="350" w:hRule="atLeast"/>
        </w:trPr>
        <w:tc>
          <w:tcPr>
            <w:tcW w:w="5444" w:type="dxa"/>
          </w:tcPr>
          <w:p>
            <w:pPr>
              <w:pStyle w:val="TableParagraph"/>
              <w:spacing w:line="229" w:lineRule="exact"/>
              <w:ind w:left="110"/>
              <w:rPr>
                <w:b/>
                <w:sz w:val="20"/>
              </w:rPr>
            </w:pPr>
            <w:r>
              <w:rPr>
                <w:b/>
                <w:sz w:val="20"/>
              </w:rPr>
              <w:t>Pest</w:t>
            </w:r>
            <w:r>
              <w:rPr>
                <w:b/>
                <w:spacing w:val="-6"/>
                <w:sz w:val="20"/>
              </w:rPr>
              <w:t> </w:t>
            </w:r>
            <w:r>
              <w:rPr>
                <w:b/>
                <w:sz w:val="20"/>
              </w:rPr>
              <w:t>animal</w:t>
            </w:r>
            <w:r>
              <w:rPr>
                <w:b/>
                <w:spacing w:val="-9"/>
                <w:sz w:val="20"/>
              </w:rPr>
              <w:t> </w:t>
            </w:r>
            <w:r>
              <w:rPr>
                <w:b/>
                <w:spacing w:val="-4"/>
                <w:sz w:val="20"/>
              </w:rPr>
              <w:t>data</w:t>
            </w:r>
          </w:p>
        </w:tc>
        <w:tc>
          <w:tcPr>
            <w:tcW w:w="8302" w:type="dxa"/>
          </w:tcPr>
          <w:p>
            <w:pPr>
              <w:pStyle w:val="TableParagraph"/>
              <w:rPr>
                <w:rFonts w:ascii="Times New Roman"/>
                <w:sz w:val="18"/>
              </w:rPr>
            </w:pPr>
          </w:p>
        </w:tc>
      </w:tr>
      <w:tr>
        <w:trPr>
          <w:trHeight w:val="1039" w:hRule="atLeast"/>
        </w:trPr>
        <w:tc>
          <w:tcPr>
            <w:tcW w:w="5444" w:type="dxa"/>
          </w:tcPr>
          <w:p>
            <w:pPr>
              <w:pStyle w:val="TableParagraph"/>
              <w:spacing w:line="229" w:lineRule="exact"/>
              <w:ind w:left="110"/>
              <w:rPr>
                <w:sz w:val="20"/>
              </w:rPr>
            </w:pPr>
            <w:r>
              <w:rPr>
                <w:sz w:val="20"/>
              </w:rPr>
              <w:t>Pest</w:t>
            </w:r>
            <w:r>
              <w:rPr>
                <w:spacing w:val="-8"/>
                <w:sz w:val="20"/>
              </w:rPr>
              <w:t> </w:t>
            </w:r>
            <w:r>
              <w:rPr>
                <w:spacing w:val="-2"/>
                <w:sz w:val="20"/>
              </w:rPr>
              <w:t>abundance/density</w:t>
            </w:r>
          </w:p>
        </w:tc>
        <w:tc>
          <w:tcPr>
            <w:tcW w:w="8302" w:type="dxa"/>
          </w:tcPr>
          <w:p>
            <w:pPr>
              <w:pStyle w:val="TableParagraph"/>
              <w:ind w:left="108" w:right="43"/>
              <w:rPr>
                <w:sz w:val="20"/>
              </w:rPr>
            </w:pPr>
            <w:r>
              <w:rPr>
                <w:sz w:val="20"/>
              </w:rPr>
              <w:t>A</w:t>
            </w:r>
            <w:r>
              <w:rPr>
                <w:spacing w:val="-4"/>
                <w:sz w:val="20"/>
              </w:rPr>
              <w:t> </w:t>
            </w:r>
            <w:r>
              <w:rPr>
                <w:sz w:val="20"/>
              </w:rPr>
              <w:t>measure</w:t>
            </w:r>
            <w:r>
              <w:rPr>
                <w:spacing w:val="-4"/>
                <w:sz w:val="20"/>
              </w:rPr>
              <w:t> </w:t>
            </w:r>
            <w:r>
              <w:rPr>
                <w:sz w:val="20"/>
              </w:rPr>
              <w:t>of</w:t>
            </w:r>
            <w:r>
              <w:rPr>
                <w:spacing w:val="-4"/>
                <w:sz w:val="20"/>
              </w:rPr>
              <w:t> </w:t>
            </w:r>
            <w:r>
              <w:rPr>
                <w:sz w:val="20"/>
              </w:rPr>
              <w:t>the</w:t>
            </w:r>
            <w:r>
              <w:rPr>
                <w:spacing w:val="-4"/>
                <w:sz w:val="20"/>
              </w:rPr>
              <w:t> </w:t>
            </w:r>
            <w:r>
              <w:rPr>
                <w:sz w:val="20"/>
              </w:rPr>
              <w:t>pre-</w:t>
            </w:r>
            <w:r>
              <w:rPr>
                <w:spacing w:val="-1"/>
                <w:sz w:val="20"/>
              </w:rPr>
              <w:t> </w:t>
            </w:r>
            <w:r>
              <w:rPr>
                <w:sz w:val="20"/>
              </w:rPr>
              <w:t>and</w:t>
            </w:r>
            <w:r>
              <w:rPr>
                <w:spacing w:val="-2"/>
                <w:sz w:val="20"/>
              </w:rPr>
              <w:t> </w:t>
            </w:r>
            <w:r>
              <w:rPr>
                <w:sz w:val="20"/>
              </w:rPr>
              <w:t>post-density</w:t>
            </w:r>
            <w:r>
              <w:rPr>
                <w:spacing w:val="-3"/>
                <w:sz w:val="20"/>
              </w:rPr>
              <w:t> </w:t>
            </w:r>
            <w:r>
              <w:rPr>
                <w:sz w:val="20"/>
              </w:rPr>
              <w:t>of</w:t>
            </w:r>
            <w:r>
              <w:rPr>
                <w:spacing w:val="-4"/>
                <w:sz w:val="20"/>
              </w:rPr>
              <w:t> </w:t>
            </w:r>
            <w:r>
              <w:rPr>
                <w:sz w:val="20"/>
              </w:rPr>
              <w:t>the</w:t>
            </w:r>
            <w:r>
              <w:rPr>
                <w:spacing w:val="-3"/>
                <w:sz w:val="20"/>
              </w:rPr>
              <w:t> </w:t>
            </w:r>
            <w:r>
              <w:rPr>
                <w:sz w:val="20"/>
              </w:rPr>
              <w:t>pest</w:t>
            </w:r>
            <w:r>
              <w:rPr>
                <w:spacing w:val="-4"/>
                <w:sz w:val="20"/>
              </w:rPr>
              <w:t> </w:t>
            </w:r>
            <w:r>
              <w:rPr>
                <w:sz w:val="20"/>
              </w:rPr>
              <w:t>or</w:t>
            </w:r>
            <w:r>
              <w:rPr>
                <w:spacing w:val="-1"/>
                <w:sz w:val="20"/>
              </w:rPr>
              <w:t> </w:t>
            </w:r>
            <w:r>
              <w:rPr>
                <w:sz w:val="20"/>
              </w:rPr>
              <w:t>a</w:t>
            </w:r>
            <w:r>
              <w:rPr>
                <w:spacing w:val="-4"/>
                <w:sz w:val="20"/>
              </w:rPr>
              <w:t> </w:t>
            </w:r>
            <w:r>
              <w:rPr>
                <w:sz w:val="20"/>
              </w:rPr>
              <w:t>measure</w:t>
            </w:r>
            <w:r>
              <w:rPr>
                <w:spacing w:val="-4"/>
                <w:sz w:val="20"/>
              </w:rPr>
              <w:t> </w:t>
            </w:r>
            <w:r>
              <w:rPr>
                <w:sz w:val="20"/>
              </w:rPr>
              <w:t>of</w:t>
            </w:r>
            <w:r>
              <w:rPr>
                <w:spacing w:val="-2"/>
                <w:sz w:val="20"/>
              </w:rPr>
              <w:t> </w:t>
            </w:r>
            <w:r>
              <w:rPr>
                <w:sz w:val="20"/>
              </w:rPr>
              <w:t>the</w:t>
            </w:r>
            <w:r>
              <w:rPr>
                <w:spacing w:val="-2"/>
                <w:sz w:val="20"/>
              </w:rPr>
              <w:t> </w:t>
            </w:r>
            <w:r>
              <w:rPr>
                <w:sz w:val="20"/>
              </w:rPr>
              <w:t>relative</w:t>
            </w:r>
            <w:r>
              <w:rPr>
                <w:spacing w:val="-2"/>
                <w:sz w:val="20"/>
              </w:rPr>
              <w:t> </w:t>
            </w:r>
            <w:r>
              <w:rPr>
                <w:sz w:val="20"/>
              </w:rPr>
              <w:t>abundance, or a count of individuals, e.g. mean of three consecutive nights of spotlight counts before and after control event/operation; and count of open entrances per warren or pellet counts before and after operation.</w:t>
            </w:r>
          </w:p>
        </w:tc>
      </w:tr>
      <w:tr>
        <w:trPr>
          <w:trHeight w:val="350" w:hRule="atLeast"/>
        </w:trPr>
        <w:tc>
          <w:tcPr>
            <w:tcW w:w="5444" w:type="dxa"/>
          </w:tcPr>
          <w:p>
            <w:pPr>
              <w:pStyle w:val="TableParagraph"/>
              <w:spacing w:line="229" w:lineRule="exact"/>
              <w:ind w:left="110"/>
              <w:rPr>
                <w:sz w:val="20"/>
              </w:rPr>
            </w:pPr>
            <w:r>
              <w:rPr>
                <w:sz w:val="20"/>
              </w:rPr>
              <w:t>The</w:t>
            </w:r>
            <w:r>
              <w:rPr>
                <w:spacing w:val="-9"/>
                <w:sz w:val="20"/>
              </w:rPr>
              <w:t> </w:t>
            </w:r>
            <w:r>
              <w:rPr>
                <w:sz w:val="20"/>
              </w:rPr>
              <w:t>number</w:t>
            </w:r>
            <w:r>
              <w:rPr>
                <w:spacing w:val="-8"/>
                <w:sz w:val="20"/>
              </w:rPr>
              <w:t> </w:t>
            </w:r>
            <w:r>
              <w:rPr>
                <w:sz w:val="20"/>
              </w:rPr>
              <w:t>of</w:t>
            </w:r>
            <w:r>
              <w:rPr>
                <w:spacing w:val="-6"/>
                <w:sz w:val="20"/>
              </w:rPr>
              <w:t> </w:t>
            </w:r>
            <w:r>
              <w:rPr>
                <w:sz w:val="20"/>
              </w:rPr>
              <w:t>individuals</w:t>
            </w:r>
            <w:r>
              <w:rPr>
                <w:spacing w:val="-7"/>
                <w:sz w:val="20"/>
              </w:rPr>
              <w:t> </w:t>
            </w:r>
            <w:r>
              <w:rPr>
                <w:sz w:val="20"/>
              </w:rPr>
              <w:t>killed</w:t>
            </w:r>
            <w:r>
              <w:rPr>
                <w:spacing w:val="-7"/>
                <w:sz w:val="20"/>
              </w:rPr>
              <w:t> </w:t>
            </w:r>
            <w:r>
              <w:rPr>
                <w:sz w:val="20"/>
              </w:rPr>
              <w:t>per</w:t>
            </w:r>
            <w:r>
              <w:rPr>
                <w:spacing w:val="-7"/>
                <w:sz w:val="20"/>
              </w:rPr>
              <w:t> </w:t>
            </w:r>
            <w:r>
              <w:rPr>
                <w:spacing w:val="-4"/>
                <w:sz w:val="20"/>
              </w:rPr>
              <w:t>event</w:t>
            </w:r>
          </w:p>
        </w:tc>
        <w:tc>
          <w:tcPr>
            <w:tcW w:w="8302" w:type="dxa"/>
          </w:tcPr>
          <w:p>
            <w:pPr>
              <w:pStyle w:val="TableParagraph"/>
              <w:spacing w:line="229" w:lineRule="exact"/>
              <w:ind w:left="108"/>
              <w:rPr>
                <w:sz w:val="20"/>
              </w:rPr>
            </w:pPr>
            <w:r>
              <w:rPr>
                <w:sz w:val="20"/>
              </w:rPr>
              <w:t>NA</w:t>
            </w:r>
            <w:r>
              <w:rPr>
                <w:spacing w:val="-5"/>
                <w:sz w:val="20"/>
              </w:rPr>
              <w:t> </w:t>
            </w:r>
            <w:r>
              <w:rPr>
                <w:sz w:val="20"/>
              </w:rPr>
              <w:t>for</w:t>
            </w:r>
            <w:r>
              <w:rPr>
                <w:spacing w:val="-3"/>
                <w:sz w:val="20"/>
              </w:rPr>
              <w:t> </w:t>
            </w:r>
            <w:r>
              <w:rPr>
                <w:sz w:val="20"/>
              </w:rPr>
              <w:t>rabbits</w:t>
            </w:r>
            <w:r>
              <w:rPr>
                <w:spacing w:val="-2"/>
                <w:sz w:val="20"/>
              </w:rPr>
              <w:t> </w:t>
            </w:r>
            <w:r>
              <w:rPr>
                <w:sz w:val="20"/>
              </w:rPr>
              <w:t>–</w:t>
            </w:r>
            <w:r>
              <w:rPr>
                <w:spacing w:val="-5"/>
                <w:sz w:val="20"/>
              </w:rPr>
              <w:t> </w:t>
            </w:r>
            <w:r>
              <w:rPr>
                <w:sz w:val="20"/>
              </w:rPr>
              <w:t>see</w:t>
            </w:r>
            <w:r>
              <w:rPr>
                <w:spacing w:val="-4"/>
                <w:sz w:val="20"/>
              </w:rPr>
              <w:t> above</w:t>
            </w:r>
          </w:p>
        </w:tc>
      </w:tr>
      <w:tr>
        <w:trPr>
          <w:trHeight w:val="350" w:hRule="atLeast"/>
        </w:trPr>
        <w:tc>
          <w:tcPr>
            <w:tcW w:w="5444" w:type="dxa"/>
          </w:tcPr>
          <w:p>
            <w:pPr>
              <w:pStyle w:val="TableParagraph"/>
              <w:spacing w:line="229" w:lineRule="exact"/>
              <w:ind w:left="110"/>
              <w:rPr>
                <w:sz w:val="20"/>
              </w:rPr>
            </w:pPr>
            <w:r>
              <w:rPr>
                <w:sz w:val="20"/>
              </w:rPr>
              <w:t>Number</w:t>
            </w:r>
            <w:r>
              <w:rPr>
                <w:spacing w:val="-8"/>
                <w:sz w:val="20"/>
              </w:rPr>
              <w:t> </w:t>
            </w:r>
            <w:r>
              <w:rPr>
                <w:sz w:val="20"/>
              </w:rPr>
              <w:t>of</w:t>
            </w:r>
            <w:r>
              <w:rPr>
                <w:spacing w:val="-7"/>
                <w:sz w:val="20"/>
              </w:rPr>
              <w:t> </w:t>
            </w:r>
            <w:r>
              <w:rPr>
                <w:sz w:val="20"/>
              </w:rPr>
              <w:t>warrens/dens</w:t>
            </w:r>
            <w:r>
              <w:rPr>
                <w:spacing w:val="-7"/>
                <w:sz w:val="20"/>
              </w:rPr>
              <w:t> </w:t>
            </w:r>
            <w:r>
              <w:rPr>
                <w:sz w:val="20"/>
              </w:rPr>
              <w:t>ripped</w:t>
            </w:r>
            <w:r>
              <w:rPr>
                <w:spacing w:val="-6"/>
                <w:sz w:val="20"/>
              </w:rPr>
              <w:t> </w:t>
            </w:r>
            <w:r>
              <w:rPr>
                <w:sz w:val="20"/>
              </w:rPr>
              <w:t>or</w:t>
            </w:r>
            <w:r>
              <w:rPr>
                <w:spacing w:val="-7"/>
                <w:sz w:val="20"/>
              </w:rPr>
              <w:t> </w:t>
            </w:r>
            <w:r>
              <w:rPr>
                <w:sz w:val="20"/>
              </w:rPr>
              <w:t>fumigated</w:t>
            </w:r>
            <w:r>
              <w:rPr>
                <w:spacing w:val="-8"/>
                <w:sz w:val="20"/>
              </w:rPr>
              <w:t> </w:t>
            </w:r>
            <w:r>
              <w:rPr>
                <w:sz w:val="20"/>
              </w:rPr>
              <w:t>per</w:t>
            </w:r>
            <w:r>
              <w:rPr>
                <w:spacing w:val="-7"/>
                <w:sz w:val="20"/>
              </w:rPr>
              <w:t> </w:t>
            </w:r>
            <w:r>
              <w:rPr>
                <w:spacing w:val="-4"/>
                <w:sz w:val="20"/>
              </w:rPr>
              <w:t>event</w:t>
            </w:r>
          </w:p>
        </w:tc>
        <w:tc>
          <w:tcPr>
            <w:tcW w:w="8302" w:type="dxa"/>
          </w:tcPr>
          <w:p>
            <w:pPr>
              <w:pStyle w:val="TableParagraph"/>
              <w:spacing w:line="229" w:lineRule="exact"/>
              <w:ind w:left="108"/>
              <w:rPr>
                <w:sz w:val="20"/>
              </w:rPr>
            </w:pPr>
            <w:r>
              <w:rPr>
                <w:sz w:val="20"/>
              </w:rPr>
              <w:t>A</w:t>
            </w:r>
            <w:r>
              <w:rPr>
                <w:spacing w:val="-7"/>
                <w:sz w:val="20"/>
              </w:rPr>
              <w:t> </w:t>
            </w:r>
            <w:r>
              <w:rPr>
                <w:sz w:val="20"/>
              </w:rPr>
              <w:t>count</w:t>
            </w:r>
            <w:r>
              <w:rPr>
                <w:spacing w:val="-6"/>
                <w:sz w:val="20"/>
              </w:rPr>
              <w:t> </w:t>
            </w:r>
            <w:r>
              <w:rPr>
                <w:sz w:val="20"/>
              </w:rPr>
              <w:t>of</w:t>
            </w:r>
            <w:r>
              <w:rPr>
                <w:spacing w:val="-5"/>
                <w:sz w:val="20"/>
              </w:rPr>
              <w:t> </w:t>
            </w:r>
            <w:r>
              <w:rPr>
                <w:sz w:val="20"/>
              </w:rPr>
              <w:t>warrens</w:t>
            </w:r>
            <w:r>
              <w:rPr>
                <w:spacing w:val="-5"/>
                <w:sz w:val="20"/>
              </w:rPr>
              <w:t> </w:t>
            </w:r>
            <w:r>
              <w:rPr>
                <w:sz w:val="20"/>
              </w:rPr>
              <w:t>treated</w:t>
            </w:r>
            <w:r>
              <w:rPr>
                <w:spacing w:val="-3"/>
                <w:sz w:val="20"/>
              </w:rPr>
              <w:t> </w:t>
            </w:r>
            <w:r>
              <w:rPr>
                <w:sz w:val="20"/>
              </w:rPr>
              <w:t>per</w:t>
            </w:r>
            <w:r>
              <w:rPr>
                <w:spacing w:val="-3"/>
                <w:sz w:val="20"/>
              </w:rPr>
              <w:t> </w:t>
            </w:r>
            <w:r>
              <w:rPr>
                <w:spacing w:val="-2"/>
                <w:sz w:val="20"/>
              </w:rPr>
              <w:t>event.</w:t>
            </w:r>
          </w:p>
        </w:tc>
      </w:tr>
    </w:tbl>
    <w:p>
      <w:pPr>
        <w:spacing w:after="0" w:line="229" w:lineRule="exact"/>
        <w:rPr>
          <w:sz w:val="20"/>
        </w:rPr>
        <w:sectPr>
          <w:footerReference w:type="even" r:id="rId126"/>
          <w:footerReference w:type="default" r:id="rId127"/>
          <w:pgSz w:w="16850" w:h="11910" w:orient="landscape"/>
          <w:pgMar w:header="0" w:footer="686" w:top="1100" w:bottom="880" w:left="1020" w:right="1020"/>
          <w:pgNumType w:start="132"/>
        </w:sectPr>
      </w:pPr>
    </w:p>
    <w:p>
      <w:pPr>
        <w:spacing w:before="66"/>
        <w:ind w:left="112" w:right="0" w:firstLine="0"/>
        <w:jc w:val="left"/>
        <w:rPr>
          <w:b/>
          <w:sz w:val="20"/>
        </w:rPr>
      </w:pPr>
      <w:r>
        <w:rPr>
          <w:b/>
          <w:color w:val="1F1546"/>
          <w:sz w:val="20"/>
        </w:rPr>
        <w:t>Table</w:t>
      </w:r>
      <w:r>
        <w:rPr>
          <w:b/>
          <w:color w:val="1F1546"/>
          <w:spacing w:val="-8"/>
          <w:sz w:val="20"/>
        </w:rPr>
        <w:t> </w:t>
      </w:r>
      <w:r>
        <w:rPr>
          <w:b/>
          <w:color w:val="1F1546"/>
          <w:sz w:val="20"/>
        </w:rPr>
        <w:t>A2.</w:t>
      </w:r>
      <w:r>
        <w:rPr>
          <w:b/>
          <w:color w:val="1F1546"/>
          <w:spacing w:val="-8"/>
          <w:sz w:val="20"/>
        </w:rPr>
        <w:t> </w:t>
      </w:r>
      <w:r>
        <w:rPr>
          <w:b/>
          <w:color w:val="1F1546"/>
          <w:sz w:val="20"/>
        </w:rPr>
        <w:t>Data</w:t>
      </w:r>
      <w:r>
        <w:rPr>
          <w:b/>
          <w:color w:val="1F1546"/>
          <w:spacing w:val="-6"/>
          <w:sz w:val="20"/>
        </w:rPr>
        <w:t> </w:t>
      </w:r>
      <w:r>
        <w:rPr>
          <w:b/>
          <w:color w:val="1F1546"/>
          <w:sz w:val="20"/>
        </w:rPr>
        <w:t>required</w:t>
      </w:r>
      <w:r>
        <w:rPr>
          <w:b/>
          <w:color w:val="1F1546"/>
          <w:spacing w:val="-8"/>
          <w:sz w:val="20"/>
        </w:rPr>
        <w:t> </w:t>
      </w:r>
      <w:r>
        <w:rPr>
          <w:b/>
          <w:color w:val="1F1546"/>
          <w:sz w:val="20"/>
        </w:rPr>
        <w:t>from</w:t>
      </w:r>
      <w:r>
        <w:rPr>
          <w:b/>
          <w:color w:val="1F1546"/>
          <w:spacing w:val="-6"/>
          <w:sz w:val="20"/>
        </w:rPr>
        <w:t> </w:t>
      </w:r>
      <w:r>
        <w:rPr>
          <w:b/>
          <w:color w:val="1F1546"/>
          <w:sz w:val="20"/>
        </w:rPr>
        <w:t>lethal</w:t>
      </w:r>
      <w:r>
        <w:rPr>
          <w:b/>
          <w:color w:val="1F1546"/>
          <w:spacing w:val="-8"/>
          <w:sz w:val="20"/>
        </w:rPr>
        <w:t> </w:t>
      </w:r>
      <w:r>
        <w:rPr>
          <w:b/>
          <w:color w:val="1F1546"/>
          <w:sz w:val="20"/>
        </w:rPr>
        <w:t>Feral</w:t>
      </w:r>
      <w:r>
        <w:rPr>
          <w:b/>
          <w:color w:val="1F1546"/>
          <w:spacing w:val="-6"/>
          <w:sz w:val="20"/>
        </w:rPr>
        <w:t> </w:t>
      </w:r>
      <w:r>
        <w:rPr>
          <w:b/>
          <w:color w:val="1F1546"/>
          <w:sz w:val="20"/>
        </w:rPr>
        <w:t>Pig</w:t>
      </w:r>
      <w:r>
        <w:rPr>
          <w:b/>
          <w:color w:val="1F1546"/>
          <w:spacing w:val="-6"/>
          <w:sz w:val="20"/>
        </w:rPr>
        <w:t> </w:t>
      </w:r>
      <w:r>
        <w:rPr>
          <w:b/>
          <w:color w:val="1F1546"/>
          <w:sz w:val="20"/>
        </w:rPr>
        <w:t>control</w:t>
      </w:r>
      <w:r>
        <w:rPr>
          <w:b/>
          <w:color w:val="1F1546"/>
          <w:spacing w:val="-8"/>
          <w:sz w:val="20"/>
        </w:rPr>
        <w:t> </w:t>
      </w:r>
      <w:r>
        <w:rPr>
          <w:b/>
          <w:color w:val="1F1546"/>
          <w:sz w:val="20"/>
        </w:rPr>
        <w:t>operations</w:t>
      </w:r>
      <w:r>
        <w:rPr>
          <w:b/>
          <w:color w:val="1F1546"/>
          <w:spacing w:val="-8"/>
          <w:sz w:val="20"/>
        </w:rPr>
        <w:t> </w:t>
      </w:r>
      <w:r>
        <w:rPr>
          <w:b/>
          <w:color w:val="1F1546"/>
          <w:sz w:val="20"/>
        </w:rPr>
        <w:t>to</w:t>
      </w:r>
      <w:r>
        <w:rPr>
          <w:b/>
          <w:color w:val="1F1546"/>
          <w:spacing w:val="-7"/>
          <w:sz w:val="20"/>
        </w:rPr>
        <w:t> </w:t>
      </w:r>
      <w:r>
        <w:rPr>
          <w:b/>
          <w:color w:val="1F1546"/>
          <w:sz w:val="20"/>
        </w:rPr>
        <w:t>parameterise</w:t>
      </w:r>
      <w:r>
        <w:rPr>
          <w:b/>
          <w:color w:val="1F1546"/>
          <w:spacing w:val="-9"/>
          <w:sz w:val="20"/>
        </w:rPr>
        <w:t> </w:t>
      </w:r>
      <w:r>
        <w:rPr>
          <w:b/>
          <w:color w:val="1F1546"/>
          <w:sz w:val="20"/>
        </w:rPr>
        <w:t>cost-effectiveness</w:t>
      </w:r>
      <w:r>
        <w:rPr>
          <w:b/>
          <w:color w:val="1F1546"/>
          <w:spacing w:val="-9"/>
          <w:sz w:val="20"/>
        </w:rPr>
        <w:t> </w:t>
      </w:r>
      <w:r>
        <w:rPr>
          <w:b/>
          <w:color w:val="1F1546"/>
          <w:spacing w:val="-2"/>
          <w:sz w:val="20"/>
        </w:rPr>
        <w:t>models.</w:t>
      </w:r>
    </w:p>
    <w:p>
      <w:pPr>
        <w:pStyle w:val="BodyText"/>
        <w:spacing w:before="6"/>
        <w:rPr>
          <w:b/>
          <w:sz w:val="10"/>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4"/>
        <w:gridCol w:w="8302"/>
      </w:tblGrid>
      <w:tr>
        <w:trPr>
          <w:trHeight w:val="349" w:hRule="atLeast"/>
        </w:trPr>
        <w:tc>
          <w:tcPr>
            <w:tcW w:w="5444" w:type="dxa"/>
            <w:shd w:val="clear" w:color="auto" w:fill="004B96"/>
          </w:tcPr>
          <w:p>
            <w:pPr>
              <w:pStyle w:val="TableParagraph"/>
              <w:spacing w:before="59"/>
              <w:ind w:left="110"/>
              <w:rPr>
                <w:b/>
                <w:sz w:val="20"/>
              </w:rPr>
            </w:pPr>
            <w:r>
              <w:rPr>
                <w:b/>
                <w:color w:val="FFFFFF"/>
                <w:spacing w:val="-2"/>
                <w:sz w:val="20"/>
              </w:rPr>
              <w:t>Parameter</w:t>
            </w:r>
          </w:p>
        </w:tc>
        <w:tc>
          <w:tcPr>
            <w:tcW w:w="8302" w:type="dxa"/>
            <w:shd w:val="clear" w:color="auto" w:fill="004B96"/>
          </w:tcPr>
          <w:p>
            <w:pPr>
              <w:pStyle w:val="TableParagraph"/>
              <w:spacing w:before="59"/>
              <w:ind w:left="108"/>
              <w:rPr>
                <w:b/>
                <w:sz w:val="20"/>
              </w:rPr>
            </w:pPr>
            <w:r>
              <w:rPr>
                <w:b/>
                <w:color w:val="FFFFFF"/>
                <w:spacing w:val="-2"/>
                <w:sz w:val="20"/>
              </w:rPr>
              <w:t>Description</w:t>
            </w:r>
          </w:p>
        </w:tc>
      </w:tr>
      <w:tr>
        <w:trPr>
          <w:trHeight w:val="371" w:hRule="atLeast"/>
        </w:trPr>
        <w:tc>
          <w:tcPr>
            <w:tcW w:w="5444" w:type="dxa"/>
          </w:tcPr>
          <w:p>
            <w:pPr>
              <w:pStyle w:val="TableParagraph"/>
              <w:spacing w:before="78"/>
              <w:ind w:left="110"/>
              <w:rPr>
                <w:b/>
                <w:sz w:val="20"/>
              </w:rPr>
            </w:pPr>
            <w:r>
              <w:rPr>
                <w:b/>
                <w:spacing w:val="-2"/>
                <w:sz w:val="20"/>
              </w:rPr>
              <w:t>Operational</w:t>
            </w:r>
            <w:r>
              <w:rPr>
                <w:b/>
                <w:spacing w:val="6"/>
                <w:sz w:val="20"/>
              </w:rPr>
              <w:t> </w:t>
            </w:r>
            <w:r>
              <w:rPr>
                <w:b/>
                <w:spacing w:val="-4"/>
                <w:sz w:val="20"/>
              </w:rPr>
              <w:t>data</w:t>
            </w:r>
          </w:p>
        </w:tc>
        <w:tc>
          <w:tcPr>
            <w:tcW w:w="8302" w:type="dxa"/>
          </w:tcPr>
          <w:p>
            <w:pPr>
              <w:pStyle w:val="TableParagraph"/>
              <w:rPr>
                <w:rFonts w:ascii="Times New Roman"/>
                <w:sz w:val="18"/>
              </w:rPr>
            </w:pPr>
          </w:p>
        </w:tc>
      </w:tr>
      <w:tr>
        <w:trPr>
          <w:trHeight w:val="369" w:hRule="atLeast"/>
        </w:trPr>
        <w:tc>
          <w:tcPr>
            <w:tcW w:w="5444" w:type="dxa"/>
          </w:tcPr>
          <w:p>
            <w:pPr>
              <w:pStyle w:val="TableParagraph"/>
              <w:spacing w:before="78"/>
              <w:ind w:left="110"/>
              <w:rPr>
                <w:sz w:val="20"/>
              </w:rPr>
            </w:pPr>
            <w:r>
              <w:rPr>
                <w:sz w:val="20"/>
              </w:rPr>
              <w:t>Date</w:t>
            </w:r>
            <w:r>
              <w:rPr>
                <w:spacing w:val="-7"/>
                <w:sz w:val="20"/>
              </w:rPr>
              <w:t> </w:t>
            </w:r>
            <w:r>
              <w:rPr>
                <w:sz w:val="20"/>
              </w:rPr>
              <w:t>and</w:t>
            </w:r>
            <w:r>
              <w:rPr>
                <w:spacing w:val="-5"/>
                <w:sz w:val="20"/>
              </w:rPr>
              <w:t> </w:t>
            </w:r>
            <w:r>
              <w:rPr>
                <w:spacing w:val="-2"/>
                <w:sz w:val="20"/>
              </w:rPr>
              <w:t>location</w:t>
            </w:r>
          </w:p>
        </w:tc>
        <w:tc>
          <w:tcPr>
            <w:tcW w:w="8302" w:type="dxa"/>
          </w:tcPr>
          <w:p>
            <w:pPr>
              <w:pStyle w:val="TableParagraph"/>
              <w:spacing w:before="78"/>
              <w:ind w:left="108"/>
              <w:rPr>
                <w:sz w:val="20"/>
              </w:rPr>
            </w:pPr>
            <w:r>
              <w:rPr>
                <w:sz w:val="20"/>
              </w:rPr>
              <w:t>Location</w:t>
            </w:r>
            <w:r>
              <w:rPr>
                <w:spacing w:val="-8"/>
                <w:sz w:val="20"/>
              </w:rPr>
              <w:t> </w:t>
            </w:r>
            <w:r>
              <w:rPr>
                <w:sz w:val="20"/>
              </w:rPr>
              <w:t>should</w:t>
            </w:r>
            <w:r>
              <w:rPr>
                <w:spacing w:val="-6"/>
                <w:sz w:val="20"/>
              </w:rPr>
              <w:t> </w:t>
            </w:r>
            <w:r>
              <w:rPr>
                <w:sz w:val="20"/>
              </w:rPr>
              <w:t>be</w:t>
            </w:r>
            <w:r>
              <w:rPr>
                <w:spacing w:val="-7"/>
                <w:sz w:val="20"/>
              </w:rPr>
              <w:t> </w:t>
            </w:r>
            <w:r>
              <w:rPr>
                <w:sz w:val="20"/>
              </w:rPr>
              <w:t>x</w:t>
            </w:r>
            <w:r>
              <w:rPr>
                <w:spacing w:val="-5"/>
                <w:sz w:val="20"/>
              </w:rPr>
              <w:t> </w:t>
            </w:r>
            <w:r>
              <w:rPr>
                <w:sz w:val="20"/>
              </w:rPr>
              <w:t>y</w:t>
            </w:r>
            <w:r>
              <w:rPr>
                <w:spacing w:val="-6"/>
                <w:sz w:val="20"/>
              </w:rPr>
              <w:t> </w:t>
            </w:r>
            <w:r>
              <w:rPr>
                <w:sz w:val="20"/>
              </w:rPr>
              <w:t>coordinates</w:t>
            </w:r>
            <w:r>
              <w:rPr>
                <w:spacing w:val="-6"/>
                <w:sz w:val="20"/>
              </w:rPr>
              <w:t> </w:t>
            </w:r>
            <w:r>
              <w:rPr>
                <w:sz w:val="20"/>
              </w:rPr>
              <w:t>of</w:t>
            </w:r>
            <w:r>
              <w:rPr>
                <w:spacing w:val="-4"/>
                <w:sz w:val="20"/>
              </w:rPr>
              <w:t> </w:t>
            </w:r>
            <w:r>
              <w:rPr>
                <w:sz w:val="20"/>
              </w:rPr>
              <w:t>event</w:t>
            </w:r>
            <w:r>
              <w:rPr>
                <w:spacing w:val="-5"/>
                <w:sz w:val="20"/>
              </w:rPr>
              <w:t> </w:t>
            </w:r>
            <w:r>
              <w:rPr>
                <w:spacing w:val="-2"/>
                <w:sz w:val="20"/>
              </w:rPr>
              <w:t>location</w:t>
            </w:r>
          </w:p>
        </w:tc>
      </w:tr>
      <w:tr>
        <w:trPr>
          <w:trHeight w:val="369" w:hRule="atLeast"/>
        </w:trPr>
        <w:tc>
          <w:tcPr>
            <w:tcW w:w="5444" w:type="dxa"/>
          </w:tcPr>
          <w:p>
            <w:pPr>
              <w:pStyle w:val="TableParagraph"/>
              <w:spacing w:before="78"/>
              <w:ind w:left="110"/>
              <w:rPr>
                <w:sz w:val="20"/>
              </w:rPr>
            </w:pPr>
            <w:r>
              <w:rPr>
                <w:sz w:val="20"/>
              </w:rPr>
              <w:t>Area</w:t>
            </w:r>
            <w:r>
              <w:rPr>
                <w:spacing w:val="-6"/>
                <w:sz w:val="20"/>
              </w:rPr>
              <w:t> </w:t>
            </w:r>
            <w:r>
              <w:rPr>
                <w:sz w:val="20"/>
              </w:rPr>
              <w:t>(ha)</w:t>
            </w:r>
            <w:r>
              <w:rPr>
                <w:spacing w:val="-4"/>
                <w:sz w:val="20"/>
              </w:rPr>
              <w:t> </w:t>
            </w:r>
            <w:r>
              <w:rPr>
                <w:sz w:val="20"/>
              </w:rPr>
              <w:t>of</w:t>
            </w:r>
            <w:r>
              <w:rPr>
                <w:spacing w:val="-5"/>
                <w:sz w:val="20"/>
              </w:rPr>
              <w:t> </w:t>
            </w:r>
            <w:r>
              <w:rPr>
                <w:spacing w:val="-2"/>
                <w:sz w:val="20"/>
              </w:rPr>
              <w:t>control</w:t>
            </w:r>
          </w:p>
        </w:tc>
        <w:tc>
          <w:tcPr>
            <w:tcW w:w="8302" w:type="dxa"/>
          </w:tcPr>
          <w:p>
            <w:pPr>
              <w:pStyle w:val="TableParagraph"/>
              <w:spacing w:before="78"/>
              <w:ind w:left="108"/>
              <w:rPr>
                <w:sz w:val="20"/>
              </w:rPr>
            </w:pPr>
            <w:r>
              <w:rPr>
                <w:sz w:val="20"/>
              </w:rPr>
              <w:t>Needs</w:t>
            </w:r>
            <w:r>
              <w:rPr>
                <w:spacing w:val="-6"/>
                <w:sz w:val="20"/>
              </w:rPr>
              <w:t> </w:t>
            </w:r>
            <w:r>
              <w:rPr>
                <w:sz w:val="20"/>
              </w:rPr>
              <w:t>to</w:t>
            </w:r>
            <w:r>
              <w:rPr>
                <w:spacing w:val="-7"/>
                <w:sz w:val="20"/>
              </w:rPr>
              <w:t> </w:t>
            </w:r>
            <w:r>
              <w:rPr>
                <w:sz w:val="20"/>
              </w:rPr>
              <w:t>be</w:t>
            </w:r>
            <w:r>
              <w:rPr>
                <w:spacing w:val="-5"/>
                <w:sz w:val="20"/>
              </w:rPr>
              <w:t> </w:t>
            </w:r>
            <w:r>
              <w:rPr>
                <w:sz w:val="20"/>
              </w:rPr>
              <w:t>the</w:t>
            </w:r>
            <w:r>
              <w:rPr>
                <w:spacing w:val="-5"/>
                <w:sz w:val="20"/>
              </w:rPr>
              <w:t> </w:t>
            </w:r>
            <w:r>
              <w:rPr>
                <w:sz w:val="20"/>
              </w:rPr>
              <w:t>effective</w:t>
            </w:r>
            <w:r>
              <w:rPr>
                <w:spacing w:val="-6"/>
                <w:sz w:val="20"/>
              </w:rPr>
              <w:t> </w:t>
            </w:r>
            <w:r>
              <w:rPr>
                <w:sz w:val="20"/>
              </w:rPr>
              <w:t>area</w:t>
            </w:r>
            <w:r>
              <w:rPr>
                <w:spacing w:val="-8"/>
                <w:sz w:val="20"/>
              </w:rPr>
              <w:t> </w:t>
            </w:r>
            <w:r>
              <w:rPr>
                <w:sz w:val="20"/>
              </w:rPr>
              <w:t>treated</w:t>
            </w:r>
            <w:r>
              <w:rPr>
                <w:spacing w:val="-6"/>
                <w:sz w:val="20"/>
              </w:rPr>
              <w:t> </w:t>
            </w:r>
            <w:r>
              <w:rPr>
                <w:sz w:val="20"/>
              </w:rPr>
              <w:t>per</w:t>
            </w:r>
            <w:r>
              <w:rPr>
                <w:spacing w:val="-6"/>
                <w:sz w:val="20"/>
              </w:rPr>
              <w:t> </w:t>
            </w:r>
            <w:r>
              <w:rPr>
                <w:spacing w:val="-2"/>
                <w:sz w:val="20"/>
              </w:rPr>
              <w:t>event.</w:t>
            </w:r>
          </w:p>
        </w:tc>
      </w:tr>
      <w:tr>
        <w:trPr>
          <w:trHeight w:val="1752" w:hRule="atLeast"/>
        </w:trPr>
        <w:tc>
          <w:tcPr>
            <w:tcW w:w="5444" w:type="dxa"/>
          </w:tcPr>
          <w:p>
            <w:pPr>
              <w:pStyle w:val="TableParagraph"/>
              <w:spacing w:before="78"/>
              <w:ind w:left="110"/>
              <w:rPr>
                <w:sz w:val="20"/>
              </w:rPr>
            </w:pPr>
            <w:r>
              <w:rPr>
                <w:sz w:val="20"/>
              </w:rPr>
              <w:t>No.</w:t>
            </w:r>
            <w:r>
              <w:rPr>
                <w:spacing w:val="-7"/>
                <w:sz w:val="20"/>
              </w:rPr>
              <w:t> </w:t>
            </w:r>
            <w:r>
              <w:rPr>
                <w:sz w:val="20"/>
              </w:rPr>
              <w:t>of</w:t>
            </w:r>
            <w:r>
              <w:rPr>
                <w:spacing w:val="-4"/>
                <w:sz w:val="20"/>
              </w:rPr>
              <w:t> </w:t>
            </w:r>
            <w:r>
              <w:rPr>
                <w:sz w:val="20"/>
              </w:rPr>
              <w:t>units</w:t>
            </w:r>
            <w:r>
              <w:rPr>
                <w:spacing w:val="-6"/>
                <w:sz w:val="20"/>
              </w:rPr>
              <w:t> </w:t>
            </w:r>
            <w:r>
              <w:rPr>
                <w:sz w:val="20"/>
              </w:rPr>
              <w:t>of</w:t>
            </w:r>
            <w:r>
              <w:rPr>
                <w:spacing w:val="-6"/>
                <w:sz w:val="20"/>
              </w:rPr>
              <w:t> </w:t>
            </w:r>
            <w:r>
              <w:rPr>
                <w:sz w:val="20"/>
              </w:rPr>
              <w:t>control</w:t>
            </w:r>
            <w:r>
              <w:rPr>
                <w:spacing w:val="-6"/>
                <w:sz w:val="20"/>
              </w:rPr>
              <w:t> </w:t>
            </w:r>
            <w:r>
              <w:rPr>
                <w:sz w:val="20"/>
              </w:rPr>
              <w:t>used</w:t>
            </w:r>
            <w:r>
              <w:rPr>
                <w:spacing w:val="-2"/>
                <w:sz w:val="20"/>
              </w:rPr>
              <w:t> </w:t>
            </w:r>
            <w:r>
              <w:rPr>
                <w:sz w:val="20"/>
              </w:rPr>
              <w:t>and</w:t>
            </w:r>
            <w:r>
              <w:rPr>
                <w:spacing w:val="-5"/>
                <w:sz w:val="20"/>
              </w:rPr>
              <w:t> </w:t>
            </w:r>
            <w:r>
              <w:rPr>
                <w:sz w:val="20"/>
              </w:rPr>
              <w:t>duration</w:t>
            </w:r>
            <w:r>
              <w:rPr>
                <w:spacing w:val="-5"/>
                <w:sz w:val="20"/>
              </w:rPr>
              <w:t> </w:t>
            </w:r>
            <w:r>
              <w:rPr>
                <w:sz w:val="20"/>
              </w:rPr>
              <w:t>per</w:t>
            </w:r>
            <w:r>
              <w:rPr>
                <w:spacing w:val="-5"/>
                <w:sz w:val="20"/>
              </w:rPr>
              <w:t> </w:t>
            </w:r>
            <w:r>
              <w:rPr>
                <w:spacing w:val="-2"/>
                <w:sz w:val="20"/>
              </w:rPr>
              <w:t>operation</w:t>
            </w:r>
          </w:p>
        </w:tc>
        <w:tc>
          <w:tcPr>
            <w:tcW w:w="8302" w:type="dxa"/>
          </w:tcPr>
          <w:p>
            <w:pPr>
              <w:pStyle w:val="TableParagraph"/>
              <w:spacing w:before="78"/>
              <w:ind w:left="108" w:right="5434"/>
              <w:rPr>
                <w:sz w:val="20"/>
              </w:rPr>
            </w:pPr>
            <w:r>
              <w:rPr>
                <w:sz w:val="20"/>
              </w:rPr>
              <w:t>Kg</w:t>
            </w:r>
            <w:r>
              <w:rPr>
                <w:spacing w:val="-8"/>
                <w:sz w:val="20"/>
              </w:rPr>
              <w:t> </w:t>
            </w:r>
            <w:r>
              <w:rPr>
                <w:sz w:val="20"/>
              </w:rPr>
              <w:t>of</w:t>
            </w:r>
            <w:r>
              <w:rPr>
                <w:spacing w:val="-8"/>
                <w:sz w:val="20"/>
              </w:rPr>
              <w:t> </w:t>
            </w:r>
            <w:r>
              <w:rPr>
                <w:sz w:val="20"/>
              </w:rPr>
              <w:t>free</w:t>
            </w:r>
            <w:r>
              <w:rPr>
                <w:spacing w:val="-6"/>
                <w:sz w:val="20"/>
              </w:rPr>
              <w:t> </w:t>
            </w:r>
            <w:r>
              <w:rPr>
                <w:sz w:val="20"/>
              </w:rPr>
              <w:t>feed</w:t>
            </w:r>
            <w:r>
              <w:rPr>
                <w:spacing w:val="-8"/>
                <w:sz w:val="20"/>
              </w:rPr>
              <w:t> </w:t>
            </w:r>
            <w:r>
              <w:rPr>
                <w:sz w:val="20"/>
              </w:rPr>
              <w:t>laid</w:t>
            </w:r>
            <w:r>
              <w:rPr>
                <w:spacing w:val="-8"/>
                <w:sz w:val="20"/>
              </w:rPr>
              <w:t> </w:t>
            </w:r>
            <w:r>
              <w:rPr>
                <w:sz w:val="20"/>
              </w:rPr>
              <w:t>per</w:t>
            </w:r>
            <w:r>
              <w:rPr>
                <w:spacing w:val="-5"/>
                <w:sz w:val="20"/>
              </w:rPr>
              <w:t> </w:t>
            </w:r>
            <w:r>
              <w:rPr>
                <w:sz w:val="20"/>
              </w:rPr>
              <w:t>event Kg</w:t>
            </w:r>
            <w:r>
              <w:rPr>
                <w:spacing w:val="-6"/>
                <w:sz w:val="20"/>
              </w:rPr>
              <w:t> </w:t>
            </w:r>
            <w:r>
              <w:rPr>
                <w:sz w:val="20"/>
              </w:rPr>
              <w:t>of</w:t>
            </w:r>
            <w:r>
              <w:rPr>
                <w:spacing w:val="-6"/>
                <w:sz w:val="20"/>
              </w:rPr>
              <w:t> </w:t>
            </w:r>
            <w:r>
              <w:rPr>
                <w:sz w:val="20"/>
              </w:rPr>
              <w:t>PIGOUT</w:t>
            </w:r>
            <w:r>
              <w:rPr>
                <w:spacing w:val="-2"/>
                <w:sz w:val="20"/>
              </w:rPr>
              <w:t> </w:t>
            </w:r>
            <w:r>
              <w:rPr>
                <w:sz w:val="20"/>
              </w:rPr>
              <w:t>laid</w:t>
            </w:r>
            <w:r>
              <w:rPr>
                <w:spacing w:val="-4"/>
                <w:sz w:val="20"/>
              </w:rPr>
              <w:t> </w:t>
            </w:r>
            <w:r>
              <w:rPr>
                <w:sz w:val="20"/>
              </w:rPr>
              <w:t>per</w:t>
            </w:r>
            <w:r>
              <w:rPr>
                <w:spacing w:val="-5"/>
                <w:sz w:val="20"/>
              </w:rPr>
              <w:t> </w:t>
            </w:r>
            <w:r>
              <w:rPr>
                <w:spacing w:val="-2"/>
                <w:sz w:val="20"/>
              </w:rPr>
              <w:t>event</w:t>
            </w:r>
          </w:p>
          <w:p>
            <w:pPr>
              <w:pStyle w:val="TableParagraph"/>
              <w:spacing w:before="1"/>
              <w:ind w:left="108"/>
              <w:jc w:val="both"/>
              <w:rPr>
                <w:sz w:val="20"/>
              </w:rPr>
            </w:pPr>
            <w:r>
              <w:rPr>
                <w:sz w:val="20"/>
              </w:rPr>
              <w:t>Kg.</w:t>
            </w:r>
            <w:r>
              <w:rPr>
                <w:spacing w:val="-4"/>
                <w:sz w:val="20"/>
              </w:rPr>
              <w:t> </w:t>
            </w:r>
            <w:r>
              <w:rPr>
                <w:sz w:val="20"/>
              </w:rPr>
              <w:t>of</w:t>
            </w:r>
            <w:r>
              <w:rPr>
                <w:spacing w:val="-6"/>
                <w:sz w:val="20"/>
              </w:rPr>
              <w:t> </w:t>
            </w:r>
            <w:r>
              <w:rPr>
                <w:sz w:val="20"/>
              </w:rPr>
              <w:t>HOGONE</w:t>
            </w:r>
            <w:r>
              <w:rPr>
                <w:spacing w:val="-3"/>
                <w:sz w:val="20"/>
              </w:rPr>
              <w:t> </w:t>
            </w:r>
            <w:r>
              <w:rPr>
                <w:sz w:val="20"/>
              </w:rPr>
              <w:t>paste</w:t>
            </w:r>
            <w:r>
              <w:rPr>
                <w:spacing w:val="-4"/>
                <w:sz w:val="20"/>
              </w:rPr>
              <w:t> </w:t>
            </w:r>
            <w:r>
              <w:rPr>
                <w:sz w:val="20"/>
              </w:rPr>
              <w:t>used</w:t>
            </w:r>
            <w:r>
              <w:rPr>
                <w:spacing w:val="-6"/>
                <w:sz w:val="20"/>
              </w:rPr>
              <w:t> </w:t>
            </w:r>
            <w:r>
              <w:rPr>
                <w:sz w:val="20"/>
              </w:rPr>
              <w:t>per</w:t>
            </w:r>
            <w:r>
              <w:rPr>
                <w:spacing w:val="-5"/>
                <w:sz w:val="20"/>
              </w:rPr>
              <w:t> </w:t>
            </w:r>
            <w:r>
              <w:rPr>
                <w:spacing w:val="-4"/>
                <w:sz w:val="20"/>
              </w:rPr>
              <w:t>event</w:t>
            </w:r>
          </w:p>
          <w:p>
            <w:pPr>
              <w:pStyle w:val="TableParagraph"/>
              <w:spacing w:before="1"/>
              <w:ind w:left="108" w:right="1184"/>
              <w:jc w:val="both"/>
              <w:rPr>
                <w:sz w:val="20"/>
              </w:rPr>
            </w:pPr>
            <w:r>
              <w:rPr>
                <w:sz w:val="20"/>
              </w:rPr>
              <w:t>No.</w:t>
            </w:r>
            <w:r>
              <w:rPr>
                <w:spacing w:val="-4"/>
                <w:sz w:val="20"/>
              </w:rPr>
              <w:t> </w:t>
            </w:r>
            <w:r>
              <w:rPr>
                <w:sz w:val="20"/>
              </w:rPr>
              <w:t>(and</w:t>
            </w:r>
            <w:r>
              <w:rPr>
                <w:spacing w:val="-4"/>
                <w:sz w:val="20"/>
              </w:rPr>
              <w:t> </w:t>
            </w:r>
            <w:r>
              <w:rPr>
                <w:sz w:val="20"/>
              </w:rPr>
              <w:t>type)</w:t>
            </w:r>
            <w:r>
              <w:rPr>
                <w:spacing w:val="-1"/>
                <w:sz w:val="20"/>
              </w:rPr>
              <w:t> </w:t>
            </w:r>
            <w:r>
              <w:rPr>
                <w:sz w:val="20"/>
              </w:rPr>
              <w:t>of</w:t>
            </w:r>
            <w:r>
              <w:rPr>
                <w:spacing w:val="-3"/>
                <w:sz w:val="20"/>
              </w:rPr>
              <w:t> </w:t>
            </w:r>
            <w:r>
              <w:rPr>
                <w:sz w:val="20"/>
              </w:rPr>
              <w:t>traps</w:t>
            </w:r>
            <w:r>
              <w:rPr>
                <w:spacing w:val="-3"/>
                <w:sz w:val="20"/>
              </w:rPr>
              <w:t> </w:t>
            </w:r>
            <w:r>
              <w:rPr>
                <w:sz w:val="20"/>
              </w:rPr>
              <w:t>set per</w:t>
            </w:r>
            <w:r>
              <w:rPr>
                <w:spacing w:val="-3"/>
                <w:sz w:val="20"/>
              </w:rPr>
              <w:t> </w:t>
            </w:r>
            <w:r>
              <w:rPr>
                <w:sz w:val="20"/>
              </w:rPr>
              <w:t>event</w:t>
            </w:r>
            <w:r>
              <w:rPr>
                <w:spacing w:val="-2"/>
                <w:sz w:val="20"/>
              </w:rPr>
              <w:t> </w:t>
            </w:r>
            <w:r>
              <w:rPr>
                <w:sz w:val="20"/>
              </w:rPr>
              <w:t>and</w:t>
            </w:r>
            <w:r>
              <w:rPr>
                <w:spacing w:val="-4"/>
                <w:sz w:val="20"/>
              </w:rPr>
              <w:t> </w:t>
            </w:r>
            <w:r>
              <w:rPr>
                <w:sz w:val="20"/>
              </w:rPr>
              <w:t>no.</w:t>
            </w:r>
            <w:r>
              <w:rPr>
                <w:spacing w:val="-3"/>
                <w:sz w:val="20"/>
              </w:rPr>
              <w:t> </w:t>
            </w:r>
            <w:r>
              <w:rPr>
                <w:sz w:val="20"/>
              </w:rPr>
              <w:t>nights</w:t>
            </w:r>
            <w:r>
              <w:rPr>
                <w:spacing w:val="-2"/>
                <w:sz w:val="20"/>
              </w:rPr>
              <w:t> </w:t>
            </w:r>
            <w:r>
              <w:rPr>
                <w:sz w:val="20"/>
              </w:rPr>
              <w:t>operated</w:t>
            </w:r>
            <w:r>
              <w:rPr>
                <w:spacing w:val="-2"/>
                <w:sz w:val="20"/>
              </w:rPr>
              <w:t> </w:t>
            </w:r>
            <w:r>
              <w:rPr>
                <w:sz w:val="20"/>
              </w:rPr>
              <w:t>per</w:t>
            </w:r>
            <w:r>
              <w:rPr>
                <w:spacing w:val="-3"/>
                <w:sz w:val="20"/>
              </w:rPr>
              <w:t> </w:t>
            </w:r>
            <w:r>
              <w:rPr>
                <w:sz w:val="20"/>
              </w:rPr>
              <w:t>trap</w:t>
            </w:r>
            <w:r>
              <w:rPr>
                <w:spacing w:val="-4"/>
                <w:sz w:val="20"/>
              </w:rPr>
              <w:t> </w:t>
            </w:r>
            <w:r>
              <w:rPr>
                <w:sz w:val="20"/>
              </w:rPr>
              <w:t>per</w:t>
            </w:r>
            <w:r>
              <w:rPr>
                <w:spacing w:val="-4"/>
                <w:sz w:val="20"/>
              </w:rPr>
              <w:t> </w:t>
            </w:r>
            <w:r>
              <w:rPr>
                <w:sz w:val="20"/>
              </w:rPr>
              <w:t>event No.</w:t>
            </w:r>
            <w:r>
              <w:rPr>
                <w:spacing w:val="-4"/>
                <w:sz w:val="20"/>
              </w:rPr>
              <w:t> </w:t>
            </w:r>
            <w:r>
              <w:rPr>
                <w:sz w:val="20"/>
              </w:rPr>
              <w:t>of</w:t>
            </w:r>
            <w:r>
              <w:rPr>
                <w:spacing w:val="-2"/>
                <w:sz w:val="20"/>
              </w:rPr>
              <w:t> </w:t>
            </w:r>
            <w:r>
              <w:rPr>
                <w:sz w:val="20"/>
              </w:rPr>
              <w:t>traps/bait</w:t>
            </w:r>
            <w:r>
              <w:rPr>
                <w:spacing w:val="-2"/>
                <w:sz w:val="20"/>
              </w:rPr>
              <w:t> </w:t>
            </w:r>
            <w:r>
              <w:rPr>
                <w:sz w:val="20"/>
              </w:rPr>
              <w:t>boxes</w:t>
            </w:r>
            <w:r>
              <w:rPr>
                <w:spacing w:val="-3"/>
                <w:sz w:val="20"/>
              </w:rPr>
              <w:t> </w:t>
            </w:r>
            <w:r>
              <w:rPr>
                <w:sz w:val="20"/>
              </w:rPr>
              <w:t>used</w:t>
            </w:r>
            <w:r>
              <w:rPr>
                <w:spacing w:val="-4"/>
                <w:sz w:val="20"/>
              </w:rPr>
              <w:t> </w:t>
            </w:r>
            <w:r>
              <w:rPr>
                <w:sz w:val="20"/>
              </w:rPr>
              <w:t>per</w:t>
            </w:r>
            <w:r>
              <w:rPr>
                <w:spacing w:val="-4"/>
                <w:sz w:val="20"/>
              </w:rPr>
              <w:t> </w:t>
            </w:r>
            <w:r>
              <w:rPr>
                <w:sz w:val="20"/>
              </w:rPr>
              <w:t>event,</w:t>
            </w:r>
            <w:r>
              <w:rPr>
                <w:spacing w:val="-2"/>
                <w:sz w:val="20"/>
              </w:rPr>
              <w:t> </w:t>
            </w:r>
            <w:r>
              <w:rPr>
                <w:sz w:val="20"/>
              </w:rPr>
              <w:t>and</w:t>
            </w:r>
            <w:r>
              <w:rPr>
                <w:spacing w:val="-2"/>
                <w:sz w:val="20"/>
              </w:rPr>
              <w:t> </w:t>
            </w:r>
            <w:r>
              <w:rPr>
                <w:sz w:val="20"/>
              </w:rPr>
              <w:t>no.</w:t>
            </w:r>
            <w:r>
              <w:rPr>
                <w:spacing w:val="-2"/>
                <w:sz w:val="20"/>
              </w:rPr>
              <w:t> </w:t>
            </w:r>
            <w:r>
              <w:rPr>
                <w:sz w:val="20"/>
              </w:rPr>
              <w:t>of</w:t>
            </w:r>
            <w:r>
              <w:rPr>
                <w:spacing w:val="-4"/>
                <w:sz w:val="20"/>
              </w:rPr>
              <w:t> </w:t>
            </w:r>
            <w:r>
              <w:rPr>
                <w:sz w:val="20"/>
              </w:rPr>
              <w:t>trap</w:t>
            </w:r>
            <w:r>
              <w:rPr>
                <w:spacing w:val="-2"/>
                <w:sz w:val="20"/>
              </w:rPr>
              <w:t> </w:t>
            </w:r>
            <w:r>
              <w:rPr>
                <w:sz w:val="20"/>
              </w:rPr>
              <w:t>nights</w:t>
            </w:r>
            <w:r>
              <w:rPr>
                <w:spacing w:val="-3"/>
                <w:sz w:val="20"/>
              </w:rPr>
              <w:t> </w:t>
            </w:r>
            <w:r>
              <w:rPr>
                <w:sz w:val="20"/>
              </w:rPr>
              <w:t>per</w:t>
            </w:r>
            <w:r>
              <w:rPr>
                <w:spacing w:val="-3"/>
                <w:sz w:val="20"/>
              </w:rPr>
              <w:t> </w:t>
            </w:r>
            <w:r>
              <w:rPr>
                <w:sz w:val="20"/>
              </w:rPr>
              <w:t>trap</w:t>
            </w:r>
            <w:r>
              <w:rPr>
                <w:spacing w:val="-5"/>
                <w:sz w:val="20"/>
              </w:rPr>
              <w:t> </w:t>
            </w:r>
            <w:r>
              <w:rPr>
                <w:sz w:val="20"/>
              </w:rPr>
              <w:t>per</w:t>
            </w:r>
            <w:r>
              <w:rPr>
                <w:spacing w:val="-4"/>
                <w:sz w:val="20"/>
              </w:rPr>
              <w:t> </w:t>
            </w:r>
            <w:r>
              <w:rPr>
                <w:sz w:val="20"/>
              </w:rPr>
              <w:t>event No. transects flown for aerial shooting per operation</w:t>
            </w:r>
          </w:p>
        </w:tc>
      </w:tr>
      <w:tr>
        <w:trPr>
          <w:trHeight w:val="2323" w:hRule="atLeast"/>
        </w:trPr>
        <w:tc>
          <w:tcPr>
            <w:tcW w:w="5444" w:type="dxa"/>
          </w:tcPr>
          <w:p>
            <w:pPr>
              <w:pStyle w:val="TableParagraph"/>
              <w:spacing w:line="229" w:lineRule="exact"/>
              <w:ind w:left="110"/>
              <w:rPr>
                <w:sz w:val="20"/>
              </w:rPr>
            </w:pPr>
            <w:r>
              <w:rPr>
                <w:sz w:val="20"/>
              </w:rPr>
              <w:t>Time</w:t>
            </w:r>
            <w:r>
              <w:rPr>
                <w:spacing w:val="-8"/>
                <w:sz w:val="20"/>
              </w:rPr>
              <w:t> </w:t>
            </w:r>
            <w:r>
              <w:rPr>
                <w:sz w:val="20"/>
              </w:rPr>
              <w:t>spent</w:t>
            </w:r>
            <w:r>
              <w:rPr>
                <w:spacing w:val="-5"/>
                <w:sz w:val="20"/>
              </w:rPr>
              <w:t> </w:t>
            </w:r>
            <w:r>
              <w:rPr>
                <w:sz w:val="20"/>
              </w:rPr>
              <w:t>on</w:t>
            </w:r>
            <w:r>
              <w:rPr>
                <w:spacing w:val="-9"/>
                <w:sz w:val="20"/>
              </w:rPr>
              <w:t> </w:t>
            </w:r>
            <w:r>
              <w:rPr>
                <w:sz w:val="20"/>
              </w:rPr>
              <w:t>control</w:t>
            </w:r>
            <w:r>
              <w:rPr>
                <w:spacing w:val="-6"/>
                <w:sz w:val="20"/>
              </w:rPr>
              <w:t> </w:t>
            </w:r>
            <w:r>
              <w:rPr>
                <w:spacing w:val="-2"/>
                <w:sz w:val="20"/>
              </w:rPr>
              <w:t>effort</w:t>
            </w:r>
          </w:p>
        </w:tc>
        <w:tc>
          <w:tcPr>
            <w:tcW w:w="8302" w:type="dxa"/>
          </w:tcPr>
          <w:p>
            <w:pPr>
              <w:pStyle w:val="TableParagraph"/>
              <w:spacing w:line="229" w:lineRule="exact"/>
              <w:ind w:left="108"/>
              <w:rPr>
                <w:sz w:val="20"/>
              </w:rPr>
            </w:pPr>
            <w:r>
              <w:rPr>
                <w:sz w:val="20"/>
              </w:rPr>
              <w:t>Number</w:t>
            </w:r>
            <w:r>
              <w:rPr>
                <w:spacing w:val="-7"/>
                <w:sz w:val="20"/>
              </w:rPr>
              <w:t> </w:t>
            </w:r>
            <w:r>
              <w:rPr>
                <w:sz w:val="20"/>
              </w:rPr>
              <w:t>of</w:t>
            </w:r>
            <w:r>
              <w:rPr>
                <w:spacing w:val="-4"/>
                <w:sz w:val="20"/>
              </w:rPr>
              <w:t> </w:t>
            </w:r>
            <w:r>
              <w:rPr>
                <w:sz w:val="20"/>
              </w:rPr>
              <w:t>hours</w:t>
            </w:r>
            <w:r>
              <w:rPr>
                <w:spacing w:val="-5"/>
                <w:sz w:val="20"/>
              </w:rPr>
              <w:t> </w:t>
            </w:r>
            <w:r>
              <w:rPr>
                <w:sz w:val="20"/>
              </w:rPr>
              <w:t>per</w:t>
            </w:r>
            <w:r>
              <w:rPr>
                <w:spacing w:val="-6"/>
                <w:sz w:val="20"/>
              </w:rPr>
              <w:t> </w:t>
            </w:r>
            <w:r>
              <w:rPr>
                <w:sz w:val="20"/>
              </w:rPr>
              <w:t>person</w:t>
            </w:r>
            <w:r>
              <w:rPr>
                <w:spacing w:val="-7"/>
                <w:sz w:val="20"/>
              </w:rPr>
              <w:t> </w:t>
            </w:r>
            <w:r>
              <w:rPr>
                <w:sz w:val="20"/>
              </w:rPr>
              <w:t>spent</w:t>
            </w:r>
            <w:r>
              <w:rPr>
                <w:spacing w:val="-4"/>
                <w:sz w:val="20"/>
              </w:rPr>
              <w:t> </w:t>
            </w:r>
            <w:r>
              <w:rPr>
                <w:sz w:val="20"/>
              </w:rPr>
              <w:t>on</w:t>
            </w:r>
            <w:r>
              <w:rPr>
                <w:spacing w:val="-6"/>
                <w:sz w:val="20"/>
              </w:rPr>
              <w:t> </w:t>
            </w:r>
            <w:r>
              <w:rPr>
                <w:sz w:val="20"/>
              </w:rPr>
              <w:t>operation.</w:t>
            </w:r>
            <w:r>
              <w:rPr>
                <w:spacing w:val="-4"/>
                <w:sz w:val="20"/>
              </w:rPr>
              <w:t> </w:t>
            </w:r>
            <w:r>
              <w:rPr>
                <w:sz w:val="20"/>
              </w:rPr>
              <w:t>For</w:t>
            </w:r>
            <w:r>
              <w:rPr>
                <w:spacing w:val="-3"/>
                <w:sz w:val="20"/>
              </w:rPr>
              <w:t> </w:t>
            </w:r>
            <w:r>
              <w:rPr>
                <w:spacing w:val="-2"/>
                <w:sz w:val="20"/>
              </w:rPr>
              <w:t>example:</w:t>
            </w:r>
          </w:p>
          <w:p>
            <w:pPr>
              <w:pStyle w:val="TableParagraph"/>
              <w:numPr>
                <w:ilvl w:val="0"/>
                <w:numId w:val="32"/>
              </w:numPr>
              <w:tabs>
                <w:tab w:pos="827" w:val="left" w:leader="none"/>
              </w:tabs>
              <w:spacing w:line="240" w:lineRule="auto" w:before="121" w:after="0"/>
              <w:ind w:left="827" w:right="0" w:hanging="359"/>
              <w:jc w:val="left"/>
              <w:rPr>
                <w:sz w:val="20"/>
              </w:rPr>
            </w:pPr>
            <w:r>
              <w:rPr>
                <w:sz w:val="20"/>
              </w:rPr>
              <w:t>number</w:t>
            </w:r>
            <w:r>
              <w:rPr>
                <w:spacing w:val="-7"/>
                <w:sz w:val="20"/>
              </w:rPr>
              <w:t> </w:t>
            </w:r>
            <w:r>
              <w:rPr>
                <w:sz w:val="20"/>
              </w:rPr>
              <w:t>of</w:t>
            </w:r>
            <w:r>
              <w:rPr>
                <w:spacing w:val="-5"/>
                <w:sz w:val="20"/>
              </w:rPr>
              <w:t> </w:t>
            </w:r>
            <w:r>
              <w:rPr>
                <w:sz w:val="20"/>
              </w:rPr>
              <w:t>hours</w:t>
            </w:r>
            <w:r>
              <w:rPr>
                <w:spacing w:val="-4"/>
                <w:sz w:val="20"/>
              </w:rPr>
              <w:t> </w:t>
            </w:r>
            <w:r>
              <w:rPr>
                <w:sz w:val="20"/>
              </w:rPr>
              <w:t>free</w:t>
            </w:r>
            <w:r>
              <w:rPr>
                <w:spacing w:val="-6"/>
                <w:sz w:val="20"/>
              </w:rPr>
              <w:t> </w:t>
            </w:r>
            <w:r>
              <w:rPr>
                <w:sz w:val="20"/>
              </w:rPr>
              <w:t>feeding</w:t>
            </w:r>
            <w:r>
              <w:rPr>
                <w:spacing w:val="-7"/>
                <w:sz w:val="20"/>
              </w:rPr>
              <w:t> </w:t>
            </w:r>
            <w:r>
              <w:rPr>
                <w:sz w:val="20"/>
              </w:rPr>
              <w:t>and</w:t>
            </w:r>
            <w:r>
              <w:rPr>
                <w:spacing w:val="-7"/>
                <w:sz w:val="20"/>
              </w:rPr>
              <w:t> </w:t>
            </w:r>
            <w:r>
              <w:rPr>
                <w:sz w:val="20"/>
              </w:rPr>
              <w:t>poison</w:t>
            </w:r>
            <w:r>
              <w:rPr>
                <w:spacing w:val="-6"/>
                <w:sz w:val="20"/>
              </w:rPr>
              <w:t> </w:t>
            </w:r>
            <w:r>
              <w:rPr>
                <w:sz w:val="20"/>
              </w:rPr>
              <w:t>baiting</w:t>
            </w:r>
            <w:r>
              <w:rPr>
                <w:spacing w:val="-4"/>
                <w:sz w:val="20"/>
              </w:rPr>
              <w:t> </w:t>
            </w:r>
            <w:r>
              <w:rPr>
                <w:sz w:val="20"/>
              </w:rPr>
              <w:t>per</w:t>
            </w:r>
            <w:r>
              <w:rPr>
                <w:spacing w:val="-6"/>
                <w:sz w:val="20"/>
              </w:rPr>
              <w:t> </w:t>
            </w:r>
            <w:r>
              <w:rPr>
                <w:spacing w:val="-4"/>
                <w:sz w:val="20"/>
              </w:rPr>
              <w:t>event</w:t>
            </w:r>
          </w:p>
          <w:p>
            <w:pPr>
              <w:pStyle w:val="TableParagraph"/>
              <w:numPr>
                <w:ilvl w:val="0"/>
                <w:numId w:val="32"/>
              </w:numPr>
              <w:tabs>
                <w:tab w:pos="827" w:val="left" w:leader="none"/>
              </w:tabs>
              <w:spacing w:line="240" w:lineRule="auto" w:before="77" w:after="0"/>
              <w:ind w:left="827" w:right="0" w:hanging="359"/>
              <w:jc w:val="left"/>
              <w:rPr>
                <w:sz w:val="20"/>
              </w:rPr>
            </w:pPr>
            <w:r>
              <w:rPr>
                <w:sz w:val="20"/>
              </w:rPr>
              <w:t>hours</w:t>
            </w:r>
            <w:r>
              <w:rPr>
                <w:spacing w:val="-7"/>
                <w:sz w:val="20"/>
              </w:rPr>
              <w:t> </w:t>
            </w:r>
            <w:r>
              <w:rPr>
                <w:sz w:val="20"/>
              </w:rPr>
              <w:t>spent</w:t>
            </w:r>
            <w:r>
              <w:rPr>
                <w:spacing w:val="-6"/>
                <w:sz w:val="20"/>
              </w:rPr>
              <w:t> </w:t>
            </w:r>
            <w:r>
              <w:rPr>
                <w:sz w:val="20"/>
              </w:rPr>
              <w:t>flying</w:t>
            </w:r>
            <w:r>
              <w:rPr>
                <w:spacing w:val="-6"/>
                <w:sz w:val="20"/>
              </w:rPr>
              <w:t> </w:t>
            </w:r>
            <w:r>
              <w:rPr>
                <w:sz w:val="20"/>
              </w:rPr>
              <w:t>per</w:t>
            </w:r>
            <w:r>
              <w:rPr>
                <w:spacing w:val="-7"/>
                <w:sz w:val="20"/>
              </w:rPr>
              <w:t> </w:t>
            </w:r>
            <w:r>
              <w:rPr>
                <w:sz w:val="20"/>
              </w:rPr>
              <w:t>aerial</w:t>
            </w:r>
            <w:r>
              <w:rPr>
                <w:spacing w:val="-7"/>
                <w:sz w:val="20"/>
              </w:rPr>
              <w:t> </w:t>
            </w:r>
            <w:r>
              <w:rPr>
                <w:sz w:val="20"/>
              </w:rPr>
              <w:t>shooting</w:t>
            </w:r>
            <w:r>
              <w:rPr>
                <w:spacing w:val="-7"/>
                <w:sz w:val="20"/>
              </w:rPr>
              <w:t> </w:t>
            </w:r>
            <w:r>
              <w:rPr>
                <w:spacing w:val="-4"/>
                <w:sz w:val="20"/>
              </w:rPr>
              <w:t>event</w:t>
            </w:r>
          </w:p>
          <w:p>
            <w:pPr>
              <w:pStyle w:val="TableParagraph"/>
              <w:numPr>
                <w:ilvl w:val="0"/>
                <w:numId w:val="32"/>
              </w:numPr>
              <w:tabs>
                <w:tab w:pos="827" w:val="left" w:leader="none"/>
              </w:tabs>
              <w:spacing w:line="240" w:lineRule="auto" w:before="79" w:after="0"/>
              <w:ind w:left="827" w:right="0" w:hanging="359"/>
              <w:jc w:val="left"/>
              <w:rPr>
                <w:sz w:val="20"/>
              </w:rPr>
            </w:pPr>
            <w:r>
              <w:rPr>
                <w:sz w:val="20"/>
              </w:rPr>
              <w:t>hours</w:t>
            </w:r>
            <w:r>
              <w:rPr>
                <w:spacing w:val="-7"/>
                <w:sz w:val="20"/>
              </w:rPr>
              <w:t> </w:t>
            </w:r>
            <w:r>
              <w:rPr>
                <w:sz w:val="20"/>
              </w:rPr>
              <w:t>spent</w:t>
            </w:r>
            <w:r>
              <w:rPr>
                <w:spacing w:val="-6"/>
                <w:sz w:val="20"/>
              </w:rPr>
              <w:t> </w:t>
            </w:r>
            <w:r>
              <w:rPr>
                <w:sz w:val="20"/>
              </w:rPr>
              <w:t>ground</w:t>
            </w:r>
            <w:r>
              <w:rPr>
                <w:spacing w:val="-7"/>
                <w:sz w:val="20"/>
              </w:rPr>
              <w:t> </w:t>
            </w:r>
            <w:r>
              <w:rPr>
                <w:sz w:val="20"/>
              </w:rPr>
              <w:t>shooting</w:t>
            </w:r>
            <w:r>
              <w:rPr>
                <w:spacing w:val="-7"/>
                <w:sz w:val="20"/>
              </w:rPr>
              <w:t> </w:t>
            </w:r>
            <w:r>
              <w:rPr>
                <w:sz w:val="20"/>
              </w:rPr>
              <w:t>per</w:t>
            </w:r>
            <w:r>
              <w:rPr>
                <w:spacing w:val="-7"/>
                <w:sz w:val="20"/>
              </w:rPr>
              <w:t> </w:t>
            </w:r>
            <w:r>
              <w:rPr>
                <w:spacing w:val="-4"/>
                <w:sz w:val="20"/>
              </w:rPr>
              <w:t>event</w:t>
            </w:r>
          </w:p>
          <w:p>
            <w:pPr>
              <w:pStyle w:val="TableParagraph"/>
              <w:numPr>
                <w:ilvl w:val="0"/>
                <w:numId w:val="32"/>
              </w:numPr>
              <w:tabs>
                <w:tab w:pos="827" w:val="left" w:leader="none"/>
              </w:tabs>
              <w:spacing w:line="295" w:lineRule="auto" w:before="79" w:after="0"/>
              <w:ind w:left="108" w:right="3050" w:firstLine="360"/>
              <w:jc w:val="left"/>
              <w:rPr>
                <w:sz w:val="20"/>
              </w:rPr>
            </w:pPr>
            <w:r>
              <w:rPr>
                <w:sz w:val="20"/>
              </w:rPr>
              <w:t>hours</w:t>
            </w:r>
            <w:r>
              <w:rPr>
                <w:spacing w:val="-7"/>
                <w:sz w:val="20"/>
              </w:rPr>
              <w:t> </w:t>
            </w:r>
            <w:r>
              <w:rPr>
                <w:sz w:val="20"/>
              </w:rPr>
              <w:t>establishing</w:t>
            </w:r>
            <w:r>
              <w:rPr>
                <w:spacing w:val="-9"/>
                <w:sz w:val="20"/>
              </w:rPr>
              <w:t> </w:t>
            </w:r>
            <w:r>
              <w:rPr>
                <w:sz w:val="20"/>
              </w:rPr>
              <w:t>and</w:t>
            </w:r>
            <w:r>
              <w:rPr>
                <w:spacing w:val="-10"/>
                <w:sz w:val="20"/>
              </w:rPr>
              <w:t> </w:t>
            </w:r>
            <w:r>
              <w:rPr>
                <w:sz w:val="20"/>
              </w:rPr>
              <w:t>operating</w:t>
            </w:r>
            <w:r>
              <w:rPr>
                <w:spacing w:val="-7"/>
                <w:sz w:val="20"/>
              </w:rPr>
              <w:t> </w:t>
            </w:r>
            <w:r>
              <w:rPr>
                <w:sz w:val="20"/>
              </w:rPr>
              <w:t>traps/bait</w:t>
            </w:r>
            <w:r>
              <w:rPr>
                <w:spacing w:val="-7"/>
                <w:sz w:val="20"/>
              </w:rPr>
              <w:t> </w:t>
            </w:r>
            <w:r>
              <w:rPr>
                <w:sz w:val="20"/>
              </w:rPr>
              <w:t>boxes. Includes preparation and cleanup time.</w:t>
            </w:r>
          </w:p>
          <w:p>
            <w:pPr>
              <w:pStyle w:val="TableParagraph"/>
              <w:spacing w:before="68"/>
              <w:ind w:left="108"/>
              <w:rPr>
                <w:sz w:val="20"/>
              </w:rPr>
            </w:pPr>
            <w:r>
              <w:rPr>
                <w:spacing w:val="-2"/>
                <w:sz w:val="20"/>
              </w:rPr>
              <w:t>Excludes</w:t>
            </w:r>
            <w:r>
              <w:rPr>
                <w:spacing w:val="9"/>
                <w:sz w:val="20"/>
              </w:rPr>
              <w:t> </w:t>
            </w:r>
            <w:r>
              <w:rPr>
                <w:spacing w:val="-2"/>
                <w:sz w:val="20"/>
              </w:rPr>
              <w:t>administration</w:t>
            </w:r>
            <w:r>
              <w:rPr>
                <w:spacing w:val="5"/>
                <w:sz w:val="20"/>
              </w:rPr>
              <w:t> </w:t>
            </w:r>
            <w:r>
              <w:rPr>
                <w:spacing w:val="-2"/>
                <w:sz w:val="20"/>
              </w:rPr>
              <w:t>costs.</w:t>
            </w:r>
          </w:p>
        </w:tc>
      </w:tr>
      <w:tr>
        <w:trPr>
          <w:trHeight w:val="350" w:hRule="atLeast"/>
        </w:trPr>
        <w:tc>
          <w:tcPr>
            <w:tcW w:w="5444" w:type="dxa"/>
          </w:tcPr>
          <w:p>
            <w:pPr>
              <w:pStyle w:val="TableParagraph"/>
              <w:spacing w:line="229" w:lineRule="exact"/>
              <w:ind w:left="110"/>
              <w:rPr>
                <w:sz w:val="20"/>
              </w:rPr>
            </w:pPr>
            <w:r>
              <w:rPr>
                <w:sz w:val="20"/>
              </w:rPr>
              <w:t>Cost</w:t>
            </w:r>
            <w:r>
              <w:rPr>
                <w:spacing w:val="-5"/>
                <w:sz w:val="20"/>
              </w:rPr>
              <w:t> </w:t>
            </w:r>
            <w:r>
              <w:rPr>
                <w:sz w:val="20"/>
              </w:rPr>
              <w:t>of</w:t>
            </w:r>
            <w:r>
              <w:rPr>
                <w:spacing w:val="-4"/>
                <w:sz w:val="20"/>
              </w:rPr>
              <w:t> </w:t>
            </w:r>
            <w:r>
              <w:rPr>
                <w:sz w:val="20"/>
              </w:rPr>
              <w:t>labour</w:t>
            </w:r>
            <w:r>
              <w:rPr>
                <w:spacing w:val="-3"/>
                <w:sz w:val="20"/>
              </w:rPr>
              <w:t> </w:t>
            </w:r>
            <w:r>
              <w:rPr>
                <w:sz w:val="20"/>
              </w:rPr>
              <w:t>for</w:t>
            </w:r>
            <w:r>
              <w:rPr>
                <w:spacing w:val="-3"/>
                <w:sz w:val="20"/>
              </w:rPr>
              <w:t> </w:t>
            </w:r>
            <w:r>
              <w:rPr>
                <w:sz w:val="20"/>
              </w:rPr>
              <w:t>each</w:t>
            </w:r>
            <w:r>
              <w:rPr>
                <w:spacing w:val="-4"/>
                <w:sz w:val="20"/>
              </w:rPr>
              <w:t> </w:t>
            </w:r>
            <w:r>
              <w:rPr>
                <w:spacing w:val="-2"/>
                <w:sz w:val="20"/>
              </w:rPr>
              <w:t>method</w:t>
            </w:r>
          </w:p>
        </w:tc>
        <w:tc>
          <w:tcPr>
            <w:tcW w:w="8302" w:type="dxa"/>
          </w:tcPr>
          <w:p>
            <w:pPr>
              <w:pStyle w:val="TableParagraph"/>
              <w:spacing w:line="229" w:lineRule="exact"/>
              <w:ind w:left="108"/>
              <w:rPr>
                <w:sz w:val="20"/>
              </w:rPr>
            </w:pPr>
            <w:r>
              <w:rPr>
                <w:sz w:val="20"/>
              </w:rPr>
              <w:t>Cost</w:t>
            </w:r>
            <w:r>
              <w:rPr>
                <w:spacing w:val="-7"/>
                <w:sz w:val="20"/>
              </w:rPr>
              <w:t> </w:t>
            </w:r>
            <w:r>
              <w:rPr>
                <w:sz w:val="20"/>
              </w:rPr>
              <w:t>($)</w:t>
            </w:r>
            <w:r>
              <w:rPr>
                <w:spacing w:val="-6"/>
                <w:sz w:val="20"/>
              </w:rPr>
              <w:t> </w:t>
            </w:r>
            <w:r>
              <w:rPr>
                <w:sz w:val="20"/>
              </w:rPr>
              <w:t>per</w:t>
            </w:r>
            <w:r>
              <w:rPr>
                <w:spacing w:val="-6"/>
                <w:sz w:val="20"/>
              </w:rPr>
              <w:t> </w:t>
            </w:r>
            <w:r>
              <w:rPr>
                <w:sz w:val="20"/>
              </w:rPr>
              <w:t>hour</w:t>
            </w:r>
            <w:r>
              <w:rPr>
                <w:spacing w:val="-6"/>
                <w:sz w:val="20"/>
              </w:rPr>
              <w:t> </w:t>
            </w:r>
            <w:r>
              <w:rPr>
                <w:sz w:val="20"/>
              </w:rPr>
              <w:t>per</w:t>
            </w:r>
            <w:r>
              <w:rPr>
                <w:spacing w:val="-6"/>
                <w:sz w:val="20"/>
              </w:rPr>
              <w:t> </w:t>
            </w:r>
            <w:r>
              <w:rPr>
                <w:sz w:val="20"/>
              </w:rPr>
              <w:t>person</w:t>
            </w:r>
            <w:r>
              <w:rPr>
                <w:spacing w:val="-7"/>
                <w:sz w:val="20"/>
              </w:rPr>
              <w:t> </w:t>
            </w:r>
            <w:r>
              <w:rPr>
                <w:sz w:val="20"/>
              </w:rPr>
              <w:t>spent</w:t>
            </w:r>
            <w:r>
              <w:rPr>
                <w:spacing w:val="-5"/>
                <w:sz w:val="20"/>
              </w:rPr>
              <w:t> </w:t>
            </w:r>
            <w:r>
              <w:rPr>
                <w:sz w:val="20"/>
              </w:rPr>
              <w:t>on</w:t>
            </w:r>
            <w:r>
              <w:rPr>
                <w:spacing w:val="-6"/>
                <w:sz w:val="20"/>
              </w:rPr>
              <w:t> </w:t>
            </w:r>
            <w:r>
              <w:rPr>
                <w:sz w:val="20"/>
              </w:rPr>
              <w:t>the</w:t>
            </w:r>
            <w:r>
              <w:rPr>
                <w:spacing w:val="-6"/>
                <w:sz w:val="20"/>
              </w:rPr>
              <w:t> </w:t>
            </w:r>
            <w:r>
              <w:rPr>
                <w:sz w:val="20"/>
              </w:rPr>
              <w:t>operational</w:t>
            </w:r>
            <w:r>
              <w:rPr>
                <w:spacing w:val="-7"/>
                <w:sz w:val="20"/>
              </w:rPr>
              <w:t> </w:t>
            </w:r>
            <w:r>
              <w:rPr>
                <w:sz w:val="20"/>
              </w:rPr>
              <w:t>implementation</w:t>
            </w:r>
            <w:r>
              <w:rPr>
                <w:spacing w:val="-7"/>
                <w:sz w:val="20"/>
              </w:rPr>
              <w:t> </w:t>
            </w:r>
            <w:r>
              <w:rPr>
                <w:sz w:val="20"/>
              </w:rPr>
              <w:t>of</w:t>
            </w:r>
            <w:r>
              <w:rPr>
                <w:spacing w:val="-7"/>
                <w:sz w:val="20"/>
              </w:rPr>
              <w:t> </w:t>
            </w:r>
            <w:r>
              <w:rPr>
                <w:spacing w:val="-2"/>
                <w:sz w:val="20"/>
              </w:rPr>
              <w:t>control</w:t>
            </w:r>
          </w:p>
        </w:tc>
      </w:tr>
      <w:tr>
        <w:trPr>
          <w:trHeight w:val="1389" w:hRule="atLeast"/>
        </w:trPr>
        <w:tc>
          <w:tcPr>
            <w:tcW w:w="5444" w:type="dxa"/>
          </w:tcPr>
          <w:p>
            <w:pPr>
              <w:pStyle w:val="TableParagraph"/>
              <w:spacing w:line="229" w:lineRule="exact"/>
              <w:ind w:left="110"/>
              <w:rPr>
                <w:sz w:val="20"/>
              </w:rPr>
            </w:pPr>
            <w:r>
              <w:rPr>
                <w:sz w:val="20"/>
              </w:rPr>
              <w:t>Cost</w:t>
            </w:r>
            <w:r>
              <w:rPr>
                <w:spacing w:val="-5"/>
                <w:sz w:val="20"/>
              </w:rPr>
              <w:t> </w:t>
            </w:r>
            <w:r>
              <w:rPr>
                <w:sz w:val="20"/>
              </w:rPr>
              <w:t>of</w:t>
            </w:r>
            <w:r>
              <w:rPr>
                <w:spacing w:val="-2"/>
                <w:sz w:val="20"/>
              </w:rPr>
              <w:t> materials</w:t>
            </w:r>
          </w:p>
        </w:tc>
        <w:tc>
          <w:tcPr>
            <w:tcW w:w="8302" w:type="dxa"/>
          </w:tcPr>
          <w:p>
            <w:pPr>
              <w:pStyle w:val="TableParagraph"/>
              <w:spacing w:line="229" w:lineRule="exact"/>
              <w:ind w:left="108"/>
              <w:rPr>
                <w:sz w:val="20"/>
              </w:rPr>
            </w:pPr>
            <w:r>
              <w:rPr>
                <w:sz w:val="20"/>
              </w:rPr>
              <w:t>Cost</w:t>
            </w:r>
            <w:r>
              <w:rPr>
                <w:spacing w:val="-7"/>
                <w:sz w:val="20"/>
              </w:rPr>
              <w:t> </w:t>
            </w:r>
            <w:r>
              <w:rPr>
                <w:sz w:val="20"/>
              </w:rPr>
              <w:t>of</w:t>
            </w:r>
            <w:r>
              <w:rPr>
                <w:spacing w:val="-4"/>
                <w:sz w:val="20"/>
              </w:rPr>
              <w:t> </w:t>
            </w:r>
            <w:r>
              <w:rPr>
                <w:sz w:val="20"/>
              </w:rPr>
              <w:t>all</w:t>
            </w:r>
            <w:r>
              <w:rPr>
                <w:spacing w:val="-7"/>
                <w:sz w:val="20"/>
              </w:rPr>
              <w:t> </w:t>
            </w:r>
            <w:r>
              <w:rPr>
                <w:sz w:val="20"/>
              </w:rPr>
              <w:t>materials</w:t>
            </w:r>
            <w:r>
              <w:rPr>
                <w:spacing w:val="-5"/>
                <w:sz w:val="20"/>
              </w:rPr>
              <w:t> </w:t>
            </w:r>
            <w:r>
              <w:rPr>
                <w:sz w:val="20"/>
              </w:rPr>
              <w:t>use</w:t>
            </w:r>
            <w:r>
              <w:rPr>
                <w:spacing w:val="-4"/>
                <w:sz w:val="20"/>
              </w:rPr>
              <w:t> </w:t>
            </w:r>
            <w:r>
              <w:rPr>
                <w:sz w:val="20"/>
              </w:rPr>
              <w:t>in</w:t>
            </w:r>
            <w:r>
              <w:rPr>
                <w:spacing w:val="-5"/>
                <w:sz w:val="20"/>
              </w:rPr>
              <w:t> </w:t>
            </w:r>
            <w:r>
              <w:rPr>
                <w:sz w:val="20"/>
              </w:rPr>
              <w:t>the</w:t>
            </w:r>
            <w:r>
              <w:rPr>
                <w:spacing w:val="-7"/>
                <w:sz w:val="20"/>
              </w:rPr>
              <w:t> </w:t>
            </w:r>
            <w:r>
              <w:rPr>
                <w:sz w:val="20"/>
              </w:rPr>
              <w:t>control</w:t>
            </w:r>
            <w:r>
              <w:rPr>
                <w:spacing w:val="-5"/>
                <w:sz w:val="20"/>
              </w:rPr>
              <w:t> </w:t>
            </w:r>
            <w:r>
              <w:rPr>
                <w:spacing w:val="-2"/>
                <w:sz w:val="20"/>
              </w:rPr>
              <w:t>operations</w:t>
            </w:r>
          </w:p>
          <w:p>
            <w:pPr>
              <w:pStyle w:val="TableParagraph"/>
              <w:spacing w:before="120"/>
              <w:ind w:left="108"/>
              <w:rPr>
                <w:sz w:val="20"/>
              </w:rPr>
            </w:pPr>
            <w:r>
              <w:rPr>
                <w:sz w:val="20"/>
              </w:rPr>
              <w:t>$/kg</w:t>
            </w:r>
            <w:r>
              <w:rPr>
                <w:spacing w:val="-6"/>
                <w:sz w:val="20"/>
              </w:rPr>
              <w:t> </w:t>
            </w:r>
            <w:r>
              <w:rPr>
                <w:sz w:val="20"/>
              </w:rPr>
              <w:t>of</w:t>
            </w:r>
            <w:r>
              <w:rPr>
                <w:spacing w:val="-4"/>
                <w:sz w:val="20"/>
              </w:rPr>
              <w:t> </w:t>
            </w:r>
            <w:r>
              <w:rPr>
                <w:sz w:val="20"/>
              </w:rPr>
              <w:t>baits</w:t>
            </w:r>
            <w:r>
              <w:rPr>
                <w:spacing w:val="-4"/>
                <w:sz w:val="20"/>
              </w:rPr>
              <w:t> </w:t>
            </w:r>
            <w:r>
              <w:rPr>
                <w:sz w:val="20"/>
              </w:rPr>
              <w:t>used</w:t>
            </w:r>
            <w:r>
              <w:rPr>
                <w:spacing w:val="-5"/>
                <w:sz w:val="20"/>
              </w:rPr>
              <w:t> </w:t>
            </w:r>
            <w:r>
              <w:rPr>
                <w:sz w:val="20"/>
              </w:rPr>
              <w:t>per</w:t>
            </w:r>
            <w:r>
              <w:rPr>
                <w:spacing w:val="-3"/>
                <w:sz w:val="20"/>
              </w:rPr>
              <w:t> </w:t>
            </w:r>
            <w:r>
              <w:rPr>
                <w:spacing w:val="-2"/>
                <w:sz w:val="20"/>
              </w:rPr>
              <w:t>event</w:t>
            </w:r>
          </w:p>
          <w:p>
            <w:pPr>
              <w:pStyle w:val="TableParagraph"/>
              <w:spacing w:before="1"/>
              <w:ind w:left="108" w:right="5002"/>
              <w:rPr>
                <w:sz w:val="20"/>
              </w:rPr>
            </w:pPr>
            <w:r>
              <w:rPr>
                <w:sz w:val="20"/>
              </w:rPr>
              <w:t>$/bullet used (including misses) Cost</w:t>
            </w:r>
            <w:r>
              <w:rPr>
                <w:spacing w:val="-7"/>
                <w:sz w:val="20"/>
              </w:rPr>
              <w:t> </w:t>
            </w:r>
            <w:r>
              <w:rPr>
                <w:sz w:val="20"/>
              </w:rPr>
              <w:t>($)</w:t>
            </w:r>
            <w:r>
              <w:rPr>
                <w:spacing w:val="-6"/>
                <w:sz w:val="20"/>
              </w:rPr>
              <w:t> </w:t>
            </w:r>
            <w:r>
              <w:rPr>
                <w:sz w:val="20"/>
              </w:rPr>
              <w:t>and</w:t>
            </w:r>
            <w:r>
              <w:rPr>
                <w:spacing w:val="-7"/>
                <w:sz w:val="20"/>
              </w:rPr>
              <w:t> </w:t>
            </w:r>
            <w:r>
              <w:rPr>
                <w:sz w:val="20"/>
              </w:rPr>
              <w:t>type</w:t>
            </w:r>
            <w:r>
              <w:rPr>
                <w:spacing w:val="-5"/>
                <w:sz w:val="20"/>
              </w:rPr>
              <w:t> </w:t>
            </w:r>
            <w:r>
              <w:rPr>
                <w:sz w:val="20"/>
              </w:rPr>
              <w:t>of</w:t>
            </w:r>
            <w:r>
              <w:rPr>
                <w:spacing w:val="-7"/>
                <w:sz w:val="20"/>
              </w:rPr>
              <w:t> </w:t>
            </w:r>
            <w:r>
              <w:rPr>
                <w:sz w:val="20"/>
              </w:rPr>
              <w:t>a</w:t>
            </w:r>
            <w:r>
              <w:rPr>
                <w:spacing w:val="-5"/>
                <w:sz w:val="20"/>
              </w:rPr>
              <w:t> </w:t>
            </w:r>
            <w:r>
              <w:rPr>
                <w:sz w:val="20"/>
              </w:rPr>
              <w:t>single</w:t>
            </w:r>
            <w:r>
              <w:rPr>
                <w:spacing w:val="-7"/>
                <w:sz w:val="20"/>
              </w:rPr>
              <w:t> </w:t>
            </w:r>
            <w:r>
              <w:rPr>
                <w:sz w:val="20"/>
              </w:rPr>
              <w:t>trap</w:t>
            </w:r>
          </w:p>
          <w:p>
            <w:pPr>
              <w:pStyle w:val="TableParagraph"/>
              <w:spacing w:line="228" w:lineRule="exact"/>
              <w:ind w:left="108"/>
              <w:rPr>
                <w:sz w:val="20"/>
              </w:rPr>
            </w:pPr>
            <w:r>
              <w:rPr>
                <w:sz w:val="20"/>
              </w:rPr>
              <w:t>Cost</w:t>
            </w:r>
            <w:r>
              <w:rPr>
                <w:spacing w:val="-5"/>
                <w:sz w:val="20"/>
              </w:rPr>
              <w:t> </w:t>
            </w:r>
            <w:r>
              <w:rPr>
                <w:sz w:val="20"/>
              </w:rPr>
              <w:t>($)</w:t>
            </w:r>
            <w:r>
              <w:rPr>
                <w:spacing w:val="-4"/>
                <w:sz w:val="20"/>
              </w:rPr>
              <w:t> </w:t>
            </w:r>
            <w:r>
              <w:rPr>
                <w:sz w:val="20"/>
              </w:rPr>
              <w:t>and</w:t>
            </w:r>
            <w:r>
              <w:rPr>
                <w:spacing w:val="-4"/>
                <w:sz w:val="20"/>
              </w:rPr>
              <w:t> </w:t>
            </w:r>
            <w:r>
              <w:rPr>
                <w:sz w:val="20"/>
              </w:rPr>
              <w:t>type</w:t>
            </w:r>
            <w:r>
              <w:rPr>
                <w:spacing w:val="-4"/>
                <w:sz w:val="20"/>
              </w:rPr>
              <w:t> </w:t>
            </w:r>
            <w:r>
              <w:rPr>
                <w:sz w:val="20"/>
              </w:rPr>
              <w:t>of</w:t>
            </w:r>
            <w:r>
              <w:rPr>
                <w:spacing w:val="-5"/>
                <w:sz w:val="20"/>
              </w:rPr>
              <w:t> </w:t>
            </w:r>
            <w:r>
              <w:rPr>
                <w:sz w:val="20"/>
              </w:rPr>
              <w:t>a</w:t>
            </w:r>
            <w:r>
              <w:rPr>
                <w:spacing w:val="-2"/>
                <w:sz w:val="20"/>
              </w:rPr>
              <w:t> </w:t>
            </w:r>
            <w:r>
              <w:rPr>
                <w:sz w:val="20"/>
              </w:rPr>
              <w:t>single</w:t>
            </w:r>
            <w:r>
              <w:rPr>
                <w:spacing w:val="-5"/>
                <w:sz w:val="20"/>
              </w:rPr>
              <w:t> </w:t>
            </w:r>
            <w:r>
              <w:rPr>
                <w:sz w:val="20"/>
              </w:rPr>
              <w:t>bait</w:t>
            </w:r>
            <w:r>
              <w:rPr>
                <w:spacing w:val="-4"/>
                <w:sz w:val="20"/>
              </w:rPr>
              <w:t> </w:t>
            </w:r>
            <w:r>
              <w:rPr>
                <w:spacing w:val="-5"/>
                <w:sz w:val="20"/>
              </w:rPr>
              <w:t>box</w:t>
            </w:r>
          </w:p>
        </w:tc>
      </w:tr>
      <w:tr>
        <w:trPr>
          <w:trHeight w:val="1041" w:hRule="atLeast"/>
        </w:trPr>
        <w:tc>
          <w:tcPr>
            <w:tcW w:w="5444" w:type="dxa"/>
          </w:tcPr>
          <w:p>
            <w:pPr>
              <w:pStyle w:val="TableParagraph"/>
              <w:spacing w:line="229" w:lineRule="exact"/>
              <w:ind w:left="110"/>
              <w:rPr>
                <w:sz w:val="20"/>
              </w:rPr>
            </w:pPr>
            <w:r>
              <w:rPr>
                <w:sz w:val="20"/>
              </w:rPr>
              <w:t>Distance</w:t>
            </w:r>
            <w:r>
              <w:rPr>
                <w:spacing w:val="-10"/>
                <w:sz w:val="20"/>
              </w:rPr>
              <w:t> </w:t>
            </w:r>
            <w:r>
              <w:rPr>
                <w:spacing w:val="-2"/>
                <w:sz w:val="20"/>
              </w:rPr>
              <w:t>travelled</w:t>
            </w:r>
          </w:p>
        </w:tc>
        <w:tc>
          <w:tcPr>
            <w:tcW w:w="8302" w:type="dxa"/>
          </w:tcPr>
          <w:p>
            <w:pPr>
              <w:pStyle w:val="TableParagraph"/>
              <w:ind w:left="108" w:right="3611"/>
              <w:rPr>
                <w:sz w:val="20"/>
              </w:rPr>
            </w:pPr>
            <w:r>
              <w:rPr>
                <w:sz w:val="20"/>
              </w:rPr>
              <w:t>Km</w:t>
            </w:r>
            <w:r>
              <w:rPr>
                <w:spacing w:val="-6"/>
                <w:sz w:val="20"/>
              </w:rPr>
              <w:t> </w:t>
            </w:r>
            <w:r>
              <w:rPr>
                <w:sz w:val="20"/>
              </w:rPr>
              <w:t>flown</w:t>
            </w:r>
            <w:r>
              <w:rPr>
                <w:spacing w:val="-6"/>
                <w:sz w:val="20"/>
              </w:rPr>
              <w:t> </w:t>
            </w:r>
            <w:r>
              <w:rPr>
                <w:sz w:val="20"/>
              </w:rPr>
              <w:t>per</w:t>
            </w:r>
            <w:r>
              <w:rPr>
                <w:spacing w:val="-6"/>
                <w:sz w:val="20"/>
              </w:rPr>
              <w:t> </w:t>
            </w:r>
            <w:r>
              <w:rPr>
                <w:sz w:val="20"/>
              </w:rPr>
              <w:t>transect</w:t>
            </w:r>
            <w:r>
              <w:rPr>
                <w:spacing w:val="-5"/>
                <w:sz w:val="20"/>
              </w:rPr>
              <w:t> </w:t>
            </w:r>
            <w:r>
              <w:rPr>
                <w:sz w:val="20"/>
              </w:rPr>
              <w:t>of</w:t>
            </w:r>
            <w:r>
              <w:rPr>
                <w:spacing w:val="-6"/>
                <w:sz w:val="20"/>
              </w:rPr>
              <w:t> </w:t>
            </w:r>
            <w:r>
              <w:rPr>
                <w:sz w:val="20"/>
              </w:rPr>
              <w:t>aerial</w:t>
            </w:r>
            <w:r>
              <w:rPr>
                <w:spacing w:val="-7"/>
                <w:sz w:val="20"/>
              </w:rPr>
              <w:t> </w:t>
            </w:r>
            <w:r>
              <w:rPr>
                <w:sz w:val="20"/>
              </w:rPr>
              <w:t>shooting</w:t>
            </w:r>
            <w:r>
              <w:rPr>
                <w:spacing w:val="-4"/>
                <w:sz w:val="20"/>
              </w:rPr>
              <w:t> </w:t>
            </w:r>
            <w:r>
              <w:rPr>
                <w:sz w:val="20"/>
              </w:rPr>
              <w:t>per</w:t>
            </w:r>
            <w:r>
              <w:rPr>
                <w:spacing w:val="-5"/>
                <w:sz w:val="20"/>
              </w:rPr>
              <w:t> </w:t>
            </w:r>
            <w:r>
              <w:rPr>
                <w:sz w:val="20"/>
              </w:rPr>
              <w:t>event Km driven/walked ground shooting</w:t>
            </w:r>
          </w:p>
          <w:p>
            <w:pPr>
              <w:pStyle w:val="TableParagraph"/>
              <w:spacing w:before="1"/>
              <w:ind w:left="108" w:right="5002"/>
              <w:rPr>
                <w:sz w:val="20"/>
              </w:rPr>
            </w:pPr>
            <w:r>
              <w:rPr>
                <w:sz w:val="20"/>
              </w:rPr>
              <w:t>Km</w:t>
            </w:r>
            <w:r>
              <w:rPr>
                <w:spacing w:val="-6"/>
                <w:sz w:val="20"/>
              </w:rPr>
              <w:t> </w:t>
            </w:r>
            <w:r>
              <w:rPr>
                <w:sz w:val="20"/>
              </w:rPr>
              <w:t>driven</w:t>
            </w:r>
            <w:r>
              <w:rPr>
                <w:spacing w:val="-8"/>
                <w:sz w:val="20"/>
              </w:rPr>
              <w:t> </w:t>
            </w:r>
            <w:r>
              <w:rPr>
                <w:sz w:val="20"/>
              </w:rPr>
              <w:t>to</w:t>
            </w:r>
            <w:r>
              <w:rPr>
                <w:spacing w:val="-7"/>
                <w:sz w:val="20"/>
              </w:rPr>
              <w:t> </w:t>
            </w:r>
            <w:r>
              <w:rPr>
                <w:sz w:val="20"/>
              </w:rPr>
              <w:t>and</w:t>
            </w:r>
            <w:r>
              <w:rPr>
                <w:spacing w:val="-8"/>
                <w:sz w:val="20"/>
              </w:rPr>
              <w:t> </w:t>
            </w:r>
            <w:r>
              <w:rPr>
                <w:sz w:val="20"/>
              </w:rPr>
              <w:t>from</w:t>
            </w:r>
            <w:r>
              <w:rPr>
                <w:spacing w:val="-7"/>
                <w:sz w:val="20"/>
              </w:rPr>
              <w:t> </w:t>
            </w:r>
            <w:r>
              <w:rPr>
                <w:sz w:val="20"/>
              </w:rPr>
              <w:t>control</w:t>
            </w:r>
            <w:r>
              <w:rPr>
                <w:spacing w:val="-8"/>
                <w:sz w:val="20"/>
              </w:rPr>
              <w:t> </w:t>
            </w:r>
            <w:r>
              <w:rPr>
                <w:sz w:val="20"/>
              </w:rPr>
              <w:t>site Km driven between trap sites</w:t>
            </w:r>
          </w:p>
        </w:tc>
      </w:tr>
      <w:tr>
        <w:trPr>
          <w:trHeight w:val="810" w:hRule="atLeast"/>
        </w:trPr>
        <w:tc>
          <w:tcPr>
            <w:tcW w:w="5444" w:type="dxa"/>
          </w:tcPr>
          <w:p>
            <w:pPr>
              <w:pStyle w:val="TableParagraph"/>
              <w:spacing w:line="229" w:lineRule="exact"/>
              <w:ind w:left="110"/>
              <w:rPr>
                <w:sz w:val="20"/>
              </w:rPr>
            </w:pPr>
            <w:r>
              <w:rPr>
                <w:sz w:val="20"/>
              </w:rPr>
              <w:t>Cost</w:t>
            </w:r>
            <w:r>
              <w:rPr>
                <w:spacing w:val="-5"/>
                <w:sz w:val="20"/>
              </w:rPr>
              <w:t> </w:t>
            </w:r>
            <w:r>
              <w:rPr>
                <w:sz w:val="20"/>
              </w:rPr>
              <w:t>of</w:t>
            </w:r>
            <w:r>
              <w:rPr>
                <w:spacing w:val="-4"/>
                <w:sz w:val="20"/>
              </w:rPr>
              <w:t> </w:t>
            </w:r>
            <w:r>
              <w:rPr>
                <w:spacing w:val="-2"/>
                <w:sz w:val="20"/>
              </w:rPr>
              <w:t>travel</w:t>
            </w:r>
          </w:p>
        </w:tc>
        <w:tc>
          <w:tcPr>
            <w:tcW w:w="8302" w:type="dxa"/>
          </w:tcPr>
          <w:p>
            <w:pPr>
              <w:pStyle w:val="TableParagraph"/>
              <w:spacing w:line="229" w:lineRule="exact"/>
              <w:ind w:left="108"/>
              <w:rPr>
                <w:sz w:val="20"/>
              </w:rPr>
            </w:pPr>
            <w:r>
              <w:rPr>
                <w:sz w:val="20"/>
              </w:rPr>
              <w:t>$</w:t>
            </w:r>
            <w:r>
              <w:rPr>
                <w:spacing w:val="-5"/>
                <w:sz w:val="20"/>
              </w:rPr>
              <w:t> </w:t>
            </w:r>
            <w:r>
              <w:rPr>
                <w:sz w:val="20"/>
              </w:rPr>
              <w:t>per</w:t>
            </w:r>
            <w:r>
              <w:rPr>
                <w:spacing w:val="-1"/>
                <w:sz w:val="20"/>
              </w:rPr>
              <w:t> </w:t>
            </w:r>
            <w:r>
              <w:rPr>
                <w:sz w:val="20"/>
              </w:rPr>
              <w:t>litre</w:t>
            </w:r>
            <w:r>
              <w:rPr>
                <w:spacing w:val="-2"/>
                <w:sz w:val="20"/>
              </w:rPr>
              <w:t> </w:t>
            </w:r>
            <w:r>
              <w:rPr>
                <w:sz w:val="20"/>
              </w:rPr>
              <w:t>of</w:t>
            </w:r>
            <w:r>
              <w:rPr>
                <w:spacing w:val="-4"/>
                <w:sz w:val="20"/>
              </w:rPr>
              <w:t> </w:t>
            </w:r>
            <w:r>
              <w:rPr>
                <w:sz w:val="20"/>
              </w:rPr>
              <w:t>fuel</w:t>
            </w:r>
            <w:r>
              <w:rPr>
                <w:spacing w:val="-5"/>
                <w:sz w:val="20"/>
              </w:rPr>
              <w:t> </w:t>
            </w:r>
            <w:r>
              <w:rPr>
                <w:sz w:val="20"/>
              </w:rPr>
              <w:t>or</w:t>
            </w:r>
            <w:r>
              <w:rPr>
                <w:spacing w:val="-4"/>
                <w:sz w:val="20"/>
              </w:rPr>
              <w:t> </w:t>
            </w:r>
            <w:r>
              <w:rPr>
                <w:sz w:val="20"/>
              </w:rPr>
              <w:t>total</w:t>
            </w:r>
            <w:r>
              <w:rPr>
                <w:spacing w:val="-5"/>
                <w:sz w:val="20"/>
              </w:rPr>
              <w:t> </w:t>
            </w:r>
            <w:r>
              <w:rPr>
                <w:sz w:val="20"/>
              </w:rPr>
              <w:t>fuel</w:t>
            </w:r>
            <w:r>
              <w:rPr>
                <w:spacing w:val="-6"/>
                <w:sz w:val="20"/>
              </w:rPr>
              <w:t> </w:t>
            </w:r>
            <w:r>
              <w:rPr>
                <w:sz w:val="20"/>
              </w:rPr>
              <w:t>cost</w:t>
            </w:r>
            <w:r>
              <w:rPr>
                <w:spacing w:val="-4"/>
                <w:sz w:val="20"/>
              </w:rPr>
              <w:t> </w:t>
            </w:r>
            <w:r>
              <w:rPr>
                <w:sz w:val="20"/>
              </w:rPr>
              <w:t>per</w:t>
            </w:r>
            <w:r>
              <w:rPr>
                <w:spacing w:val="-1"/>
                <w:sz w:val="20"/>
              </w:rPr>
              <w:t> </w:t>
            </w:r>
            <w:r>
              <w:rPr>
                <w:spacing w:val="-4"/>
                <w:sz w:val="20"/>
              </w:rPr>
              <w:t>event</w:t>
            </w:r>
          </w:p>
          <w:p>
            <w:pPr>
              <w:pStyle w:val="TableParagraph"/>
              <w:spacing w:line="228" w:lineRule="exact" w:before="105"/>
              <w:ind w:left="108" w:right="4291"/>
              <w:rPr>
                <w:sz w:val="20"/>
              </w:rPr>
            </w:pPr>
            <w:r>
              <w:rPr>
                <w:sz w:val="20"/>
              </w:rPr>
              <w:t>Cost of flying a control event ($/hr) Helicopter</w:t>
            </w:r>
            <w:r>
              <w:rPr>
                <w:spacing w:val="-12"/>
                <w:sz w:val="20"/>
              </w:rPr>
              <w:t> </w:t>
            </w:r>
            <w:r>
              <w:rPr>
                <w:sz w:val="20"/>
              </w:rPr>
              <w:t>standby</w:t>
            </w:r>
            <w:r>
              <w:rPr>
                <w:spacing w:val="-11"/>
                <w:sz w:val="20"/>
              </w:rPr>
              <w:t> </w:t>
            </w:r>
            <w:r>
              <w:rPr>
                <w:sz w:val="20"/>
              </w:rPr>
              <w:t>rate</w:t>
            </w:r>
            <w:r>
              <w:rPr>
                <w:spacing w:val="-11"/>
                <w:sz w:val="20"/>
              </w:rPr>
              <w:t> </w:t>
            </w:r>
            <w:r>
              <w:rPr>
                <w:sz w:val="20"/>
              </w:rPr>
              <w:t>per</w:t>
            </w:r>
            <w:r>
              <w:rPr>
                <w:spacing w:val="-9"/>
                <w:sz w:val="20"/>
              </w:rPr>
              <w:t> </w:t>
            </w:r>
            <w:r>
              <w:rPr>
                <w:sz w:val="20"/>
              </w:rPr>
              <w:t>operations</w:t>
            </w:r>
          </w:p>
        </w:tc>
      </w:tr>
    </w:tbl>
    <w:p>
      <w:pPr>
        <w:spacing w:after="0" w:line="228" w:lineRule="exact"/>
        <w:rPr>
          <w:sz w:val="20"/>
        </w:rPr>
        <w:sectPr>
          <w:pgSz w:w="16850" w:h="11910" w:orient="landscape"/>
          <w:pgMar w:header="0" w:footer="686" w:top="1060" w:bottom="880" w:left="1020" w:right="1020"/>
        </w:sectPr>
      </w:pPr>
    </w:p>
    <w:p>
      <w:pPr>
        <w:pStyle w:val="BodyText"/>
        <w:spacing w:before="3"/>
        <w:rPr>
          <w:b/>
          <w:sz w:val="2"/>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4"/>
        <w:gridCol w:w="8302"/>
      </w:tblGrid>
      <w:tr>
        <w:trPr>
          <w:trHeight w:val="350" w:hRule="atLeast"/>
        </w:trPr>
        <w:tc>
          <w:tcPr>
            <w:tcW w:w="5444" w:type="dxa"/>
            <w:shd w:val="clear" w:color="auto" w:fill="004B96"/>
          </w:tcPr>
          <w:p>
            <w:pPr>
              <w:pStyle w:val="TableParagraph"/>
              <w:spacing w:before="62"/>
              <w:ind w:left="110"/>
              <w:rPr>
                <w:b/>
                <w:sz w:val="20"/>
              </w:rPr>
            </w:pPr>
            <w:r>
              <w:rPr>
                <w:b/>
                <w:color w:val="FFFFFF"/>
                <w:spacing w:val="-2"/>
                <w:sz w:val="20"/>
              </w:rPr>
              <w:t>Parameter</w:t>
            </w:r>
          </w:p>
        </w:tc>
        <w:tc>
          <w:tcPr>
            <w:tcW w:w="8302" w:type="dxa"/>
            <w:shd w:val="clear" w:color="auto" w:fill="004B96"/>
          </w:tcPr>
          <w:p>
            <w:pPr>
              <w:pStyle w:val="TableParagraph"/>
              <w:spacing w:before="62"/>
              <w:ind w:left="108"/>
              <w:rPr>
                <w:b/>
                <w:sz w:val="20"/>
              </w:rPr>
            </w:pPr>
            <w:r>
              <w:rPr>
                <w:b/>
                <w:color w:val="FFFFFF"/>
                <w:spacing w:val="-2"/>
                <w:sz w:val="20"/>
              </w:rPr>
              <w:t>Description</w:t>
            </w:r>
          </w:p>
        </w:tc>
      </w:tr>
      <w:tr>
        <w:trPr>
          <w:trHeight w:val="580" w:hRule="atLeast"/>
        </w:trPr>
        <w:tc>
          <w:tcPr>
            <w:tcW w:w="5444" w:type="dxa"/>
          </w:tcPr>
          <w:p>
            <w:pPr>
              <w:pStyle w:val="TableParagraph"/>
              <w:rPr>
                <w:rFonts w:ascii="Times New Roman"/>
                <w:sz w:val="18"/>
              </w:rPr>
            </w:pPr>
          </w:p>
        </w:tc>
        <w:tc>
          <w:tcPr>
            <w:tcW w:w="8302" w:type="dxa"/>
          </w:tcPr>
          <w:p>
            <w:pPr>
              <w:pStyle w:val="TableParagraph"/>
              <w:ind w:left="108" w:right="3611"/>
              <w:rPr>
                <w:sz w:val="20"/>
              </w:rPr>
            </w:pPr>
            <w:r>
              <w:rPr>
                <w:sz w:val="20"/>
              </w:rPr>
              <w:t>Cost</w:t>
            </w:r>
            <w:r>
              <w:rPr>
                <w:spacing w:val="-7"/>
                <w:sz w:val="20"/>
              </w:rPr>
              <w:t> </w:t>
            </w:r>
            <w:r>
              <w:rPr>
                <w:sz w:val="20"/>
              </w:rPr>
              <w:t>of</w:t>
            </w:r>
            <w:r>
              <w:rPr>
                <w:spacing w:val="-7"/>
                <w:sz w:val="20"/>
              </w:rPr>
              <w:t> </w:t>
            </w:r>
            <w:r>
              <w:rPr>
                <w:sz w:val="20"/>
              </w:rPr>
              <w:t>travel</w:t>
            </w:r>
            <w:r>
              <w:rPr>
                <w:spacing w:val="-8"/>
                <w:sz w:val="20"/>
              </w:rPr>
              <w:t> </w:t>
            </w:r>
            <w:r>
              <w:rPr>
                <w:sz w:val="20"/>
              </w:rPr>
              <w:t>for</w:t>
            </w:r>
            <w:r>
              <w:rPr>
                <w:spacing w:val="-7"/>
                <w:sz w:val="20"/>
              </w:rPr>
              <w:t> </w:t>
            </w:r>
            <w:r>
              <w:rPr>
                <w:sz w:val="20"/>
              </w:rPr>
              <w:t>constructing</w:t>
            </w:r>
            <w:r>
              <w:rPr>
                <w:spacing w:val="-8"/>
                <w:sz w:val="20"/>
              </w:rPr>
              <w:t> </w:t>
            </w:r>
            <w:r>
              <w:rPr>
                <w:sz w:val="20"/>
              </w:rPr>
              <w:t>bait</w:t>
            </w:r>
            <w:r>
              <w:rPr>
                <w:spacing w:val="-7"/>
                <w:sz w:val="20"/>
              </w:rPr>
              <w:t> </w:t>
            </w:r>
            <w:r>
              <w:rPr>
                <w:sz w:val="20"/>
              </w:rPr>
              <w:t>stations</w:t>
            </w:r>
            <w:r>
              <w:rPr>
                <w:spacing w:val="-6"/>
                <w:sz w:val="20"/>
              </w:rPr>
              <w:t> </w:t>
            </w:r>
            <w:r>
              <w:rPr>
                <w:sz w:val="20"/>
              </w:rPr>
              <w:t>($/km) Cost of laying / replacing baits ($/km)</w:t>
            </w:r>
          </w:p>
        </w:tc>
      </w:tr>
      <w:tr>
        <w:trPr>
          <w:trHeight w:val="350" w:hRule="atLeast"/>
        </w:trPr>
        <w:tc>
          <w:tcPr>
            <w:tcW w:w="5444" w:type="dxa"/>
          </w:tcPr>
          <w:p>
            <w:pPr>
              <w:pStyle w:val="TableParagraph"/>
              <w:spacing w:line="229" w:lineRule="exact"/>
              <w:ind w:left="110"/>
              <w:rPr>
                <w:b/>
                <w:sz w:val="20"/>
              </w:rPr>
            </w:pPr>
            <w:r>
              <w:rPr>
                <w:b/>
                <w:sz w:val="20"/>
              </w:rPr>
              <w:t>Pest</w:t>
            </w:r>
            <w:r>
              <w:rPr>
                <w:b/>
                <w:spacing w:val="-7"/>
                <w:sz w:val="20"/>
              </w:rPr>
              <w:t> </w:t>
            </w:r>
            <w:r>
              <w:rPr>
                <w:b/>
                <w:sz w:val="20"/>
              </w:rPr>
              <w:t>animal</w:t>
            </w:r>
            <w:r>
              <w:rPr>
                <w:b/>
                <w:spacing w:val="-9"/>
                <w:sz w:val="20"/>
              </w:rPr>
              <w:t> </w:t>
            </w:r>
            <w:r>
              <w:rPr>
                <w:b/>
                <w:spacing w:val="-4"/>
                <w:sz w:val="20"/>
              </w:rPr>
              <w:t>data</w:t>
            </w:r>
          </w:p>
        </w:tc>
        <w:tc>
          <w:tcPr>
            <w:tcW w:w="8302" w:type="dxa"/>
          </w:tcPr>
          <w:p>
            <w:pPr>
              <w:pStyle w:val="TableParagraph"/>
              <w:rPr>
                <w:rFonts w:ascii="Times New Roman"/>
                <w:sz w:val="18"/>
              </w:rPr>
            </w:pPr>
          </w:p>
        </w:tc>
      </w:tr>
      <w:tr>
        <w:trPr>
          <w:trHeight w:val="350" w:hRule="atLeast"/>
        </w:trPr>
        <w:tc>
          <w:tcPr>
            <w:tcW w:w="5444" w:type="dxa"/>
          </w:tcPr>
          <w:p>
            <w:pPr>
              <w:pStyle w:val="TableParagraph"/>
              <w:spacing w:line="229" w:lineRule="exact"/>
              <w:ind w:left="110"/>
              <w:rPr>
                <w:sz w:val="20"/>
              </w:rPr>
            </w:pPr>
            <w:r>
              <w:rPr>
                <w:sz w:val="20"/>
              </w:rPr>
              <w:t>Pest</w:t>
            </w:r>
            <w:r>
              <w:rPr>
                <w:spacing w:val="-8"/>
                <w:sz w:val="20"/>
              </w:rPr>
              <w:t> </w:t>
            </w:r>
            <w:r>
              <w:rPr>
                <w:spacing w:val="-2"/>
                <w:sz w:val="20"/>
              </w:rPr>
              <w:t>abundance/density</w:t>
            </w:r>
          </w:p>
        </w:tc>
        <w:tc>
          <w:tcPr>
            <w:tcW w:w="8302" w:type="dxa"/>
          </w:tcPr>
          <w:p>
            <w:pPr>
              <w:pStyle w:val="TableParagraph"/>
              <w:spacing w:line="229" w:lineRule="exact"/>
              <w:ind w:left="108"/>
              <w:rPr>
                <w:sz w:val="20"/>
              </w:rPr>
            </w:pPr>
            <w:r>
              <w:rPr>
                <w:sz w:val="20"/>
              </w:rPr>
              <w:t>A</w:t>
            </w:r>
            <w:r>
              <w:rPr>
                <w:spacing w:val="-6"/>
                <w:sz w:val="20"/>
              </w:rPr>
              <w:t> </w:t>
            </w:r>
            <w:r>
              <w:rPr>
                <w:sz w:val="20"/>
              </w:rPr>
              <w:t>measure</w:t>
            </w:r>
            <w:r>
              <w:rPr>
                <w:spacing w:val="-5"/>
                <w:sz w:val="20"/>
              </w:rPr>
              <w:t> </w:t>
            </w:r>
            <w:r>
              <w:rPr>
                <w:sz w:val="20"/>
              </w:rPr>
              <w:t>of</w:t>
            </w:r>
            <w:r>
              <w:rPr>
                <w:spacing w:val="-6"/>
                <w:sz w:val="20"/>
              </w:rPr>
              <w:t> </w:t>
            </w:r>
            <w:r>
              <w:rPr>
                <w:sz w:val="20"/>
              </w:rPr>
              <w:t>the</w:t>
            </w:r>
            <w:r>
              <w:rPr>
                <w:spacing w:val="-5"/>
                <w:sz w:val="20"/>
              </w:rPr>
              <w:t> </w:t>
            </w:r>
            <w:r>
              <w:rPr>
                <w:sz w:val="20"/>
              </w:rPr>
              <w:t>pre</w:t>
            </w:r>
            <w:r>
              <w:rPr>
                <w:spacing w:val="-4"/>
                <w:sz w:val="20"/>
              </w:rPr>
              <w:t> </w:t>
            </w:r>
            <w:r>
              <w:rPr>
                <w:sz w:val="20"/>
              </w:rPr>
              <w:t>and</w:t>
            </w:r>
            <w:r>
              <w:rPr>
                <w:spacing w:val="-3"/>
                <w:sz w:val="20"/>
              </w:rPr>
              <w:t> </w:t>
            </w:r>
            <w:r>
              <w:rPr>
                <w:sz w:val="20"/>
              </w:rPr>
              <w:t>post</w:t>
            </w:r>
            <w:r>
              <w:rPr>
                <w:spacing w:val="-6"/>
                <w:sz w:val="20"/>
              </w:rPr>
              <w:t> </w:t>
            </w:r>
            <w:r>
              <w:rPr>
                <w:sz w:val="20"/>
              </w:rPr>
              <w:t>density,</w:t>
            </w:r>
            <w:r>
              <w:rPr>
                <w:spacing w:val="-5"/>
                <w:sz w:val="20"/>
              </w:rPr>
              <w:t> </w:t>
            </w:r>
            <w:r>
              <w:rPr>
                <w:sz w:val="20"/>
              </w:rPr>
              <w:t>relative</w:t>
            </w:r>
            <w:r>
              <w:rPr>
                <w:spacing w:val="-4"/>
                <w:sz w:val="20"/>
              </w:rPr>
              <w:t> </w:t>
            </w:r>
            <w:r>
              <w:rPr>
                <w:sz w:val="20"/>
              </w:rPr>
              <w:t>abundance,</w:t>
            </w:r>
            <w:r>
              <w:rPr>
                <w:spacing w:val="-5"/>
                <w:sz w:val="20"/>
              </w:rPr>
              <w:t> </w:t>
            </w:r>
            <w:r>
              <w:rPr>
                <w:sz w:val="20"/>
              </w:rPr>
              <w:t>or</w:t>
            </w:r>
            <w:r>
              <w:rPr>
                <w:spacing w:val="-6"/>
                <w:sz w:val="20"/>
              </w:rPr>
              <w:t> </w:t>
            </w:r>
            <w:r>
              <w:rPr>
                <w:sz w:val="20"/>
              </w:rPr>
              <w:t>a</w:t>
            </w:r>
            <w:r>
              <w:rPr>
                <w:spacing w:val="-5"/>
                <w:sz w:val="20"/>
              </w:rPr>
              <w:t> </w:t>
            </w:r>
            <w:r>
              <w:rPr>
                <w:sz w:val="20"/>
              </w:rPr>
              <w:t>count</w:t>
            </w:r>
            <w:r>
              <w:rPr>
                <w:spacing w:val="-4"/>
                <w:sz w:val="20"/>
              </w:rPr>
              <w:t> </w:t>
            </w:r>
            <w:r>
              <w:rPr>
                <w:sz w:val="20"/>
              </w:rPr>
              <w:t>of</w:t>
            </w:r>
            <w:r>
              <w:rPr>
                <w:spacing w:val="-3"/>
                <w:sz w:val="20"/>
              </w:rPr>
              <w:t> </w:t>
            </w:r>
            <w:r>
              <w:rPr>
                <w:spacing w:val="-2"/>
                <w:sz w:val="20"/>
              </w:rPr>
              <w:t>individuals.</w:t>
            </w:r>
          </w:p>
        </w:tc>
      </w:tr>
      <w:tr>
        <w:trPr>
          <w:trHeight w:val="1041" w:hRule="atLeast"/>
        </w:trPr>
        <w:tc>
          <w:tcPr>
            <w:tcW w:w="5444" w:type="dxa"/>
          </w:tcPr>
          <w:p>
            <w:pPr>
              <w:pStyle w:val="TableParagraph"/>
              <w:spacing w:line="229" w:lineRule="exact"/>
              <w:ind w:left="110"/>
              <w:rPr>
                <w:sz w:val="20"/>
              </w:rPr>
            </w:pPr>
            <w:r>
              <w:rPr>
                <w:sz w:val="20"/>
              </w:rPr>
              <w:t>The</w:t>
            </w:r>
            <w:r>
              <w:rPr>
                <w:spacing w:val="-9"/>
                <w:sz w:val="20"/>
              </w:rPr>
              <w:t> </w:t>
            </w:r>
            <w:r>
              <w:rPr>
                <w:sz w:val="20"/>
              </w:rPr>
              <w:t>number</w:t>
            </w:r>
            <w:r>
              <w:rPr>
                <w:spacing w:val="-8"/>
                <w:sz w:val="20"/>
              </w:rPr>
              <w:t> </w:t>
            </w:r>
            <w:r>
              <w:rPr>
                <w:sz w:val="20"/>
              </w:rPr>
              <w:t>of</w:t>
            </w:r>
            <w:r>
              <w:rPr>
                <w:spacing w:val="-6"/>
                <w:sz w:val="20"/>
              </w:rPr>
              <w:t> </w:t>
            </w:r>
            <w:r>
              <w:rPr>
                <w:sz w:val="20"/>
              </w:rPr>
              <w:t>individuals</w:t>
            </w:r>
            <w:r>
              <w:rPr>
                <w:spacing w:val="-7"/>
                <w:sz w:val="20"/>
              </w:rPr>
              <w:t> </w:t>
            </w:r>
            <w:r>
              <w:rPr>
                <w:sz w:val="20"/>
              </w:rPr>
              <w:t>killed</w:t>
            </w:r>
            <w:r>
              <w:rPr>
                <w:spacing w:val="-7"/>
                <w:sz w:val="20"/>
              </w:rPr>
              <w:t> </w:t>
            </w:r>
            <w:r>
              <w:rPr>
                <w:sz w:val="20"/>
              </w:rPr>
              <w:t>per</w:t>
            </w:r>
            <w:r>
              <w:rPr>
                <w:spacing w:val="-7"/>
                <w:sz w:val="20"/>
              </w:rPr>
              <w:t> </w:t>
            </w:r>
            <w:r>
              <w:rPr>
                <w:spacing w:val="-4"/>
                <w:sz w:val="20"/>
              </w:rPr>
              <w:t>event</w:t>
            </w:r>
          </w:p>
        </w:tc>
        <w:tc>
          <w:tcPr>
            <w:tcW w:w="8302" w:type="dxa"/>
          </w:tcPr>
          <w:p>
            <w:pPr>
              <w:pStyle w:val="TableParagraph"/>
              <w:ind w:left="108" w:right="4291"/>
              <w:rPr>
                <w:sz w:val="20"/>
              </w:rPr>
            </w:pPr>
            <w:r>
              <w:rPr>
                <w:sz w:val="20"/>
              </w:rPr>
              <w:t>The</w:t>
            </w:r>
            <w:r>
              <w:rPr>
                <w:spacing w:val="-8"/>
                <w:sz w:val="20"/>
              </w:rPr>
              <w:t> </w:t>
            </w:r>
            <w:r>
              <w:rPr>
                <w:sz w:val="20"/>
              </w:rPr>
              <w:t>number</w:t>
            </w:r>
            <w:r>
              <w:rPr>
                <w:spacing w:val="-7"/>
                <w:sz w:val="20"/>
              </w:rPr>
              <w:t> </w:t>
            </w:r>
            <w:r>
              <w:rPr>
                <w:sz w:val="20"/>
              </w:rPr>
              <w:t>of</w:t>
            </w:r>
            <w:r>
              <w:rPr>
                <w:spacing w:val="-7"/>
                <w:sz w:val="20"/>
              </w:rPr>
              <w:t> </w:t>
            </w:r>
            <w:r>
              <w:rPr>
                <w:sz w:val="20"/>
              </w:rPr>
              <w:t>pigs</w:t>
            </w:r>
            <w:r>
              <w:rPr>
                <w:spacing w:val="-6"/>
                <w:sz w:val="20"/>
              </w:rPr>
              <w:t> </w:t>
            </w:r>
            <w:r>
              <w:rPr>
                <w:sz w:val="20"/>
              </w:rPr>
              <w:t>shot</w:t>
            </w:r>
            <w:r>
              <w:rPr>
                <w:spacing w:val="-7"/>
                <w:sz w:val="20"/>
              </w:rPr>
              <w:t> </w:t>
            </w:r>
            <w:r>
              <w:rPr>
                <w:sz w:val="20"/>
              </w:rPr>
              <w:t>per</w:t>
            </w:r>
            <w:r>
              <w:rPr>
                <w:spacing w:val="-4"/>
                <w:sz w:val="20"/>
              </w:rPr>
              <w:t> </w:t>
            </w:r>
            <w:r>
              <w:rPr>
                <w:sz w:val="20"/>
              </w:rPr>
              <w:t>transect. Number missed transect.</w:t>
            </w:r>
          </w:p>
          <w:p>
            <w:pPr>
              <w:pStyle w:val="TableParagraph"/>
              <w:ind w:left="108" w:right="1980"/>
              <w:rPr>
                <w:sz w:val="20"/>
              </w:rPr>
            </w:pPr>
            <w:r>
              <w:rPr>
                <w:sz w:val="20"/>
              </w:rPr>
              <w:t>No</w:t>
            </w:r>
            <w:r>
              <w:rPr>
                <w:spacing w:val="-7"/>
                <w:sz w:val="20"/>
              </w:rPr>
              <w:t> </w:t>
            </w:r>
            <w:r>
              <w:rPr>
                <w:sz w:val="20"/>
              </w:rPr>
              <w:t>carcasses</w:t>
            </w:r>
            <w:r>
              <w:rPr>
                <w:spacing w:val="-6"/>
                <w:sz w:val="20"/>
              </w:rPr>
              <w:t> </w:t>
            </w:r>
            <w:r>
              <w:rPr>
                <w:sz w:val="20"/>
              </w:rPr>
              <w:t>counted</w:t>
            </w:r>
            <w:r>
              <w:rPr>
                <w:spacing w:val="-7"/>
                <w:sz w:val="20"/>
              </w:rPr>
              <w:t> </w:t>
            </w:r>
            <w:r>
              <w:rPr>
                <w:sz w:val="20"/>
              </w:rPr>
              <w:t>after</w:t>
            </w:r>
            <w:r>
              <w:rPr>
                <w:spacing w:val="-7"/>
                <w:sz w:val="20"/>
              </w:rPr>
              <w:t> </w:t>
            </w:r>
            <w:r>
              <w:rPr>
                <w:sz w:val="20"/>
              </w:rPr>
              <w:t>poisoning,</w:t>
            </w:r>
            <w:r>
              <w:rPr>
                <w:spacing w:val="-5"/>
                <w:sz w:val="20"/>
              </w:rPr>
              <w:t> </w:t>
            </w:r>
            <w:r>
              <w:rPr>
                <w:sz w:val="20"/>
              </w:rPr>
              <w:t>and</w:t>
            </w:r>
            <w:r>
              <w:rPr>
                <w:spacing w:val="-5"/>
                <w:sz w:val="20"/>
              </w:rPr>
              <w:t> </w:t>
            </w:r>
            <w:r>
              <w:rPr>
                <w:sz w:val="20"/>
              </w:rPr>
              <w:t>time</w:t>
            </w:r>
            <w:r>
              <w:rPr>
                <w:spacing w:val="-7"/>
                <w:sz w:val="20"/>
              </w:rPr>
              <w:t> </w:t>
            </w:r>
            <w:r>
              <w:rPr>
                <w:sz w:val="20"/>
              </w:rPr>
              <w:t>(hrs/spent)</w:t>
            </w:r>
            <w:r>
              <w:rPr>
                <w:spacing w:val="-7"/>
                <w:sz w:val="20"/>
              </w:rPr>
              <w:t> </w:t>
            </w:r>
            <w:r>
              <w:rPr>
                <w:sz w:val="20"/>
              </w:rPr>
              <w:t>searching No of pigs trapped per event</w:t>
            </w:r>
          </w:p>
        </w:tc>
      </w:tr>
    </w:tbl>
    <w:p>
      <w:pPr>
        <w:spacing w:after="0"/>
        <w:rPr>
          <w:sz w:val="20"/>
        </w:rPr>
        <w:sectPr>
          <w:pgSz w:w="16850" w:h="11910" w:orient="landscape"/>
          <w:pgMar w:header="0" w:footer="686" w:top="1100" w:bottom="880" w:left="1020" w:right="1020"/>
        </w:sectPr>
      </w:pPr>
    </w:p>
    <w:p>
      <w:pPr>
        <w:spacing w:before="66"/>
        <w:ind w:left="112" w:right="0" w:firstLine="0"/>
        <w:jc w:val="left"/>
        <w:rPr>
          <w:b/>
          <w:sz w:val="20"/>
        </w:rPr>
      </w:pPr>
      <w:r>
        <w:rPr>
          <w:b/>
          <w:color w:val="1F1546"/>
          <w:sz w:val="20"/>
        </w:rPr>
        <w:t>Table</w:t>
      </w:r>
      <w:r>
        <w:rPr>
          <w:b/>
          <w:color w:val="1F1546"/>
          <w:spacing w:val="-9"/>
          <w:sz w:val="20"/>
        </w:rPr>
        <w:t> </w:t>
      </w:r>
      <w:r>
        <w:rPr>
          <w:b/>
          <w:color w:val="1F1546"/>
          <w:sz w:val="20"/>
        </w:rPr>
        <w:t>A3.</w:t>
      </w:r>
      <w:r>
        <w:rPr>
          <w:b/>
          <w:color w:val="1F1546"/>
          <w:spacing w:val="-8"/>
          <w:sz w:val="20"/>
        </w:rPr>
        <w:t> </w:t>
      </w:r>
      <w:r>
        <w:rPr>
          <w:b/>
          <w:color w:val="1F1546"/>
          <w:sz w:val="20"/>
        </w:rPr>
        <w:t>Data</w:t>
      </w:r>
      <w:r>
        <w:rPr>
          <w:b/>
          <w:color w:val="1F1546"/>
          <w:spacing w:val="-6"/>
          <w:sz w:val="20"/>
        </w:rPr>
        <w:t> </w:t>
      </w:r>
      <w:r>
        <w:rPr>
          <w:b/>
          <w:color w:val="1F1546"/>
          <w:sz w:val="20"/>
        </w:rPr>
        <w:t>required</w:t>
      </w:r>
      <w:r>
        <w:rPr>
          <w:b/>
          <w:color w:val="1F1546"/>
          <w:spacing w:val="-8"/>
          <w:sz w:val="20"/>
        </w:rPr>
        <w:t> </w:t>
      </w:r>
      <w:r>
        <w:rPr>
          <w:b/>
          <w:color w:val="1F1546"/>
          <w:sz w:val="20"/>
        </w:rPr>
        <w:t>from</w:t>
      </w:r>
      <w:r>
        <w:rPr>
          <w:b/>
          <w:color w:val="1F1546"/>
          <w:spacing w:val="-6"/>
          <w:sz w:val="20"/>
        </w:rPr>
        <w:t> </w:t>
      </w:r>
      <w:r>
        <w:rPr>
          <w:b/>
          <w:color w:val="1F1546"/>
          <w:sz w:val="20"/>
        </w:rPr>
        <w:t>lethal</w:t>
      </w:r>
      <w:r>
        <w:rPr>
          <w:b/>
          <w:color w:val="1F1546"/>
          <w:spacing w:val="-9"/>
          <w:sz w:val="20"/>
        </w:rPr>
        <w:t> </w:t>
      </w:r>
      <w:r>
        <w:rPr>
          <w:b/>
          <w:color w:val="1F1546"/>
          <w:sz w:val="20"/>
        </w:rPr>
        <w:t>fox</w:t>
      </w:r>
      <w:r>
        <w:rPr>
          <w:b/>
          <w:color w:val="1F1546"/>
          <w:spacing w:val="-5"/>
          <w:sz w:val="20"/>
        </w:rPr>
        <w:t> </w:t>
      </w:r>
      <w:r>
        <w:rPr>
          <w:b/>
          <w:color w:val="1F1546"/>
          <w:sz w:val="20"/>
        </w:rPr>
        <w:t>control</w:t>
      </w:r>
      <w:r>
        <w:rPr>
          <w:b/>
          <w:color w:val="1F1546"/>
          <w:spacing w:val="-8"/>
          <w:sz w:val="20"/>
        </w:rPr>
        <w:t> </w:t>
      </w:r>
      <w:r>
        <w:rPr>
          <w:b/>
          <w:color w:val="1F1546"/>
          <w:sz w:val="20"/>
        </w:rPr>
        <w:t>operations</w:t>
      </w:r>
      <w:r>
        <w:rPr>
          <w:b/>
          <w:color w:val="1F1546"/>
          <w:spacing w:val="-8"/>
          <w:sz w:val="20"/>
        </w:rPr>
        <w:t> </w:t>
      </w:r>
      <w:r>
        <w:rPr>
          <w:b/>
          <w:color w:val="1F1546"/>
          <w:sz w:val="20"/>
        </w:rPr>
        <w:t>to</w:t>
      </w:r>
      <w:r>
        <w:rPr>
          <w:b/>
          <w:color w:val="1F1546"/>
          <w:spacing w:val="-7"/>
          <w:sz w:val="20"/>
        </w:rPr>
        <w:t> </w:t>
      </w:r>
      <w:r>
        <w:rPr>
          <w:b/>
          <w:color w:val="1F1546"/>
          <w:sz w:val="20"/>
        </w:rPr>
        <w:t>parameterise</w:t>
      </w:r>
      <w:r>
        <w:rPr>
          <w:b/>
          <w:color w:val="1F1546"/>
          <w:spacing w:val="-8"/>
          <w:sz w:val="20"/>
        </w:rPr>
        <w:t> </w:t>
      </w:r>
      <w:r>
        <w:rPr>
          <w:b/>
          <w:color w:val="1F1546"/>
          <w:sz w:val="20"/>
        </w:rPr>
        <w:t>cost-effectiveness</w:t>
      </w:r>
      <w:r>
        <w:rPr>
          <w:b/>
          <w:color w:val="1F1546"/>
          <w:spacing w:val="-9"/>
          <w:sz w:val="20"/>
        </w:rPr>
        <w:t> </w:t>
      </w:r>
      <w:r>
        <w:rPr>
          <w:b/>
          <w:color w:val="1F1546"/>
          <w:spacing w:val="-2"/>
          <w:sz w:val="20"/>
        </w:rPr>
        <w:t>models.</w:t>
      </w:r>
    </w:p>
    <w:p>
      <w:pPr>
        <w:pStyle w:val="BodyText"/>
        <w:spacing w:before="6"/>
        <w:rPr>
          <w:b/>
          <w:sz w:val="10"/>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4"/>
        <w:gridCol w:w="8302"/>
      </w:tblGrid>
      <w:tr>
        <w:trPr>
          <w:trHeight w:val="349" w:hRule="atLeast"/>
        </w:trPr>
        <w:tc>
          <w:tcPr>
            <w:tcW w:w="5444" w:type="dxa"/>
            <w:shd w:val="clear" w:color="auto" w:fill="004B96"/>
          </w:tcPr>
          <w:p>
            <w:pPr>
              <w:pStyle w:val="TableParagraph"/>
              <w:spacing w:before="59"/>
              <w:ind w:left="110"/>
              <w:rPr>
                <w:b/>
                <w:sz w:val="20"/>
              </w:rPr>
            </w:pPr>
            <w:r>
              <w:rPr>
                <w:b/>
                <w:color w:val="FFFFFF"/>
                <w:spacing w:val="-2"/>
                <w:sz w:val="20"/>
              </w:rPr>
              <w:t>Parameter</w:t>
            </w:r>
          </w:p>
        </w:tc>
        <w:tc>
          <w:tcPr>
            <w:tcW w:w="8302" w:type="dxa"/>
            <w:shd w:val="clear" w:color="auto" w:fill="004B96"/>
          </w:tcPr>
          <w:p>
            <w:pPr>
              <w:pStyle w:val="TableParagraph"/>
              <w:spacing w:before="59"/>
              <w:ind w:left="108"/>
              <w:rPr>
                <w:b/>
                <w:sz w:val="20"/>
              </w:rPr>
            </w:pPr>
            <w:r>
              <w:rPr>
                <w:b/>
                <w:color w:val="FFFFFF"/>
                <w:spacing w:val="-2"/>
                <w:sz w:val="20"/>
              </w:rPr>
              <w:t>Description</w:t>
            </w:r>
          </w:p>
        </w:tc>
      </w:tr>
      <w:tr>
        <w:trPr>
          <w:trHeight w:val="371" w:hRule="atLeast"/>
        </w:trPr>
        <w:tc>
          <w:tcPr>
            <w:tcW w:w="5444" w:type="dxa"/>
          </w:tcPr>
          <w:p>
            <w:pPr>
              <w:pStyle w:val="TableParagraph"/>
              <w:spacing w:before="78"/>
              <w:ind w:left="110"/>
              <w:rPr>
                <w:b/>
                <w:sz w:val="20"/>
              </w:rPr>
            </w:pPr>
            <w:r>
              <w:rPr>
                <w:b/>
                <w:spacing w:val="-2"/>
                <w:sz w:val="20"/>
              </w:rPr>
              <w:t>Operational</w:t>
            </w:r>
            <w:r>
              <w:rPr>
                <w:b/>
                <w:spacing w:val="6"/>
                <w:sz w:val="20"/>
              </w:rPr>
              <w:t> </w:t>
            </w:r>
            <w:r>
              <w:rPr>
                <w:b/>
                <w:spacing w:val="-4"/>
                <w:sz w:val="20"/>
              </w:rPr>
              <w:t>data</w:t>
            </w:r>
          </w:p>
        </w:tc>
        <w:tc>
          <w:tcPr>
            <w:tcW w:w="8302" w:type="dxa"/>
          </w:tcPr>
          <w:p>
            <w:pPr>
              <w:pStyle w:val="TableParagraph"/>
              <w:rPr>
                <w:rFonts w:ascii="Times New Roman"/>
                <w:sz w:val="18"/>
              </w:rPr>
            </w:pPr>
          </w:p>
        </w:tc>
      </w:tr>
      <w:tr>
        <w:trPr>
          <w:trHeight w:val="369" w:hRule="atLeast"/>
        </w:trPr>
        <w:tc>
          <w:tcPr>
            <w:tcW w:w="5444" w:type="dxa"/>
          </w:tcPr>
          <w:p>
            <w:pPr>
              <w:pStyle w:val="TableParagraph"/>
              <w:spacing w:before="78"/>
              <w:ind w:left="110"/>
              <w:rPr>
                <w:sz w:val="20"/>
              </w:rPr>
            </w:pPr>
            <w:r>
              <w:rPr>
                <w:sz w:val="20"/>
              </w:rPr>
              <w:t>Date</w:t>
            </w:r>
            <w:r>
              <w:rPr>
                <w:spacing w:val="-7"/>
                <w:sz w:val="20"/>
              </w:rPr>
              <w:t> </w:t>
            </w:r>
            <w:r>
              <w:rPr>
                <w:sz w:val="20"/>
              </w:rPr>
              <w:t>and</w:t>
            </w:r>
            <w:r>
              <w:rPr>
                <w:spacing w:val="-5"/>
                <w:sz w:val="20"/>
              </w:rPr>
              <w:t> </w:t>
            </w:r>
            <w:r>
              <w:rPr>
                <w:spacing w:val="-2"/>
                <w:sz w:val="20"/>
              </w:rPr>
              <w:t>location</w:t>
            </w:r>
          </w:p>
        </w:tc>
        <w:tc>
          <w:tcPr>
            <w:tcW w:w="8302" w:type="dxa"/>
          </w:tcPr>
          <w:p>
            <w:pPr>
              <w:pStyle w:val="TableParagraph"/>
              <w:spacing w:before="78"/>
              <w:ind w:left="108"/>
              <w:rPr>
                <w:sz w:val="20"/>
              </w:rPr>
            </w:pPr>
            <w:r>
              <w:rPr>
                <w:sz w:val="20"/>
              </w:rPr>
              <w:t>Location</w:t>
            </w:r>
            <w:r>
              <w:rPr>
                <w:spacing w:val="-8"/>
                <w:sz w:val="20"/>
              </w:rPr>
              <w:t> </w:t>
            </w:r>
            <w:r>
              <w:rPr>
                <w:sz w:val="20"/>
              </w:rPr>
              <w:t>should</w:t>
            </w:r>
            <w:r>
              <w:rPr>
                <w:spacing w:val="-6"/>
                <w:sz w:val="20"/>
              </w:rPr>
              <w:t> </w:t>
            </w:r>
            <w:r>
              <w:rPr>
                <w:sz w:val="20"/>
              </w:rPr>
              <w:t>be</w:t>
            </w:r>
            <w:r>
              <w:rPr>
                <w:spacing w:val="-7"/>
                <w:sz w:val="20"/>
              </w:rPr>
              <w:t> </w:t>
            </w:r>
            <w:r>
              <w:rPr>
                <w:sz w:val="20"/>
              </w:rPr>
              <w:t>x</w:t>
            </w:r>
            <w:r>
              <w:rPr>
                <w:spacing w:val="-5"/>
                <w:sz w:val="20"/>
              </w:rPr>
              <w:t> </w:t>
            </w:r>
            <w:r>
              <w:rPr>
                <w:sz w:val="20"/>
              </w:rPr>
              <w:t>y</w:t>
            </w:r>
            <w:r>
              <w:rPr>
                <w:spacing w:val="-6"/>
                <w:sz w:val="20"/>
              </w:rPr>
              <w:t> </w:t>
            </w:r>
            <w:r>
              <w:rPr>
                <w:sz w:val="20"/>
              </w:rPr>
              <w:t>coordinates</w:t>
            </w:r>
            <w:r>
              <w:rPr>
                <w:spacing w:val="-6"/>
                <w:sz w:val="20"/>
              </w:rPr>
              <w:t> </w:t>
            </w:r>
            <w:r>
              <w:rPr>
                <w:sz w:val="20"/>
              </w:rPr>
              <w:t>of</w:t>
            </w:r>
            <w:r>
              <w:rPr>
                <w:spacing w:val="-4"/>
                <w:sz w:val="20"/>
              </w:rPr>
              <w:t> </w:t>
            </w:r>
            <w:r>
              <w:rPr>
                <w:sz w:val="20"/>
              </w:rPr>
              <w:t>event</w:t>
            </w:r>
            <w:r>
              <w:rPr>
                <w:spacing w:val="-5"/>
                <w:sz w:val="20"/>
              </w:rPr>
              <w:t> </w:t>
            </w:r>
            <w:r>
              <w:rPr>
                <w:spacing w:val="-2"/>
                <w:sz w:val="20"/>
              </w:rPr>
              <w:t>location</w:t>
            </w:r>
          </w:p>
        </w:tc>
      </w:tr>
      <w:tr>
        <w:trPr>
          <w:trHeight w:val="369" w:hRule="atLeast"/>
        </w:trPr>
        <w:tc>
          <w:tcPr>
            <w:tcW w:w="5444" w:type="dxa"/>
          </w:tcPr>
          <w:p>
            <w:pPr>
              <w:pStyle w:val="TableParagraph"/>
              <w:spacing w:before="78"/>
              <w:ind w:left="110"/>
              <w:rPr>
                <w:sz w:val="20"/>
              </w:rPr>
            </w:pPr>
            <w:r>
              <w:rPr>
                <w:sz w:val="20"/>
              </w:rPr>
              <w:t>Area</w:t>
            </w:r>
            <w:r>
              <w:rPr>
                <w:spacing w:val="-6"/>
                <w:sz w:val="20"/>
              </w:rPr>
              <w:t> </w:t>
            </w:r>
            <w:r>
              <w:rPr>
                <w:sz w:val="20"/>
              </w:rPr>
              <w:t>(ha)</w:t>
            </w:r>
            <w:r>
              <w:rPr>
                <w:spacing w:val="-4"/>
                <w:sz w:val="20"/>
              </w:rPr>
              <w:t> </w:t>
            </w:r>
            <w:r>
              <w:rPr>
                <w:sz w:val="20"/>
              </w:rPr>
              <w:t>of</w:t>
            </w:r>
            <w:r>
              <w:rPr>
                <w:spacing w:val="-5"/>
                <w:sz w:val="20"/>
              </w:rPr>
              <w:t> </w:t>
            </w:r>
            <w:r>
              <w:rPr>
                <w:spacing w:val="-2"/>
                <w:sz w:val="20"/>
              </w:rPr>
              <w:t>control</w:t>
            </w:r>
          </w:p>
        </w:tc>
        <w:tc>
          <w:tcPr>
            <w:tcW w:w="8302" w:type="dxa"/>
          </w:tcPr>
          <w:p>
            <w:pPr>
              <w:pStyle w:val="TableParagraph"/>
              <w:spacing w:before="78"/>
              <w:ind w:left="108"/>
              <w:rPr>
                <w:sz w:val="20"/>
              </w:rPr>
            </w:pPr>
            <w:r>
              <w:rPr>
                <w:sz w:val="20"/>
              </w:rPr>
              <w:t>Needs</w:t>
            </w:r>
            <w:r>
              <w:rPr>
                <w:spacing w:val="-6"/>
                <w:sz w:val="20"/>
              </w:rPr>
              <w:t> </w:t>
            </w:r>
            <w:r>
              <w:rPr>
                <w:sz w:val="20"/>
              </w:rPr>
              <w:t>to</w:t>
            </w:r>
            <w:r>
              <w:rPr>
                <w:spacing w:val="-7"/>
                <w:sz w:val="20"/>
              </w:rPr>
              <w:t> </w:t>
            </w:r>
            <w:r>
              <w:rPr>
                <w:sz w:val="20"/>
              </w:rPr>
              <w:t>be</w:t>
            </w:r>
            <w:r>
              <w:rPr>
                <w:spacing w:val="-5"/>
                <w:sz w:val="20"/>
              </w:rPr>
              <w:t> </w:t>
            </w:r>
            <w:r>
              <w:rPr>
                <w:sz w:val="20"/>
              </w:rPr>
              <w:t>the</w:t>
            </w:r>
            <w:r>
              <w:rPr>
                <w:spacing w:val="-5"/>
                <w:sz w:val="20"/>
              </w:rPr>
              <w:t> </w:t>
            </w:r>
            <w:r>
              <w:rPr>
                <w:sz w:val="20"/>
              </w:rPr>
              <w:t>effective</w:t>
            </w:r>
            <w:r>
              <w:rPr>
                <w:spacing w:val="-6"/>
                <w:sz w:val="20"/>
              </w:rPr>
              <w:t> </w:t>
            </w:r>
            <w:r>
              <w:rPr>
                <w:sz w:val="20"/>
              </w:rPr>
              <w:t>area</w:t>
            </w:r>
            <w:r>
              <w:rPr>
                <w:spacing w:val="-8"/>
                <w:sz w:val="20"/>
              </w:rPr>
              <w:t> </w:t>
            </w:r>
            <w:r>
              <w:rPr>
                <w:sz w:val="20"/>
              </w:rPr>
              <w:t>treated</w:t>
            </w:r>
            <w:r>
              <w:rPr>
                <w:spacing w:val="-6"/>
                <w:sz w:val="20"/>
              </w:rPr>
              <w:t> </w:t>
            </w:r>
            <w:r>
              <w:rPr>
                <w:sz w:val="20"/>
              </w:rPr>
              <w:t>per</w:t>
            </w:r>
            <w:r>
              <w:rPr>
                <w:spacing w:val="-6"/>
                <w:sz w:val="20"/>
              </w:rPr>
              <w:t> </w:t>
            </w:r>
            <w:r>
              <w:rPr>
                <w:spacing w:val="-2"/>
                <w:sz w:val="20"/>
              </w:rPr>
              <w:t>event.</w:t>
            </w:r>
          </w:p>
        </w:tc>
      </w:tr>
      <w:tr>
        <w:trPr>
          <w:trHeight w:val="1291" w:hRule="atLeast"/>
        </w:trPr>
        <w:tc>
          <w:tcPr>
            <w:tcW w:w="5444" w:type="dxa"/>
          </w:tcPr>
          <w:p>
            <w:pPr>
              <w:pStyle w:val="TableParagraph"/>
              <w:spacing w:before="78"/>
              <w:ind w:left="110"/>
              <w:rPr>
                <w:sz w:val="20"/>
              </w:rPr>
            </w:pPr>
            <w:r>
              <w:rPr>
                <w:sz w:val="20"/>
              </w:rPr>
              <w:t>No.</w:t>
            </w:r>
            <w:r>
              <w:rPr>
                <w:spacing w:val="-7"/>
                <w:sz w:val="20"/>
              </w:rPr>
              <w:t> </w:t>
            </w:r>
            <w:r>
              <w:rPr>
                <w:sz w:val="20"/>
              </w:rPr>
              <w:t>of</w:t>
            </w:r>
            <w:r>
              <w:rPr>
                <w:spacing w:val="-4"/>
                <w:sz w:val="20"/>
              </w:rPr>
              <w:t> </w:t>
            </w:r>
            <w:r>
              <w:rPr>
                <w:sz w:val="20"/>
              </w:rPr>
              <w:t>units</w:t>
            </w:r>
            <w:r>
              <w:rPr>
                <w:spacing w:val="-6"/>
                <w:sz w:val="20"/>
              </w:rPr>
              <w:t> </w:t>
            </w:r>
            <w:r>
              <w:rPr>
                <w:sz w:val="20"/>
              </w:rPr>
              <w:t>of</w:t>
            </w:r>
            <w:r>
              <w:rPr>
                <w:spacing w:val="-6"/>
                <w:sz w:val="20"/>
              </w:rPr>
              <w:t> </w:t>
            </w:r>
            <w:r>
              <w:rPr>
                <w:sz w:val="20"/>
              </w:rPr>
              <w:t>control</w:t>
            </w:r>
            <w:r>
              <w:rPr>
                <w:spacing w:val="-6"/>
                <w:sz w:val="20"/>
              </w:rPr>
              <w:t> </w:t>
            </w:r>
            <w:r>
              <w:rPr>
                <w:sz w:val="20"/>
              </w:rPr>
              <w:t>used</w:t>
            </w:r>
            <w:r>
              <w:rPr>
                <w:spacing w:val="-2"/>
                <w:sz w:val="20"/>
              </w:rPr>
              <w:t> </w:t>
            </w:r>
            <w:r>
              <w:rPr>
                <w:sz w:val="20"/>
              </w:rPr>
              <w:t>and</w:t>
            </w:r>
            <w:r>
              <w:rPr>
                <w:spacing w:val="-5"/>
                <w:sz w:val="20"/>
              </w:rPr>
              <w:t> </w:t>
            </w:r>
            <w:r>
              <w:rPr>
                <w:sz w:val="20"/>
              </w:rPr>
              <w:t>duration</w:t>
            </w:r>
            <w:r>
              <w:rPr>
                <w:spacing w:val="-5"/>
                <w:sz w:val="20"/>
              </w:rPr>
              <w:t> </w:t>
            </w:r>
            <w:r>
              <w:rPr>
                <w:sz w:val="20"/>
              </w:rPr>
              <w:t>per</w:t>
            </w:r>
            <w:r>
              <w:rPr>
                <w:spacing w:val="-5"/>
                <w:sz w:val="20"/>
              </w:rPr>
              <w:t> </w:t>
            </w:r>
            <w:r>
              <w:rPr>
                <w:spacing w:val="-2"/>
                <w:sz w:val="20"/>
              </w:rPr>
              <w:t>operations</w:t>
            </w:r>
          </w:p>
        </w:tc>
        <w:tc>
          <w:tcPr>
            <w:tcW w:w="8302" w:type="dxa"/>
          </w:tcPr>
          <w:p>
            <w:pPr>
              <w:pStyle w:val="TableParagraph"/>
              <w:spacing w:before="78"/>
              <w:ind w:left="108" w:right="841"/>
              <w:rPr>
                <w:sz w:val="20"/>
              </w:rPr>
            </w:pPr>
            <w:r>
              <w:rPr>
                <w:sz w:val="20"/>
              </w:rPr>
              <w:t>No.</w:t>
            </w:r>
            <w:r>
              <w:rPr>
                <w:spacing w:val="-4"/>
                <w:sz w:val="20"/>
              </w:rPr>
              <w:t> </w:t>
            </w:r>
            <w:r>
              <w:rPr>
                <w:sz w:val="20"/>
              </w:rPr>
              <w:t>of</w:t>
            </w:r>
            <w:r>
              <w:rPr>
                <w:spacing w:val="-2"/>
                <w:sz w:val="20"/>
              </w:rPr>
              <w:t> </w:t>
            </w:r>
            <w:r>
              <w:rPr>
                <w:sz w:val="20"/>
              </w:rPr>
              <w:t>free</w:t>
            </w:r>
            <w:r>
              <w:rPr>
                <w:spacing w:val="-4"/>
                <w:sz w:val="20"/>
              </w:rPr>
              <w:t> </w:t>
            </w:r>
            <w:r>
              <w:rPr>
                <w:sz w:val="20"/>
              </w:rPr>
              <w:t>feed</w:t>
            </w:r>
            <w:r>
              <w:rPr>
                <w:spacing w:val="-1"/>
                <w:sz w:val="20"/>
              </w:rPr>
              <w:t> </w:t>
            </w:r>
            <w:r>
              <w:rPr>
                <w:sz w:val="20"/>
              </w:rPr>
              <w:t>bait</w:t>
            </w:r>
            <w:r>
              <w:rPr>
                <w:spacing w:val="-1"/>
                <w:sz w:val="20"/>
              </w:rPr>
              <w:t> </w:t>
            </w:r>
            <w:r>
              <w:rPr>
                <w:sz w:val="20"/>
              </w:rPr>
              <w:t>laid</w:t>
            </w:r>
            <w:r>
              <w:rPr>
                <w:spacing w:val="-4"/>
                <w:sz w:val="20"/>
              </w:rPr>
              <w:t> </w:t>
            </w:r>
            <w:r>
              <w:rPr>
                <w:sz w:val="20"/>
              </w:rPr>
              <w:t>per</w:t>
            </w:r>
            <w:r>
              <w:rPr>
                <w:spacing w:val="-3"/>
                <w:sz w:val="20"/>
              </w:rPr>
              <w:t> </w:t>
            </w:r>
            <w:r>
              <w:rPr>
                <w:sz w:val="20"/>
              </w:rPr>
              <w:t>event,</w:t>
            </w:r>
            <w:r>
              <w:rPr>
                <w:spacing w:val="-4"/>
                <w:sz w:val="20"/>
              </w:rPr>
              <w:t> </w:t>
            </w:r>
            <w:r>
              <w:rPr>
                <w:sz w:val="20"/>
              </w:rPr>
              <w:t>number</w:t>
            </w:r>
            <w:r>
              <w:rPr>
                <w:spacing w:val="-3"/>
                <w:sz w:val="20"/>
              </w:rPr>
              <w:t> </w:t>
            </w:r>
            <w:r>
              <w:rPr>
                <w:sz w:val="20"/>
              </w:rPr>
              <w:t>of</w:t>
            </w:r>
            <w:r>
              <w:rPr>
                <w:spacing w:val="-2"/>
                <w:sz w:val="20"/>
              </w:rPr>
              <w:t> </w:t>
            </w:r>
            <w:r>
              <w:rPr>
                <w:sz w:val="20"/>
              </w:rPr>
              <w:t>nights</w:t>
            </w:r>
            <w:r>
              <w:rPr>
                <w:spacing w:val="-3"/>
                <w:sz w:val="20"/>
              </w:rPr>
              <w:t> </w:t>
            </w:r>
            <w:r>
              <w:rPr>
                <w:sz w:val="20"/>
              </w:rPr>
              <w:t>before</w:t>
            </w:r>
            <w:r>
              <w:rPr>
                <w:spacing w:val="-4"/>
                <w:sz w:val="20"/>
              </w:rPr>
              <w:t> </w:t>
            </w:r>
            <w:r>
              <w:rPr>
                <w:sz w:val="20"/>
              </w:rPr>
              <w:t>replacement</w:t>
            </w:r>
            <w:r>
              <w:rPr>
                <w:spacing w:val="-4"/>
                <w:sz w:val="20"/>
              </w:rPr>
              <w:t> </w:t>
            </w:r>
            <w:r>
              <w:rPr>
                <w:sz w:val="20"/>
              </w:rPr>
              <w:t>or</w:t>
            </w:r>
            <w:r>
              <w:rPr>
                <w:spacing w:val="-4"/>
                <w:sz w:val="20"/>
              </w:rPr>
              <w:t> </w:t>
            </w:r>
            <w:r>
              <w:rPr>
                <w:sz w:val="20"/>
              </w:rPr>
              <w:t>pickup No. of poison laid per event, number of nights before replacement or pickup</w:t>
            </w:r>
          </w:p>
          <w:p>
            <w:pPr>
              <w:pStyle w:val="TableParagraph"/>
              <w:spacing w:before="1"/>
              <w:ind w:left="108" w:right="945"/>
              <w:rPr>
                <w:sz w:val="20"/>
              </w:rPr>
            </w:pPr>
            <w:r>
              <w:rPr>
                <w:sz w:val="20"/>
              </w:rPr>
              <w:t>No.</w:t>
            </w:r>
            <w:r>
              <w:rPr>
                <w:spacing w:val="-4"/>
                <w:sz w:val="20"/>
              </w:rPr>
              <w:t> </w:t>
            </w:r>
            <w:r>
              <w:rPr>
                <w:sz w:val="20"/>
              </w:rPr>
              <w:t>(and</w:t>
            </w:r>
            <w:r>
              <w:rPr>
                <w:spacing w:val="-4"/>
                <w:sz w:val="20"/>
              </w:rPr>
              <w:t> </w:t>
            </w:r>
            <w:r>
              <w:rPr>
                <w:sz w:val="20"/>
              </w:rPr>
              <w:t>type)</w:t>
            </w:r>
            <w:r>
              <w:rPr>
                <w:spacing w:val="-2"/>
                <w:sz w:val="20"/>
              </w:rPr>
              <w:t> </w:t>
            </w:r>
            <w:r>
              <w:rPr>
                <w:sz w:val="20"/>
              </w:rPr>
              <w:t>of</w:t>
            </w:r>
            <w:r>
              <w:rPr>
                <w:spacing w:val="-3"/>
                <w:sz w:val="20"/>
              </w:rPr>
              <w:t> </w:t>
            </w:r>
            <w:r>
              <w:rPr>
                <w:sz w:val="20"/>
              </w:rPr>
              <w:t>traps</w:t>
            </w:r>
            <w:r>
              <w:rPr>
                <w:spacing w:val="-3"/>
                <w:sz w:val="20"/>
              </w:rPr>
              <w:t> </w:t>
            </w:r>
            <w:r>
              <w:rPr>
                <w:sz w:val="20"/>
              </w:rPr>
              <w:t>set per</w:t>
            </w:r>
            <w:r>
              <w:rPr>
                <w:spacing w:val="-3"/>
                <w:sz w:val="20"/>
              </w:rPr>
              <w:t> </w:t>
            </w:r>
            <w:r>
              <w:rPr>
                <w:sz w:val="20"/>
              </w:rPr>
              <w:t>event</w:t>
            </w:r>
            <w:r>
              <w:rPr>
                <w:spacing w:val="-2"/>
                <w:sz w:val="20"/>
              </w:rPr>
              <w:t> </w:t>
            </w:r>
            <w:r>
              <w:rPr>
                <w:sz w:val="20"/>
              </w:rPr>
              <w:t>and</w:t>
            </w:r>
            <w:r>
              <w:rPr>
                <w:spacing w:val="-4"/>
                <w:sz w:val="20"/>
              </w:rPr>
              <w:t> </w:t>
            </w:r>
            <w:r>
              <w:rPr>
                <w:sz w:val="20"/>
              </w:rPr>
              <w:t>no.</w:t>
            </w:r>
            <w:r>
              <w:rPr>
                <w:spacing w:val="-4"/>
                <w:sz w:val="20"/>
              </w:rPr>
              <w:t> </w:t>
            </w:r>
            <w:r>
              <w:rPr>
                <w:sz w:val="20"/>
              </w:rPr>
              <w:t>nights</w:t>
            </w:r>
            <w:r>
              <w:rPr>
                <w:spacing w:val="-3"/>
                <w:sz w:val="20"/>
              </w:rPr>
              <w:t> </w:t>
            </w:r>
            <w:r>
              <w:rPr>
                <w:sz w:val="20"/>
              </w:rPr>
              <w:t>operated</w:t>
            </w:r>
            <w:r>
              <w:rPr>
                <w:spacing w:val="-3"/>
                <w:sz w:val="20"/>
              </w:rPr>
              <w:t> </w:t>
            </w:r>
            <w:r>
              <w:rPr>
                <w:sz w:val="20"/>
              </w:rPr>
              <w:t>per</w:t>
            </w:r>
            <w:r>
              <w:rPr>
                <w:spacing w:val="-3"/>
                <w:sz w:val="20"/>
              </w:rPr>
              <w:t> </w:t>
            </w:r>
            <w:r>
              <w:rPr>
                <w:sz w:val="20"/>
              </w:rPr>
              <w:t>trap</w:t>
            </w:r>
            <w:r>
              <w:rPr>
                <w:spacing w:val="-4"/>
                <w:sz w:val="20"/>
              </w:rPr>
              <w:t> </w:t>
            </w:r>
            <w:r>
              <w:rPr>
                <w:sz w:val="20"/>
              </w:rPr>
              <w:t>per</w:t>
            </w:r>
            <w:r>
              <w:rPr>
                <w:spacing w:val="-4"/>
                <w:sz w:val="20"/>
              </w:rPr>
              <w:t> </w:t>
            </w:r>
            <w:r>
              <w:rPr>
                <w:sz w:val="20"/>
              </w:rPr>
              <w:t>event No. of CPEs set per event and no. nights operated per event</w:t>
            </w:r>
          </w:p>
          <w:p>
            <w:pPr>
              <w:pStyle w:val="TableParagraph"/>
              <w:spacing w:before="2"/>
              <w:ind w:left="108"/>
              <w:rPr>
                <w:sz w:val="20"/>
              </w:rPr>
            </w:pPr>
            <w:r>
              <w:rPr>
                <w:sz w:val="20"/>
              </w:rPr>
              <w:t>No.</w:t>
            </w:r>
            <w:r>
              <w:rPr>
                <w:spacing w:val="-7"/>
                <w:sz w:val="20"/>
              </w:rPr>
              <w:t> </w:t>
            </w:r>
            <w:r>
              <w:rPr>
                <w:sz w:val="20"/>
              </w:rPr>
              <w:t>of</w:t>
            </w:r>
            <w:r>
              <w:rPr>
                <w:spacing w:val="-6"/>
                <w:sz w:val="20"/>
              </w:rPr>
              <w:t> </w:t>
            </w:r>
            <w:r>
              <w:rPr>
                <w:sz w:val="20"/>
              </w:rPr>
              <w:t>dens</w:t>
            </w:r>
            <w:r>
              <w:rPr>
                <w:spacing w:val="-6"/>
                <w:sz w:val="20"/>
              </w:rPr>
              <w:t> </w:t>
            </w:r>
            <w:r>
              <w:rPr>
                <w:sz w:val="20"/>
              </w:rPr>
              <w:t>fumigated,</w:t>
            </w:r>
            <w:r>
              <w:rPr>
                <w:spacing w:val="-7"/>
                <w:sz w:val="20"/>
              </w:rPr>
              <w:t> </w:t>
            </w:r>
            <w:r>
              <w:rPr>
                <w:sz w:val="20"/>
              </w:rPr>
              <w:t>and</w:t>
            </w:r>
            <w:r>
              <w:rPr>
                <w:spacing w:val="-5"/>
                <w:sz w:val="20"/>
              </w:rPr>
              <w:t> </w:t>
            </w:r>
            <w:r>
              <w:rPr>
                <w:sz w:val="20"/>
              </w:rPr>
              <w:t>no.</w:t>
            </w:r>
            <w:r>
              <w:rPr>
                <w:spacing w:val="-5"/>
                <w:sz w:val="20"/>
              </w:rPr>
              <w:t> </w:t>
            </w:r>
            <w:r>
              <w:rPr>
                <w:sz w:val="20"/>
              </w:rPr>
              <w:t>of</w:t>
            </w:r>
            <w:r>
              <w:rPr>
                <w:spacing w:val="-5"/>
                <w:sz w:val="20"/>
              </w:rPr>
              <w:t> </w:t>
            </w:r>
            <w:r>
              <w:rPr>
                <w:sz w:val="20"/>
              </w:rPr>
              <w:t>Den-Co-Fume</w:t>
            </w:r>
            <w:r>
              <w:rPr>
                <w:spacing w:val="-7"/>
                <w:sz w:val="20"/>
              </w:rPr>
              <w:t> </w:t>
            </w:r>
            <w:r>
              <w:rPr>
                <w:sz w:val="20"/>
              </w:rPr>
              <w:t>cartridges</w:t>
            </w:r>
            <w:r>
              <w:rPr>
                <w:spacing w:val="-5"/>
                <w:sz w:val="20"/>
              </w:rPr>
              <w:t> </w:t>
            </w:r>
            <w:r>
              <w:rPr>
                <w:spacing w:val="-2"/>
                <w:sz w:val="20"/>
              </w:rPr>
              <w:t>used/den</w:t>
            </w:r>
          </w:p>
        </w:tc>
      </w:tr>
      <w:tr>
        <w:trPr>
          <w:trHeight w:val="2673" w:hRule="atLeast"/>
        </w:trPr>
        <w:tc>
          <w:tcPr>
            <w:tcW w:w="5444" w:type="dxa"/>
          </w:tcPr>
          <w:p>
            <w:pPr>
              <w:pStyle w:val="TableParagraph"/>
              <w:spacing w:line="229" w:lineRule="exact"/>
              <w:ind w:left="110"/>
              <w:rPr>
                <w:sz w:val="20"/>
              </w:rPr>
            </w:pPr>
            <w:r>
              <w:rPr>
                <w:sz w:val="20"/>
              </w:rPr>
              <w:t>Time</w:t>
            </w:r>
            <w:r>
              <w:rPr>
                <w:spacing w:val="-8"/>
                <w:sz w:val="20"/>
              </w:rPr>
              <w:t> </w:t>
            </w:r>
            <w:r>
              <w:rPr>
                <w:sz w:val="20"/>
              </w:rPr>
              <w:t>spent</w:t>
            </w:r>
            <w:r>
              <w:rPr>
                <w:spacing w:val="-5"/>
                <w:sz w:val="20"/>
              </w:rPr>
              <w:t> </w:t>
            </w:r>
            <w:r>
              <w:rPr>
                <w:sz w:val="20"/>
              </w:rPr>
              <w:t>on</w:t>
            </w:r>
            <w:r>
              <w:rPr>
                <w:spacing w:val="-9"/>
                <w:sz w:val="20"/>
              </w:rPr>
              <w:t> </w:t>
            </w:r>
            <w:r>
              <w:rPr>
                <w:sz w:val="20"/>
              </w:rPr>
              <w:t>control</w:t>
            </w:r>
            <w:r>
              <w:rPr>
                <w:spacing w:val="-6"/>
                <w:sz w:val="20"/>
              </w:rPr>
              <w:t> </w:t>
            </w:r>
            <w:r>
              <w:rPr>
                <w:spacing w:val="-2"/>
                <w:sz w:val="20"/>
              </w:rPr>
              <w:t>effort</w:t>
            </w:r>
          </w:p>
        </w:tc>
        <w:tc>
          <w:tcPr>
            <w:tcW w:w="8302" w:type="dxa"/>
          </w:tcPr>
          <w:p>
            <w:pPr>
              <w:pStyle w:val="TableParagraph"/>
              <w:spacing w:line="229" w:lineRule="exact"/>
              <w:ind w:left="108"/>
              <w:rPr>
                <w:sz w:val="20"/>
              </w:rPr>
            </w:pPr>
            <w:r>
              <w:rPr>
                <w:sz w:val="20"/>
              </w:rPr>
              <w:t>Number</w:t>
            </w:r>
            <w:r>
              <w:rPr>
                <w:spacing w:val="-7"/>
                <w:sz w:val="20"/>
              </w:rPr>
              <w:t> </w:t>
            </w:r>
            <w:r>
              <w:rPr>
                <w:sz w:val="20"/>
              </w:rPr>
              <w:t>of</w:t>
            </w:r>
            <w:r>
              <w:rPr>
                <w:spacing w:val="-4"/>
                <w:sz w:val="20"/>
              </w:rPr>
              <w:t> </w:t>
            </w:r>
            <w:r>
              <w:rPr>
                <w:sz w:val="20"/>
              </w:rPr>
              <w:t>hours</w:t>
            </w:r>
            <w:r>
              <w:rPr>
                <w:spacing w:val="-5"/>
                <w:sz w:val="20"/>
              </w:rPr>
              <w:t> </w:t>
            </w:r>
            <w:r>
              <w:rPr>
                <w:sz w:val="20"/>
              </w:rPr>
              <w:t>per</w:t>
            </w:r>
            <w:r>
              <w:rPr>
                <w:spacing w:val="-6"/>
                <w:sz w:val="20"/>
              </w:rPr>
              <w:t> </w:t>
            </w:r>
            <w:r>
              <w:rPr>
                <w:sz w:val="20"/>
              </w:rPr>
              <w:t>person</w:t>
            </w:r>
            <w:r>
              <w:rPr>
                <w:spacing w:val="-7"/>
                <w:sz w:val="20"/>
              </w:rPr>
              <w:t> </w:t>
            </w:r>
            <w:r>
              <w:rPr>
                <w:sz w:val="20"/>
              </w:rPr>
              <w:t>spent</w:t>
            </w:r>
            <w:r>
              <w:rPr>
                <w:spacing w:val="-4"/>
                <w:sz w:val="20"/>
              </w:rPr>
              <w:t> </w:t>
            </w:r>
            <w:r>
              <w:rPr>
                <w:sz w:val="20"/>
              </w:rPr>
              <w:t>on</w:t>
            </w:r>
            <w:r>
              <w:rPr>
                <w:spacing w:val="-6"/>
                <w:sz w:val="20"/>
              </w:rPr>
              <w:t> </w:t>
            </w:r>
            <w:r>
              <w:rPr>
                <w:sz w:val="20"/>
              </w:rPr>
              <w:t>operation.</w:t>
            </w:r>
            <w:r>
              <w:rPr>
                <w:spacing w:val="-4"/>
                <w:sz w:val="20"/>
              </w:rPr>
              <w:t> </w:t>
            </w:r>
            <w:r>
              <w:rPr>
                <w:sz w:val="20"/>
              </w:rPr>
              <w:t>For</w:t>
            </w:r>
            <w:r>
              <w:rPr>
                <w:spacing w:val="-3"/>
                <w:sz w:val="20"/>
              </w:rPr>
              <w:t> </w:t>
            </w:r>
            <w:r>
              <w:rPr>
                <w:spacing w:val="-2"/>
                <w:sz w:val="20"/>
              </w:rPr>
              <w:t>example:</w:t>
            </w:r>
          </w:p>
          <w:p>
            <w:pPr>
              <w:pStyle w:val="TableParagraph"/>
              <w:spacing w:before="120"/>
              <w:ind w:left="108"/>
              <w:rPr>
                <w:sz w:val="20"/>
              </w:rPr>
            </w:pPr>
            <w:r>
              <w:rPr>
                <w:sz w:val="20"/>
              </w:rPr>
              <w:t>number</w:t>
            </w:r>
            <w:r>
              <w:rPr>
                <w:spacing w:val="-8"/>
                <w:sz w:val="20"/>
              </w:rPr>
              <w:t> </w:t>
            </w:r>
            <w:r>
              <w:rPr>
                <w:sz w:val="20"/>
              </w:rPr>
              <w:t>of</w:t>
            </w:r>
            <w:r>
              <w:rPr>
                <w:spacing w:val="-5"/>
                <w:sz w:val="20"/>
              </w:rPr>
              <w:t> </w:t>
            </w:r>
            <w:r>
              <w:rPr>
                <w:sz w:val="20"/>
              </w:rPr>
              <w:t>hours</w:t>
            </w:r>
            <w:r>
              <w:rPr>
                <w:spacing w:val="-6"/>
                <w:sz w:val="20"/>
              </w:rPr>
              <w:t> </w:t>
            </w:r>
            <w:r>
              <w:rPr>
                <w:sz w:val="20"/>
              </w:rPr>
              <w:t>free</w:t>
            </w:r>
            <w:r>
              <w:rPr>
                <w:spacing w:val="-7"/>
                <w:sz w:val="20"/>
              </w:rPr>
              <w:t> </w:t>
            </w:r>
            <w:r>
              <w:rPr>
                <w:sz w:val="20"/>
              </w:rPr>
              <w:t>feeding</w:t>
            </w:r>
            <w:r>
              <w:rPr>
                <w:spacing w:val="-8"/>
                <w:sz w:val="20"/>
              </w:rPr>
              <w:t> </w:t>
            </w:r>
            <w:r>
              <w:rPr>
                <w:sz w:val="20"/>
              </w:rPr>
              <w:t>and</w:t>
            </w:r>
            <w:r>
              <w:rPr>
                <w:spacing w:val="-8"/>
                <w:sz w:val="20"/>
              </w:rPr>
              <w:t> </w:t>
            </w:r>
            <w:r>
              <w:rPr>
                <w:sz w:val="20"/>
              </w:rPr>
              <w:t>poison</w:t>
            </w:r>
            <w:r>
              <w:rPr>
                <w:spacing w:val="-8"/>
                <w:sz w:val="20"/>
              </w:rPr>
              <w:t> </w:t>
            </w:r>
            <w:r>
              <w:rPr>
                <w:sz w:val="20"/>
              </w:rPr>
              <w:t>baiting</w:t>
            </w:r>
            <w:r>
              <w:rPr>
                <w:spacing w:val="-5"/>
                <w:sz w:val="20"/>
              </w:rPr>
              <w:t> </w:t>
            </w:r>
            <w:r>
              <w:rPr>
                <w:sz w:val="20"/>
              </w:rPr>
              <w:t>per</w:t>
            </w:r>
            <w:r>
              <w:rPr>
                <w:spacing w:val="-7"/>
                <w:sz w:val="20"/>
              </w:rPr>
              <w:t> </w:t>
            </w:r>
            <w:r>
              <w:rPr>
                <w:sz w:val="20"/>
              </w:rPr>
              <w:t>event</w:t>
            </w:r>
            <w:r>
              <w:rPr>
                <w:spacing w:val="-3"/>
                <w:sz w:val="20"/>
              </w:rPr>
              <w:t> </w:t>
            </w:r>
            <w:r>
              <w:rPr>
                <w:sz w:val="20"/>
              </w:rPr>
              <w:t>(include</w:t>
            </w:r>
            <w:r>
              <w:rPr>
                <w:spacing w:val="-8"/>
                <w:sz w:val="20"/>
              </w:rPr>
              <w:t> </w:t>
            </w:r>
            <w:r>
              <w:rPr>
                <w:sz w:val="20"/>
              </w:rPr>
              <w:t>bait</w:t>
            </w:r>
            <w:r>
              <w:rPr>
                <w:spacing w:val="-7"/>
                <w:sz w:val="20"/>
              </w:rPr>
              <w:t> </w:t>
            </w:r>
            <w:r>
              <w:rPr>
                <w:sz w:val="20"/>
              </w:rPr>
              <w:t>replacement</w:t>
            </w:r>
            <w:r>
              <w:rPr>
                <w:spacing w:val="-7"/>
                <w:sz w:val="20"/>
              </w:rPr>
              <w:t> </w:t>
            </w:r>
            <w:r>
              <w:rPr>
                <w:spacing w:val="-2"/>
                <w:sz w:val="20"/>
              </w:rPr>
              <w:t>runs)</w:t>
            </w:r>
          </w:p>
          <w:p>
            <w:pPr>
              <w:pStyle w:val="TableParagraph"/>
              <w:numPr>
                <w:ilvl w:val="0"/>
                <w:numId w:val="33"/>
              </w:numPr>
              <w:tabs>
                <w:tab w:pos="827" w:val="left" w:leader="none"/>
              </w:tabs>
              <w:spacing w:line="240" w:lineRule="auto" w:before="121" w:after="0"/>
              <w:ind w:left="827" w:right="0" w:hanging="359"/>
              <w:jc w:val="left"/>
              <w:rPr>
                <w:sz w:val="20"/>
              </w:rPr>
            </w:pPr>
            <w:r>
              <w:rPr>
                <w:sz w:val="20"/>
              </w:rPr>
              <w:t>hours</w:t>
            </w:r>
            <w:r>
              <w:rPr>
                <w:spacing w:val="-7"/>
                <w:sz w:val="20"/>
              </w:rPr>
              <w:t> </w:t>
            </w:r>
            <w:r>
              <w:rPr>
                <w:sz w:val="20"/>
              </w:rPr>
              <w:t>spent</w:t>
            </w:r>
            <w:r>
              <w:rPr>
                <w:spacing w:val="-6"/>
                <w:sz w:val="20"/>
              </w:rPr>
              <w:t> </w:t>
            </w:r>
            <w:r>
              <w:rPr>
                <w:sz w:val="20"/>
              </w:rPr>
              <w:t>ground</w:t>
            </w:r>
            <w:r>
              <w:rPr>
                <w:spacing w:val="-8"/>
                <w:sz w:val="20"/>
              </w:rPr>
              <w:t> </w:t>
            </w:r>
            <w:r>
              <w:rPr>
                <w:sz w:val="20"/>
              </w:rPr>
              <w:t>shooting</w:t>
            </w:r>
            <w:r>
              <w:rPr>
                <w:spacing w:val="-8"/>
                <w:sz w:val="20"/>
              </w:rPr>
              <w:t> </w:t>
            </w:r>
            <w:r>
              <w:rPr>
                <w:sz w:val="20"/>
              </w:rPr>
              <w:t>per</w:t>
            </w:r>
            <w:r>
              <w:rPr>
                <w:spacing w:val="-8"/>
                <w:sz w:val="20"/>
              </w:rPr>
              <w:t> </w:t>
            </w:r>
            <w:r>
              <w:rPr>
                <w:spacing w:val="-4"/>
                <w:sz w:val="20"/>
              </w:rPr>
              <w:t>event</w:t>
            </w:r>
          </w:p>
          <w:p>
            <w:pPr>
              <w:pStyle w:val="TableParagraph"/>
              <w:numPr>
                <w:ilvl w:val="0"/>
                <w:numId w:val="33"/>
              </w:numPr>
              <w:tabs>
                <w:tab w:pos="827" w:val="left" w:leader="none"/>
              </w:tabs>
              <w:spacing w:line="240" w:lineRule="auto" w:before="77" w:after="0"/>
              <w:ind w:left="827" w:right="0" w:hanging="359"/>
              <w:jc w:val="left"/>
              <w:rPr>
                <w:sz w:val="20"/>
              </w:rPr>
            </w:pPr>
            <w:r>
              <w:rPr>
                <w:sz w:val="20"/>
              </w:rPr>
              <w:t>hours</w:t>
            </w:r>
            <w:r>
              <w:rPr>
                <w:spacing w:val="-9"/>
                <w:sz w:val="20"/>
              </w:rPr>
              <w:t> </w:t>
            </w:r>
            <w:r>
              <w:rPr>
                <w:sz w:val="20"/>
              </w:rPr>
              <w:t>establishing</w:t>
            </w:r>
            <w:r>
              <w:rPr>
                <w:spacing w:val="-10"/>
                <w:sz w:val="20"/>
              </w:rPr>
              <w:t> </w:t>
            </w:r>
            <w:r>
              <w:rPr>
                <w:sz w:val="20"/>
              </w:rPr>
              <w:t>and</w:t>
            </w:r>
            <w:r>
              <w:rPr>
                <w:spacing w:val="-10"/>
                <w:sz w:val="20"/>
              </w:rPr>
              <w:t> </w:t>
            </w:r>
            <w:r>
              <w:rPr>
                <w:sz w:val="20"/>
              </w:rPr>
              <w:t>operating</w:t>
            </w:r>
            <w:r>
              <w:rPr>
                <w:spacing w:val="-9"/>
                <w:sz w:val="20"/>
              </w:rPr>
              <w:t> </w:t>
            </w:r>
            <w:r>
              <w:rPr>
                <w:spacing w:val="-2"/>
                <w:sz w:val="20"/>
              </w:rPr>
              <w:t>traps</w:t>
            </w:r>
          </w:p>
          <w:p>
            <w:pPr>
              <w:pStyle w:val="TableParagraph"/>
              <w:numPr>
                <w:ilvl w:val="0"/>
                <w:numId w:val="33"/>
              </w:numPr>
              <w:tabs>
                <w:tab w:pos="827" w:val="left" w:leader="none"/>
              </w:tabs>
              <w:spacing w:line="240" w:lineRule="auto" w:before="79" w:after="0"/>
              <w:ind w:left="827" w:right="0" w:hanging="359"/>
              <w:jc w:val="left"/>
              <w:rPr>
                <w:sz w:val="20"/>
              </w:rPr>
            </w:pPr>
            <w:r>
              <w:rPr>
                <w:sz w:val="20"/>
              </w:rPr>
              <w:t>hours</w:t>
            </w:r>
            <w:r>
              <w:rPr>
                <w:spacing w:val="-9"/>
                <w:sz w:val="20"/>
              </w:rPr>
              <w:t> </w:t>
            </w:r>
            <w:r>
              <w:rPr>
                <w:sz w:val="20"/>
              </w:rPr>
              <w:t>establishing</w:t>
            </w:r>
            <w:r>
              <w:rPr>
                <w:spacing w:val="-10"/>
                <w:sz w:val="20"/>
              </w:rPr>
              <w:t> </w:t>
            </w:r>
            <w:r>
              <w:rPr>
                <w:sz w:val="20"/>
              </w:rPr>
              <w:t>and</w:t>
            </w:r>
            <w:r>
              <w:rPr>
                <w:spacing w:val="-10"/>
                <w:sz w:val="20"/>
              </w:rPr>
              <w:t> </w:t>
            </w:r>
            <w:r>
              <w:rPr>
                <w:sz w:val="20"/>
              </w:rPr>
              <w:t>operating</w:t>
            </w:r>
            <w:r>
              <w:rPr>
                <w:spacing w:val="-9"/>
                <w:sz w:val="20"/>
              </w:rPr>
              <w:t> </w:t>
            </w:r>
            <w:r>
              <w:rPr>
                <w:spacing w:val="-4"/>
                <w:sz w:val="20"/>
              </w:rPr>
              <w:t>CPEs</w:t>
            </w:r>
          </w:p>
          <w:p>
            <w:pPr>
              <w:pStyle w:val="TableParagraph"/>
              <w:numPr>
                <w:ilvl w:val="0"/>
                <w:numId w:val="33"/>
              </w:numPr>
              <w:tabs>
                <w:tab w:pos="827" w:val="left" w:leader="none"/>
              </w:tabs>
              <w:spacing w:line="297" w:lineRule="auto" w:before="79" w:after="0"/>
              <w:ind w:left="108" w:right="4495" w:firstLine="360"/>
              <w:jc w:val="left"/>
              <w:rPr>
                <w:sz w:val="20"/>
              </w:rPr>
            </w:pPr>
            <w:r>
              <w:rPr>
                <w:sz w:val="20"/>
              </w:rPr>
              <w:t>hours</w:t>
            </w:r>
            <w:r>
              <w:rPr>
                <w:spacing w:val="-10"/>
                <w:sz w:val="20"/>
              </w:rPr>
              <w:t> </w:t>
            </w:r>
            <w:r>
              <w:rPr>
                <w:sz w:val="20"/>
              </w:rPr>
              <w:t>spent</w:t>
            </w:r>
            <w:r>
              <w:rPr>
                <w:spacing w:val="-10"/>
                <w:sz w:val="20"/>
              </w:rPr>
              <w:t> </w:t>
            </w:r>
            <w:r>
              <w:rPr>
                <w:sz w:val="20"/>
              </w:rPr>
              <w:t>fumigating</w:t>
            </w:r>
            <w:r>
              <w:rPr>
                <w:spacing w:val="-11"/>
                <w:sz w:val="20"/>
              </w:rPr>
              <w:t> </w:t>
            </w:r>
            <w:r>
              <w:rPr>
                <w:sz w:val="20"/>
              </w:rPr>
              <w:t>per</w:t>
            </w:r>
            <w:r>
              <w:rPr>
                <w:spacing w:val="-9"/>
                <w:sz w:val="20"/>
              </w:rPr>
              <w:t> </w:t>
            </w:r>
            <w:r>
              <w:rPr>
                <w:sz w:val="20"/>
              </w:rPr>
              <w:t>event. Includes preparation and cleanup time.</w:t>
            </w:r>
          </w:p>
          <w:p>
            <w:pPr>
              <w:pStyle w:val="TableParagraph"/>
              <w:spacing w:before="63"/>
              <w:ind w:left="108"/>
              <w:rPr>
                <w:sz w:val="20"/>
              </w:rPr>
            </w:pPr>
            <w:r>
              <w:rPr>
                <w:spacing w:val="-2"/>
                <w:sz w:val="20"/>
              </w:rPr>
              <w:t>Excludes</w:t>
            </w:r>
            <w:r>
              <w:rPr>
                <w:spacing w:val="9"/>
                <w:sz w:val="20"/>
              </w:rPr>
              <w:t> </w:t>
            </w:r>
            <w:r>
              <w:rPr>
                <w:spacing w:val="-2"/>
                <w:sz w:val="20"/>
              </w:rPr>
              <w:t>administration</w:t>
            </w:r>
            <w:r>
              <w:rPr>
                <w:spacing w:val="5"/>
                <w:sz w:val="20"/>
              </w:rPr>
              <w:t> </w:t>
            </w:r>
            <w:r>
              <w:rPr>
                <w:spacing w:val="-2"/>
                <w:sz w:val="20"/>
              </w:rPr>
              <w:t>costs.</w:t>
            </w:r>
          </w:p>
        </w:tc>
      </w:tr>
      <w:tr>
        <w:trPr>
          <w:trHeight w:val="350" w:hRule="atLeast"/>
        </w:trPr>
        <w:tc>
          <w:tcPr>
            <w:tcW w:w="5444" w:type="dxa"/>
          </w:tcPr>
          <w:p>
            <w:pPr>
              <w:pStyle w:val="TableParagraph"/>
              <w:spacing w:line="229" w:lineRule="exact"/>
              <w:ind w:left="110"/>
              <w:rPr>
                <w:sz w:val="20"/>
              </w:rPr>
            </w:pPr>
            <w:r>
              <w:rPr>
                <w:sz w:val="20"/>
              </w:rPr>
              <w:t>Cost</w:t>
            </w:r>
            <w:r>
              <w:rPr>
                <w:spacing w:val="-7"/>
                <w:sz w:val="20"/>
              </w:rPr>
              <w:t> </w:t>
            </w:r>
            <w:r>
              <w:rPr>
                <w:sz w:val="20"/>
              </w:rPr>
              <w:t>of</w:t>
            </w:r>
            <w:r>
              <w:rPr>
                <w:spacing w:val="-4"/>
                <w:sz w:val="20"/>
              </w:rPr>
              <w:t> </w:t>
            </w:r>
            <w:r>
              <w:rPr>
                <w:sz w:val="20"/>
              </w:rPr>
              <w:t>labour</w:t>
            </w:r>
            <w:r>
              <w:rPr>
                <w:spacing w:val="-5"/>
                <w:sz w:val="20"/>
              </w:rPr>
              <w:t> </w:t>
            </w:r>
            <w:r>
              <w:rPr>
                <w:sz w:val="20"/>
              </w:rPr>
              <w:t>for</w:t>
            </w:r>
            <w:r>
              <w:rPr>
                <w:spacing w:val="-3"/>
                <w:sz w:val="20"/>
              </w:rPr>
              <w:t> </w:t>
            </w:r>
            <w:r>
              <w:rPr>
                <w:sz w:val="20"/>
              </w:rPr>
              <w:t>each</w:t>
            </w:r>
            <w:r>
              <w:rPr>
                <w:spacing w:val="-5"/>
                <w:sz w:val="20"/>
              </w:rPr>
              <w:t> </w:t>
            </w:r>
            <w:r>
              <w:rPr>
                <w:spacing w:val="-2"/>
                <w:sz w:val="20"/>
              </w:rPr>
              <w:t>method</w:t>
            </w:r>
          </w:p>
        </w:tc>
        <w:tc>
          <w:tcPr>
            <w:tcW w:w="8302" w:type="dxa"/>
          </w:tcPr>
          <w:p>
            <w:pPr>
              <w:pStyle w:val="TableParagraph"/>
              <w:spacing w:line="229" w:lineRule="exact"/>
              <w:ind w:left="108"/>
              <w:rPr>
                <w:sz w:val="20"/>
              </w:rPr>
            </w:pPr>
            <w:r>
              <w:rPr>
                <w:sz w:val="20"/>
              </w:rPr>
              <w:t>Cost</w:t>
            </w:r>
            <w:r>
              <w:rPr>
                <w:spacing w:val="-7"/>
                <w:sz w:val="20"/>
              </w:rPr>
              <w:t> </w:t>
            </w:r>
            <w:r>
              <w:rPr>
                <w:sz w:val="20"/>
              </w:rPr>
              <w:t>($)</w:t>
            </w:r>
            <w:r>
              <w:rPr>
                <w:spacing w:val="-6"/>
                <w:sz w:val="20"/>
              </w:rPr>
              <w:t> </w:t>
            </w:r>
            <w:r>
              <w:rPr>
                <w:sz w:val="20"/>
              </w:rPr>
              <w:t>per</w:t>
            </w:r>
            <w:r>
              <w:rPr>
                <w:spacing w:val="-6"/>
                <w:sz w:val="20"/>
              </w:rPr>
              <w:t> </w:t>
            </w:r>
            <w:r>
              <w:rPr>
                <w:sz w:val="20"/>
              </w:rPr>
              <w:t>hour</w:t>
            </w:r>
            <w:r>
              <w:rPr>
                <w:spacing w:val="-6"/>
                <w:sz w:val="20"/>
              </w:rPr>
              <w:t> </w:t>
            </w:r>
            <w:r>
              <w:rPr>
                <w:sz w:val="20"/>
              </w:rPr>
              <w:t>per</w:t>
            </w:r>
            <w:r>
              <w:rPr>
                <w:spacing w:val="-6"/>
                <w:sz w:val="20"/>
              </w:rPr>
              <w:t> </w:t>
            </w:r>
            <w:r>
              <w:rPr>
                <w:sz w:val="20"/>
              </w:rPr>
              <w:t>person</w:t>
            </w:r>
            <w:r>
              <w:rPr>
                <w:spacing w:val="-7"/>
                <w:sz w:val="20"/>
              </w:rPr>
              <w:t> </w:t>
            </w:r>
            <w:r>
              <w:rPr>
                <w:sz w:val="20"/>
              </w:rPr>
              <w:t>spent</w:t>
            </w:r>
            <w:r>
              <w:rPr>
                <w:spacing w:val="-5"/>
                <w:sz w:val="20"/>
              </w:rPr>
              <w:t> </w:t>
            </w:r>
            <w:r>
              <w:rPr>
                <w:sz w:val="20"/>
              </w:rPr>
              <w:t>on</w:t>
            </w:r>
            <w:r>
              <w:rPr>
                <w:spacing w:val="-6"/>
                <w:sz w:val="20"/>
              </w:rPr>
              <w:t> </w:t>
            </w:r>
            <w:r>
              <w:rPr>
                <w:sz w:val="20"/>
              </w:rPr>
              <w:t>the</w:t>
            </w:r>
            <w:r>
              <w:rPr>
                <w:spacing w:val="-6"/>
                <w:sz w:val="20"/>
              </w:rPr>
              <w:t> </w:t>
            </w:r>
            <w:r>
              <w:rPr>
                <w:sz w:val="20"/>
              </w:rPr>
              <w:t>operational</w:t>
            </w:r>
            <w:r>
              <w:rPr>
                <w:spacing w:val="-7"/>
                <w:sz w:val="20"/>
              </w:rPr>
              <w:t> </w:t>
            </w:r>
            <w:r>
              <w:rPr>
                <w:sz w:val="20"/>
              </w:rPr>
              <w:t>implementation</w:t>
            </w:r>
            <w:r>
              <w:rPr>
                <w:spacing w:val="-7"/>
                <w:sz w:val="20"/>
              </w:rPr>
              <w:t> </w:t>
            </w:r>
            <w:r>
              <w:rPr>
                <w:sz w:val="20"/>
              </w:rPr>
              <w:t>of</w:t>
            </w:r>
            <w:r>
              <w:rPr>
                <w:spacing w:val="-7"/>
                <w:sz w:val="20"/>
              </w:rPr>
              <w:t> </w:t>
            </w:r>
            <w:r>
              <w:rPr>
                <w:spacing w:val="-2"/>
                <w:sz w:val="20"/>
              </w:rPr>
              <w:t>control</w:t>
            </w:r>
          </w:p>
        </w:tc>
      </w:tr>
      <w:tr>
        <w:trPr>
          <w:trHeight w:val="1619" w:hRule="atLeast"/>
        </w:trPr>
        <w:tc>
          <w:tcPr>
            <w:tcW w:w="5444" w:type="dxa"/>
          </w:tcPr>
          <w:p>
            <w:pPr>
              <w:pStyle w:val="TableParagraph"/>
              <w:spacing w:line="229" w:lineRule="exact"/>
              <w:ind w:left="110"/>
              <w:rPr>
                <w:sz w:val="20"/>
              </w:rPr>
            </w:pPr>
            <w:r>
              <w:rPr>
                <w:sz w:val="20"/>
              </w:rPr>
              <w:t>Cost</w:t>
            </w:r>
            <w:r>
              <w:rPr>
                <w:spacing w:val="-5"/>
                <w:sz w:val="20"/>
              </w:rPr>
              <w:t> </w:t>
            </w:r>
            <w:r>
              <w:rPr>
                <w:sz w:val="20"/>
              </w:rPr>
              <w:t>of</w:t>
            </w:r>
            <w:r>
              <w:rPr>
                <w:spacing w:val="-2"/>
                <w:sz w:val="20"/>
              </w:rPr>
              <w:t> materials</w:t>
            </w:r>
          </w:p>
        </w:tc>
        <w:tc>
          <w:tcPr>
            <w:tcW w:w="8302" w:type="dxa"/>
          </w:tcPr>
          <w:p>
            <w:pPr>
              <w:pStyle w:val="TableParagraph"/>
              <w:spacing w:line="229" w:lineRule="exact"/>
              <w:ind w:left="108"/>
              <w:rPr>
                <w:sz w:val="20"/>
              </w:rPr>
            </w:pPr>
            <w:r>
              <w:rPr>
                <w:sz w:val="20"/>
              </w:rPr>
              <w:t>Cost</w:t>
            </w:r>
            <w:r>
              <w:rPr>
                <w:spacing w:val="-7"/>
                <w:sz w:val="20"/>
              </w:rPr>
              <w:t> </w:t>
            </w:r>
            <w:r>
              <w:rPr>
                <w:sz w:val="20"/>
              </w:rPr>
              <w:t>of</w:t>
            </w:r>
            <w:r>
              <w:rPr>
                <w:spacing w:val="-4"/>
                <w:sz w:val="20"/>
              </w:rPr>
              <w:t> </w:t>
            </w:r>
            <w:r>
              <w:rPr>
                <w:sz w:val="20"/>
              </w:rPr>
              <w:t>all</w:t>
            </w:r>
            <w:r>
              <w:rPr>
                <w:spacing w:val="-7"/>
                <w:sz w:val="20"/>
              </w:rPr>
              <w:t> </w:t>
            </w:r>
            <w:r>
              <w:rPr>
                <w:sz w:val="20"/>
              </w:rPr>
              <w:t>materials</w:t>
            </w:r>
            <w:r>
              <w:rPr>
                <w:spacing w:val="-5"/>
                <w:sz w:val="20"/>
              </w:rPr>
              <w:t> </w:t>
            </w:r>
            <w:r>
              <w:rPr>
                <w:sz w:val="20"/>
              </w:rPr>
              <w:t>use</w:t>
            </w:r>
            <w:r>
              <w:rPr>
                <w:spacing w:val="-4"/>
                <w:sz w:val="20"/>
              </w:rPr>
              <w:t> </w:t>
            </w:r>
            <w:r>
              <w:rPr>
                <w:sz w:val="20"/>
              </w:rPr>
              <w:t>in</w:t>
            </w:r>
            <w:r>
              <w:rPr>
                <w:spacing w:val="-5"/>
                <w:sz w:val="20"/>
              </w:rPr>
              <w:t> </w:t>
            </w:r>
            <w:r>
              <w:rPr>
                <w:sz w:val="20"/>
              </w:rPr>
              <w:t>the</w:t>
            </w:r>
            <w:r>
              <w:rPr>
                <w:spacing w:val="-7"/>
                <w:sz w:val="20"/>
              </w:rPr>
              <w:t> </w:t>
            </w:r>
            <w:r>
              <w:rPr>
                <w:sz w:val="20"/>
              </w:rPr>
              <w:t>control</w:t>
            </w:r>
            <w:r>
              <w:rPr>
                <w:spacing w:val="-5"/>
                <w:sz w:val="20"/>
              </w:rPr>
              <w:t> </w:t>
            </w:r>
            <w:r>
              <w:rPr>
                <w:spacing w:val="-2"/>
                <w:sz w:val="20"/>
              </w:rPr>
              <w:t>operations</w:t>
            </w:r>
          </w:p>
          <w:p>
            <w:pPr>
              <w:pStyle w:val="TableParagraph"/>
              <w:spacing w:before="120"/>
              <w:ind w:left="108"/>
              <w:rPr>
                <w:sz w:val="20"/>
              </w:rPr>
            </w:pPr>
            <w:r>
              <w:rPr>
                <w:sz w:val="20"/>
              </w:rPr>
              <w:t>$/bait</w:t>
            </w:r>
            <w:r>
              <w:rPr>
                <w:spacing w:val="-6"/>
                <w:sz w:val="20"/>
              </w:rPr>
              <w:t> </w:t>
            </w:r>
            <w:r>
              <w:rPr>
                <w:sz w:val="20"/>
              </w:rPr>
              <w:t>used</w:t>
            </w:r>
            <w:r>
              <w:rPr>
                <w:spacing w:val="-6"/>
                <w:sz w:val="20"/>
              </w:rPr>
              <w:t> </w:t>
            </w:r>
            <w:r>
              <w:rPr>
                <w:sz w:val="20"/>
              </w:rPr>
              <w:t>per</w:t>
            </w:r>
            <w:r>
              <w:rPr>
                <w:spacing w:val="-6"/>
                <w:sz w:val="20"/>
              </w:rPr>
              <w:t> </w:t>
            </w:r>
            <w:r>
              <w:rPr>
                <w:spacing w:val="-2"/>
                <w:sz w:val="20"/>
              </w:rPr>
              <w:t>event,</w:t>
            </w:r>
          </w:p>
          <w:p>
            <w:pPr>
              <w:pStyle w:val="TableParagraph"/>
              <w:spacing w:before="1"/>
              <w:ind w:left="108" w:right="5002"/>
              <w:rPr>
                <w:sz w:val="20"/>
              </w:rPr>
            </w:pPr>
            <w:r>
              <w:rPr>
                <w:sz w:val="20"/>
              </w:rPr>
              <w:t>$/bullet used (including misses) Cost ($) and type of a single trap Cost</w:t>
            </w:r>
            <w:r>
              <w:rPr>
                <w:spacing w:val="-7"/>
                <w:sz w:val="20"/>
              </w:rPr>
              <w:t> </w:t>
            </w:r>
            <w:r>
              <w:rPr>
                <w:sz w:val="20"/>
              </w:rPr>
              <w:t>($)</w:t>
            </w:r>
            <w:r>
              <w:rPr>
                <w:spacing w:val="-6"/>
                <w:sz w:val="20"/>
              </w:rPr>
              <w:t> </w:t>
            </w:r>
            <w:r>
              <w:rPr>
                <w:sz w:val="20"/>
              </w:rPr>
              <w:t>and</w:t>
            </w:r>
            <w:r>
              <w:rPr>
                <w:spacing w:val="-7"/>
                <w:sz w:val="20"/>
              </w:rPr>
              <w:t> </w:t>
            </w:r>
            <w:r>
              <w:rPr>
                <w:sz w:val="20"/>
              </w:rPr>
              <w:t>type</w:t>
            </w:r>
            <w:r>
              <w:rPr>
                <w:spacing w:val="-6"/>
                <w:sz w:val="20"/>
              </w:rPr>
              <w:t> </w:t>
            </w:r>
            <w:r>
              <w:rPr>
                <w:sz w:val="20"/>
              </w:rPr>
              <w:t>of</w:t>
            </w:r>
            <w:r>
              <w:rPr>
                <w:spacing w:val="-7"/>
                <w:sz w:val="20"/>
              </w:rPr>
              <w:t> </w:t>
            </w:r>
            <w:r>
              <w:rPr>
                <w:sz w:val="20"/>
              </w:rPr>
              <w:t>a</w:t>
            </w:r>
            <w:r>
              <w:rPr>
                <w:spacing w:val="-5"/>
                <w:sz w:val="20"/>
              </w:rPr>
              <w:t> </w:t>
            </w:r>
            <w:r>
              <w:rPr>
                <w:sz w:val="20"/>
              </w:rPr>
              <w:t>single</w:t>
            </w:r>
            <w:r>
              <w:rPr>
                <w:spacing w:val="-5"/>
                <w:sz w:val="20"/>
              </w:rPr>
              <w:t> </w:t>
            </w:r>
            <w:r>
              <w:rPr>
                <w:sz w:val="20"/>
              </w:rPr>
              <w:t>CPE</w:t>
            </w:r>
          </w:p>
          <w:p>
            <w:pPr>
              <w:pStyle w:val="TableParagraph"/>
              <w:spacing w:line="229" w:lineRule="exact"/>
              <w:ind w:left="108"/>
              <w:rPr>
                <w:sz w:val="20"/>
              </w:rPr>
            </w:pPr>
            <w:r>
              <w:rPr>
                <w:sz w:val="20"/>
              </w:rPr>
              <w:t>Cost</w:t>
            </w:r>
            <w:r>
              <w:rPr>
                <w:spacing w:val="-6"/>
                <w:sz w:val="20"/>
              </w:rPr>
              <w:t> </w:t>
            </w:r>
            <w:r>
              <w:rPr>
                <w:sz w:val="20"/>
              </w:rPr>
              <w:t>($)</w:t>
            </w:r>
            <w:r>
              <w:rPr>
                <w:spacing w:val="-5"/>
                <w:sz w:val="20"/>
              </w:rPr>
              <w:t> </w:t>
            </w:r>
            <w:r>
              <w:rPr>
                <w:sz w:val="20"/>
              </w:rPr>
              <w:t>and</w:t>
            </w:r>
            <w:r>
              <w:rPr>
                <w:spacing w:val="-5"/>
                <w:sz w:val="20"/>
              </w:rPr>
              <w:t> </w:t>
            </w:r>
            <w:r>
              <w:rPr>
                <w:sz w:val="20"/>
              </w:rPr>
              <w:t>type</w:t>
            </w:r>
            <w:r>
              <w:rPr>
                <w:spacing w:val="-5"/>
                <w:sz w:val="20"/>
              </w:rPr>
              <w:t> </w:t>
            </w:r>
            <w:r>
              <w:rPr>
                <w:sz w:val="20"/>
              </w:rPr>
              <w:t>of</w:t>
            </w:r>
            <w:r>
              <w:rPr>
                <w:spacing w:val="-6"/>
                <w:sz w:val="20"/>
              </w:rPr>
              <w:t> </w:t>
            </w:r>
            <w:r>
              <w:rPr>
                <w:sz w:val="20"/>
              </w:rPr>
              <w:t>a</w:t>
            </w:r>
            <w:r>
              <w:rPr>
                <w:spacing w:val="-3"/>
                <w:sz w:val="20"/>
              </w:rPr>
              <w:t> </w:t>
            </w:r>
            <w:r>
              <w:rPr>
                <w:sz w:val="20"/>
              </w:rPr>
              <w:t>single</w:t>
            </w:r>
            <w:r>
              <w:rPr>
                <w:spacing w:val="-6"/>
                <w:sz w:val="20"/>
              </w:rPr>
              <w:t> </w:t>
            </w:r>
            <w:r>
              <w:rPr>
                <w:sz w:val="20"/>
              </w:rPr>
              <w:t>fumigation</w:t>
            </w:r>
            <w:r>
              <w:rPr>
                <w:spacing w:val="-6"/>
                <w:sz w:val="20"/>
              </w:rPr>
              <w:t> </w:t>
            </w:r>
            <w:r>
              <w:rPr>
                <w:spacing w:val="-2"/>
                <w:sz w:val="20"/>
              </w:rPr>
              <w:t>cartridge</w:t>
            </w:r>
          </w:p>
        </w:tc>
      </w:tr>
      <w:tr>
        <w:trPr>
          <w:trHeight w:val="1041" w:hRule="atLeast"/>
        </w:trPr>
        <w:tc>
          <w:tcPr>
            <w:tcW w:w="5444" w:type="dxa"/>
          </w:tcPr>
          <w:p>
            <w:pPr>
              <w:pStyle w:val="TableParagraph"/>
              <w:spacing w:line="229" w:lineRule="exact"/>
              <w:ind w:left="110"/>
              <w:rPr>
                <w:sz w:val="20"/>
              </w:rPr>
            </w:pPr>
            <w:r>
              <w:rPr>
                <w:sz w:val="20"/>
              </w:rPr>
              <w:t>Distance</w:t>
            </w:r>
            <w:r>
              <w:rPr>
                <w:spacing w:val="-10"/>
                <w:sz w:val="20"/>
              </w:rPr>
              <w:t> </w:t>
            </w:r>
            <w:r>
              <w:rPr>
                <w:spacing w:val="-2"/>
                <w:sz w:val="20"/>
              </w:rPr>
              <w:t>travelled</w:t>
            </w:r>
          </w:p>
        </w:tc>
        <w:tc>
          <w:tcPr>
            <w:tcW w:w="8302" w:type="dxa"/>
          </w:tcPr>
          <w:p>
            <w:pPr>
              <w:pStyle w:val="TableParagraph"/>
              <w:ind w:left="108" w:right="5002"/>
              <w:rPr>
                <w:sz w:val="20"/>
              </w:rPr>
            </w:pPr>
            <w:r>
              <w:rPr>
                <w:sz w:val="20"/>
              </w:rPr>
              <w:t>Km</w:t>
            </w:r>
            <w:r>
              <w:rPr>
                <w:spacing w:val="-8"/>
                <w:sz w:val="20"/>
              </w:rPr>
              <w:t> </w:t>
            </w:r>
            <w:r>
              <w:rPr>
                <w:sz w:val="20"/>
              </w:rPr>
              <w:t>driven</w:t>
            </w:r>
            <w:r>
              <w:rPr>
                <w:spacing w:val="-11"/>
                <w:sz w:val="20"/>
              </w:rPr>
              <w:t> </w:t>
            </w:r>
            <w:r>
              <w:rPr>
                <w:sz w:val="20"/>
              </w:rPr>
              <w:t>/</w:t>
            </w:r>
            <w:r>
              <w:rPr>
                <w:spacing w:val="-8"/>
                <w:sz w:val="20"/>
              </w:rPr>
              <w:t> </w:t>
            </w:r>
            <w:r>
              <w:rPr>
                <w:sz w:val="20"/>
              </w:rPr>
              <w:t>walked</w:t>
            </w:r>
            <w:r>
              <w:rPr>
                <w:spacing w:val="-9"/>
                <w:sz w:val="20"/>
              </w:rPr>
              <w:t> </w:t>
            </w:r>
            <w:r>
              <w:rPr>
                <w:sz w:val="20"/>
              </w:rPr>
              <w:t>ground</w:t>
            </w:r>
            <w:r>
              <w:rPr>
                <w:spacing w:val="-8"/>
                <w:sz w:val="20"/>
              </w:rPr>
              <w:t> </w:t>
            </w:r>
            <w:r>
              <w:rPr>
                <w:sz w:val="20"/>
              </w:rPr>
              <w:t>shooting Km driven to and from control site Km driven per bait run/transect</w:t>
            </w:r>
          </w:p>
          <w:p>
            <w:pPr>
              <w:pStyle w:val="TableParagraph"/>
              <w:spacing w:before="1"/>
              <w:ind w:left="108"/>
              <w:rPr>
                <w:sz w:val="20"/>
              </w:rPr>
            </w:pPr>
            <w:r>
              <w:rPr>
                <w:sz w:val="20"/>
              </w:rPr>
              <w:t>Km</w:t>
            </w:r>
            <w:r>
              <w:rPr>
                <w:spacing w:val="-7"/>
                <w:sz w:val="20"/>
              </w:rPr>
              <w:t> </w:t>
            </w:r>
            <w:r>
              <w:rPr>
                <w:sz w:val="20"/>
              </w:rPr>
              <w:t>driven</w:t>
            </w:r>
            <w:r>
              <w:rPr>
                <w:spacing w:val="-7"/>
                <w:sz w:val="20"/>
              </w:rPr>
              <w:t> </w:t>
            </w:r>
            <w:r>
              <w:rPr>
                <w:sz w:val="20"/>
              </w:rPr>
              <w:t>between</w:t>
            </w:r>
            <w:r>
              <w:rPr>
                <w:spacing w:val="-6"/>
                <w:sz w:val="20"/>
              </w:rPr>
              <w:t> </w:t>
            </w:r>
            <w:r>
              <w:rPr>
                <w:sz w:val="20"/>
              </w:rPr>
              <w:t>trap/CPE</w:t>
            </w:r>
            <w:r>
              <w:rPr>
                <w:spacing w:val="-8"/>
                <w:sz w:val="20"/>
              </w:rPr>
              <w:t> </w:t>
            </w:r>
            <w:r>
              <w:rPr>
                <w:spacing w:val="-2"/>
                <w:sz w:val="20"/>
              </w:rPr>
              <w:t>sites</w:t>
            </w:r>
          </w:p>
        </w:tc>
      </w:tr>
      <w:tr>
        <w:trPr>
          <w:trHeight w:val="350" w:hRule="atLeast"/>
        </w:trPr>
        <w:tc>
          <w:tcPr>
            <w:tcW w:w="5444" w:type="dxa"/>
          </w:tcPr>
          <w:p>
            <w:pPr>
              <w:pStyle w:val="TableParagraph"/>
              <w:spacing w:line="229" w:lineRule="exact"/>
              <w:ind w:left="110"/>
              <w:rPr>
                <w:sz w:val="20"/>
              </w:rPr>
            </w:pPr>
            <w:r>
              <w:rPr>
                <w:sz w:val="20"/>
              </w:rPr>
              <w:t>Cost</w:t>
            </w:r>
            <w:r>
              <w:rPr>
                <w:spacing w:val="-5"/>
                <w:sz w:val="20"/>
              </w:rPr>
              <w:t> </w:t>
            </w:r>
            <w:r>
              <w:rPr>
                <w:sz w:val="20"/>
              </w:rPr>
              <w:t>of</w:t>
            </w:r>
            <w:r>
              <w:rPr>
                <w:spacing w:val="-4"/>
                <w:sz w:val="20"/>
              </w:rPr>
              <w:t> </w:t>
            </w:r>
            <w:r>
              <w:rPr>
                <w:spacing w:val="-2"/>
                <w:sz w:val="20"/>
              </w:rPr>
              <w:t>travel</w:t>
            </w:r>
          </w:p>
        </w:tc>
        <w:tc>
          <w:tcPr>
            <w:tcW w:w="8302" w:type="dxa"/>
          </w:tcPr>
          <w:p>
            <w:pPr>
              <w:pStyle w:val="TableParagraph"/>
              <w:spacing w:line="229" w:lineRule="exact"/>
              <w:ind w:left="108"/>
              <w:rPr>
                <w:sz w:val="20"/>
              </w:rPr>
            </w:pPr>
            <w:r>
              <w:rPr>
                <w:sz w:val="20"/>
              </w:rPr>
              <w:t>$</w:t>
            </w:r>
            <w:r>
              <w:rPr>
                <w:spacing w:val="-5"/>
                <w:sz w:val="20"/>
              </w:rPr>
              <w:t> </w:t>
            </w:r>
            <w:r>
              <w:rPr>
                <w:sz w:val="20"/>
              </w:rPr>
              <w:t>per</w:t>
            </w:r>
            <w:r>
              <w:rPr>
                <w:spacing w:val="-1"/>
                <w:sz w:val="20"/>
              </w:rPr>
              <w:t> </w:t>
            </w:r>
            <w:r>
              <w:rPr>
                <w:sz w:val="20"/>
              </w:rPr>
              <w:t>litre</w:t>
            </w:r>
            <w:r>
              <w:rPr>
                <w:spacing w:val="-2"/>
                <w:sz w:val="20"/>
              </w:rPr>
              <w:t> </w:t>
            </w:r>
            <w:r>
              <w:rPr>
                <w:sz w:val="20"/>
              </w:rPr>
              <w:t>of</w:t>
            </w:r>
            <w:r>
              <w:rPr>
                <w:spacing w:val="-4"/>
                <w:sz w:val="20"/>
              </w:rPr>
              <w:t> </w:t>
            </w:r>
            <w:r>
              <w:rPr>
                <w:sz w:val="20"/>
              </w:rPr>
              <w:t>fuel</w:t>
            </w:r>
            <w:r>
              <w:rPr>
                <w:spacing w:val="-5"/>
                <w:sz w:val="20"/>
              </w:rPr>
              <w:t> </w:t>
            </w:r>
            <w:r>
              <w:rPr>
                <w:sz w:val="20"/>
              </w:rPr>
              <w:t>or</w:t>
            </w:r>
            <w:r>
              <w:rPr>
                <w:spacing w:val="-4"/>
                <w:sz w:val="20"/>
              </w:rPr>
              <w:t> </w:t>
            </w:r>
            <w:r>
              <w:rPr>
                <w:sz w:val="20"/>
              </w:rPr>
              <w:t>total</w:t>
            </w:r>
            <w:r>
              <w:rPr>
                <w:spacing w:val="-5"/>
                <w:sz w:val="20"/>
              </w:rPr>
              <w:t> </w:t>
            </w:r>
            <w:r>
              <w:rPr>
                <w:sz w:val="20"/>
              </w:rPr>
              <w:t>fuel</w:t>
            </w:r>
            <w:r>
              <w:rPr>
                <w:spacing w:val="-6"/>
                <w:sz w:val="20"/>
              </w:rPr>
              <w:t> </w:t>
            </w:r>
            <w:r>
              <w:rPr>
                <w:sz w:val="20"/>
              </w:rPr>
              <w:t>cost</w:t>
            </w:r>
            <w:r>
              <w:rPr>
                <w:spacing w:val="-4"/>
                <w:sz w:val="20"/>
              </w:rPr>
              <w:t> </w:t>
            </w:r>
            <w:r>
              <w:rPr>
                <w:sz w:val="20"/>
              </w:rPr>
              <w:t>per</w:t>
            </w:r>
            <w:r>
              <w:rPr>
                <w:spacing w:val="-1"/>
                <w:sz w:val="20"/>
              </w:rPr>
              <w:t> </w:t>
            </w:r>
            <w:r>
              <w:rPr>
                <w:spacing w:val="-4"/>
                <w:sz w:val="20"/>
              </w:rPr>
              <w:t>event</w:t>
            </w:r>
          </w:p>
        </w:tc>
      </w:tr>
    </w:tbl>
    <w:p>
      <w:pPr>
        <w:spacing w:after="0" w:line="229" w:lineRule="exact"/>
        <w:rPr>
          <w:sz w:val="20"/>
        </w:rPr>
        <w:sectPr>
          <w:pgSz w:w="16850" w:h="11910" w:orient="landscape"/>
          <w:pgMar w:header="0" w:footer="686" w:top="1060" w:bottom="880" w:left="1020" w:right="1020"/>
        </w:sectPr>
      </w:pPr>
    </w:p>
    <w:p>
      <w:pPr>
        <w:pStyle w:val="BodyText"/>
        <w:spacing w:before="3"/>
        <w:rPr>
          <w:b/>
          <w:sz w:val="2"/>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4"/>
        <w:gridCol w:w="8302"/>
      </w:tblGrid>
      <w:tr>
        <w:trPr>
          <w:trHeight w:val="350" w:hRule="atLeast"/>
        </w:trPr>
        <w:tc>
          <w:tcPr>
            <w:tcW w:w="5444" w:type="dxa"/>
            <w:shd w:val="clear" w:color="auto" w:fill="004B96"/>
          </w:tcPr>
          <w:p>
            <w:pPr>
              <w:pStyle w:val="TableParagraph"/>
              <w:spacing w:before="62"/>
              <w:ind w:left="110"/>
              <w:rPr>
                <w:b/>
                <w:sz w:val="20"/>
              </w:rPr>
            </w:pPr>
            <w:r>
              <w:rPr>
                <w:b/>
                <w:color w:val="FFFFFF"/>
                <w:spacing w:val="-2"/>
                <w:sz w:val="20"/>
              </w:rPr>
              <w:t>Parameter</w:t>
            </w:r>
          </w:p>
        </w:tc>
        <w:tc>
          <w:tcPr>
            <w:tcW w:w="8302" w:type="dxa"/>
            <w:shd w:val="clear" w:color="auto" w:fill="004B96"/>
          </w:tcPr>
          <w:p>
            <w:pPr>
              <w:pStyle w:val="TableParagraph"/>
              <w:spacing w:before="62"/>
              <w:ind w:left="108"/>
              <w:rPr>
                <w:b/>
                <w:sz w:val="20"/>
              </w:rPr>
            </w:pPr>
            <w:r>
              <w:rPr>
                <w:b/>
                <w:color w:val="FFFFFF"/>
                <w:spacing w:val="-2"/>
                <w:sz w:val="20"/>
              </w:rPr>
              <w:t>Description</w:t>
            </w:r>
          </w:p>
        </w:tc>
      </w:tr>
      <w:tr>
        <w:trPr>
          <w:trHeight w:val="1041" w:hRule="atLeast"/>
        </w:trPr>
        <w:tc>
          <w:tcPr>
            <w:tcW w:w="5444" w:type="dxa"/>
          </w:tcPr>
          <w:p>
            <w:pPr>
              <w:pStyle w:val="TableParagraph"/>
              <w:rPr>
                <w:rFonts w:ascii="Times New Roman"/>
                <w:sz w:val="18"/>
              </w:rPr>
            </w:pPr>
          </w:p>
        </w:tc>
        <w:tc>
          <w:tcPr>
            <w:tcW w:w="8302" w:type="dxa"/>
          </w:tcPr>
          <w:p>
            <w:pPr>
              <w:pStyle w:val="TableParagraph"/>
              <w:ind w:left="108" w:right="3611"/>
              <w:rPr>
                <w:sz w:val="20"/>
              </w:rPr>
            </w:pPr>
            <w:r>
              <w:rPr>
                <w:sz w:val="20"/>
              </w:rPr>
              <w:t>Cost</w:t>
            </w:r>
            <w:r>
              <w:rPr>
                <w:spacing w:val="-7"/>
                <w:sz w:val="20"/>
              </w:rPr>
              <w:t> </w:t>
            </w:r>
            <w:r>
              <w:rPr>
                <w:sz w:val="20"/>
              </w:rPr>
              <w:t>of</w:t>
            </w:r>
            <w:r>
              <w:rPr>
                <w:spacing w:val="-7"/>
                <w:sz w:val="20"/>
              </w:rPr>
              <w:t> </w:t>
            </w:r>
            <w:r>
              <w:rPr>
                <w:sz w:val="20"/>
              </w:rPr>
              <w:t>travel</w:t>
            </w:r>
            <w:r>
              <w:rPr>
                <w:spacing w:val="-8"/>
                <w:sz w:val="20"/>
              </w:rPr>
              <w:t> </w:t>
            </w:r>
            <w:r>
              <w:rPr>
                <w:sz w:val="20"/>
              </w:rPr>
              <w:t>for</w:t>
            </w:r>
            <w:r>
              <w:rPr>
                <w:spacing w:val="-7"/>
                <w:sz w:val="20"/>
              </w:rPr>
              <w:t> </w:t>
            </w:r>
            <w:r>
              <w:rPr>
                <w:sz w:val="20"/>
              </w:rPr>
              <w:t>constructing</w:t>
            </w:r>
            <w:r>
              <w:rPr>
                <w:spacing w:val="-8"/>
                <w:sz w:val="20"/>
              </w:rPr>
              <w:t> </w:t>
            </w:r>
            <w:r>
              <w:rPr>
                <w:sz w:val="20"/>
              </w:rPr>
              <w:t>bait</w:t>
            </w:r>
            <w:r>
              <w:rPr>
                <w:spacing w:val="-7"/>
                <w:sz w:val="20"/>
              </w:rPr>
              <w:t> </w:t>
            </w:r>
            <w:r>
              <w:rPr>
                <w:sz w:val="20"/>
              </w:rPr>
              <w:t>stations</w:t>
            </w:r>
            <w:r>
              <w:rPr>
                <w:spacing w:val="-6"/>
                <w:sz w:val="20"/>
              </w:rPr>
              <w:t> </w:t>
            </w:r>
            <w:r>
              <w:rPr>
                <w:sz w:val="20"/>
              </w:rPr>
              <w:t>($/km) Cost of laying/replacing baits ($/km)</w:t>
            </w:r>
          </w:p>
          <w:p>
            <w:pPr>
              <w:pStyle w:val="TableParagraph"/>
              <w:ind w:left="108" w:right="3281"/>
              <w:rPr>
                <w:sz w:val="20"/>
              </w:rPr>
            </w:pPr>
            <w:r>
              <w:rPr>
                <w:sz w:val="20"/>
              </w:rPr>
              <w:t>Cost</w:t>
            </w:r>
            <w:r>
              <w:rPr>
                <w:spacing w:val="-8"/>
                <w:sz w:val="20"/>
              </w:rPr>
              <w:t> </w:t>
            </w:r>
            <w:r>
              <w:rPr>
                <w:sz w:val="20"/>
              </w:rPr>
              <w:t>of</w:t>
            </w:r>
            <w:r>
              <w:rPr>
                <w:spacing w:val="-8"/>
                <w:sz w:val="20"/>
              </w:rPr>
              <w:t> </w:t>
            </w:r>
            <w:r>
              <w:rPr>
                <w:sz w:val="20"/>
              </w:rPr>
              <w:t>travel</w:t>
            </w:r>
            <w:r>
              <w:rPr>
                <w:spacing w:val="-8"/>
                <w:sz w:val="20"/>
              </w:rPr>
              <w:t> </w:t>
            </w:r>
            <w:r>
              <w:rPr>
                <w:sz w:val="20"/>
              </w:rPr>
              <w:t>for</w:t>
            </w:r>
            <w:r>
              <w:rPr>
                <w:spacing w:val="-8"/>
                <w:sz w:val="20"/>
              </w:rPr>
              <w:t> </w:t>
            </w:r>
            <w:r>
              <w:rPr>
                <w:sz w:val="20"/>
              </w:rPr>
              <w:t>constructing/retrieving</w:t>
            </w:r>
            <w:r>
              <w:rPr>
                <w:spacing w:val="-7"/>
                <w:sz w:val="20"/>
              </w:rPr>
              <w:t> </w:t>
            </w:r>
            <w:r>
              <w:rPr>
                <w:sz w:val="20"/>
              </w:rPr>
              <w:t>CPEs</w:t>
            </w:r>
            <w:r>
              <w:rPr>
                <w:spacing w:val="-7"/>
                <w:sz w:val="20"/>
              </w:rPr>
              <w:t> </w:t>
            </w:r>
            <w:r>
              <w:rPr>
                <w:sz w:val="20"/>
              </w:rPr>
              <w:t>($/km) Km driven/walked ground shooting</w:t>
            </w:r>
          </w:p>
        </w:tc>
      </w:tr>
      <w:tr>
        <w:trPr>
          <w:trHeight w:val="350" w:hRule="atLeast"/>
        </w:trPr>
        <w:tc>
          <w:tcPr>
            <w:tcW w:w="5444" w:type="dxa"/>
          </w:tcPr>
          <w:p>
            <w:pPr>
              <w:pStyle w:val="TableParagraph"/>
              <w:spacing w:line="229" w:lineRule="exact"/>
              <w:ind w:left="110"/>
              <w:rPr>
                <w:b/>
                <w:sz w:val="20"/>
              </w:rPr>
            </w:pPr>
            <w:r>
              <w:rPr>
                <w:b/>
                <w:sz w:val="20"/>
              </w:rPr>
              <w:t>Pest</w:t>
            </w:r>
            <w:r>
              <w:rPr>
                <w:b/>
                <w:spacing w:val="-7"/>
                <w:sz w:val="20"/>
              </w:rPr>
              <w:t> </w:t>
            </w:r>
            <w:r>
              <w:rPr>
                <w:b/>
                <w:sz w:val="20"/>
              </w:rPr>
              <w:t>animal</w:t>
            </w:r>
            <w:r>
              <w:rPr>
                <w:b/>
                <w:spacing w:val="-9"/>
                <w:sz w:val="20"/>
              </w:rPr>
              <w:t> </w:t>
            </w:r>
            <w:r>
              <w:rPr>
                <w:b/>
                <w:spacing w:val="-4"/>
                <w:sz w:val="20"/>
              </w:rPr>
              <w:t>data</w:t>
            </w:r>
          </w:p>
        </w:tc>
        <w:tc>
          <w:tcPr>
            <w:tcW w:w="8302" w:type="dxa"/>
          </w:tcPr>
          <w:p>
            <w:pPr>
              <w:pStyle w:val="TableParagraph"/>
              <w:rPr>
                <w:rFonts w:ascii="Times New Roman"/>
                <w:sz w:val="18"/>
              </w:rPr>
            </w:pPr>
          </w:p>
        </w:tc>
      </w:tr>
      <w:tr>
        <w:trPr>
          <w:trHeight w:val="350" w:hRule="atLeast"/>
        </w:trPr>
        <w:tc>
          <w:tcPr>
            <w:tcW w:w="5444" w:type="dxa"/>
          </w:tcPr>
          <w:p>
            <w:pPr>
              <w:pStyle w:val="TableParagraph"/>
              <w:spacing w:line="229" w:lineRule="exact"/>
              <w:ind w:left="110"/>
              <w:rPr>
                <w:sz w:val="20"/>
              </w:rPr>
            </w:pPr>
            <w:r>
              <w:rPr>
                <w:sz w:val="20"/>
              </w:rPr>
              <w:t>Pest</w:t>
            </w:r>
            <w:r>
              <w:rPr>
                <w:spacing w:val="-8"/>
                <w:sz w:val="20"/>
              </w:rPr>
              <w:t> </w:t>
            </w:r>
            <w:r>
              <w:rPr>
                <w:spacing w:val="-2"/>
                <w:sz w:val="20"/>
              </w:rPr>
              <w:t>abundance/density</w:t>
            </w:r>
          </w:p>
        </w:tc>
        <w:tc>
          <w:tcPr>
            <w:tcW w:w="8302" w:type="dxa"/>
          </w:tcPr>
          <w:p>
            <w:pPr>
              <w:pStyle w:val="TableParagraph"/>
              <w:spacing w:line="229" w:lineRule="exact"/>
              <w:ind w:left="108"/>
              <w:rPr>
                <w:sz w:val="20"/>
              </w:rPr>
            </w:pPr>
            <w:r>
              <w:rPr>
                <w:sz w:val="20"/>
              </w:rPr>
              <w:t>A</w:t>
            </w:r>
            <w:r>
              <w:rPr>
                <w:spacing w:val="-6"/>
                <w:sz w:val="20"/>
              </w:rPr>
              <w:t> </w:t>
            </w:r>
            <w:r>
              <w:rPr>
                <w:sz w:val="20"/>
              </w:rPr>
              <w:t>measure</w:t>
            </w:r>
            <w:r>
              <w:rPr>
                <w:spacing w:val="-6"/>
                <w:sz w:val="20"/>
              </w:rPr>
              <w:t> </w:t>
            </w:r>
            <w:r>
              <w:rPr>
                <w:sz w:val="20"/>
              </w:rPr>
              <w:t>of</w:t>
            </w:r>
            <w:r>
              <w:rPr>
                <w:spacing w:val="-6"/>
                <w:sz w:val="20"/>
              </w:rPr>
              <w:t> </w:t>
            </w:r>
            <w:r>
              <w:rPr>
                <w:sz w:val="20"/>
              </w:rPr>
              <w:t>the</w:t>
            </w:r>
            <w:r>
              <w:rPr>
                <w:spacing w:val="-5"/>
                <w:sz w:val="20"/>
              </w:rPr>
              <w:t> </w:t>
            </w:r>
            <w:r>
              <w:rPr>
                <w:sz w:val="20"/>
              </w:rPr>
              <w:t>pre</w:t>
            </w:r>
            <w:r>
              <w:rPr>
                <w:spacing w:val="-4"/>
                <w:sz w:val="20"/>
              </w:rPr>
              <w:t> </w:t>
            </w:r>
            <w:r>
              <w:rPr>
                <w:sz w:val="20"/>
              </w:rPr>
              <w:t>and</w:t>
            </w:r>
            <w:r>
              <w:rPr>
                <w:spacing w:val="-4"/>
                <w:sz w:val="20"/>
              </w:rPr>
              <w:t> </w:t>
            </w:r>
            <w:r>
              <w:rPr>
                <w:sz w:val="20"/>
              </w:rPr>
              <w:t>post</w:t>
            </w:r>
            <w:r>
              <w:rPr>
                <w:spacing w:val="-6"/>
                <w:sz w:val="20"/>
              </w:rPr>
              <w:t> </w:t>
            </w:r>
            <w:r>
              <w:rPr>
                <w:sz w:val="20"/>
              </w:rPr>
              <w:t>density,</w:t>
            </w:r>
            <w:r>
              <w:rPr>
                <w:spacing w:val="-6"/>
                <w:sz w:val="20"/>
              </w:rPr>
              <w:t> </w:t>
            </w:r>
            <w:r>
              <w:rPr>
                <w:sz w:val="20"/>
              </w:rPr>
              <w:t>relative</w:t>
            </w:r>
            <w:r>
              <w:rPr>
                <w:spacing w:val="-3"/>
                <w:sz w:val="20"/>
              </w:rPr>
              <w:t> </w:t>
            </w:r>
            <w:r>
              <w:rPr>
                <w:sz w:val="20"/>
              </w:rPr>
              <w:t>abundance,</w:t>
            </w:r>
            <w:r>
              <w:rPr>
                <w:spacing w:val="-6"/>
                <w:sz w:val="20"/>
              </w:rPr>
              <w:t> </w:t>
            </w:r>
            <w:r>
              <w:rPr>
                <w:sz w:val="20"/>
              </w:rPr>
              <w:t>or</w:t>
            </w:r>
            <w:r>
              <w:rPr>
                <w:spacing w:val="-6"/>
                <w:sz w:val="20"/>
              </w:rPr>
              <w:t> </w:t>
            </w:r>
            <w:r>
              <w:rPr>
                <w:sz w:val="20"/>
              </w:rPr>
              <w:t>a</w:t>
            </w:r>
            <w:r>
              <w:rPr>
                <w:spacing w:val="-6"/>
                <w:sz w:val="20"/>
              </w:rPr>
              <w:t> </w:t>
            </w:r>
            <w:r>
              <w:rPr>
                <w:sz w:val="20"/>
              </w:rPr>
              <w:t>count</w:t>
            </w:r>
            <w:r>
              <w:rPr>
                <w:spacing w:val="-3"/>
                <w:sz w:val="20"/>
              </w:rPr>
              <w:t> </w:t>
            </w:r>
            <w:r>
              <w:rPr>
                <w:sz w:val="20"/>
              </w:rPr>
              <w:t>of</w:t>
            </w:r>
            <w:r>
              <w:rPr>
                <w:spacing w:val="-4"/>
                <w:sz w:val="20"/>
              </w:rPr>
              <w:t> </w:t>
            </w:r>
            <w:r>
              <w:rPr>
                <w:spacing w:val="-2"/>
                <w:sz w:val="20"/>
              </w:rPr>
              <w:t>individuals.</w:t>
            </w:r>
          </w:p>
        </w:tc>
      </w:tr>
      <w:tr>
        <w:trPr>
          <w:trHeight w:val="1269" w:hRule="atLeast"/>
        </w:trPr>
        <w:tc>
          <w:tcPr>
            <w:tcW w:w="5444" w:type="dxa"/>
          </w:tcPr>
          <w:p>
            <w:pPr>
              <w:pStyle w:val="TableParagraph"/>
              <w:spacing w:line="229" w:lineRule="exact"/>
              <w:ind w:left="110"/>
              <w:rPr>
                <w:sz w:val="20"/>
              </w:rPr>
            </w:pPr>
            <w:r>
              <w:rPr>
                <w:sz w:val="20"/>
              </w:rPr>
              <w:t>The</w:t>
            </w:r>
            <w:r>
              <w:rPr>
                <w:spacing w:val="-9"/>
                <w:sz w:val="20"/>
              </w:rPr>
              <w:t> </w:t>
            </w:r>
            <w:r>
              <w:rPr>
                <w:sz w:val="20"/>
              </w:rPr>
              <w:t>number</w:t>
            </w:r>
            <w:r>
              <w:rPr>
                <w:spacing w:val="-8"/>
                <w:sz w:val="20"/>
              </w:rPr>
              <w:t> </w:t>
            </w:r>
            <w:r>
              <w:rPr>
                <w:sz w:val="20"/>
              </w:rPr>
              <w:t>of</w:t>
            </w:r>
            <w:r>
              <w:rPr>
                <w:spacing w:val="-6"/>
                <w:sz w:val="20"/>
              </w:rPr>
              <w:t> </w:t>
            </w:r>
            <w:r>
              <w:rPr>
                <w:sz w:val="20"/>
              </w:rPr>
              <w:t>individuals</w:t>
            </w:r>
            <w:r>
              <w:rPr>
                <w:spacing w:val="-7"/>
                <w:sz w:val="20"/>
              </w:rPr>
              <w:t> </w:t>
            </w:r>
            <w:r>
              <w:rPr>
                <w:sz w:val="20"/>
              </w:rPr>
              <w:t>killed</w:t>
            </w:r>
            <w:r>
              <w:rPr>
                <w:spacing w:val="-7"/>
                <w:sz w:val="20"/>
              </w:rPr>
              <w:t> </w:t>
            </w:r>
            <w:r>
              <w:rPr>
                <w:sz w:val="20"/>
              </w:rPr>
              <w:t>per</w:t>
            </w:r>
            <w:r>
              <w:rPr>
                <w:spacing w:val="-7"/>
                <w:sz w:val="20"/>
              </w:rPr>
              <w:t> </w:t>
            </w:r>
            <w:r>
              <w:rPr>
                <w:spacing w:val="-4"/>
                <w:sz w:val="20"/>
              </w:rPr>
              <w:t>event</w:t>
            </w:r>
          </w:p>
        </w:tc>
        <w:tc>
          <w:tcPr>
            <w:tcW w:w="8302" w:type="dxa"/>
          </w:tcPr>
          <w:p>
            <w:pPr>
              <w:pStyle w:val="TableParagraph"/>
              <w:ind w:left="108" w:right="1980"/>
              <w:rPr>
                <w:sz w:val="20"/>
              </w:rPr>
            </w:pPr>
            <w:r>
              <w:rPr>
                <w:sz w:val="20"/>
              </w:rPr>
              <w:t>The</w:t>
            </w:r>
            <w:r>
              <w:rPr>
                <w:spacing w:val="-6"/>
                <w:sz w:val="20"/>
              </w:rPr>
              <w:t> </w:t>
            </w:r>
            <w:r>
              <w:rPr>
                <w:sz w:val="20"/>
              </w:rPr>
              <w:t>number</w:t>
            </w:r>
            <w:r>
              <w:rPr>
                <w:spacing w:val="-5"/>
                <w:sz w:val="20"/>
              </w:rPr>
              <w:t> </w:t>
            </w:r>
            <w:r>
              <w:rPr>
                <w:sz w:val="20"/>
              </w:rPr>
              <w:t>of</w:t>
            </w:r>
            <w:r>
              <w:rPr>
                <w:spacing w:val="-4"/>
                <w:sz w:val="20"/>
              </w:rPr>
              <w:t> </w:t>
            </w:r>
            <w:r>
              <w:rPr>
                <w:sz w:val="20"/>
              </w:rPr>
              <w:t>foxes</w:t>
            </w:r>
            <w:r>
              <w:rPr>
                <w:spacing w:val="-4"/>
                <w:sz w:val="20"/>
              </w:rPr>
              <w:t> </w:t>
            </w:r>
            <w:r>
              <w:rPr>
                <w:sz w:val="20"/>
              </w:rPr>
              <w:t>shot</w:t>
            </w:r>
            <w:r>
              <w:rPr>
                <w:spacing w:val="-3"/>
                <w:sz w:val="20"/>
              </w:rPr>
              <w:t> </w:t>
            </w:r>
            <w:r>
              <w:rPr>
                <w:sz w:val="20"/>
              </w:rPr>
              <w:t>per</w:t>
            </w:r>
            <w:r>
              <w:rPr>
                <w:spacing w:val="-5"/>
                <w:sz w:val="20"/>
              </w:rPr>
              <w:t> </w:t>
            </w:r>
            <w:r>
              <w:rPr>
                <w:sz w:val="20"/>
              </w:rPr>
              <w:t>transect</w:t>
            </w:r>
            <w:r>
              <w:rPr>
                <w:spacing w:val="-3"/>
                <w:sz w:val="20"/>
              </w:rPr>
              <w:t> </w:t>
            </w:r>
            <w:r>
              <w:rPr>
                <w:sz w:val="20"/>
              </w:rPr>
              <w:t>and</w:t>
            </w:r>
            <w:r>
              <w:rPr>
                <w:spacing w:val="-6"/>
                <w:sz w:val="20"/>
              </w:rPr>
              <w:t> </w:t>
            </w:r>
            <w:r>
              <w:rPr>
                <w:sz w:val="20"/>
              </w:rPr>
              <w:t>number</w:t>
            </w:r>
            <w:r>
              <w:rPr>
                <w:spacing w:val="-4"/>
                <w:sz w:val="20"/>
              </w:rPr>
              <w:t> </w:t>
            </w:r>
            <w:r>
              <w:rPr>
                <w:sz w:val="20"/>
              </w:rPr>
              <w:t>missed</w:t>
            </w:r>
            <w:r>
              <w:rPr>
                <w:spacing w:val="-6"/>
                <w:sz w:val="20"/>
              </w:rPr>
              <w:t> </w:t>
            </w:r>
            <w:r>
              <w:rPr>
                <w:sz w:val="20"/>
              </w:rPr>
              <w:t>transect. No of fox dens fumigated per event</w:t>
            </w:r>
          </w:p>
          <w:p>
            <w:pPr>
              <w:pStyle w:val="TableParagraph"/>
              <w:spacing w:line="229" w:lineRule="exact"/>
              <w:ind w:left="108"/>
              <w:rPr>
                <w:sz w:val="20"/>
              </w:rPr>
            </w:pPr>
            <w:r>
              <w:rPr>
                <w:sz w:val="20"/>
              </w:rPr>
              <w:t>No.</w:t>
            </w:r>
            <w:r>
              <w:rPr>
                <w:spacing w:val="-6"/>
                <w:sz w:val="20"/>
              </w:rPr>
              <w:t> </w:t>
            </w:r>
            <w:r>
              <w:rPr>
                <w:sz w:val="20"/>
              </w:rPr>
              <w:t>CPEs</w:t>
            </w:r>
            <w:r>
              <w:rPr>
                <w:spacing w:val="-5"/>
                <w:sz w:val="20"/>
              </w:rPr>
              <w:t> </w:t>
            </w:r>
            <w:r>
              <w:rPr>
                <w:sz w:val="20"/>
              </w:rPr>
              <w:t>set-off</w:t>
            </w:r>
            <w:r>
              <w:rPr>
                <w:spacing w:val="-5"/>
                <w:sz w:val="20"/>
              </w:rPr>
              <w:t> </w:t>
            </w:r>
            <w:r>
              <w:rPr>
                <w:sz w:val="20"/>
              </w:rPr>
              <w:t>per</w:t>
            </w:r>
            <w:r>
              <w:rPr>
                <w:spacing w:val="-3"/>
                <w:sz w:val="20"/>
              </w:rPr>
              <w:t> </w:t>
            </w:r>
            <w:r>
              <w:rPr>
                <w:spacing w:val="-4"/>
                <w:sz w:val="20"/>
              </w:rPr>
              <w:t>event</w:t>
            </w:r>
          </w:p>
          <w:p>
            <w:pPr>
              <w:pStyle w:val="TableParagraph"/>
              <w:ind w:left="108" w:right="4291"/>
              <w:rPr>
                <w:sz w:val="20"/>
              </w:rPr>
            </w:pPr>
            <w:r>
              <w:rPr>
                <w:sz w:val="20"/>
              </w:rPr>
              <w:t>No.</w:t>
            </w:r>
            <w:r>
              <w:rPr>
                <w:spacing w:val="-7"/>
                <w:sz w:val="20"/>
              </w:rPr>
              <w:t> </w:t>
            </w:r>
            <w:r>
              <w:rPr>
                <w:sz w:val="20"/>
              </w:rPr>
              <w:t>of</w:t>
            </w:r>
            <w:r>
              <w:rPr>
                <w:spacing w:val="-5"/>
                <w:sz w:val="20"/>
              </w:rPr>
              <w:t> </w:t>
            </w:r>
            <w:r>
              <w:rPr>
                <w:sz w:val="20"/>
              </w:rPr>
              <w:t>individuals</w:t>
            </w:r>
            <w:r>
              <w:rPr>
                <w:spacing w:val="-6"/>
                <w:sz w:val="20"/>
              </w:rPr>
              <w:t> </w:t>
            </w:r>
            <w:r>
              <w:rPr>
                <w:sz w:val="20"/>
              </w:rPr>
              <w:t>trapped</w:t>
            </w:r>
            <w:r>
              <w:rPr>
                <w:spacing w:val="-5"/>
                <w:sz w:val="20"/>
              </w:rPr>
              <w:t> </w:t>
            </w:r>
            <w:r>
              <w:rPr>
                <w:sz w:val="20"/>
              </w:rPr>
              <w:t>per</w:t>
            </w:r>
            <w:r>
              <w:rPr>
                <w:spacing w:val="-7"/>
                <w:sz w:val="20"/>
              </w:rPr>
              <w:t> </w:t>
            </w:r>
            <w:r>
              <w:rPr>
                <w:sz w:val="20"/>
              </w:rPr>
              <w:t>trap</w:t>
            </w:r>
            <w:r>
              <w:rPr>
                <w:spacing w:val="-8"/>
                <w:sz w:val="20"/>
              </w:rPr>
              <w:t> </w:t>
            </w:r>
            <w:r>
              <w:rPr>
                <w:sz w:val="20"/>
              </w:rPr>
              <w:t>per</w:t>
            </w:r>
            <w:r>
              <w:rPr>
                <w:spacing w:val="-7"/>
                <w:sz w:val="20"/>
              </w:rPr>
              <w:t> </w:t>
            </w:r>
            <w:r>
              <w:rPr>
                <w:sz w:val="20"/>
              </w:rPr>
              <w:t>event No. baits taken per event</w:t>
            </w:r>
          </w:p>
        </w:tc>
      </w:tr>
    </w:tbl>
    <w:p>
      <w:pPr>
        <w:spacing w:after="0"/>
        <w:rPr>
          <w:sz w:val="20"/>
        </w:rPr>
        <w:sectPr>
          <w:pgSz w:w="16850" w:h="11910" w:orient="landscape"/>
          <w:pgMar w:header="0" w:footer="686" w:top="1100" w:bottom="880" w:left="1020" w:right="1020"/>
        </w:sectPr>
      </w:pPr>
    </w:p>
    <w:p>
      <w:pPr>
        <w:spacing w:before="66"/>
        <w:ind w:left="112" w:right="0" w:firstLine="0"/>
        <w:jc w:val="left"/>
        <w:rPr>
          <w:b/>
          <w:sz w:val="20"/>
        </w:rPr>
      </w:pPr>
      <w:r>
        <w:rPr>
          <w:b/>
          <w:color w:val="1F1546"/>
          <w:sz w:val="20"/>
        </w:rPr>
        <w:t>Table</w:t>
      </w:r>
      <w:r>
        <w:rPr>
          <w:b/>
          <w:color w:val="1F1546"/>
          <w:spacing w:val="-7"/>
          <w:sz w:val="20"/>
        </w:rPr>
        <w:t> </w:t>
      </w:r>
      <w:r>
        <w:rPr>
          <w:b/>
          <w:color w:val="1F1546"/>
          <w:sz w:val="20"/>
        </w:rPr>
        <w:t>A4.</w:t>
      </w:r>
      <w:r>
        <w:rPr>
          <w:b/>
          <w:color w:val="1F1546"/>
          <w:spacing w:val="-7"/>
          <w:sz w:val="20"/>
        </w:rPr>
        <w:t> </w:t>
      </w:r>
      <w:r>
        <w:rPr>
          <w:b/>
          <w:color w:val="1F1546"/>
          <w:sz w:val="20"/>
        </w:rPr>
        <w:t>Data</w:t>
      </w:r>
      <w:r>
        <w:rPr>
          <w:b/>
          <w:color w:val="1F1546"/>
          <w:spacing w:val="-5"/>
          <w:sz w:val="20"/>
        </w:rPr>
        <w:t> </w:t>
      </w:r>
      <w:r>
        <w:rPr>
          <w:b/>
          <w:color w:val="1F1546"/>
          <w:sz w:val="20"/>
        </w:rPr>
        <w:t>required</w:t>
      </w:r>
      <w:r>
        <w:rPr>
          <w:b/>
          <w:color w:val="1F1546"/>
          <w:spacing w:val="-7"/>
          <w:sz w:val="20"/>
        </w:rPr>
        <w:t> </w:t>
      </w:r>
      <w:r>
        <w:rPr>
          <w:b/>
          <w:color w:val="1F1546"/>
          <w:sz w:val="20"/>
        </w:rPr>
        <w:t>from</w:t>
      </w:r>
      <w:r>
        <w:rPr>
          <w:b/>
          <w:color w:val="1F1546"/>
          <w:spacing w:val="-5"/>
          <w:sz w:val="20"/>
        </w:rPr>
        <w:t> </w:t>
      </w:r>
      <w:r>
        <w:rPr>
          <w:b/>
          <w:color w:val="1F1546"/>
          <w:sz w:val="20"/>
        </w:rPr>
        <w:t>lethal</w:t>
      </w:r>
      <w:r>
        <w:rPr>
          <w:b/>
          <w:color w:val="1F1546"/>
          <w:spacing w:val="42"/>
          <w:sz w:val="20"/>
        </w:rPr>
        <w:t> </w:t>
      </w:r>
      <w:r>
        <w:rPr>
          <w:b/>
          <w:color w:val="1F1546"/>
          <w:sz w:val="20"/>
        </w:rPr>
        <w:t>Dingo</w:t>
      </w:r>
      <w:r>
        <w:rPr>
          <w:b/>
          <w:color w:val="1F1546"/>
          <w:spacing w:val="-3"/>
          <w:sz w:val="20"/>
        </w:rPr>
        <w:t> </w:t>
      </w:r>
      <w:r>
        <w:rPr>
          <w:b/>
          <w:color w:val="1F1546"/>
          <w:sz w:val="20"/>
        </w:rPr>
        <w:t>and</w:t>
      </w:r>
      <w:r>
        <w:rPr>
          <w:b/>
          <w:color w:val="1F1546"/>
          <w:spacing w:val="-5"/>
          <w:sz w:val="20"/>
        </w:rPr>
        <w:t> </w:t>
      </w:r>
      <w:r>
        <w:rPr>
          <w:b/>
          <w:color w:val="1F1546"/>
          <w:sz w:val="20"/>
        </w:rPr>
        <w:t>Wild</w:t>
      </w:r>
      <w:r>
        <w:rPr>
          <w:b/>
          <w:color w:val="1F1546"/>
          <w:spacing w:val="-4"/>
          <w:sz w:val="20"/>
        </w:rPr>
        <w:t> </w:t>
      </w:r>
      <w:r>
        <w:rPr>
          <w:b/>
          <w:color w:val="1F1546"/>
          <w:sz w:val="20"/>
        </w:rPr>
        <w:t>Dog</w:t>
      </w:r>
      <w:r>
        <w:rPr>
          <w:b/>
          <w:color w:val="1F1546"/>
          <w:spacing w:val="-6"/>
          <w:sz w:val="20"/>
        </w:rPr>
        <w:t> </w:t>
      </w:r>
      <w:r>
        <w:rPr>
          <w:b/>
          <w:color w:val="1F1546"/>
          <w:sz w:val="20"/>
        </w:rPr>
        <w:t>control</w:t>
      </w:r>
      <w:r>
        <w:rPr>
          <w:b/>
          <w:color w:val="1F1546"/>
          <w:spacing w:val="-7"/>
          <w:sz w:val="20"/>
        </w:rPr>
        <w:t> </w:t>
      </w:r>
      <w:r>
        <w:rPr>
          <w:b/>
          <w:color w:val="1F1546"/>
          <w:sz w:val="20"/>
        </w:rPr>
        <w:t>operations</w:t>
      </w:r>
      <w:r>
        <w:rPr>
          <w:b/>
          <w:color w:val="1F1546"/>
          <w:spacing w:val="-7"/>
          <w:sz w:val="20"/>
        </w:rPr>
        <w:t> </w:t>
      </w:r>
      <w:r>
        <w:rPr>
          <w:b/>
          <w:color w:val="1F1546"/>
          <w:sz w:val="20"/>
        </w:rPr>
        <w:t>to</w:t>
      </w:r>
      <w:r>
        <w:rPr>
          <w:b/>
          <w:color w:val="1F1546"/>
          <w:spacing w:val="-6"/>
          <w:sz w:val="20"/>
        </w:rPr>
        <w:t> </w:t>
      </w:r>
      <w:r>
        <w:rPr>
          <w:b/>
          <w:color w:val="1F1546"/>
          <w:sz w:val="20"/>
        </w:rPr>
        <w:t>parameterise</w:t>
      </w:r>
      <w:r>
        <w:rPr>
          <w:b/>
          <w:color w:val="1F1546"/>
          <w:spacing w:val="-7"/>
          <w:sz w:val="20"/>
        </w:rPr>
        <w:t> </w:t>
      </w:r>
      <w:r>
        <w:rPr>
          <w:b/>
          <w:color w:val="1F1546"/>
          <w:sz w:val="20"/>
        </w:rPr>
        <w:t>cost-effectiveness</w:t>
      </w:r>
      <w:r>
        <w:rPr>
          <w:b/>
          <w:color w:val="1F1546"/>
          <w:spacing w:val="-7"/>
          <w:sz w:val="20"/>
        </w:rPr>
        <w:t> </w:t>
      </w:r>
      <w:r>
        <w:rPr>
          <w:b/>
          <w:color w:val="1F1546"/>
          <w:spacing w:val="-2"/>
          <w:sz w:val="20"/>
        </w:rPr>
        <w:t>models.</w:t>
      </w:r>
    </w:p>
    <w:p>
      <w:pPr>
        <w:pStyle w:val="BodyText"/>
        <w:spacing w:before="6"/>
        <w:rPr>
          <w:b/>
          <w:sz w:val="10"/>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4"/>
        <w:gridCol w:w="8302"/>
      </w:tblGrid>
      <w:tr>
        <w:trPr>
          <w:trHeight w:val="371" w:hRule="atLeast"/>
        </w:trPr>
        <w:tc>
          <w:tcPr>
            <w:tcW w:w="5444" w:type="dxa"/>
          </w:tcPr>
          <w:p>
            <w:pPr>
              <w:pStyle w:val="TableParagraph"/>
              <w:spacing w:before="78"/>
              <w:ind w:left="110"/>
              <w:rPr>
                <w:b/>
                <w:sz w:val="20"/>
              </w:rPr>
            </w:pPr>
            <w:r>
              <w:rPr>
                <w:b/>
                <w:spacing w:val="-2"/>
                <w:sz w:val="20"/>
              </w:rPr>
              <w:t>Operational</w:t>
            </w:r>
            <w:r>
              <w:rPr>
                <w:b/>
                <w:spacing w:val="6"/>
                <w:sz w:val="20"/>
              </w:rPr>
              <w:t> </w:t>
            </w:r>
            <w:r>
              <w:rPr>
                <w:b/>
                <w:spacing w:val="-4"/>
                <w:sz w:val="20"/>
              </w:rPr>
              <w:t>data</w:t>
            </w:r>
          </w:p>
        </w:tc>
        <w:tc>
          <w:tcPr>
            <w:tcW w:w="8302" w:type="dxa"/>
          </w:tcPr>
          <w:p>
            <w:pPr>
              <w:pStyle w:val="TableParagraph"/>
              <w:spacing w:before="78"/>
              <w:ind w:left="108"/>
              <w:rPr>
                <w:b/>
                <w:sz w:val="20"/>
              </w:rPr>
            </w:pPr>
            <w:r>
              <w:rPr>
                <w:b/>
                <w:spacing w:val="-2"/>
                <w:sz w:val="20"/>
              </w:rPr>
              <w:t>Parameter</w:t>
            </w:r>
          </w:p>
        </w:tc>
      </w:tr>
      <w:tr>
        <w:trPr>
          <w:trHeight w:val="369" w:hRule="atLeast"/>
        </w:trPr>
        <w:tc>
          <w:tcPr>
            <w:tcW w:w="5444" w:type="dxa"/>
          </w:tcPr>
          <w:p>
            <w:pPr>
              <w:pStyle w:val="TableParagraph"/>
              <w:spacing w:before="78"/>
              <w:ind w:left="110"/>
              <w:rPr>
                <w:sz w:val="20"/>
              </w:rPr>
            </w:pPr>
            <w:r>
              <w:rPr>
                <w:sz w:val="20"/>
              </w:rPr>
              <w:t>Date</w:t>
            </w:r>
            <w:r>
              <w:rPr>
                <w:spacing w:val="-7"/>
                <w:sz w:val="20"/>
              </w:rPr>
              <w:t> </w:t>
            </w:r>
            <w:r>
              <w:rPr>
                <w:sz w:val="20"/>
              </w:rPr>
              <w:t>and</w:t>
            </w:r>
            <w:r>
              <w:rPr>
                <w:spacing w:val="-5"/>
                <w:sz w:val="20"/>
              </w:rPr>
              <w:t> </w:t>
            </w:r>
            <w:r>
              <w:rPr>
                <w:spacing w:val="-2"/>
                <w:sz w:val="20"/>
              </w:rPr>
              <w:t>location</w:t>
            </w:r>
          </w:p>
        </w:tc>
        <w:tc>
          <w:tcPr>
            <w:tcW w:w="8302" w:type="dxa"/>
          </w:tcPr>
          <w:p>
            <w:pPr>
              <w:pStyle w:val="TableParagraph"/>
              <w:spacing w:before="78"/>
              <w:ind w:left="108"/>
              <w:rPr>
                <w:sz w:val="20"/>
              </w:rPr>
            </w:pPr>
            <w:r>
              <w:rPr>
                <w:sz w:val="20"/>
              </w:rPr>
              <w:t>Location</w:t>
            </w:r>
            <w:r>
              <w:rPr>
                <w:spacing w:val="-8"/>
                <w:sz w:val="20"/>
              </w:rPr>
              <w:t> </w:t>
            </w:r>
            <w:r>
              <w:rPr>
                <w:sz w:val="20"/>
              </w:rPr>
              <w:t>should</w:t>
            </w:r>
            <w:r>
              <w:rPr>
                <w:spacing w:val="-6"/>
                <w:sz w:val="20"/>
              </w:rPr>
              <w:t> </w:t>
            </w:r>
            <w:r>
              <w:rPr>
                <w:sz w:val="20"/>
              </w:rPr>
              <w:t>be</w:t>
            </w:r>
            <w:r>
              <w:rPr>
                <w:spacing w:val="-7"/>
                <w:sz w:val="20"/>
              </w:rPr>
              <w:t> </w:t>
            </w:r>
            <w:r>
              <w:rPr>
                <w:sz w:val="20"/>
              </w:rPr>
              <w:t>x</w:t>
            </w:r>
            <w:r>
              <w:rPr>
                <w:spacing w:val="-5"/>
                <w:sz w:val="20"/>
              </w:rPr>
              <w:t> </w:t>
            </w:r>
            <w:r>
              <w:rPr>
                <w:sz w:val="20"/>
              </w:rPr>
              <w:t>y</w:t>
            </w:r>
            <w:r>
              <w:rPr>
                <w:spacing w:val="-6"/>
                <w:sz w:val="20"/>
              </w:rPr>
              <w:t> </w:t>
            </w:r>
            <w:r>
              <w:rPr>
                <w:sz w:val="20"/>
              </w:rPr>
              <w:t>coordinates</w:t>
            </w:r>
            <w:r>
              <w:rPr>
                <w:spacing w:val="-6"/>
                <w:sz w:val="20"/>
              </w:rPr>
              <w:t> </w:t>
            </w:r>
            <w:r>
              <w:rPr>
                <w:sz w:val="20"/>
              </w:rPr>
              <w:t>of</w:t>
            </w:r>
            <w:r>
              <w:rPr>
                <w:spacing w:val="-4"/>
                <w:sz w:val="20"/>
              </w:rPr>
              <w:t> </w:t>
            </w:r>
            <w:r>
              <w:rPr>
                <w:sz w:val="20"/>
              </w:rPr>
              <w:t>event</w:t>
            </w:r>
            <w:r>
              <w:rPr>
                <w:spacing w:val="-5"/>
                <w:sz w:val="20"/>
              </w:rPr>
              <w:t> </w:t>
            </w:r>
            <w:r>
              <w:rPr>
                <w:spacing w:val="-2"/>
                <w:sz w:val="20"/>
              </w:rPr>
              <w:t>location</w:t>
            </w:r>
          </w:p>
        </w:tc>
      </w:tr>
      <w:tr>
        <w:trPr>
          <w:trHeight w:val="369" w:hRule="atLeast"/>
        </w:trPr>
        <w:tc>
          <w:tcPr>
            <w:tcW w:w="5444" w:type="dxa"/>
          </w:tcPr>
          <w:p>
            <w:pPr>
              <w:pStyle w:val="TableParagraph"/>
              <w:spacing w:before="78"/>
              <w:ind w:left="110"/>
              <w:rPr>
                <w:sz w:val="20"/>
              </w:rPr>
            </w:pPr>
            <w:r>
              <w:rPr>
                <w:sz w:val="20"/>
              </w:rPr>
              <w:t>Area</w:t>
            </w:r>
            <w:r>
              <w:rPr>
                <w:spacing w:val="-6"/>
                <w:sz w:val="20"/>
              </w:rPr>
              <w:t> </w:t>
            </w:r>
            <w:r>
              <w:rPr>
                <w:sz w:val="20"/>
              </w:rPr>
              <w:t>(ha)</w:t>
            </w:r>
            <w:r>
              <w:rPr>
                <w:spacing w:val="-4"/>
                <w:sz w:val="20"/>
              </w:rPr>
              <w:t> </w:t>
            </w:r>
            <w:r>
              <w:rPr>
                <w:sz w:val="20"/>
              </w:rPr>
              <w:t>of</w:t>
            </w:r>
            <w:r>
              <w:rPr>
                <w:spacing w:val="-5"/>
                <w:sz w:val="20"/>
              </w:rPr>
              <w:t> </w:t>
            </w:r>
            <w:r>
              <w:rPr>
                <w:spacing w:val="-2"/>
                <w:sz w:val="20"/>
              </w:rPr>
              <w:t>control</w:t>
            </w:r>
          </w:p>
        </w:tc>
        <w:tc>
          <w:tcPr>
            <w:tcW w:w="8302" w:type="dxa"/>
          </w:tcPr>
          <w:p>
            <w:pPr>
              <w:pStyle w:val="TableParagraph"/>
              <w:spacing w:before="78"/>
              <w:ind w:left="108"/>
              <w:rPr>
                <w:sz w:val="20"/>
              </w:rPr>
            </w:pPr>
            <w:r>
              <w:rPr>
                <w:sz w:val="20"/>
              </w:rPr>
              <w:t>Needs</w:t>
            </w:r>
            <w:r>
              <w:rPr>
                <w:spacing w:val="-6"/>
                <w:sz w:val="20"/>
              </w:rPr>
              <w:t> </w:t>
            </w:r>
            <w:r>
              <w:rPr>
                <w:sz w:val="20"/>
              </w:rPr>
              <w:t>to</w:t>
            </w:r>
            <w:r>
              <w:rPr>
                <w:spacing w:val="-7"/>
                <w:sz w:val="20"/>
              </w:rPr>
              <w:t> </w:t>
            </w:r>
            <w:r>
              <w:rPr>
                <w:sz w:val="20"/>
              </w:rPr>
              <w:t>be</w:t>
            </w:r>
            <w:r>
              <w:rPr>
                <w:spacing w:val="-5"/>
                <w:sz w:val="20"/>
              </w:rPr>
              <w:t> </w:t>
            </w:r>
            <w:r>
              <w:rPr>
                <w:sz w:val="20"/>
              </w:rPr>
              <w:t>the</w:t>
            </w:r>
            <w:r>
              <w:rPr>
                <w:spacing w:val="-5"/>
                <w:sz w:val="20"/>
              </w:rPr>
              <w:t> </w:t>
            </w:r>
            <w:r>
              <w:rPr>
                <w:sz w:val="20"/>
              </w:rPr>
              <w:t>effective</w:t>
            </w:r>
            <w:r>
              <w:rPr>
                <w:spacing w:val="-6"/>
                <w:sz w:val="20"/>
              </w:rPr>
              <w:t> </w:t>
            </w:r>
            <w:r>
              <w:rPr>
                <w:sz w:val="20"/>
              </w:rPr>
              <w:t>area</w:t>
            </w:r>
            <w:r>
              <w:rPr>
                <w:spacing w:val="-8"/>
                <w:sz w:val="20"/>
              </w:rPr>
              <w:t> </w:t>
            </w:r>
            <w:r>
              <w:rPr>
                <w:sz w:val="20"/>
              </w:rPr>
              <w:t>treated</w:t>
            </w:r>
            <w:r>
              <w:rPr>
                <w:spacing w:val="-6"/>
                <w:sz w:val="20"/>
              </w:rPr>
              <w:t> </w:t>
            </w:r>
            <w:r>
              <w:rPr>
                <w:sz w:val="20"/>
              </w:rPr>
              <w:t>per</w:t>
            </w:r>
            <w:r>
              <w:rPr>
                <w:spacing w:val="-6"/>
                <w:sz w:val="20"/>
              </w:rPr>
              <w:t> </w:t>
            </w:r>
            <w:r>
              <w:rPr>
                <w:spacing w:val="-2"/>
                <w:sz w:val="20"/>
              </w:rPr>
              <w:t>event.</w:t>
            </w:r>
          </w:p>
        </w:tc>
      </w:tr>
      <w:tr>
        <w:trPr>
          <w:trHeight w:val="599" w:hRule="atLeast"/>
        </w:trPr>
        <w:tc>
          <w:tcPr>
            <w:tcW w:w="5444" w:type="dxa"/>
          </w:tcPr>
          <w:p>
            <w:pPr>
              <w:pStyle w:val="TableParagraph"/>
              <w:spacing w:before="78"/>
              <w:ind w:left="110"/>
              <w:rPr>
                <w:sz w:val="20"/>
              </w:rPr>
            </w:pPr>
            <w:r>
              <w:rPr>
                <w:sz w:val="20"/>
              </w:rPr>
              <w:t>No.</w:t>
            </w:r>
            <w:r>
              <w:rPr>
                <w:spacing w:val="-7"/>
                <w:sz w:val="20"/>
              </w:rPr>
              <w:t> </w:t>
            </w:r>
            <w:r>
              <w:rPr>
                <w:sz w:val="20"/>
              </w:rPr>
              <w:t>of</w:t>
            </w:r>
            <w:r>
              <w:rPr>
                <w:spacing w:val="-4"/>
                <w:sz w:val="20"/>
              </w:rPr>
              <w:t> </w:t>
            </w:r>
            <w:r>
              <w:rPr>
                <w:sz w:val="20"/>
              </w:rPr>
              <w:t>units</w:t>
            </w:r>
            <w:r>
              <w:rPr>
                <w:spacing w:val="-6"/>
                <w:sz w:val="20"/>
              </w:rPr>
              <w:t> </w:t>
            </w:r>
            <w:r>
              <w:rPr>
                <w:sz w:val="20"/>
              </w:rPr>
              <w:t>of</w:t>
            </w:r>
            <w:r>
              <w:rPr>
                <w:spacing w:val="-6"/>
                <w:sz w:val="20"/>
              </w:rPr>
              <w:t> </w:t>
            </w:r>
            <w:r>
              <w:rPr>
                <w:sz w:val="20"/>
              </w:rPr>
              <w:t>control</w:t>
            </w:r>
            <w:r>
              <w:rPr>
                <w:spacing w:val="-6"/>
                <w:sz w:val="20"/>
              </w:rPr>
              <w:t> </w:t>
            </w:r>
            <w:r>
              <w:rPr>
                <w:sz w:val="20"/>
              </w:rPr>
              <w:t>used</w:t>
            </w:r>
            <w:r>
              <w:rPr>
                <w:spacing w:val="-2"/>
                <w:sz w:val="20"/>
              </w:rPr>
              <w:t> </w:t>
            </w:r>
            <w:r>
              <w:rPr>
                <w:sz w:val="20"/>
              </w:rPr>
              <w:t>and</w:t>
            </w:r>
            <w:r>
              <w:rPr>
                <w:spacing w:val="-5"/>
                <w:sz w:val="20"/>
              </w:rPr>
              <w:t> </w:t>
            </w:r>
            <w:r>
              <w:rPr>
                <w:sz w:val="20"/>
              </w:rPr>
              <w:t>duration</w:t>
            </w:r>
            <w:r>
              <w:rPr>
                <w:spacing w:val="-5"/>
                <w:sz w:val="20"/>
              </w:rPr>
              <w:t> </w:t>
            </w:r>
            <w:r>
              <w:rPr>
                <w:sz w:val="20"/>
              </w:rPr>
              <w:t>per</w:t>
            </w:r>
            <w:r>
              <w:rPr>
                <w:spacing w:val="-5"/>
                <w:sz w:val="20"/>
              </w:rPr>
              <w:t> </w:t>
            </w:r>
            <w:r>
              <w:rPr>
                <w:spacing w:val="-2"/>
                <w:sz w:val="20"/>
              </w:rPr>
              <w:t>operations</w:t>
            </w:r>
          </w:p>
        </w:tc>
        <w:tc>
          <w:tcPr>
            <w:tcW w:w="8302" w:type="dxa"/>
          </w:tcPr>
          <w:p>
            <w:pPr>
              <w:pStyle w:val="TableParagraph"/>
              <w:spacing w:line="242" w:lineRule="auto" w:before="78"/>
              <w:ind w:left="108" w:right="841"/>
              <w:rPr>
                <w:sz w:val="20"/>
              </w:rPr>
            </w:pPr>
            <w:r>
              <w:rPr>
                <w:sz w:val="20"/>
              </w:rPr>
              <w:t>No.</w:t>
            </w:r>
            <w:r>
              <w:rPr>
                <w:spacing w:val="-5"/>
                <w:sz w:val="20"/>
              </w:rPr>
              <w:t> </w:t>
            </w:r>
            <w:r>
              <w:rPr>
                <w:sz w:val="20"/>
              </w:rPr>
              <w:t>of</w:t>
            </w:r>
            <w:r>
              <w:rPr>
                <w:spacing w:val="-3"/>
                <w:sz w:val="20"/>
              </w:rPr>
              <w:t> </w:t>
            </w:r>
            <w:r>
              <w:rPr>
                <w:sz w:val="20"/>
              </w:rPr>
              <w:t>poison</w:t>
            </w:r>
            <w:r>
              <w:rPr>
                <w:spacing w:val="-4"/>
                <w:sz w:val="20"/>
              </w:rPr>
              <w:t> </w:t>
            </w:r>
            <w:r>
              <w:rPr>
                <w:sz w:val="20"/>
              </w:rPr>
              <w:t>baits</w:t>
            </w:r>
            <w:r>
              <w:rPr>
                <w:spacing w:val="-3"/>
                <w:sz w:val="20"/>
              </w:rPr>
              <w:t> </w:t>
            </w:r>
            <w:r>
              <w:rPr>
                <w:sz w:val="20"/>
              </w:rPr>
              <w:t>laid</w:t>
            </w:r>
            <w:r>
              <w:rPr>
                <w:spacing w:val="-3"/>
                <w:sz w:val="20"/>
              </w:rPr>
              <w:t> </w:t>
            </w:r>
            <w:r>
              <w:rPr>
                <w:sz w:val="20"/>
              </w:rPr>
              <w:t>per</w:t>
            </w:r>
            <w:r>
              <w:rPr>
                <w:spacing w:val="-2"/>
                <w:sz w:val="20"/>
              </w:rPr>
              <w:t> </w:t>
            </w:r>
            <w:r>
              <w:rPr>
                <w:sz w:val="20"/>
              </w:rPr>
              <w:t>event,</w:t>
            </w:r>
            <w:r>
              <w:rPr>
                <w:spacing w:val="-3"/>
                <w:sz w:val="20"/>
              </w:rPr>
              <w:t> </w:t>
            </w:r>
            <w:r>
              <w:rPr>
                <w:sz w:val="20"/>
              </w:rPr>
              <w:t>number</w:t>
            </w:r>
            <w:r>
              <w:rPr>
                <w:spacing w:val="-4"/>
                <w:sz w:val="20"/>
              </w:rPr>
              <w:t> </w:t>
            </w:r>
            <w:r>
              <w:rPr>
                <w:sz w:val="20"/>
              </w:rPr>
              <w:t>of</w:t>
            </w:r>
            <w:r>
              <w:rPr>
                <w:spacing w:val="-3"/>
                <w:sz w:val="20"/>
              </w:rPr>
              <w:t> </w:t>
            </w:r>
            <w:r>
              <w:rPr>
                <w:sz w:val="20"/>
              </w:rPr>
              <w:t>nights</w:t>
            </w:r>
            <w:r>
              <w:rPr>
                <w:spacing w:val="-4"/>
                <w:sz w:val="20"/>
              </w:rPr>
              <w:t> </w:t>
            </w:r>
            <w:r>
              <w:rPr>
                <w:sz w:val="20"/>
              </w:rPr>
              <w:t>before</w:t>
            </w:r>
            <w:r>
              <w:rPr>
                <w:spacing w:val="-5"/>
                <w:sz w:val="20"/>
              </w:rPr>
              <w:t> </w:t>
            </w:r>
            <w:r>
              <w:rPr>
                <w:sz w:val="20"/>
              </w:rPr>
              <w:t>replacement</w:t>
            </w:r>
            <w:r>
              <w:rPr>
                <w:spacing w:val="-3"/>
                <w:sz w:val="20"/>
              </w:rPr>
              <w:t> </w:t>
            </w:r>
            <w:r>
              <w:rPr>
                <w:sz w:val="20"/>
              </w:rPr>
              <w:t>or</w:t>
            </w:r>
            <w:r>
              <w:rPr>
                <w:spacing w:val="-5"/>
                <w:sz w:val="20"/>
              </w:rPr>
              <w:t> </w:t>
            </w:r>
            <w:r>
              <w:rPr>
                <w:sz w:val="20"/>
              </w:rPr>
              <w:t>pickup No. (and type) of traps set per event and no. nights operated per trap per event</w:t>
            </w:r>
          </w:p>
        </w:tc>
      </w:tr>
      <w:tr>
        <w:trPr>
          <w:trHeight w:val="2001" w:hRule="atLeast"/>
        </w:trPr>
        <w:tc>
          <w:tcPr>
            <w:tcW w:w="5444" w:type="dxa"/>
          </w:tcPr>
          <w:p>
            <w:pPr>
              <w:pStyle w:val="TableParagraph"/>
              <w:spacing w:before="2"/>
              <w:ind w:left="110"/>
              <w:rPr>
                <w:sz w:val="20"/>
              </w:rPr>
            </w:pPr>
            <w:r>
              <w:rPr>
                <w:sz w:val="20"/>
              </w:rPr>
              <w:t>Time</w:t>
            </w:r>
            <w:r>
              <w:rPr>
                <w:spacing w:val="-8"/>
                <w:sz w:val="20"/>
              </w:rPr>
              <w:t> </w:t>
            </w:r>
            <w:r>
              <w:rPr>
                <w:sz w:val="20"/>
              </w:rPr>
              <w:t>spent</w:t>
            </w:r>
            <w:r>
              <w:rPr>
                <w:spacing w:val="-5"/>
                <w:sz w:val="20"/>
              </w:rPr>
              <w:t> </w:t>
            </w:r>
            <w:r>
              <w:rPr>
                <w:sz w:val="20"/>
              </w:rPr>
              <w:t>on</w:t>
            </w:r>
            <w:r>
              <w:rPr>
                <w:spacing w:val="-9"/>
                <w:sz w:val="20"/>
              </w:rPr>
              <w:t> </w:t>
            </w:r>
            <w:r>
              <w:rPr>
                <w:sz w:val="20"/>
              </w:rPr>
              <w:t>control</w:t>
            </w:r>
            <w:r>
              <w:rPr>
                <w:spacing w:val="-6"/>
                <w:sz w:val="20"/>
              </w:rPr>
              <w:t> </w:t>
            </w:r>
            <w:r>
              <w:rPr>
                <w:spacing w:val="-2"/>
                <w:sz w:val="20"/>
              </w:rPr>
              <w:t>effort</w:t>
            </w:r>
          </w:p>
        </w:tc>
        <w:tc>
          <w:tcPr>
            <w:tcW w:w="8302" w:type="dxa"/>
          </w:tcPr>
          <w:p>
            <w:pPr>
              <w:pStyle w:val="TableParagraph"/>
              <w:spacing w:before="2"/>
              <w:ind w:left="108"/>
              <w:rPr>
                <w:sz w:val="20"/>
              </w:rPr>
            </w:pPr>
            <w:r>
              <w:rPr>
                <w:sz w:val="20"/>
              </w:rPr>
              <w:t>Number</w:t>
            </w:r>
            <w:r>
              <w:rPr>
                <w:spacing w:val="-7"/>
                <w:sz w:val="20"/>
              </w:rPr>
              <w:t> </w:t>
            </w:r>
            <w:r>
              <w:rPr>
                <w:sz w:val="20"/>
              </w:rPr>
              <w:t>of</w:t>
            </w:r>
            <w:r>
              <w:rPr>
                <w:spacing w:val="-4"/>
                <w:sz w:val="20"/>
              </w:rPr>
              <w:t> </w:t>
            </w:r>
            <w:r>
              <w:rPr>
                <w:sz w:val="20"/>
              </w:rPr>
              <w:t>hours</w:t>
            </w:r>
            <w:r>
              <w:rPr>
                <w:spacing w:val="-5"/>
                <w:sz w:val="20"/>
              </w:rPr>
              <w:t> </w:t>
            </w:r>
            <w:r>
              <w:rPr>
                <w:sz w:val="20"/>
              </w:rPr>
              <w:t>per</w:t>
            </w:r>
            <w:r>
              <w:rPr>
                <w:spacing w:val="-6"/>
                <w:sz w:val="20"/>
              </w:rPr>
              <w:t> </w:t>
            </w:r>
            <w:r>
              <w:rPr>
                <w:sz w:val="20"/>
              </w:rPr>
              <w:t>person</w:t>
            </w:r>
            <w:r>
              <w:rPr>
                <w:spacing w:val="-7"/>
                <w:sz w:val="20"/>
              </w:rPr>
              <w:t> </w:t>
            </w:r>
            <w:r>
              <w:rPr>
                <w:sz w:val="20"/>
              </w:rPr>
              <w:t>spent</w:t>
            </w:r>
            <w:r>
              <w:rPr>
                <w:spacing w:val="-4"/>
                <w:sz w:val="20"/>
              </w:rPr>
              <w:t> </w:t>
            </w:r>
            <w:r>
              <w:rPr>
                <w:sz w:val="20"/>
              </w:rPr>
              <w:t>on</w:t>
            </w:r>
            <w:r>
              <w:rPr>
                <w:spacing w:val="-6"/>
                <w:sz w:val="20"/>
              </w:rPr>
              <w:t> </w:t>
            </w:r>
            <w:r>
              <w:rPr>
                <w:sz w:val="20"/>
              </w:rPr>
              <w:t>operation.</w:t>
            </w:r>
            <w:r>
              <w:rPr>
                <w:spacing w:val="-4"/>
                <w:sz w:val="20"/>
              </w:rPr>
              <w:t> </w:t>
            </w:r>
            <w:r>
              <w:rPr>
                <w:sz w:val="20"/>
              </w:rPr>
              <w:t>For</w:t>
            </w:r>
            <w:r>
              <w:rPr>
                <w:spacing w:val="-3"/>
                <w:sz w:val="20"/>
              </w:rPr>
              <w:t> </w:t>
            </w:r>
            <w:r>
              <w:rPr>
                <w:spacing w:val="-2"/>
                <w:sz w:val="20"/>
              </w:rPr>
              <w:t>example:</w:t>
            </w:r>
          </w:p>
          <w:p>
            <w:pPr>
              <w:pStyle w:val="TableParagraph"/>
              <w:numPr>
                <w:ilvl w:val="0"/>
                <w:numId w:val="34"/>
              </w:numPr>
              <w:tabs>
                <w:tab w:pos="827" w:val="left" w:leader="none"/>
              </w:tabs>
              <w:spacing w:line="240" w:lineRule="auto" w:before="118" w:after="0"/>
              <w:ind w:left="827" w:right="0" w:hanging="359"/>
              <w:jc w:val="left"/>
              <w:rPr>
                <w:sz w:val="20"/>
              </w:rPr>
            </w:pPr>
            <w:r>
              <w:rPr>
                <w:sz w:val="20"/>
              </w:rPr>
              <w:t>number</w:t>
            </w:r>
            <w:r>
              <w:rPr>
                <w:spacing w:val="-8"/>
                <w:sz w:val="20"/>
              </w:rPr>
              <w:t> </w:t>
            </w:r>
            <w:r>
              <w:rPr>
                <w:sz w:val="20"/>
              </w:rPr>
              <w:t>of</w:t>
            </w:r>
            <w:r>
              <w:rPr>
                <w:spacing w:val="-6"/>
                <w:sz w:val="20"/>
              </w:rPr>
              <w:t> </w:t>
            </w:r>
            <w:r>
              <w:rPr>
                <w:sz w:val="20"/>
              </w:rPr>
              <w:t>hours</w:t>
            </w:r>
            <w:r>
              <w:rPr>
                <w:spacing w:val="-6"/>
                <w:sz w:val="20"/>
              </w:rPr>
              <w:t> </w:t>
            </w:r>
            <w:r>
              <w:rPr>
                <w:sz w:val="20"/>
              </w:rPr>
              <w:t>poison</w:t>
            </w:r>
            <w:r>
              <w:rPr>
                <w:spacing w:val="-8"/>
                <w:sz w:val="20"/>
              </w:rPr>
              <w:t> </w:t>
            </w:r>
            <w:r>
              <w:rPr>
                <w:sz w:val="20"/>
              </w:rPr>
              <w:t>baiting</w:t>
            </w:r>
            <w:r>
              <w:rPr>
                <w:spacing w:val="-6"/>
                <w:sz w:val="20"/>
              </w:rPr>
              <w:t> </w:t>
            </w:r>
            <w:r>
              <w:rPr>
                <w:sz w:val="20"/>
              </w:rPr>
              <w:t>per</w:t>
            </w:r>
            <w:r>
              <w:rPr>
                <w:spacing w:val="-7"/>
                <w:sz w:val="20"/>
              </w:rPr>
              <w:t> </w:t>
            </w:r>
            <w:r>
              <w:rPr>
                <w:sz w:val="20"/>
              </w:rPr>
              <w:t>event</w:t>
            </w:r>
            <w:r>
              <w:rPr>
                <w:spacing w:val="-7"/>
                <w:sz w:val="20"/>
              </w:rPr>
              <w:t> </w:t>
            </w:r>
            <w:r>
              <w:rPr>
                <w:sz w:val="20"/>
              </w:rPr>
              <w:t>(include</w:t>
            </w:r>
            <w:r>
              <w:rPr>
                <w:spacing w:val="-7"/>
                <w:sz w:val="20"/>
              </w:rPr>
              <w:t> </w:t>
            </w:r>
            <w:r>
              <w:rPr>
                <w:sz w:val="20"/>
              </w:rPr>
              <w:t>bait</w:t>
            </w:r>
            <w:r>
              <w:rPr>
                <w:spacing w:val="-6"/>
                <w:sz w:val="20"/>
              </w:rPr>
              <w:t> </w:t>
            </w:r>
            <w:r>
              <w:rPr>
                <w:sz w:val="20"/>
              </w:rPr>
              <w:t>replacement</w:t>
            </w:r>
            <w:r>
              <w:rPr>
                <w:spacing w:val="-8"/>
                <w:sz w:val="20"/>
              </w:rPr>
              <w:t> </w:t>
            </w:r>
            <w:r>
              <w:rPr>
                <w:spacing w:val="-2"/>
                <w:sz w:val="20"/>
              </w:rPr>
              <w:t>runs)</w:t>
            </w:r>
          </w:p>
          <w:p>
            <w:pPr>
              <w:pStyle w:val="TableParagraph"/>
              <w:numPr>
                <w:ilvl w:val="0"/>
                <w:numId w:val="34"/>
              </w:numPr>
              <w:tabs>
                <w:tab w:pos="827" w:val="left" w:leader="none"/>
              </w:tabs>
              <w:spacing w:line="240" w:lineRule="auto" w:before="80" w:after="0"/>
              <w:ind w:left="827" w:right="0" w:hanging="359"/>
              <w:jc w:val="left"/>
              <w:rPr>
                <w:sz w:val="20"/>
              </w:rPr>
            </w:pPr>
            <w:r>
              <w:rPr>
                <w:sz w:val="20"/>
              </w:rPr>
              <w:t>hours</w:t>
            </w:r>
            <w:r>
              <w:rPr>
                <w:spacing w:val="-7"/>
                <w:sz w:val="20"/>
              </w:rPr>
              <w:t> </w:t>
            </w:r>
            <w:r>
              <w:rPr>
                <w:sz w:val="20"/>
              </w:rPr>
              <w:t>spent</w:t>
            </w:r>
            <w:r>
              <w:rPr>
                <w:spacing w:val="-6"/>
                <w:sz w:val="20"/>
              </w:rPr>
              <w:t> </w:t>
            </w:r>
            <w:r>
              <w:rPr>
                <w:sz w:val="20"/>
              </w:rPr>
              <w:t>ground</w:t>
            </w:r>
            <w:r>
              <w:rPr>
                <w:spacing w:val="-8"/>
                <w:sz w:val="20"/>
              </w:rPr>
              <w:t> </w:t>
            </w:r>
            <w:r>
              <w:rPr>
                <w:sz w:val="20"/>
              </w:rPr>
              <w:t>shooting</w:t>
            </w:r>
            <w:r>
              <w:rPr>
                <w:spacing w:val="-8"/>
                <w:sz w:val="20"/>
              </w:rPr>
              <w:t> </w:t>
            </w:r>
            <w:r>
              <w:rPr>
                <w:sz w:val="20"/>
              </w:rPr>
              <w:t>per</w:t>
            </w:r>
            <w:r>
              <w:rPr>
                <w:spacing w:val="-8"/>
                <w:sz w:val="20"/>
              </w:rPr>
              <w:t> </w:t>
            </w:r>
            <w:r>
              <w:rPr>
                <w:spacing w:val="-4"/>
                <w:sz w:val="20"/>
              </w:rPr>
              <w:t>event</w:t>
            </w:r>
          </w:p>
          <w:p>
            <w:pPr>
              <w:pStyle w:val="TableParagraph"/>
              <w:numPr>
                <w:ilvl w:val="0"/>
                <w:numId w:val="34"/>
              </w:numPr>
              <w:tabs>
                <w:tab w:pos="827" w:val="left" w:leader="none"/>
              </w:tabs>
              <w:spacing w:line="295" w:lineRule="auto" w:before="79" w:after="0"/>
              <w:ind w:left="108" w:right="4017" w:firstLine="360"/>
              <w:jc w:val="left"/>
              <w:rPr>
                <w:sz w:val="20"/>
              </w:rPr>
            </w:pPr>
            <w:r>
              <w:rPr>
                <w:sz w:val="20"/>
              </w:rPr>
              <w:t>hours</w:t>
            </w:r>
            <w:r>
              <w:rPr>
                <w:spacing w:val="-9"/>
                <w:sz w:val="20"/>
              </w:rPr>
              <w:t> </w:t>
            </w:r>
            <w:r>
              <w:rPr>
                <w:sz w:val="20"/>
              </w:rPr>
              <w:t>establishing</w:t>
            </w:r>
            <w:r>
              <w:rPr>
                <w:spacing w:val="-11"/>
                <w:sz w:val="20"/>
              </w:rPr>
              <w:t> </w:t>
            </w:r>
            <w:r>
              <w:rPr>
                <w:sz w:val="20"/>
              </w:rPr>
              <w:t>and</w:t>
            </w:r>
            <w:r>
              <w:rPr>
                <w:spacing w:val="-12"/>
                <w:sz w:val="20"/>
              </w:rPr>
              <w:t> </w:t>
            </w:r>
            <w:r>
              <w:rPr>
                <w:sz w:val="20"/>
              </w:rPr>
              <w:t>operating</w:t>
            </w:r>
            <w:r>
              <w:rPr>
                <w:spacing w:val="-9"/>
                <w:sz w:val="20"/>
              </w:rPr>
              <w:t> </w:t>
            </w:r>
            <w:r>
              <w:rPr>
                <w:sz w:val="20"/>
              </w:rPr>
              <w:t>traps. Includes preparation and cleanup time.</w:t>
            </w:r>
          </w:p>
          <w:p>
            <w:pPr>
              <w:pStyle w:val="TableParagraph"/>
              <w:spacing w:before="68"/>
              <w:ind w:left="108"/>
              <w:rPr>
                <w:sz w:val="20"/>
              </w:rPr>
            </w:pPr>
            <w:r>
              <w:rPr>
                <w:spacing w:val="-2"/>
                <w:sz w:val="20"/>
              </w:rPr>
              <w:t>Excludes</w:t>
            </w:r>
            <w:r>
              <w:rPr>
                <w:spacing w:val="9"/>
                <w:sz w:val="20"/>
              </w:rPr>
              <w:t> </w:t>
            </w:r>
            <w:r>
              <w:rPr>
                <w:spacing w:val="-2"/>
                <w:sz w:val="20"/>
              </w:rPr>
              <w:t>administration</w:t>
            </w:r>
            <w:r>
              <w:rPr>
                <w:spacing w:val="5"/>
                <w:sz w:val="20"/>
              </w:rPr>
              <w:t> </w:t>
            </w:r>
            <w:r>
              <w:rPr>
                <w:spacing w:val="-2"/>
                <w:sz w:val="20"/>
              </w:rPr>
              <w:t>costs.</w:t>
            </w:r>
          </w:p>
        </w:tc>
      </w:tr>
      <w:tr>
        <w:trPr>
          <w:trHeight w:val="350" w:hRule="atLeast"/>
        </w:trPr>
        <w:tc>
          <w:tcPr>
            <w:tcW w:w="5444" w:type="dxa"/>
          </w:tcPr>
          <w:p>
            <w:pPr>
              <w:pStyle w:val="TableParagraph"/>
              <w:spacing w:line="229" w:lineRule="exact"/>
              <w:ind w:left="110"/>
              <w:rPr>
                <w:sz w:val="20"/>
              </w:rPr>
            </w:pPr>
            <w:r>
              <w:rPr>
                <w:sz w:val="20"/>
              </w:rPr>
              <w:t>Cost</w:t>
            </w:r>
            <w:r>
              <w:rPr>
                <w:spacing w:val="-7"/>
                <w:sz w:val="20"/>
              </w:rPr>
              <w:t> </w:t>
            </w:r>
            <w:r>
              <w:rPr>
                <w:sz w:val="20"/>
              </w:rPr>
              <w:t>of</w:t>
            </w:r>
            <w:r>
              <w:rPr>
                <w:spacing w:val="-4"/>
                <w:sz w:val="20"/>
              </w:rPr>
              <w:t> </w:t>
            </w:r>
            <w:r>
              <w:rPr>
                <w:sz w:val="20"/>
              </w:rPr>
              <w:t>labour</w:t>
            </w:r>
            <w:r>
              <w:rPr>
                <w:spacing w:val="-5"/>
                <w:sz w:val="20"/>
              </w:rPr>
              <w:t> </w:t>
            </w:r>
            <w:r>
              <w:rPr>
                <w:sz w:val="20"/>
              </w:rPr>
              <w:t>for</w:t>
            </w:r>
            <w:r>
              <w:rPr>
                <w:spacing w:val="-3"/>
                <w:sz w:val="20"/>
              </w:rPr>
              <w:t> </w:t>
            </w:r>
            <w:r>
              <w:rPr>
                <w:sz w:val="20"/>
              </w:rPr>
              <w:t>each</w:t>
            </w:r>
            <w:r>
              <w:rPr>
                <w:spacing w:val="-5"/>
                <w:sz w:val="20"/>
              </w:rPr>
              <w:t> </w:t>
            </w:r>
            <w:r>
              <w:rPr>
                <w:spacing w:val="-2"/>
                <w:sz w:val="20"/>
              </w:rPr>
              <w:t>method</w:t>
            </w:r>
          </w:p>
        </w:tc>
        <w:tc>
          <w:tcPr>
            <w:tcW w:w="8302" w:type="dxa"/>
          </w:tcPr>
          <w:p>
            <w:pPr>
              <w:pStyle w:val="TableParagraph"/>
              <w:spacing w:line="229" w:lineRule="exact"/>
              <w:ind w:left="108"/>
              <w:rPr>
                <w:sz w:val="20"/>
              </w:rPr>
            </w:pPr>
            <w:r>
              <w:rPr>
                <w:sz w:val="20"/>
              </w:rPr>
              <w:t>Cost</w:t>
            </w:r>
            <w:r>
              <w:rPr>
                <w:spacing w:val="-7"/>
                <w:sz w:val="20"/>
              </w:rPr>
              <w:t> </w:t>
            </w:r>
            <w:r>
              <w:rPr>
                <w:sz w:val="20"/>
              </w:rPr>
              <w:t>($)</w:t>
            </w:r>
            <w:r>
              <w:rPr>
                <w:spacing w:val="-6"/>
                <w:sz w:val="20"/>
              </w:rPr>
              <w:t> </w:t>
            </w:r>
            <w:r>
              <w:rPr>
                <w:sz w:val="20"/>
              </w:rPr>
              <w:t>per</w:t>
            </w:r>
            <w:r>
              <w:rPr>
                <w:spacing w:val="-6"/>
                <w:sz w:val="20"/>
              </w:rPr>
              <w:t> </w:t>
            </w:r>
            <w:r>
              <w:rPr>
                <w:sz w:val="20"/>
              </w:rPr>
              <w:t>hour</w:t>
            </w:r>
            <w:r>
              <w:rPr>
                <w:spacing w:val="-6"/>
                <w:sz w:val="20"/>
              </w:rPr>
              <w:t> </w:t>
            </w:r>
            <w:r>
              <w:rPr>
                <w:sz w:val="20"/>
              </w:rPr>
              <w:t>per</w:t>
            </w:r>
            <w:r>
              <w:rPr>
                <w:spacing w:val="-6"/>
                <w:sz w:val="20"/>
              </w:rPr>
              <w:t> </w:t>
            </w:r>
            <w:r>
              <w:rPr>
                <w:sz w:val="20"/>
              </w:rPr>
              <w:t>person</w:t>
            </w:r>
            <w:r>
              <w:rPr>
                <w:spacing w:val="-7"/>
                <w:sz w:val="20"/>
              </w:rPr>
              <w:t> </w:t>
            </w:r>
            <w:r>
              <w:rPr>
                <w:sz w:val="20"/>
              </w:rPr>
              <w:t>spent</w:t>
            </w:r>
            <w:r>
              <w:rPr>
                <w:spacing w:val="-5"/>
                <w:sz w:val="20"/>
              </w:rPr>
              <w:t> </w:t>
            </w:r>
            <w:r>
              <w:rPr>
                <w:sz w:val="20"/>
              </w:rPr>
              <w:t>on</w:t>
            </w:r>
            <w:r>
              <w:rPr>
                <w:spacing w:val="-6"/>
                <w:sz w:val="20"/>
              </w:rPr>
              <w:t> </w:t>
            </w:r>
            <w:r>
              <w:rPr>
                <w:sz w:val="20"/>
              </w:rPr>
              <w:t>the</w:t>
            </w:r>
            <w:r>
              <w:rPr>
                <w:spacing w:val="-6"/>
                <w:sz w:val="20"/>
              </w:rPr>
              <w:t> </w:t>
            </w:r>
            <w:r>
              <w:rPr>
                <w:sz w:val="20"/>
              </w:rPr>
              <w:t>operational</w:t>
            </w:r>
            <w:r>
              <w:rPr>
                <w:spacing w:val="-7"/>
                <w:sz w:val="20"/>
              </w:rPr>
              <w:t> </w:t>
            </w:r>
            <w:r>
              <w:rPr>
                <w:sz w:val="20"/>
              </w:rPr>
              <w:t>implementation</w:t>
            </w:r>
            <w:r>
              <w:rPr>
                <w:spacing w:val="-7"/>
                <w:sz w:val="20"/>
              </w:rPr>
              <w:t> </w:t>
            </w:r>
            <w:r>
              <w:rPr>
                <w:sz w:val="20"/>
              </w:rPr>
              <w:t>of</w:t>
            </w:r>
            <w:r>
              <w:rPr>
                <w:spacing w:val="-7"/>
                <w:sz w:val="20"/>
              </w:rPr>
              <w:t> </w:t>
            </w:r>
            <w:r>
              <w:rPr>
                <w:spacing w:val="-2"/>
                <w:sz w:val="20"/>
              </w:rPr>
              <w:t>control</w:t>
            </w:r>
          </w:p>
        </w:tc>
      </w:tr>
      <w:tr>
        <w:trPr>
          <w:trHeight w:val="1161" w:hRule="atLeast"/>
        </w:trPr>
        <w:tc>
          <w:tcPr>
            <w:tcW w:w="5444" w:type="dxa"/>
          </w:tcPr>
          <w:p>
            <w:pPr>
              <w:pStyle w:val="TableParagraph"/>
              <w:spacing w:line="229" w:lineRule="exact"/>
              <w:ind w:left="110"/>
              <w:rPr>
                <w:sz w:val="20"/>
              </w:rPr>
            </w:pPr>
            <w:r>
              <w:rPr>
                <w:sz w:val="20"/>
              </w:rPr>
              <w:t>Cost</w:t>
            </w:r>
            <w:r>
              <w:rPr>
                <w:spacing w:val="-5"/>
                <w:sz w:val="20"/>
              </w:rPr>
              <w:t> </w:t>
            </w:r>
            <w:r>
              <w:rPr>
                <w:sz w:val="20"/>
              </w:rPr>
              <w:t>of</w:t>
            </w:r>
            <w:r>
              <w:rPr>
                <w:spacing w:val="-2"/>
                <w:sz w:val="20"/>
              </w:rPr>
              <w:t> materials</w:t>
            </w:r>
          </w:p>
        </w:tc>
        <w:tc>
          <w:tcPr>
            <w:tcW w:w="8302" w:type="dxa"/>
          </w:tcPr>
          <w:p>
            <w:pPr>
              <w:pStyle w:val="TableParagraph"/>
              <w:spacing w:line="229" w:lineRule="exact"/>
              <w:ind w:left="108"/>
              <w:rPr>
                <w:sz w:val="20"/>
              </w:rPr>
            </w:pPr>
            <w:r>
              <w:rPr>
                <w:sz w:val="20"/>
              </w:rPr>
              <w:t>Cost</w:t>
            </w:r>
            <w:r>
              <w:rPr>
                <w:spacing w:val="-7"/>
                <w:sz w:val="20"/>
              </w:rPr>
              <w:t> </w:t>
            </w:r>
            <w:r>
              <w:rPr>
                <w:sz w:val="20"/>
              </w:rPr>
              <w:t>of</w:t>
            </w:r>
            <w:r>
              <w:rPr>
                <w:spacing w:val="-4"/>
                <w:sz w:val="20"/>
              </w:rPr>
              <w:t> </w:t>
            </w:r>
            <w:r>
              <w:rPr>
                <w:sz w:val="20"/>
              </w:rPr>
              <w:t>all</w:t>
            </w:r>
            <w:r>
              <w:rPr>
                <w:spacing w:val="-7"/>
                <w:sz w:val="20"/>
              </w:rPr>
              <w:t> </w:t>
            </w:r>
            <w:r>
              <w:rPr>
                <w:sz w:val="20"/>
              </w:rPr>
              <w:t>materials</w:t>
            </w:r>
            <w:r>
              <w:rPr>
                <w:spacing w:val="-5"/>
                <w:sz w:val="20"/>
              </w:rPr>
              <w:t> </w:t>
            </w:r>
            <w:r>
              <w:rPr>
                <w:sz w:val="20"/>
              </w:rPr>
              <w:t>use</w:t>
            </w:r>
            <w:r>
              <w:rPr>
                <w:spacing w:val="-4"/>
                <w:sz w:val="20"/>
              </w:rPr>
              <w:t> </w:t>
            </w:r>
            <w:r>
              <w:rPr>
                <w:sz w:val="20"/>
              </w:rPr>
              <w:t>in</w:t>
            </w:r>
            <w:r>
              <w:rPr>
                <w:spacing w:val="-5"/>
                <w:sz w:val="20"/>
              </w:rPr>
              <w:t> </w:t>
            </w:r>
            <w:r>
              <w:rPr>
                <w:sz w:val="20"/>
              </w:rPr>
              <w:t>the</w:t>
            </w:r>
            <w:r>
              <w:rPr>
                <w:spacing w:val="-7"/>
                <w:sz w:val="20"/>
              </w:rPr>
              <w:t> </w:t>
            </w:r>
            <w:r>
              <w:rPr>
                <w:sz w:val="20"/>
              </w:rPr>
              <w:t>control</w:t>
            </w:r>
            <w:r>
              <w:rPr>
                <w:spacing w:val="-5"/>
                <w:sz w:val="20"/>
              </w:rPr>
              <w:t> </w:t>
            </w:r>
            <w:r>
              <w:rPr>
                <w:spacing w:val="-2"/>
                <w:sz w:val="20"/>
              </w:rPr>
              <w:t>operations</w:t>
            </w:r>
          </w:p>
          <w:p>
            <w:pPr>
              <w:pStyle w:val="TableParagraph"/>
              <w:spacing w:before="120"/>
              <w:ind w:left="108"/>
              <w:rPr>
                <w:sz w:val="20"/>
              </w:rPr>
            </w:pPr>
            <w:r>
              <w:rPr>
                <w:sz w:val="20"/>
              </w:rPr>
              <w:t>$/bait</w:t>
            </w:r>
            <w:r>
              <w:rPr>
                <w:spacing w:val="-6"/>
                <w:sz w:val="20"/>
              </w:rPr>
              <w:t> </w:t>
            </w:r>
            <w:r>
              <w:rPr>
                <w:sz w:val="20"/>
              </w:rPr>
              <w:t>used</w:t>
            </w:r>
            <w:r>
              <w:rPr>
                <w:spacing w:val="-6"/>
                <w:sz w:val="20"/>
              </w:rPr>
              <w:t> </w:t>
            </w:r>
            <w:r>
              <w:rPr>
                <w:sz w:val="20"/>
              </w:rPr>
              <w:t>per</w:t>
            </w:r>
            <w:r>
              <w:rPr>
                <w:spacing w:val="-6"/>
                <w:sz w:val="20"/>
              </w:rPr>
              <w:t> </w:t>
            </w:r>
            <w:r>
              <w:rPr>
                <w:spacing w:val="-2"/>
                <w:sz w:val="20"/>
              </w:rPr>
              <w:t>event,</w:t>
            </w:r>
          </w:p>
          <w:p>
            <w:pPr>
              <w:pStyle w:val="TableParagraph"/>
              <w:spacing w:before="1"/>
              <w:ind w:left="108" w:right="5002"/>
              <w:rPr>
                <w:sz w:val="20"/>
              </w:rPr>
            </w:pPr>
            <w:r>
              <w:rPr>
                <w:sz w:val="20"/>
              </w:rPr>
              <w:t>$/bullet used (including misses) Cost</w:t>
            </w:r>
            <w:r>
              <w:rPr>
                <w:spacing w:val="-7"/>
                <w:sz w:val="20"/>
              </w:rPr>
              <w:t> </w:t>
            </w:r>
            <w:r>
              <w:rPr>
                <w:sz w:val="20"/>
              </w:rPr>
              <w:t>($)</w:t>
            </w:r>
            <w:r>
              <w:rPr>
                <w:spacing w:val="-6"/>
                <w:sz w:val="20"/>
              </w:rPr>
              <w:t> </w:t>
            </w:r>
            <w:r>
              <w:rPr>
                <w:sz w:val="20"/>
              </w:rPr>
              <w:t>and</w:t>
            </w:r>
            <w:r>
              <w:rPr>
                <w:spacing w:val="-7"/>
                <w:sz w:val="20"/>
              </w:rPr>
              <w:t> </w:t>
            </w:r>
            <w:r>
              <w:rPr>
                <w:sz w:val="20"/>
              </w:rPr>
              <w:t>type</w:t>
            </w:r>
            <w:r>
              <w:rPr>
                <w:spacing w:val="-6"/>
                <w:sz w:val="20"/>
              </w:rPr>
              <w:t> </w:t>
            </w:r>
            <w:r>
              <w:rPr>
                <w:sz w:val="20"/>
              </w:rPr>
              <w:t>of</w:t>
            </w:r>
            <w:r>
              <w:rPr>
                <w:spacing w:val="-7"/>
                <w:sz w:val="20"/>
              </w:rPr>
              <w:t> </w:t>
            </w:r>
            <w:r>
              <w:rPr>
                <w:sz w:val="20"/>
              </w:rPr>
              <w:t>a</w:t>
            </w:r>
            <w:r>
              <w:rPr>
                <w:spacing w:val="-5"/>
                <w:sz w:val="20"/>
              </w:rPr>
              <w:t> </w:t>
            </w:r>
            <w:r>
              <w:rPr>
                <w:sz w:val="20"/>
              </w:rPr>
              <w:t>single</w:t>
            </w:r>
            <w:r>
              <w:rPr>
                <w:spacing w:val="-7"/>
                <w:sz w:val="20"/>
              </w:rPr>
              <w:t> </w:t>
            </w:r>
            <w:r>
              <w:rPr>
                <w:sz w:val="20"/>
              </w:rPr>
              <w:t>trap</w:t>
            </w:r>
          </w:p>
        </w:tc>
      </w:tr>
      <w:tr>
        <w:trPr>
          <w:trHeight w:val="808" w:hRule="atLeast"/>
        </w:trPr>
        <w:tc>
          <w:tcPr>
            <w:tcW w:w="5444" w:type="dxa"/>
          </w:tcPr>
          <w:p>
            <w:pPr>
              <w:pStyle w:val="TableParagraph"/>
              <w:spacing w:line="229" w:lineRule="exact"/>
              <w:ind w:left="110"/>
              <w:rPr>
                <w:sz w:val="20"/>
              </w:rPr>
            </w:pPr>
            <w:r>
              <w:rPr>
                <w:sz w:val="20"/>
              </w:rPr>
              <w:t>Distance</w:t>
            </w:r>
            <w:r>
              <w:rPr>
                <w:spacing w:val="-10"/>
                <w:sz w:val="20"/>
              </w:rPr>
              <w:t> </w:t>
            </w:r>
            <w:r>
              <w:rPr>
                <w:spacing w:val="-2"/>
                <w:sz w:val="20"/>
              </w:rPr>
              <w:t>travelled</w:t>
            </w:r>
          </w:p>
        </w:tc>
        <w:tc>
          <w:tcPr>
            <w:tcW w:w="8302" w:type="dxa"/>
          </w:tcPr>
          <w:p>
            <w:pPr>
              <w:pStyle w:val="TableParagraph"/>
              <w:ind w:left="108" w:right="5002"/>
              <w:rPr>
                <w:sz w:val="20"/>
              </w:rPr>
            </w:pPr>
            <w:r>
              <w:rPr>
                <w:sz w:val="20"/>
              </w:rPr>
              <w:t>Km</w:t>
            </w:r>
            <w:r>
              <w:rPr>
                <w:spacing w:val="-14"/>
                <w:sz w:val="20"/>
              </w:rPr>
              <w:t> </w:t>
            </w:r>
            <w:r>
              <w:rPr>
                <w:sz w:val="20"/>
              </w:rPr>
              <w:t>driven/walked</w:t>
            </w:r>
            <w:r>
              <w:rPr>
                <w:spacing w:val="-14"/>
                <w:sz w:val="20"/>
              </w:rPr>
              <w:t> </w:t>
            </w:r>
            <w:r>
              <w:rPr>
                <w:sz w:val="20"/>
              </w:rPr>
              <w:t>ground</w:t>
            </w:r>
            <w:r>
              <w:rPr>
                <w:spacing w:val="-14"/>
                <w:sz w:val="20"/>
              </w:rPr>
              <w:t> </w:t>
            </w:r>
            <w:r>
              <w:rPr>
                <w:sz w:val="20"/>
              </w:rPr>
              <w:t>shooting Km driven to and from control site Km driven per bait run/transect</w:t>
            </w:r>
          </w:p>
        </w:tc>
      </w:tr>
      <w:tr>
        <w:trPr>
          <w:trHeight w:val="1161" w:hRule="atLeast"/>
        </w:trPr>
        <w:tc>
          <w:tcPr>
            <w:tcW w:w="5444" w:type="dxa"/>
          </w:tcPr>
          <w:p>
            <w:pPr>
              <w:pStyle w:val="TableParagraph"/>
              <w:spacing w:line="229" w:lineRule="exact"/>
              <w:ind w:left="110"/>
              <w:rPr>
                <w:sz w:val="20"/>
              </w:rPr>
            </w:pPr>
            <w:r>
              <w:rPr>
                <w:sz w:val="20"/>
              </w:rPr>
              <w:t>Cost</w:t>
            </w:r>
            <w:r>
              <w:rPr>
                <w:spacing w:val="-5"/>
                <w:sz w:val="20"/>
              </w:rPr>
              <w:t> </w:t>
            </w:r>
            <w:r>
              <w:rPr>
                <w:sz w:val="20"/>
              </w:rPr>
              <w:t>of</w:t>
            </w:r>
            <w:r>
              <w:rPr>
                <w:spacing w:val="-4"/>
                <w:sz w:val="20"/>
              </w:rPr>
              <w:t> </w:t>
            </w:r>
            <w:r>
              <w:rPr>
                <w:spacing w:val="-2"/>
                <w:sz w:val="20"/>
              </w:rPr>
              <w:t>travel</w:t>
            </w:r>
          </w:p>
        </w:tc>
        <w:tc>
          <w:tcPr>
            <w:tcW w:w="8302" w:type="dxa"/>
          </w:tcPr>
          <w:p>
            <w:pPr>
              <w:pStyle w:val="TableParagraph"/>
              <w:spacing w:line="229" w:lineRule="exact"/>
              <w:ind w:left="108"/>
              <w:rPr>
                <w:sz w:val="20"/>
              </w:rPr>
            </w:pPr>
            <w:r>
              <w:rPr>
                <w:sz w:val="20"/>
              </w:rPr>
              <w:t>$</w:t>
            </w:r>
            <w:r>
              <w:rPr>
                <w:spacing w:val="-5"/>
                <w:sz w:val="20"/>
              </w:rPr>
              <w:t> </w:t>
            </w:r>
            <w:r>
              <w:rPr>
                <w:sz w:val="20"/>
              </w:rPr>
              <w:t>per</w:t>
            </w:r>
            <w:r>
              <w:rPr>
                <w:spacing w:val="-1"/>
                <w:sz w:val="20"/>
              </w:rPr>
              <w:t> </w:t>
            </w:r>
            <w:r>
              <w:rPr>
                <w:sz w:val="20"/>
              </w:rPr>
              <w:t>litre</w:t>
            </w:r>
            <w:r>
              <w:rPr>
                <w:spacing w:val="-2"/>
                <w:sz w:val="20"/>
              </w:rPr>
              <w:t> </w:t>
            </w:r>
            <w:r>
              <w:rPr>
                <w:sz w:val="20"/>
              </w:rPr>
              <w:t>of</w:t>
            </w:r>
            <w:r>
              <w:rPr>
                <w:spacing w:val="-4"/>
                <w:sz w:val="20"/>
              </w:rPr>
              <w:t> </w:t>
            </w:r>
            <w:r>
              <w:rPr>
                <w:sz w:val="20"/>
              </w:rPr>
              <w:t>fuel</w:t>
            </w:r>
            <w:r>
              <w:rPr>
                <w:spacing w:val="-5"/>
                <w:sz w:val="20"/>
              </w:rPr>
              <w:t> </w:t>
            </w:r>
            <w:r>
              <w:rPr>
                <w:sz w:val="20"/>
              </w:rPr>
              <w:t>or</w:t>
            </w:r>
            <w:r>
              <w:rPr>
                <w:spacing w:val="-4"/>
                <w:sz w:val="20"/>
              </w:rPr>
              <w:t> </w:t>
            </w:r>
            <w:r>
              <w:rPr>
                <w:sz w:val="20"/>
              </w:rPr>
              <w:t>total</w:t>
            </w:r>
            <w:r>
              <w:rPr>
                <w:spacing w:val="-5"/>
                <w:sz w:val="20"/>
              </w:rPr>
              <w:t> </w:t>
            </w:r>
            <w:r>
              <w:rPr>
                <w:sz w:val="20"/>
              </w:rPr>
              <w:t>fuel</w:t>
            </w:r>
            <w:r>
              <w:rPr>
                <w:spacing w:val="-6"/>
                <w:sz w:val="20"/>
              </w:rPr>
              <w:t> </w:t>
            </w:r>
            <w:r>
              <w:rPr>
                <w:sz w:val="20"/>
              </w:rPr>
              <w:t>cost</w:t>
            </w:r>
            <w:r>
              <w:rPr>
                <w:spacing w:val="-4"/>
                <w:sz w:val="20"/>
              </w:rPr>
              <w:t> </w:t>
            </w:r>
            <w:r>
              <w:rPr>
                <w:sz w:val="20"/>
              </w:rPr>
              <w:t>per</w:t>
            </w:r>
            <w:r>
              <w:rPr>
                <w:spacing w:val="-1"/>
                <w:sz w:val="20"/>
              </w:rPr>
              <w:t> </w:t>
            </w:r>
            <w:r>
              <w:rPr>
                <w:spacing w:val="-4"/>
                <w:sz w:val="20"/>
              </w:rPr>
              <w:t>event</w:t>
            </w:r>
          </w:p>
          <w:p>
            <w:pPr>
              <w:pStyle w:val="TableParagraph"/>
              <w:spacing w:before="120"/>
              <w:ind w:left="108" w:right="3611"/>
              <w:rPr>
                <w:sz w:val="20"/>
              </w:rPr>
            </w:pPr>
            <w:r>
              <w:rPr>
                <w:sz w:val="20"/>
              </w:rPr>
              <w:t>Cost</w:t>
            </w:r>
            <w:r>
              <w:rPr>
                <w:spacing w:val="-7"/>
                <w:sz w:val="20"/>
              </w:rPr>
              <w:t> </w:t>
            </w:r>
            <w:r>
              <w:rPr>
                <w:sz w:val="20"/>
              </w:rPr>
              <w:t>of</w:t>
            </w:r>
            <w:r>
              <w:rPr>
                <w:spacing w:val="-7"/>
                <w:sz w:val="20"/>
              </w:rPr>
              <w:t> </w:t>
            </w:r>
            <w:r>
              <w:rPr>
                <w:sz w:val="20"/>
              </w:rPr>
              <w:t>travel</w:t>
            </w:r>
            <w:r>
              <w:rPr>
                <w:spacing w:val="-8"/>
                <w:sz w:val="20"/>
              </w:rPr>
              <w:t> </w:t>
            </w:r>
            <w:r>
              <w:rPr>
                <w:sz w:val="20"/>
              </w:rPr>
              <w:t>for</w:t>
            </w:r>
            <w:r>
              <w:rPr>
                <w:spacing w:val="-7"/>
                <w:sz w:val="20"/>
              </w:rPr>
              <w:t> </w:t>
            </w:r>
            <w:r>
              <w:rPr>
                <w:sz w:val="20"/>
              </w:rPr>
              <w:t>constructing</w:t>
            </w:r>
            <w:r>
              <w:rPr>
                <w:spacing w:val="-8"/>
                <w:sz w:val="20"/>
              </w:rPr>
              <w:t> </w:t>
            </w:r>
            <w:r>
              <w:rPr>
                <w:sz w:val="20"/>
              </w:rPr>
              <w:t>bait</w:t>
            </w:r>
            <w:r>
              <w:rPr>
                <w:spacing w:val="-7"/>
                <w:sz w:val="20"/>
              </w:rPr>
              <w:t> </w:t>
            </w:r>
            <w:r>
              <w:rPr>
                <w:sz w:val="20"/>
              </w:rPr>
              <w:t>stations</w:t>
            </w:r>
            <w:r>
              <w:rPr>
                <w:spacing w:val="-6"/>
                <w:sz w:val="20"/>
              </w:rPr>
              <w:t> </w:t>
            </w:r>
            <w:r>
              <w:rPr>
                <w:sz w:val="20"/>
              </w:rPr>
              <w:t>($/km) Cost of travel for constructing traps ($/km)</w:t>
            </w:r>
          </w:p>
          <w:p>
            <w:pPr>
              <w:pStyle w:val="TableParagraph"/>
              <w:spacing w:before="1"/>
              <w:ind w:left="108"/>
              <w:rPr>
                <w:sz w:val="20"/>
              </w:rPr>
            </w:pPr>
            <w:r>
              <w:rPr>
                <w:sz w:val="20"/>
              </w:rPr>
              <w:t>Cost</w:t>
            </w:r>
            <w:r>
              <w:rPr>
                <w:spacing w:val="-8"/>
                <w:sz w:val="20"/>
              </w:rPr>
              <w:t> </w:t>
            </w:r>
            <w:r>
              <w:rPr>
                <w:sz w:val="20"/>
              </w:rPr>
              <w:t>of</w:t>
            </w:r>
            <w:r>
              <w:rPr>
                <w:spacing w:val="-5"/>
                <w:sz w:val="20"/>
              </w:rPr>
              <w:t> </w:t>
            </w:r>
            <w:r>
              <w:rPr>
                <w:sz w:val="20"/>
              </w:rPr>
              <w:t>Km</w:t>
            </w:r>
            <w:r>
              <w:rPr>
                <w:spacing w:val="-6"/>
                <w:sz w:val="20"/>
              </w:rPr>
              <w:t> </w:t>
            </w:r>
            <w:r>
              <w:rPr>
                <w:sz w:val="20"/>
              </w:rPr>
              <w:t>driven/walked</w:t>
            </w:r>
            <w:r>
              <w:rPr>
                <w:spacing w:val="-8"/>
                <w:sz w:val="20"/>
              </w:rPr>
              <w:t> </w:t>
            </w:r>
            <w:r>
              <w:rPr>
                <w:sz w:val="20"/>
              </w:rPr>
              <w:t>ground</w:t>
            </w:r>
            <w:r>
              <w:rPr>
                <w:spacing w:val="-9"/>
                <w:sz w:val="20"/>
              </w:rPr>
              <w:t> </w:t>
            </w:r>
            <w:r>
              <w:rPr>
                <w:spacing w:val="-2"/>
                <w:sz w:val="20"/>
              </w:rPr>
              <w:t>shooting</w:t>
            </w:r>
          </w:p>
        </w:tc>
      </w:tr>
      <w:tr>
        <w:trPr>
          <w:trHeight w:val="350" w:hRule="atLeast"/>
        </w:trPr>
        <w:tc>
          <w:tcPr>
            <w:tcW w:w="5444" w:type="dxa"/>
          </w:tcPr>
          <w:p>
            <w:pPr>
              <w:pStyle w:val="TableParagraph"/>
              <w:spacing w:line="229" w:lineRule="exact"/>
              <w:ind w:left="110"/>
              <w:rPr>
                <w:b/>
                <w:sz w:val="20"/>
              </w:rPr>
            </w:pPr>
            <w:r>
              <w:rPr>
                <w:b/>
                <w:sz w:val="20"/>
              </w:rPr>
              <w:t>Pest</w:t>
            </w:r>
            <w:r>
              <w:rPr>
                <w:b/>
                <w:spacing w:val="-7"/>
                <w:sz w:val="20"/>
              </w:rPr>
              <w:t> </w:t>
            </w:r>
            <w:r>
              <w:rPr>
                <w:b/>
                <w:sz w:val="20"/>
              </w:rPr>
              <w:t>animal</w:t>
            </w:r>
            <w:r>
              <w:rPr>
                <w:b/>
                <w:spacing w:val="-9"/>
                <w:sz w:val="20"/>
              </w:rPr>
              <w:t> </w:t>
            </w:r>
            <w:r>
              <w:rPr>
                <w:b/>
                <w:spacing w:val="-4"/>
                <w:sz w:val="20"/>
              </w:rPr>
              <w:t>data</w:t>
            </w:r>
          </w:p>
        </w:tc>
        <w:tc>
          <w:tcPr>
            <w:tcW w:w="8302" w:type="dxa"/>
          </w:tcPr>
          <w:p>
            <w:pPr>
              <w:pStyle w:val="TableParagraph"/>
              <w:rPr>
                <w:rFonts w:ascii="Times New Roman"/>
                <w:sz w:val="18"/>
              </w:rPr>
            </w:pPr>
          </w:p>
        </w:tc>
      </w:tr>
      <w:tr>
        <w:trPr>
          <w:trHeight w:val="350" w:hRule="atLeast"/>
        </w:trPr>
        <w:tc>
          <w:tcPr>
            <w:tcW w:w="5444" w:type="dxa"/>
          </w:tcPr>
          <w:p>
            <w:pPr>
              <w:pStyle w:val="TableParagraph"/>
              <w:ind w:left="110"/>
              <w:rPr>
                <w:sz w:val="20"/>
              </w:rPr>
            </w:pPr>
            <w:r>
              <w:rPr>
                <w:sz w:val="20"/>
              </w:rPr>
              <w:t>Pest</w:t>
            </w:r>
            <w:r>
              <w:rPr>
                <w:spacing w:val="-8"/>
                <w:sz w:val="20"/>
              </w:rPr>
              <w:t> </w:t>
            </w:r>
            <w:r>
              <w:rPr>
                <w:spacing w:val="-2"/>
                <w:sz w:val="20"/>
              </w:rPr>
              <w:t>abundance/density</w:t>
            </w:r>
          </w:p>
        </w:tc>
        <w:tc>
          <w:tcPr>
            <w:tcW w:w="8302" w:type="dxa"/>
          </w:tcPr>
          <w:p>
            <w:pPr>
              <w:pStyle w:val="TableParagraph"/>
              <w:ind w:left="108"/>
              <w:rPr>
                <w:sz w:val="20"/>
              </w:rPr>
            </w:pPr>
            <w:r>
              <w:rPr>
                <w:sz w:val="20"/>
              </w:rPr>
              <w:t>A</w:t>
            </w:r>
            <w:r>
              <w:rPr>
                <w:spacing w:val="-6"/>
                <w:sz w:val="20"/>
              </w:rPr>
              <w:t> </w:t>
            </w:r>
            <w:r>
              <w:rPr>
                <w:sz w:val="20"/>
              </w:rPr>
              <w:t>measure</w:t>
            </w:r>
            <w:r>
              <w:rPr>
                <w:spacing w:val="-6"/>
                <w:sz w:val="20"/>
              </w:rPr>
              <w:t> </w:t>
            </w:r>
            <w:r>
              <w:rPr>
                <w:sz w:val="20"/>
              </w:rPr>
              <w:t>of</w:t>
            </w:r>
            <w:r>
              <w:rPr>
                <w:spacing w:val="-6"/>
                <w:sz w:val="20"/>
              </w:rPr>
              <w:t> </w:t>
            </w:r>
            <w:r>
              <w:rPr>
                <w:sz w:val="20"/>
              </w:rPr>
              <w:t>the</w:t>
            </w:r>
            <w:r>
              <w:rPr>
                <w:spacing w:val="-5"/>
                <w:sz w:val="20"/>
              </w:rPr>
              <w:t> </w:t>
            </w:r>
            <w:r>
              <w:rPr>
                <w:sz w:val="20"/>
              </w:rPr>
              <w:t>pre</w:t>
            </w:r>
            <w:r>
              <w:rPr>
                <w:spacing w:val="-4"/>
                <w:sz w:val="20"/>
              </w:rPr>
              <w:t> </w:t>
            </w:r>
            <w:r>
              <w:rPr>
                <w:sz w:val="20"/>
              </w:rPr>
              <w:t>and</w:t>
            </w:r>
            <w:r>
              <w:rPr>
                <w:spacing w:val="-4"/>
                <w:sz w:val="20"/>
              </w:rPr>
              <w:t> </w:t>
            </w:r>
            <w:r>
              <w:rPr>
                <w:sz w:val="20"/>
              </w:rPr>
              <w:t>post</w:t>
            </w:r>
            <w:r>
              <w:rPr>
                <w:spacing w:val="-6"/>
                <w:sz w:val="20"/>
              </w:rPr>
              <w:t> </w:t>
            </w:r>
            <w:r>
              <w:rPr>
                <w:sz w:val="20"/>
              </w:rPr>
              <w:t>density,</w:t>
            </w:r>
            <w:r>
              <w:rPr>
                <w:spacing w:val="-6"/>
                <w:sz w:val="20"/>
              </w:rPr>
              <w:t> </w:t>
            </w:r>
            <w:r>
              <w:rPr>
                <w:sz w:val="20"/>
              </w:rPr>
              <w:t>relative</w:t>
            </w:r>
            <w:r>
              <w:rPr>
                <w:spacing w:val="-3"/>
                <w:sz w:val="20"/>
              </w:rPr>
              <w:t> </w:t>
            </w:r>
            <w:r>
              <w:rPr>
                <w:sz w:val="20"/>
              </w:rPr>
              <w:t>abundance,</w:t>
            </w:r>
            <w:r>
              <w:rPr>
                <w:spacing w:val="-6"/>
                <w:sz w:val="20"/>
              </w:rPr>
              <w:t> </w:t>
            </w:r>
            <w:r>
              <w:rPr>
                <w:sz w:val="20"/>
              </w:rPr>
              <w:t>or</w:t>
            </w:r>
            <w:r>
              <w:rPr>
                <w:spacing w:val="-6"/>
                <w:sz w:val="20"/>
              </w:rPr>
              <w:t> </w:t>
            </w:r>
            <w:r>
              <w:rPr>
                <w:sz w:val="20"/>
              </w:rPr>
              <w:t>a</w:t>
            </w:r>
            <w:r>
              <w:rPr>
                <w:spacing w:val="-6"/>
                <w:sz w:val="20"/>
              </w:rPr>
              <w:t> </w:t>
            </w:r>
            <w:r>
              <w:rPr>
                <w:sz w:val="20"/>
              </w:rPr>
              <w:t>count</w:t>
            </w:r>
            <w:r>
              <w:rPr>
                <w:spacing w:val="-3"/>
                <w:sz w:val="20"/>
              </w:rPr>
              <w:t> </w:t>
            </w:r>
            <w:r>
              <w:rPr>
                <w:sz w:val="20"/>
              </w:rPr>
              <w:t>of</w:t>
            </w:r>
            <w:r>
              <w:rPr>
                <w:spacing w:val="-4"/>
                <w:sz w:val="20"/>
              </w:rPr>
              <w:t> </w:t>
            </w:r>
            <w:r>
              <w:rPr>
                <w:spacing w:val="-2"/>
                <w:sz w:val="20"/>
              </w:rPr>
              <w:t>individuals.</w:t>
            </w:r>
          </w:p>
        </w:tc>
      </w:tr>
      <w:tr>
        <w:trPr>
          <w:trHeight w:val="808" w:hRule="atLeast"/>
        </w:trPr>
        <w:tc>
          <w:tcPr>
            <w:tcW w:w="5444" w:type="dxa"/>
          </w:tcPr>
          <w:p>
            <w:pPr>
              <w:pStyle w:val="TableParagraph"/>
              <w:spacing w:line="229" w:lineRule="exact"/>
              <w:ind w:left="110"/>
              <w:rPr>
                <w:sz w:val="20"/>
              </w:rPr>
            </w:pPr>
            <w:r>
              <w:rPr>
                <w:sz w:val="20"/>
              </w:rPr>
              <w:t>The</w:t>
            </w:r>
            <w:r>
              <w:rPr>
                <w:spacing w:val="-9"/>
                <w:sz w:val="20"/>
              </w:rPr>
              <w:t> </w:t>
            </w:r>
            <w:r>
              <w:rPr>
                <w:sz w:val="20"/>
              </w:rPr>
              <w:t>number</w:t>
            </w:r>
            <w:r>
              <w:rPr>
                <w:spacing w:val="-8"/>
                <w:sz w:val="20"/>
              </w:rPr>
              <w:t> </w:t>
            </w:r>
            <w:r>
              <w:rPr>
                <w:sz w:val="20"/>
              </w:rPr>
              <w:t>of</w:t>
            </w:r>
            <w:r>
              <w:rPr>
                <w:spacing w:val="-6"/>
                <w:sz w:val="20"/>
              </w:rPr>
              <w:t> </w:t>
            </w:r>
            <w:r>
              <w:rPr>
                <w:sz w:val="20"/>
              </w:rPr>
              <w:t>individuals</w:t>
            </w:r>
            <w:r>
              <w:rPr>
                <w:spacing w:val="-7"/>
                <w:sz w:val="20"/>
              </w:rPr>
              <w:t> </w:t>
            </w:r>
            <w:r>
              <w:rPr>
                <w:sz w:val="20"/>
              </w:rPr>
              <w:t>killed</w:t>
            </w:r>
            <w:r>
              <w:rPr>
                <w:spacing w:val="-7"/>
                <w:sz w:val="20"/>
              </w:rPr>
              <w:t> </w:t>
            </w:r>
            <w:r>
              <w:rPr>
                <w:sz w:val="20"/>
              </w:rPr>
              <w:t>per</w:t>
            </w:r>
            <w:r>
              <w:rPr>
                <w:spacing w:val="-7"/>
                <w:sz w:val="20"/>
              </w:rPr>
              <w:t> </w:t>
            </w:r>
            <w:r>
              <w:rPr>
                <w:spacing w:val="-4"/>
                <w:sz w:val="20"/>
              </w:rPr>
              <w:t>event</w:t>
            </w:r>
          </w:p>
        </w:tc>
        <w:tc>
          <w:tcPr>
            <w:tcW w:w="8302" w:type="dxa"/>
          </w:tcPr>
          <w:p>
            <w:pPr>
              <w:pStyle w:val="TableParagraph"/>
              <w:spacing w:line="237" w:lineRule="auto" w:before="1"/>
              <w:ind w:left="108" w:right="1473"/>
              <w:rPr>
                <w:sz w:val="20"/>
              </w:rPr>
            </w:pPr>
            <w:r>
              <w:rPr>
                <w:sz w:val="20"/>
              </w:rPr>
              <w:t>The</w:t>
            </w:r>
            <w:r>
              <w:rPr>
                <w:spacing w:val="-7"/>
                <w:sz w:val="20"/>
              </w:rPr>
              <w:t> </w:t>
            </w:r>
            <w:r>
              <w:rPr>
                <w:sz w:val="20"/>
              </w:rPr>
              <w:t>number</w:t>
            </w:r>
            <w:r>
              <w:rPr>
                <w:spacing w:val="-6"/>
                <w:sz w:val="20"/>
              </w:rPr>
              <w:t> </w:t>
            </w:r>
            <w:r>
              <w:rPr>
                <w:sz w:val="20"/>
              </w:rPr>
              <w:t>of</w:t>
            </w:r>
            <w:r>
              <w:rPr>
                <w:spacing w:val="-3"/>
                <w:sz w:val="20"/>
              </w:rPr>
              <w:t> </w:t>
            </w:r>
            <w:r>
              <w:rPr>
                <w:sz w:val="20"/>
              </w:rPr>
              <w:t>individuals</w:t>
            </w:r>
            <w:r>
              <w:rPr>
                <w:spacing w:val="-3"/>
                <w:sz w:val="20"/>
              </w:rPr>
              <w:t> </w:t>
            </w:r>
            <w:r>
              <w:rPr>
                <w:sz w:val="20"/>
              </w:rPr>
              <w:t>shot</w:t>
            </w:r>
            <w:r>
              <w:rPr>
                <w:spacing w:val="-6"/>
                <w:sz w:val="20"/>
              </w:rPr>
              <w:t> </w:t>
            </w:r>
            <w:r>
              <w:rPr>
                <w:sz w:val="20"/>
              </w:rPr>
              <w:t>per</w:t>
            </w:r>
            <w:r>
              <w:rPr>
                <w:spacing w:val="-6"/>
                <w:sz w:val="20"/>
              </w:rPr>
              <w:t> </w:t>
            </w:r>
            <w:r>
              <w:rPr>
                <w:sz w:val="20"/>
              </w:rPr>
              <w:t>transect</w:t>
            </w:r>
            <w:r>
              <w:rPr>
                <w:spacing w:val="-4"/>
                <w:sz w:val="20"/>
              </w:rPr>
              <w:t> </w:t>
            </w:r>
            <w:r>
              <w:rPr>
                <w:sz w:val="20"/>
              </w:rPr>
              <w:t>and</w:t>
            </w:r>
            <w:r>
              <w:rPr>
                <w:spacing w:val="-4"/>
                <w:sz w:val="20"/>
              </w:rPr>
              <w:t> </w:t>
            </w:r>
            <w:r>
              <w:rPr>
                <w:sz w:val="20"/>
              </w:rPr>
              <w:t>number</w:t>
            </w:r>
            <w:r>
              <w:rPr>
                <w:spacing w:val="-5"/>
                <w:sz w:val="20"/>
              </w:rPr>
              <w:t> </w:t>
            </w:r>
            <w:r>
              <w:rPr>
                <w:sz w:val="20"/>
              </w:rPr>
              <w:t>missed</w:t>
            </w:r>
            <w:r>
              <w:rPr>
                <w:spacing w:val="-7"/>
                <w:sz w:val="20"/>
              </w:rPr>
              <w:t> </w:t>
            </w:r>
            <w:r>
              <w:rPr>
                <w:sz w:val="20"/>
              </w:rPr>
              <w:t>transect. No. of individuals trapped per trap per event</w:t>
            </w:r>
          </w:p>
          <w:p>
            <w:pPr>
              <w:pStyle w:val="TableParagraph"/>
              <w:spacing w:before="1"/>
              <w:ind w:left="108"/>
              <w:rPr>
                <w:sz w:val="20"/>
              </w:rPr>
            </w:pPr>
            <w:r>
              <w:rPr>
                <w:sz w:val="20"/>
              </w:rPr>
              <w:t>No.</w:t>
            </w:r>
            <w:r>
              <w:rPr>
                <w:spacing w:val="-6"/>
                <w:sz w:val="20"/>
              </w:rPr>
              <w:t> </w:t>
            </w:r>
            <w:r>
              <w:rPr>
                <w:sz w:val="20"/>
              </w:rPr>
              <w:t>baits</w:t>
            </w:r>
            <w:r>
              <w:rPr>
                <w:spacing w:val="-4"/>
                <w:sz w:val="20"/>
              </w:rPr>
              <w:t> </w:t>
            </w:r>
            <w:r>
              <w:rPr>
                <w:sz w:val="20"/>
              </w:rPr>
              <w:t>taken</w:t>
            </w:r>
            <w:r>
              <w:rPr>
                <w:spacing w:val="-5"/>
                <w:sz w:val="20"/>
              </w:rPr>
              <w:t> </w:t>
            </w:r>
            <w:r>
              <w:rPr>
                <w:sz w:val="20"/>
              </w:rPr>
              <w:t>per</w:t>
            </w:r>
            <w:r>
              <w:rPr>
                <w:spacing w:val="-5"/>
                <w:sz w:val="20"/>
              </w:rPr>
              <w:t> </w:t>
            </w:r>
            <w:r>
              <w:rPr>
                <w:spacing w:val="-4"/>
                <w:sz w:val="20"/>
              </w:rPr>
              <w:t>event</w:t>
            </w:r>
          </w:p>
        </w:tc>
      </w:tr>
    </w:tbl>
    <w:p>
      <w:pPr>
        <w:spacing w:after="0"/>
        <w:rPr>
          <w:sz w:val="20"/>
        </w:rPr>
        <w:sectPr>
          <w:pgSz w:w="16850" w:h="11910" w:orient="landscape"/>
          <w:pgMar w:header="0" w:footer="686" w:top="1060" w:bottom="880" w:left="1020" w:right="1020"/>
        </w:sectPr>
      </w:pPr>
    </w:p>
    <w:p>
      <w:pPr>
        <w:pStyle w:val="BodyText"/>
        <w:spacing w:before="66"/>
        <w:ind w:left="112"/>
      </w:pPr>
      <w:r>
        <w:rPr>
          <w:color w:val="FF0000"/>
        </w:rPr>
        <w:t>DON’T</w:t>
      </w:r>
      <w:r>
        <w:rPr>
          <w:color w:val="FF0000"/>
          <w:spacing w:val="-7"/>
        </w:rPr>
        <w:t> </w:t>
      </w:r>
      <w:r>
        <w:rPr>
          <w:color w:val="FF0000"/>
        </w:rPr>
        <w:t>DELET</w:t>
      </w:r>
      <w:r>
        <w:rPr>
          <w:color w:val="FF0000"/>
          <w:spacing w:val="-5"/>
        </w:rPr>
        <w:t> </w:t>
      </w:r>
      <w:r>
        <w:rPr>
          <w:color w:val="FF0000"/>
        </w:rPr>
        <w:t>PAGE</w:t>
      </w:r>
      <w:r>
        <w:rPr>
          <w:color w:val="FF0000"/>
          <w:spacing w:val="-6"/>
        </w:rPr>
        <w:t> </w:t>
      </w:r>
      <w:r>
        <w:rPr>
          <w:color w:val="FF0000"/>
          <w:spacing w:val="-2"/>
        </w:rPr>
        <w:t>BREAK</w:t>
      </w:r>
    </w:p>
    <w:p>
      <w:pPr>
        <w:spacing w:after="0"/>
        <w:sectPr>
          <w:pgSz w:w="16850" w:h="11910" w:orient="landscape"/>
          <w:pgMar w:header="0" w:footer="686" w:top="1060" w:bottom="880" w:left="1020" w:right="1020"/>
        </w:sectPr>
      </w:pPr>
    </w:p>
    <w:p>
      <w:pPr>
        <w:pStyle w:val="BodyText"/>
        <w:rPr>
          <w:sz w:val="32"/>
        </w:rPr>
      </w:pPr>
      <w:r>
        <w:rPr/>
        <mc:AlternateContent>
          <mc:Choice Requires="wps">
            <w:drawing>
              <wp:anchor distT="0" distB="0" distL="0" distR="0" allowOverlap="1" layoutInCell="1" locked="0" behindDoc="1" simplePos="0" relativeHeight="483866112">
                <wp:simplePos x="0" y="0"/>
                <wp:positionH relativeFrom="page">
                  <wp:posOffset>485140</wp:posOffset>
                </wp:positionH>
                <wp:positionV relativeFrom="page">
                  <wp:posOffset>357504</wp:posOffset>
                </wp:positionV>
                <wp:extent cx="6839584" cy="997140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6839584" cy="9971405"/>
                        </a:xfrm>
                        <a:custGeom>
                          <a:avLst/>
                          <a:gdLst/>
                          <a:ahLst/>
                          <a:cxnLst/>
                          <a:rect l="l" t="t" r="r" b="b"/>
                          <a:pathLst>
                            <a:path w="6839584" h="9971405">
                              <a:moveTo>
                                <a:pt x="6839584" y="0"/>
                              </a:moveTo>
                              <a:lnTo>
                                <a:pt x="0" y="0"/>
                              </a:lnTo>
                              <a:lnTo>
                                <a:pt x="0" y="9971405"/>
                              </a:lnTo>
                              <a:lnTo>
                                <a:pt x="6839584" y="9971405"/>
                              </a:lnTo>
                              <a:lnTo>
                                <a:pt x="6839584" y="0"/>
                              </a:lnTo>
                              <a:close/>
                            </a:path>
                          </a:pathLst>
                        </a:custGeom>
                        <a:solidFill>
                          <a:srgbClr val="1F1546"/>
                        </a:solidFill>
                      </wps:spPr>
                      <wps:bodyPr wrap="square" lIns="0" tIns="0" rIns="0" bIns="0" rtlCol="0">
                        <a:prstTxWarp prst="textNoShape">
                          <a:avLst/>
                        </a:prstTxWarp>
                        <a:noAutofit/>
                      </wps:bodyPr>
                    </wps:wsp>
                  </a:graphicData>
                </a:graphic>
              </wp:anchor>
            </w:drawing>
          </mc:Choice>
          <mc:Fallback>
            <w:pict>
              <v:rect style="position:absolute;margin-left:38.200001pt;margin-top:28.149979pt;width:538.550pt;height:785.15pt;mso-position-horizontal-relative:page;mso-position-vertical-relative:page;z-index:-19450368" id="docshape103" filled="true" fillcolor="#1f1546" stroked="false">
                <v:fill type="solid"/>
                <w10:wrap type="none"/>
              </v:rect>
            </w:pict>
          </mc:Fallback>
        </mc:AlternateConten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6"/>
        <w:rPr>
          <w:sz w:val="32"/>
        </w:rPr>
      </w:pPr>
    </w:p>
    <w:p>
      <w:pPr>
        <w:spacing w:line="398" w:lineRule="auto" w:before="0"/>
        <w:ind w:left="104" w:right="5580" w:firstLine="0"/>
        <w:jc w:val="left"/>
        <w:rPr>
          <w:b/>
          <w:sz w:val="32"/>
        </w:rPr>
      </w:pPr>
      <w:hyperlink r:id="rId129">
        <w:r>
          <w:rPr>
            <w:b/>
            <w:color w:val="FFFFFF"/>
            <w:spacing w:val="-4"/>
            <w:sz w:val="32"/>
          </w:rPr>
          <w:t>www.deeca.vic.gov.au</w:t>
        </w:r>
      </w:hyperlink>
      <w:r>
        <w:rPr>
          <w:b/>
          <w:color w:val="FFFFFF"/>
          <w:spacing w:val="-4"/>
          <w:sz w:val="32"/>
        </w:rPr>
        <w:t> </w:t>
      </w:r>
      <w:hyperlink r:id="rId15">
        <w:r>
          <w:rPr>
            <w:b/>
            <w:color w:val="FFFFFF"/>
            <w:spacing w:val="-2"/>
            <w:sz w:val="32"/>
          </w:rPr>
          <w:t>www.ari.vic.gov.au</w:t>
        </w:r>
      </w:hyperlink>
    </w:p>
    <w:sectPr>
      <w:footerReference w:type="default" r:id="rId128"/>
      <w:pgSz w:w="11910" w:h="16850"/>
      <w:pgMar w:header="0" w:footer="0" w:top="1940" w:bottom="280" w:left="11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 w:name="Cambria Math">
    <w:altName w:val="Cambria Math"/>
    <w:charset w:val="0"/>
    <w:family w:val="roman"/>
    <w:pitch w:val="variable"/>
  </w:font>
  <w:font w:name="Segoe UI">
    <w:altName w:val="Segoe U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54848">
              <wp:simplePos x="0" y="0"/>
              <wp:positionH relativeFrom="page">
                <wp:posOffset>3957954</wp:posOffset>
              </wp:positionH>
              <wp:positionV relativeFrom="page">
                <wp:posOffset>10117487</wp:posOffset>
              </wp:positionV>
              <wp:extent cx="2371725" cy="15367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wps:txbx>
                    <wps:bodyPr wrap="square" lIns="0" tIns="0" rIns="0" bIns="0" rtlCol="0">
                      <a:noAutofit/>
                    </wps:bodyPr>
                  </wps:wsp>
                </a:graphicData>
              </a:graphic>
            </wp:anchor>
          </w:drawing>
        </mc:Choice>
        <mc:Fallback>
          <w:pict>
            <v:shape style="position:absolute;margin-left:311.649994pt;margin-top:796.652527pt;width:186.75pt;height:12.1pt;mso-position-horizontal-relative:page;mso-position-vertical-relative:page;z-index:-19461632" type="#_x0000_t202" id="docshape36"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55360">
              <wp:simplePos x="0" y="0"/>
              <wp:positionH relativeFrom="page">
                <wp:posOffset>6676390</wp:posOffset>
              </wp:positionH>
              <wp:positionV relativeFrom="page">
                <wp:posOffset>10117487</wp:posOffset>
              </wp:positionV>
              <wp:extent cx="217170" cy="15367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37</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25.700012pt;margin-top:796.652527pt;width:17.1pt;height:12.1pt;mso-position-horizontal-relative:page;mso-position-vertical-relative:page;z-index:-19461120" type="#_x0000_t202" id="docshape37"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37</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55872">
              <wp:simplePos x="0" y="0"/>
              <wp:positionH relativeFrom="page">
                <wp:posOffset>3493134</wp:posOffset>
              </wp:positionH>
              <wp:positionV relativeFrom="page">
                <wp:posOffset>10388600</wp:posOffset>
              </wp:positionV>
              <wp:extent cx="575945" cy="17780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75.049988pt;margin-top:818pt;width:45.35pt;height:14pt;mso-position-horizontal-relative:page;mso-position-vertical-relative:page;z-index:-19460608" type="#_x0000_t202" id="docshape38"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56384">
              <wp:simplePos x="0" y="0"/>
              <wp:positionH relativeFrom="page">
                <wp:posOffset>681227</wp:posOffset>
              </wp:positionH>
              <wp:positionV relativeFrom="page">
                <wp:posOffset>6985362</wp:posOffset>
              </wp:positionV>
              <wp:extent cx="217170" cy="15367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44</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3.639999pt;margin-top:550.028564pt;width:17.1pt;height:12.1pt;mso-position-horizontal-relative:page;mso-position-vertical-relative:page;z-index:-19460096" type="#_x0000_t202" id="docshape47"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44</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56896">
              <wp:simplePos x="0" y="0"/>
              <wp:positionH relativeFrom="page">
                <wp:posOffset>1164132</wp:posOffset>
              </wp:positionH>
              <wp:positionV relativeFrom="page">
                <wp:posOffset>6985362</wp:posOffset>
              </wp:positionV>
              <wp:extent cx="2371725" cy="15367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wps:txbx>
                    <wps:bodyPr wrap="square" lIns="0" tIns="0" rIns="0" bIns="0" rtlCol="0">
                      <a:noAutofit/>
                    </wps:bodyPr>
                  </wps:wsp>
                </a:graphicData>
              </a:graphic>
            </wp:anchor>
          </w:drawing>
        </mc:Choice>
        <mc:Fallback>
          <w:pict>
            <v:shape style="position:absolute;margin-left:91.664001pt;margin-top:550.028564pt;width:186.75pt;height:12.1pt;mso-position-horizontal-relative:page;mso-position-vertical-relative:page;z-index:-19459584" type="#_x0000_t202" id="docshape48"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57408">
              <wp:simplePos x="0" y="0"/>
              <wp:positionH relativeFrom="page">
                <wp:posOffset>681227</wp:posOffset>
              </wp:positionH>
              <wp:positionV relativeFrom="page">
                <wp:posOffset>6985362</wp:posOffset>
              </wp:positionV>
              <wp:extent cx="217170" cy="15367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46</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3.639999pt;margin-top:550.028564pt;width:17.1pt;height:12.1pt;mso-position-horizontal-relative:page;mso-position-vertical-relative:page;z-index:-19459072" type="#_x0000_t202" id="docshape49"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46</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57920">
              <wp:simplePos x="0" y="0"/>
              <wp:positionH relativeFrom="page">
                <wp:posOffset>1164132</wp:posOffset>
              </wp:positionH>
              <wp:positionV relativeFrom="page">
                <wp:posOffset>6985362</wp:posOffset>
              </wp:positionV>
              <wp:extent cx="2371725" cy="15367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wps:txbx>
                    <wps:bodyPr wrap="square" lIns="0" tIns="0" rIns="0" bIns="0" rtlCol="0">
                      <a:noAutofit/>
                    </wps:bodyPr>
                  </wps:wsp>
                </a:graphicData>
              </a:graphic>
            </wp:anchor>
          </w:drawing>
        </mc:Choice>
        <mc:Fallback>
          <w:pict>
            <v:shape style="position:absolute;margin-left:91.664001pt;margin-top:550.028564pt;width:186.75pt;height:12.1pt;mso-position-horizontal-relative:page;mso-position-vertical-relative:page;z-index:-19458560" type="#_x0000_t202" id="docshape50"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58432">
              <wp:simplePos x="0" y="0"/>
              <wp:positionH relativeFrom="page">
                <wp:posOffset>3957954</wp:posOffset>
              </wp:positionH>
              <wp:positionV relativeFrom="page">
                <wp:posOffset>10117487</wp:posOffset>
              </wp:positionV>
              <wp:extent cx="2371725" cy="15367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wps:txbx>
                    <wps:bodyPr wrap="square" lIns="0" tIns="0" rIns="0" bIns="0" rtlCol="0">
                      <a:noAutofit/>
                    </wps:bodyPr>
                  </wps:wsp>
                </a:graphicData>
              </a:graphic>
            </wp:anchor>
          </w:drawing>
        </mc:Choice>
        <mc:Fallback>
          <w:pict>
            <v:shape style="position:absolute;margin-left:311.649994pt;margin-top:796.652527pt;width:186.75pt;height:12.1pt;mso-position-horizontal-relative:page;mso-position-vertical-relative:page;z-index:-19458048" type="#_x0000_t202" id="docshape54"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58944">
              <wp:simplePos x="0" y="0"/>
              <wp:positionH relativeFrom="page">
                <wp:posOffset>6676390</wp:posOffset>
              </wp:positionH>
              <wp:positionV relativeFrom="page">
                <wp:posOffset>10117487</wp:posOffset>
              </wp:positionV>
              <wp:extent cx="217170" cy="15367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51</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25.700012pt;margin-top:796.652527pt;width:17.1pt;height:12.1pt;mso-position-horizontal-relative:page;mso-position-vertical-relative:page;z-index:-19457536" type="#_x0000_t202" id="docshape55"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51</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59456">
              <wp:simplePos x="0" y="0"/>
              <wp:positionH relativeFrom="page">
                <wp:posOffset>3493134</wp:posOffset>
              </wp:positionH>
              <wp:positionV relativeFrom="page">
                <wp:posOffset>10388600</wp:posOffset>
              </wp:positionV>
              <wp:extent cx="575945" cy="17780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75.049988pt;margin-top:818pt;width:45.35pt;height:14pt;mso-position-horizontal-relative:page;mso-position-vertical-relative:page;z-index:-19457024" type="#_x0000_t202" id="docshape56"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48192">
              <wp:simplePos x="0" y="0"/>
              <wp:positionH relativeFrom="page">
                <wp:posOffset>681227</wp:posOffset>
              </wp:positionH>
              <wp:positionV relativeFrom="page">
                <wp:posOffset>10117487</wp:posOffset>
              </wp:positionV>
              <wp:extent cx="217170" cy="15367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3.639999pt;margin-top:796.652527pt;width:17.1pt;height:12.1pt;mso-position-horizontal-relative:page;mso-position-vertical-relative:page;z-index:-19468288" type="#_x0000_t202" id="docshape22"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48704">
              <wp:simplePos x="0" y="0"/>
              <wp:positionH relativeFrom="page">
                <wp:posOffset>1164132</wp:posOffset>
              </wp:positionH>
              <wp:positionV relativeFrom="page">
                <wp:posOffset>10117487</wp:posOffset>
              </wp:positionV>
              <wp:extent cx="2371725" cy="15367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w:t>
                          </w:r>
                          <w:r>
                            <w:rPr>
                              <w:spacing w:val="1"/>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91.664001pt;margin-top:796.652527pt;width:186.75pt;height:12.1pt;mso-position-horizontal-relative:page;mso-position-vertical-relative:page;z-index:-19467776" type="#_x0000_t202" id="docshape23"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w:t>
                    </w:r>
                    <w:r>
                      <w:rPr>
                        <w:spacing w:val="1"/>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49216">
              <wp:simplePos x="0" y="0"/>
              <wp:positionH relativeFrom="page">
                <wp:posOffset>3691254</wp:posOffset>
              </wp:positionH>
              <wp:positionV relativeFrom="page">
                <wp:posOffset>10388600</wp:posOffset>
              </wp:positionV>
              <wp:extent cx="575945" cy="1778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90.649994pt;margin-top:818pt;width:45.35pt;height:14pt;mso-position-horizontal-relative:page;mso-position-vertical-relative:page;z-index:-19467264" type="#_x0000_t202" id="docshape24"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59968">
              <wp:simplePos x="0" y="0"/>
              <wp:positionH relativeFrom="page">
                <wp:posOffset>681227</wp:posOffset>
              </wp:positionH>
              <wp:positionV relativeFrom="page">
                <wp:posOffset>10117487</wp:posOffset>
              </wp:positionV>
              <wp:extent cx="217170" cy="15367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52</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3.639999pt;margin-top:796.652527pt;width:17.1pt;height:12.1pt;mso-position-horizontal-relative:page;mso-position-vertical-relative:page;z-index:-19456512" type="#_x0000_t202" id="docshape57"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52</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60480">
              <wp:simplePos x="0" y="0"/>
              <wp:positionH relativeFrom="page">
                <wp:posOffset>1164132</wp:posOffset>
              </wp:positionH>
              <wp:positionV relativeFrom="page">
                <wp:posOffset>10117487</wp:posOffset>
              </wp:positionV>
              <wp:extent cx="2371725" cy="15367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w:t>
                          </w:r>
                          <w:r>
                            <w:rPr>
                              <w:spacing w:val="1"/>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91.664001pt;margin-top:796.652527pt;width:186.75pt;height:12.1pt;mso-position-horizontal-relative:page;mso-position-vertical-relative:page;z-index:-19456000" type="#_x0000_t202" id="docshape58"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w:t>
                    </w:r>
                    <w:r>
                      <w:rPr>
                        <w:spacing w:val="1"/>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60992">
              <wp:simplePos x="0" y="0"/>
              <wp:positionH relativeFrom="page">
                <wp:posOffset>3691254</wp:posOffset>
              </wp:positionH>
              <wp:positionV relativeFrom="page">
                <wp:posOffset>10388600</wp:posOffset>
              </wp:positionV>
              <wp:extent cx="575945" cy="17780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90.649994pt;margin-top:818pt;width:45.35pt;height:14pt;mso-position-horizontal-relative:page;mso-position-vertical-relative:page;z-index:-19455488" type="#_x0000_t202" id="docshape59"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61504">
              <wp:simplePos x="0" y="0"/>
              <wp:positionH relativeFrom="page">
                <wp:posOffset>7548753</wp:posOffset>
              </wp:positionH>
              <wp:positionV relativeFrom="page">
                <wp:posOffset>6985362</wp:posOffset>
              </wp:positionV>
              <wp:extent cx="2101850" cy="15367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101850" cy="153670"/>
                      </a:xfrm>
                      <a:prstGeom prst="rect">
                        <a:avLst/>
                      </a:prstGeom>
                    </wps:spPr>
                    <wps:txbx>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594.390015pt;margin-top:550.028564pt;width:165.5pt;height:12.1pt;mso-position-horizontal-relative:page;mso-position-vertical-relative:page;z-index:-19454976" type="#_x0000_t202" id="docshape60" filled="false" stroked="false">
              <v:textbox inset="0,0,0,0">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62016">
              <wp:simplePos x="0" y="0"/>
              <wp:positionH relativeFrom="page">
                <wp:posOffset>9835133</wp:posOffset>
              </wp:positionH>
              <wp:positionV relativeFrom="page">
                <wp:posOffset>6985362</wp:posOffset>
              </wp:positionV>
              <wp:extent cx="153670" cy="15367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53670" cy="153670"/>
                      </a:xfrm>
                      <a:prstGeom prst="rect">
                        <a:avLst/>
                      </a:prstGeom>
                    </wps:spPr>
                    <wps:txbx>
                      <w:txbxContent>
                        <w:p>
                          <w:pPr>
                            <w:spacing w:before="14"/>
                            <w:ind w:left="20" w:right="0" w:firstLine="0"/>
                            <w:jc w:val="left"/>
                            <w:rPr>
                              <w:sz w:val="18"/>
                            </w:rPr>
                          </w:pPr>
                          <w:r>
                            <w:rPr>
                              <w:spacing w:val="-5"/>
                              <w:sz w:val="18"/>
                            </w:rPr>
                            <w:t>57</w:t>
                          </w:r>
                        </w:p>
                      </w:txbxContent>
                    </wps:txbx>
                    <wps:bodyPr wrap="square" lIns="0" tIns="0" rIns="0" bIns="0" rtlCol="0">
                      <a:noAutofit/>
                    </wps:bodyPr>
                  </wps:wsp>
                </a:graphicData>
              </a:graphic>
            </wp:anchor>
          </w:drawing>
        </mc:Choice>
        <mc:Fallback>
          <w:pict>
            <v:shape style="position:absolute;margin-left:774.419983pt;margin-top:550.028564pt;width:12.1pt;height:12.1pt;mso-position-horizontal-relative:page;mso-position-vertical-relative:page;z-index:-19454464" type="#_x0000_t202" id="docshape61" filled="false" stroked="false">
              <v:textbox inset="0,0,0,0">
                <w:txbxContent>
                  <w:p>
                    <w:pPr>
                      <w:spacing w:before="14"/>
                      <w:ind w:left="20" w:right="0" w:firstLine="0"/>
                      <w:jc w:val="left"/>
                      <w:rPr>
                        <w:sz w:val="18"/>
                      </w:rPr>
                    </w:pPr>
                    <w:r>
                      <w:rPr>
                        <w:spacing w:val="-5"/>
                        <w:sz w:val="18"/>
                      </w:rPr>
                      <w:t>57</w:t>
                    </w:r>
                  </w:p>
                </w:txbxContent>
              </v:textbox>
              <w10:wrap type="none"/>
            </v:shape>
          </w:pict>
        </mc:Fallback>
      </mc:AlternateContent>
    </w:r>
    <w:r>
      <w:rPr/>
      <mc:AlternateContent>
        <mc:Choice Requires="wps">
          <w:drawing>
            <wp:anchor distT="0" distB="0" distL="0" distR="0" allowOverlap="1" layoutInCell="1" locked="0" behindDoc="1" simplePos="0" relativeHeight="483862528">
              <wp:simplePos x="0" y="0"/>
              <wp:positionH relativeFrom="page">
                <wp:posOffset>5058283</wp:posOffset>
              </wp:positionH>
              <wp:positionV relativeFrom="page">
                <wp:posOffset>7254950</wp:posOffset>
              </wp:positionV>
              <wp:extent cx="575945" cy="17780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398.290009pt;margin-top:571.255981pt;width:45.35pt;height:14pt;mso-position-horizontal-relative:page;mso-position-vertical-relative:page;z-index:-19453952" type="#_x0000_t202" id="docshape62"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63040">
              <wp:simplePos x="0" y="0"/>
              <wp:positionH relativeFrom="page">
                <wp:posOffset>4415409</wp:posOffset>
              </wp:positionH>
              <wp:positionV relativeFrom="page">
                <wp:posOffset>10117487</wp:posOffset>
              </wp:positionV>
              <wp:extent cx="2101850" cy="15367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101850" cy="153670"/>
                      </a:xfrm>
                      <a:prstGeom prst="rect">
                        <a:avLst/>
                      </a:prstGeom>
                    </wps:spPr>
                    <wps:txbx>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347.670013pt;margin-top:796.652527pt;width:165.5pt;height:12.1pt;mso-position-horizontal-relative:page;mso-position-vertical-relative:page;z-index:-19453440" type="#_x0000_t202" id="docshape63" filled="false" stroked="false">
              <v:textbox inset="0,0,0,0">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63552">
              <wp:simplePos x="0" y="0"/>
              <wp:positionH relativeFrom="page">
                <wp:posOffset>6676390</wp:posOffset>
              </wp:positionH>
              <wp:positionV relativeFrom="page">
                <wp:posOffset>10117487</wp:posOffset>
              </wp:positionV>
              <wp:extent cx="217170" cy="15367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59</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25.700012pt;margin-top:796.652527pt;width:17.1pt;height:12.1pt;mso-position-horizontal-relative:page;mso-position-vertical-relative:page;z-index:-19452928" type="#_x0000_t202" id="docshape64"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59</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64064">
              <wp:simplePos x="0" y="0"/>
              <wp:positionH relativeFrom="page">
                <wp:posOffset>3493134</wp:posOffset>
              </wp:positionH>
              <wp:positionV relativeFrom="page">
                <wp:posOffset>10388600</wp:posOffset>
              </wp:positionV>
              <wp:extent cx="575945" cy="17780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75.049988pt;margin-top:818pt;width:45.35pt;height:14pt;mso-position-horizontal-relative:page;mso-position-vertical-relative:page;z-index:-19452416" type="#_x0000_t202" id="docshape65"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64576">
              <wp:simplePos x="0" y="0"/>
              <wp:positionH relativeFrom="page">
                <wp:posOffset>4415409</wp:posOffset>
              </wp:positionH>
              <wp:positionV relativeFrom="page">
                <wp:posOffset>10117487</wp:posOffset>
              </wp:positionV>
              <wp:extent cx="2101850" cy="15367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101850" cy="153670"/>
                      </a:xfrm>
                      <a:prstGeom prst="rect">
                        <a:avLst/>
                      </a:prstGeom>
                    </wps:spPr>
                    <wps:txbx>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347.670013pt;margin-top:796.652527pt;width:165.5pt;height:12.1pt;mso-position-horizontal-relative:page;mso-position-vertical-relative:page;z-index:-19451904" type="#_x0000_t202" id="docshape66" filled="false" stroked="false">
              <v:textbox inset="0,0,0,0">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65088">
              <wp:simplePos x="0" y="0"/>
              <wp:positionH relativeFrom="page">
                <wp:posOffset>6676390</wp:posOffset>
              </wp:positionH>
              <wp:positionV relativeFrom="page">
                <wp:posOffset>10117487</wp:posOffset>
              </wp:positionV>
              <wp:extent cx="217170" cy="15367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61</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25.700012pt;margin-top:796.652527pt;width:17.1pt;height:12.1pt;mso-position-horizontal-relative:page;mso-position-vertical-relative:page;z-index:-19451392" type="#_x0000_t202" id="docshape67"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61</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65600">
              <wp:simplePos x="0" y="0"/>
              <wp:positionH relativeFrom="page">
                <wp:posOffset>3493134</wp:posOffset>
              </wp:positionH>
              <wp:positionV relativeFrom="page">
                <wp:posOffset>10388600</wp:posOffset>
              </wp:positionV>
              <wp:extent cx="575945" cy="17780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75.049988pt;margin-top:818pt;width:45.35pt;height:14pt;mso-position-horizontal-relative:page;mso-position-vertical-relative:page;z-index:-19450880" type="#_x0000_t202" id="docshape68"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66112">
              <wp:simplePos x="0" y="0"/>
              <wp:positionH relativeFrom="page">
                <wp:posOffset>7548753</wp:posOffset>
              </wp:positionH>
              <wp:positionV relativeFrom="page">
                <wp:posOffset>6985362</wp:posOffset>
              </wp:positionV>
              <wp:extent cx="2101850" cy="15367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101850" cy="153670"/>
                      </a:xfrm>
                      <a:prstGeom prst="rect">
                        <a:avLst/>
                      </a:prstGeom>
                    </wps:spPr>
                    <wps:txbx>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594.390015pt;margin-top:550.028564pt;width:165.5pt;height:12.1pt;mso-position-horizontal-relative:page;mso-position-vertical-relative:page;z-index:-19450368" type="#_x0000_t202" id="docshape69" filled="false" stroked="false">
              <v:textbox inset="0,0,0,0">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66624">
              <wp:simplePos x="0" y="0"/>
              <wp:positionH relativeFrom="page">
                <wp:posOffset>9809733</wp:posOffset>
              </wp:positionH>
              <wp:positionV relativeFrom="page">
                <wp:posOffset>6985362</wp:posOffset>
              </wp:positionV>
              <wp:extent cx="217170" cy="15367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63</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772.419983pt;margin-top:550.028564pt;width:17.1pt;height:12.1pt;mso-position-horizontal-relative:page;mso-position-vertical-relative:page;z-index:-19449856" type="#_x0000_t202" id="docshape70"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63</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67136">
              <wp:simplePos x="0" y="0"/>
              <wp:positionH relativeFrom="page">
                <wp:posOffset>5058283</wp:posOffset>
              </wp:positionH>
              <wp:positionV relativeFrom="page">
                <wp:posOffset>7254950</wp:posOffset>
              </wp:positionV>
              <wp:extent cx="575945" cy="17780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398.290009pt;margin-top:571.255981pt;width:45.35pt;height:14pt;mso-position-horizontal-relative:page;mso-position-vertical-relative:page;z-index:-19449344" type="#_x0000_t202" id="docshape71"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49728">
              <wp:simplePos x="0" y="0"/>
              <wp:positionH relativeFrom="page">
                <wp:posOffset>3957954</wp:posOffset>
              </wp:positionH>
              <wp:positionV relativeFrom="page">
                <wp:posOffset>10117487</wp:posOffset>
              </wp:positionV>
              <wp:extent cx="2371725" cy="15367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wps:txbx>
                    <wps:bodyPr wrap="square" lIns="0" tIns="0" rIns="0" bIns="0" rtlCol="0">
                      <a:noAutofit/>
                    </wps:bodyPr>
                  </wps:wsp>
                </a:graphicData>
              </a:graphic>
            </wp:anchor>
          </w:drawing>
        </mc:Choice>
        <mc:Fallback>
          <w:pict>
            <v:shape style="position:absolute;margin-left:311.649994pt;margin-top:796.652527pt;width:186.75pt;height:12.1pt;mso-position-horizontal-relative:page;mso-position-vertical-relative:page;z-index:-19466752" type="#_x0000_t202" id="docshape25"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50240">
              <wp:simplePos x="0" y="0"/>
              <wp:positionH relativeFrom="page">
                <wp:posOffset>6676390</wp:posOffset>
              </wp:positionH>
              <wp:positionV relativeFrom="page">
                <wp:posOffset>10117487</wp:posOffset>
              </wp:positionV>
              <wp:extent cx="217170" cy="15367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11</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25.700012pt;margin-top:796.652527pt;width:17.1pt;height:12.1pt;mso-position-horizontal-relative:page;mso-position-vertical-relative:page;z-index:-19466240" type="#_x0000_t202" id="docshape26"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11</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50752">
              <wp:simplePos x="0" y="0"/>
              <wp:positionH relativeFrom="page">
                <wp:posOffset>3493134</wp:posOffset>
              </wp:positionH>
              <wp:positionV relativeFrom="page">
                <wp:posOffset>10388600</wp:posOffset>
              </wp:positionV>
              <wp:extent cx="575945" cy="1778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75.049988pt;margin-top:818pt;width:45.35pt;height:14pt;mso-position-horizontal-relative:page;mso-position-vertical-relative:page;z-index:-19465728" type="#_x0000_t202" id="docshape27"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67648">
              <wp:simplePos x="0" y="0"/>
              <wp:positionH relativeFrom="page">
                <wp:posOffset>7548753</wp:posOffset>
              </wp:positionH>
              <wp:positionV relativeFrom="page">
                <wp:posOffset>6985362</wp:posOffset>
              </wp:positionV>
              <wp:extent cx="2101850" cy="15367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101850" cy="153670"/>
                      </a:xfrm>
                      <a:prstGeom prst="rect">
                        <a:avLst/>
                      </a:prstGeom>
                    </wps:spPr>
                    <wps:txbx>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594.390015pt;margin-top:550.028564pt;width:165.5pt;height:12.1pt;mso-position-horizontal-relative:page;mso-position-vertical-relative:page;z-index:-19448832" type="#_x0000_t202" id="docshape72" filled="false" stroked="false">
              <v:textbox inset="0,0,0,0">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68160">
              <wp:simplePos x="0" y="0"/>
              <wp:positionH relativeFrom="page">
                <wp:posOffset>9809733</wp:posOffset>
              </wp:positionH>
              <wp:positionV relativeFrom="page">
                <wp:posOffset>6985362</wp:posOffset>
              </wp:positionV>
              <wp:extent cx="217170" cy="15367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65</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772.419983pt;margin-top:550.028564pt;width:17.1pt;height:12.1pt;mso-position-horizontal-relative:page;mso-position-vertical-relative:page;z-index:-19448320" type="#_x0000_t202" id="docshape73"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65</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68672">
              <wp:simplePos x="0" y="0"/>
              <wp:positionH relativeFrom="page">
                <wp:posOffset>5058283</wp:posOffset>
              </wp:positionH>
              <wp:positionV relativeFrom="page">
                <wp:posOffset>7254950</wp:posOffset>
              </wp:positionV>
              <wp:extent cx="575945" cy="17780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398.290009pt;margin-top:571.255981pt;width:45.35pt;height:14pt;mso-position-horizontal-relative:page;mso-position-vertical-relative:page;z-index:-19447808" type="#_x0000_t202" id="docshape74"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69184">
              <wp:simplePos x="0" y="0"/>
              <wp:positionH relativeFrom="page">
                <wp:posOffset>4415409</wp:posOffset>
              </wp:positionH>
              <wp:positionV relativeFrom="page">
                <wp:posOffset>10117487</wp:posOffset>
              </wp:positionV>
              <wp:extent cx="2101850" cy="15367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101850" cy="153670"/>
                      </a:xfrm>
                      <a:prstGeom prst="rect">
                        <a:avLst/>
                      </a:prstGeom>
                    </wps:spPr>
                    <wps:txbx>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347.670013pt;margin-top:796.652527pt;width:165.5pt;height:12.1pt;mso-position-horizontal-relative:page;mso-position-vertical-relative:page;z-index:-19447296" type="#_x0000_t202" id="docshape75" filled="false" stroked="false">
              <v:textbox inset="0,0,0,0">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69696">
              <wp:simplePos x="0" y="0"/>
              <wp:positionH relativeFrom="page">
                <wp:posOffset>6676390</wp:posOffset>
              </wp:positionH>
              <wp:positionV relativeFrom="page">
                <wp:posOffset>10117487</wp:posOffset>
              </wp:positionV>
              <wp:extent cx="217170" cy="15367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67</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25.700012pt;margin-top:796.652527pt;width:17.1pt;height:12.1pt;mso-position-horizontal-relative:page;mso-position-vertical-relative:page;z-index:-19446784" type="#_x0000_t202" id="docshape76"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67</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70208">
              <wp:simplePos x="0" y="0"/>
              <wp:positionH relativeFrom="page">
                <wp:posOffset>3493134</wp:posOffset>
              </wp:positionH>
              <wp:positionV relativeFrom="page">
                <wp:posOffset>10388600</wp:posOffset>
              </wp:positionV>
              <wp:extent cx="575945" cy="17780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75.049988pt;margin-top:818pt;width:45.35pt;height:14pt;mso-position-horizontal-relative:page;mso-position-vertical-relative:page;z-index:-19446272" type="#_x0000_t202" id="docshape77"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70720">
              <wp:simplePos x="0" y="0"/>
              <wp:positionH relativeFrom="page">
                <wp:posOffset>681227</wp:posOffset>
              </wp:positionH>
              <wp:positionV relativeFrom="page">
                <wp:posOffset>10117487</wp:posOffset>
              </wp:positionV>
              <wp:extent cx="217170" cy="15367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68</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3.639999pt;margin-top:796.652527pt;width:17.1pt;height:12.1pt;mso-position-horizontal-relative:page;mso-position-vertical-relative:page;z-index:-19445760" type="#_x0000_t202" id="docshape78"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68</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71232">
              <wp:simplePos x="0" y="0"/>
              <wp:positionH relativeFrom="page">
                <wp:posOffset>1164132</wp:posOffset>
              </wp:positionH>
              <wp:positionV relativeFrom="page">
                <wp:posOffset>10117487</wp:posOffset>
              </wp:positionV>
              <wp:extent cx="2371725" cy="15367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w:t>
                          </w:r>
                          <w:r>
                            <w:rPr>
                              <w:spacing w:val="1"/>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91.664001pt;margin-top:796.652527pt;width:186.75pt;height:12.1pt;mso-position-horizontal-relative:page;mso-position-vertical-relative:page;z-index:-19445248" type="#_x0000_t202" id="docshape79"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w:t>
                    </w:r>
                    <w:r>
                      <w:rPr>
                        <w:spacing w:val="1"/>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71744">
              <wp:simplePos x="0" y="0"/>
              <wp:positionH relativeFrom="page">
                <wp:posOffset>3691254</wp:posOffset>
              </wp:positionH>
              <wp:positionV relativeFrom="page">
                <wp:posOffset>10388600</wp:posOffset>
              </wp:positionV>
              <wp:extent cx="575945" cy="17780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90.649994pt;margin-top:818pt;width:45.35pt;height:14pt;mso-position-horizontal-relative:page;mso-position-vertical-relative:page;z-index:-19444736" type="#_x0000_t202" id="docshape80"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72256">
              <wp:simplePos x="0" y="0"/>
              <wp:positionH relativeFrom="page">
                <wp:posOffset>7548753</wp:posOffset>
              </wp:positionH>
              <wp:positionV relativeFrom="page">
                <wp:posOffset>6985362</wp:posOffset>
              </wp:positionV>
              <wp:extent cx="2101850" cy="15367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101850" cy="153670"/>
                      </a:xfrm>
                      <a:prstGeom prst="rect">
                        <a:avLst/>
                      </a:prstGeom>
                    </wps:spPr>
                    <wps:txbx>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594.390015pt;margin-top:550.028564pt;width:165.5pt;height:12.1pt;mso-position-horizontal-relative:page;mso-position-vertical-relative:page;z-index:-19444224" type="#_x0000_t202" id="docshape81" filled="false" stroked="false">
              <v:textbox inset="0,0,0,0">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72768">
              <wp:simplePos x="0" y="0"/>
              <wp:positionH relativeFrom="page">
                <wp:posOffset>9835133</wp:posOffset>
              </wp:positionH>
              <wp:positionV relativeFrom="page">
                <wp:posOffset>6985362</wp:posOffset>
              </wp:positionV>
              <wp:extent cx="153670" cy="15367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153670" cy="153670"/>
                      </a:xfrm>
                      <a:prstGeom prst="rect">
                        <a:avLst/>
                      </a:prstGeom>
                    </wps:spPr>
                    <wps:txbx>
                      <w:txbxContent>
                        <w:p>
                          <w:pPr>
                            <w:spacing w:before="14"/>
                            <w:ind w:left="20" w:right="0" w:firstLine="0"/>
                            <w:jc w:val="left"/>
                            <w:rPr>
                              <w:sz w:val="18"/>
                            </w:rPr>
                          </w:pPr>
                          <w:r>
                            <w:rPr>
                              <w:spacing w:val="-5"/>
                              <w:sz w:val="18"/>
                            </w:rPr>
                            <w:t>73</w:t>
                          </w:r>
                        </w:p>
                      </w:txbxContent>
                    </wps:txbx>
                    <wps:bodyPr wrap="square" lIns="0" tIns="0" rIns="0" bIns="0" rtlCol="0">
                      <a:noAutofit/>
                    </wps:bodyPr>
                  </wps:wsp>
                </a:graphicData>
              </a:graphic>
            </wp:anchor>
          </w:drawing>
        </mc:Choice>
        <mc:Fallback>
          <w:pict>
            <v:shape style="position:absolute;margin-left:774.419983pt;margin-top:550.028564pt;width:12.1pt;height:12.1pt;mso-position-horizontal-relative:page;mso-position-vertical-relative:page;z-index:-19443712" type="#_x0000_t202" id="docshape82" filled="false" stroked="false">
              <v:textbox inset="0,0,0,0">
                <w:txbxContent>
                  <w:p>
                    <w:pPr>
                      <w:spacing w:before="14"/>
                      <w:ind w:left="20" w:right="0" w:firstLine="0"/>
                      <w:jc w:val="left"/>
                      <w:rPr>
                        <w:sz w:val="18"/>
                      </w:rPr>
                    </w:pPr>
                    <w:r>
                      <w:rPr>
                        <w:spacing w:val="-5"/>
                        <w:sz w:val="18"/>
                      </w:rPr>
                      <w:t>73</w:t>
                    </w:r>
                  </w:p>
                </w:txbxContent>
              </v:textbox>
              <w10:wrap type="none"/>
            </v:shape>
          </w:pict>
        </mc:Fallback>
      </mc:AlternateContent>
    </w:r>
    <w:r>
      <w:rPr/>
      <mc:AlternateContent>
        <mc:Choice Requires="wps">
          <w:drawing>
            <wp:anchor distT="0" distB="0" distL="0" distR="0" allowOverlap="1" layoutInCell="1" locked="0" behindDoc="1" simplePos="0" relativeHeight="483873280">
              <wp:simplePos x="0" y="0"/>
              <wp:positionH relativeFrom="page">
                <wp:posOffset>5058283</wp:posOffset>
              </wp:positionH>
              <wp:positionV relativeFrom="page">
                <wp:posOffset>7254950</wp:posOffset>
              </wp:positionV>
              <wp:extent cx="575945" cy="17780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398.290009pt;margin-top:571.255981pt;width:45.35pt;height:14pt;mso-position-horizontal-relative:page;mso-position-vertical-relative:page;z-index:-19443200" type="#_x0000_t202" id="docshape83"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73792">
              <wp:simplePos x="0" y="0"/>
              <wp:positionH relativeFrom="page">
                <wp:posOffset>706627</wp:posOffset>
              </wp:positionH>
              <wp:positionV relativeFrom="page">
                <wp:posOffset>6985362</wp:posOffset>
              </wp:positionV>
              <wp:extent cx="153670" cy="15367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53670" cy="153670"/>
                      </a:xfrm>
                      <a:prstGeom prst="rect">
                        <a:avLst/>
                      </a:prstGeom>
                    </wps:spPr>
                    <wps:txbx>
                      <w:txbxContent>
                        <w:p>
                          <w:pPr>
                            <w:spacing w:before="14"/>
                            <w:ind w:left="20" w:right="0" w:firstLine="0"/>
                            <w:jc w:val="left"/>
                            <w:rPr>
                              <w:sz w:val="18"/>
                            </w:rPr>
                          </w:pPr>
                          <w:r>
                            <w:rPr>
                              <w:spacing w:val="-5"/>
                              <w:sz w:val="18"/>
                            </w:rPr>
                            <w:t>74</w:t>
                          </w:r>
                        </w:p>
                      </w:txbxContent>
                    </wps:txbx>
                    <wps:bodyPr wrap="square" lIns="0" tIns="0" rIns="0" bIns="0" rtlCol="0">
                      <a:noAutofit/>
                    </wps:bodyPr>
                  </wps:wsp>
                </a:graphicData>
              </a:graphic>
            </wp:anchor>
          </w:drawing>
        </mc:Choice>
        <mc:Fallback>
          <w:pict>
            <v:shape style="position:absolute;margin-left:55.639999pt;margin-top:550.028564pt;width:12.1pt;height:12.1pt;mso-position-horizontal-relative:page;mso-position-vertical-relative:page;z-index:-19442688" type="#_x0000_t202" id="docshape84" filled="false" stroked="false">
              <v:textbox inset="0,0,0,0">
                <w:txbxContent>
                  <w:p>
                    <w:pPr>
                      <w:spacing w:before="14"/>
                      <w:ind w:left="20" w:right="0" w:firstLine="0"/>
                      <w:jc w:val="left"/>
                      <w:rPr>
                        <w:sz w:val="18"/>
                      </w:rPr>
                    </w:pPr>
                    <w:r>
                      <w:rPr>
                        <w:spacing w:val="-5"/>
                        <w:sz w:val="18"/>
                      </w:rPr>
                      <w:t>74</w:t>
                    </w:r>
                  </w:p>
                </w:txbxContent>
              </v:textbox>
              <w10:wrap type="none"/>
            </v:shape>
          </w:pict>
        </mc:Fallback>
      </mc:AlternateContent>
    </w:r>
    <w:r>
      <w:rPr/>
      <mc:AlternateContent>
        <mc:Choice Requires="wps">
          <w:drawing>
            <wp:anchor distT="0" distB="0" distL="0" distR="0" allowOverlap="1" layoutInCell="1" locked="0" behindDoc="1" simplePos="0" relativeHeight="483874304">
              <wp:simplePos x="0" y="0"/>
              <wp:positionH relativeFrom="page">
                <wp:posOffset>1164132</wp:posOffset>
              </wp:positionH>
              <wp:positionV relativeFrom="page">
                <wp:posOffset>6985362</wp:posOffset>
              </wp:positionV>
              <wp:extent cx="2371725" cy="15367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wps:txbx>
                    <wps:bodyPr wrap="square" lIns="0" tIns="0" rIns="0" bIns="0" rtlCol="0">
                      <a:noAutofit/>
                    </wps:bodyPr>
                  </wps:wsp>
                </a:graphicData>
              </a:graphic>
            </wp:anchor>
          </w:drawing>
        </mc:Choice>
        <mc:Fallback>
          <w:pict>
            <v:shape style="position:absolute;margin-left:91.664001pt;margin-top:550.028564pt;width:186.75pt;height:12.1pt;mso-position-horizontal-relative:page;mso-position-vertical-relative:page;z-index:-19442176" type="#_x0000_t202" id="docshape85"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74816">
              <wp:simplePos x="0" y="0"/>
              <wp:positionH relativeFrom="page">
                <wp:posOffset>681227</wp:posOffset>
              </wp:positionH>
              <wp:positionV relativeFrom="page">
                <wp:posOffset>10117487</wp:posOffset>
              </wp:positionV>
              <wp:extent cx="217170" cy="15367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76</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3.639999pt;margin-top:796.652527pt;width:17.1pt;height:12.1pt;mso-position-horizontal-relative:page;mso-position-vertical-relative:page;z-index:-19441664" type="#_x0000_t202" id="docshape86"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76</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75328">
              <wp:simplePos x="0" y="0"/>
              <wp:positionH relativeFrom="page">
                <wp:posOffset>1164132</wp:posOffset>
              </wp:positionH>
              <wp:positionV relativeFrom="page">
                <wp:posOffset>10117487</wp:posOffset>
              </wp:positionV>
              <wp:extent cx="2371725" cy="15367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w:t>
                          </w:r>
                          <w:r>
                            <w:rPr>
                              <w:spacing w:val="1"/>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91.664001pt;margin-top:796.652527pt;width:186.75pt;height:12.1pt;mso-position-horizontal-relative:page;mso-position-vertical-relative:page;z-index:-19441152" type="#_x0000_t202" id="docshape87"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w:t>
                    </w:r>
                    <w:r>
                      <w:rPr>
                        <w:spacing w:val="1"/>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75840">
              <wp:simplePos x="0" y="0"/>
              <wp:positionH relativeFrom="page">
                <wp:posOffset>3691254</wp:posOffset>
              </wp:positionH>
              <wp:positionV relativeFrom="page">
                <wp:posOffset>10388600</wp:posOffset>
              </wp:positionV>
              <wp:extent cx="575945" cy="1778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90.649994pt;margin-top:818pt;width:45.35pt;height:14pt;mso-position-horizontal-relative:page;mso-position-vertical-relative:page;z-index:-19440640" type="#_x0000_t202" id="docshape88"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76352">
              <wp:simplePos x="0" y="0"/>
              <wp:positionH relativeFrom="page">
                <wp:posOffset>4415409</wp:posOffset>
              </wp:positionH>
              <wp:positionV relativeFrom="page">
                <wp:posOffset>10117487</wp:posOffset>
              </wp:positionV>
              <wp:extent cx="2101850" cy="15367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101850" cy="153670"/>
                      </a:xfrm>
                      <a:prstGeom prst="rect">
                        <a:avLst/>
                      </a:prstGeom>
                    </wps:spPr>
                    <wps:txbx>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347.670013pt;margin-top:796.652527pt;width:165.5pt;height:12.1pt;mso-position-horizontal-relative:page;mso-position-vertical-relative:page;z-index:-19440128" type="#_x0000_t202" id="docshape89" filled="false" stroked="false">
              <v:textbox inset="0,0,0,0">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76864">
              <wp:simplePos x="0" y="0"/>
              <wp:positionH relativeFrom="page">
                <wp:posOffset>6676390</wp:posOffset>
              </wp:positionH>
              <wp:positionV relativeFrom="page">
                <wp:posOffset>10117487</wp:posOffset>
              </wp:positionV>
              <wp:extent cx="217170" cy="15367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77</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25.700012pt;margin-top:796.652527pt;width:17.1pt;height:12.1pt;mso-position-horizontal-relative:page;mso-position-vertical-relative:page;z-index:-19439616" type="#_x0000_t202" id="docshape90"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77</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77376">
              <wp:simplePos x="0" y="0"/>
              <wp:positionH relativeFrom="page">
                <wp:posOffset>3493134</wp:posOffset>
              </wp:positionH>
              <wp:positionV relativeFrom="page">
                <wp:posOffset>10388600</wp:posOffset>
              </wp:positionV>
              <wp:extent cx="575945" cy="17780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75.049988pt;margin-top:818pt;width:45.35pt;height:14pt;mso-position-horizontal-relative:page;mso-position-vertical-relative:page;z-index:-19439104" type="#_x0000_t202" id="docshape91"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77888">
              <wp:simplePos x="0" y="0"/>
              <wp:positionH relativeFrom="page">
                <wp:posOffset>4351401</wp:posOffset>
              </wp:positionH>
              <wp:positionV relativeFrom="page">
                <wp:posOffset>10117487</wp:posOffset>
              </wp:positionV>
              <wp:extent cx="2101850" cy="15367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101850" cy="153670"/>
                      </a:xfrm>
                      <a:prstGeom prst="rect">
                        <a:avLst/>
                      </a:prstGeom>
                    </wps:spPr>
                    <wps:txbx>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342.630005pt;margin-top:796.652527pt;width:165.5pt;height:12.1pt;mso-position-horizontal-relative:page;mso-position-vertical-relative:page;z-index:-19438592" type="#_x0000_t202" id="docshape92" filled="false" stroked="false">
              <v:textbox inset="0,0,0,0">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78400">
              <wp:simplePos x="0" y="0"/>
              <wp:positionH relativeFrom="page">
                <wp:posOffset>6612381</wp:posOffset>
              </wp:positionH>
              <wp:positionV relativeFrom="page">
                <wp:posOffset>10117487</wp:posOffset>
              </wp:positionV>
              <wp:extent cx="281305" cy="15367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81305"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101</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20.659973pt;margin-top:796.652527pt;width:22.15pt;height:12.1pt;mso-position-horizontal-relative:page;mso-position-vertical-relative:page;z-index:-19438080" type="#_x0000_t202" id="docshape93"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101</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78912">
              <wp:simplePos x="0" y="0"/>
              <wp:positionH relativeFrom="page">
                <wp:posOffset>3493134</wp:posOffset>
              </wp:positionH>
              <wp:positionV relativeFrom="page">
                <wp:posOffset>10388600</wp:posOffset>
              </wp:positionV>
              <wp:extent cx="575945" cy="17780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75.049988pt;margin-top:818pt;width:45.35pt;height:14pt;mso-position-horizontal-relative:page;mso-position-vertical-relative:page;z-index:-19437568" type="#_x0000_t202" id="docshape94"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79424">
              <wp:simplePos x="0" y="0"/>
              <wp:positionH relativeFrom="page">
                <wp:posOffset>681227</wp:posOffset>
              </wp:positionH>
              <wp:positionV relativeFrom="page">
                <wp:posOffset>10117487</wp:posOffset>
              </wp:positionV>
              <wp:extent cx="281305" cy="15367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81305"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100</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3.639999pt;margin-top:796.652527pt;width:22.15pt;height:12.1pt;mso-position-horizontal-relative:page;mso-position-vertical-relative:page;z-index:-19437056" type="#_x0000_t202" id="docshape95"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100</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79936">
              <wp:simplePos x="0" y="0"/>
              <wp:positionH relativeFrom="page">
                <wp:posOffset>1164132</wp:posOffset>
              </wp:positionH>
              <wp:positionV relativeFrom="page">
                <wp:posOffset>10117487</wp:posOffset>
              </wp:positionV>
              <wp:extent cx="2371725" cy="15367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w:t>
                          </w:r>
                          <w:r>
                            <w:rPr>
                              <w:spacing w:val="1"/>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91.664001pt;margin-top:796.652527pt;width:186.75pt;height:12.1pt;mso-position-horizontal-relative:page;mso-position-vertical-relative:page;z-index:-19436544" type="#_x0000_t202" id="docshape96"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w:t>
                    </w:r>
                    <w:r>
                      <w:rPr>
                        <w:spacing w:val="1"/>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80448">
              <wp:simplePos x="0" y="0"/>
              <wp:positionH relativeFrom="page">
                <wp:posOffset>3691254</wp:posOffset>
              </wp:positionH>
              <wp:positionV relativeFrom="page">
                <wp:posOffset>10388600</wp:posOffset>
              </wp:positionV>
              <wp:extent cx="575945" cy="17780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90.649994pt;margin-top:818pt;width:45.35pt;height:14pt;mso-position-horizontal-relative:page;mso-position-vertical-relative:page;z-index:-19436032" type="#_x0000_t202" id="docshape97"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80960">
              <wp:simplePos x="0" y="0"/>
              <wp:positionH relativeFrom="page">
                <wp:posOffset>681227</wp:posOffset>
              </wp:positionH>
              <wp:positionV relativeFrom="page">
                <wp:posOffset>6985362</wp:posOffset>
              </wp:positionV>
              <wp:extent cx="281305" cy="15367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81305"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132</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3.639999pt;margin-top:550.028564pt;width:22.15pt;height:12.1pt;mso-position-horizontal-relative:page;mso-position-vertical-relative:page;z-index:-19435520" type="#_x0000_t202" id="docshape98"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132</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81472">
              <wp:simplePos x="0" y="0"/>
              <wp:positionH relativeFrom="page">
                <wp:posOffset>1164132</wp:posOffset>
              </wp:positionH>
              <wp:positionV relativeFrom="page">
                <wp:posOffset>6985362</wp:posOffset>
              </wp:positionV>
              <wp:extent cx="2371725" cy="15367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wps:txbx>
                    <wps:bodyPr wrap="square" lIns="0" tIns="0" rIns="0" bIns="0" rtlCol="0">
                      <a:noAutofit/>
                    </wps:bodyPr>
                  </wps:wsp>
                </a:graphicData>
              </a:graphic>
            </wp:anchor>
          </w:drawing>
        </mc:Choice>
        <mc:Fallback>
          <w:pict>
            <v:shape style="position:absolute;margin-left:91.664001pt;margin-top:550.028564pt;width:186.75pt;height:12.1pt;mso-position-horizontal-relative:page;mso-position-vertical-relative:page;z-index:-19435008" type="#_x0000_t202" id="docshape99"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81984">
              <wp:simplePos x="0" y="0"/>
              <wp:positionH relativeFrom="page">
                <wp:posOffset>7484744</wp:posOffset>
              </wp:positionH>
              <wp:positionV relativeFrom="page">
                <wp:posOffset>6985362</wp:posOffset>
              </wp:positionV>
              <wp:extent cx="2101850" cy="15367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101850" cy="153670"/>
                      </a:xfrm>
                      <a:prstGeom prst="rect">
                        <a:avLst/>
                      </a:prstGeom>
                    </wps:spPr>
                    <wps:txbx>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589.349976pt;margin-top:550.028564pt;width:165.5pt;height:12.1pt;mso-position-horizontal-relative:page;mso-position-vertical-relative:page;z-index:-19434496" type="#_x0000_t202" id="docshape100" filled="false" stroked="false">
              <v:textbox inset="0,0,0,0">
                <w:txbxContent>
                  <w:p>
                    <w:pPr>
                      <w:spacing w:before="14"/>
                      <w:ind w:left="20" w:right="0" w:firstLine="0"/>
                      <w:jc w:val="left"/>
                      <w:rPr>
                        <w:sz w:val="18"/>
                      </w:rPr>
                    </w:pPr>
                    <w:r>
                      <w:rPr>
                        <w:sz w:val="18"/>
                      </w:rPr>
                      <w:t>Alternatives</w:t>
                    </w:r>
                    <w:r>
                      <w:rPr>
                        <w:spacing w:val="-4"/>
                        <w:sz w:val="18"/>
                      </w:rPr>
                      <w:t> </w:t>
                    </w:r>
                    <w:r>
                      <w:rPr>
                        <w:sz w:val="18"/>
                      </w:rPr>
                      <w:t>to</w:t>
                    </w:r>
                    <w:r>
                      <w:rPr>
                        <w:spacing w:val="-2"/>
                        <w:sz w:val="18"/>
                      </w:rPr>
                      <w:t> </w:t>
                    </w:r>
                    <w:r>
                      <w:rPr>
                        <w:sz w:val="18"/>
                      </w:rPr>
                      <w:t>the</w:t>
                    </w:r>
                    <w:r>
                      <w:rPr>
                        <w:spacing w:val="-3"/>
                        <w:sz w:val="18"/>
                      </w:rPr>
                      <w:t> </w:t>
                    </w:r>
                    <w:r>
                      <w:rPr>
                        <w:sz w:val="18"/>
                      </w:rPr>
                      <w:t>use</w:t>
                    </w:r>
                    <w:r>
                      <w:rPr>
                        <w:spacing w:val="-2"/>
                        <w:sz w:val="18"/>
                      </w:rPr>
                      <w:t> </w:t>
                    </w:r>
                    <w:r>
                      <w:rPr>
                        <w:sz w:val="18"/>
                      </w:rPr>
                      <w:t>of</w:t>
                    </w:r>
                    <w:r>
                      <w:rPr>
                        <w:spacing w:val="-5"/>
                        <w:sz w:val="18"/>
                      </w:rPr>
                      <w:t> </w:t>
                    </w:r>
                    <w:r>
                      <w:rPr>
                        <w:sz w:val="18"/>
                      </w:rPr>
                      <w:t>1080</w:t>
                    </w:r>
                    <w:r>
                      <w:rPr>
                        <w:spacing w:val="-4"/>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82496">
              <wp:simplePos x="0" y="0"/>
              <wp:positionH relativeFrom="page">
                <wp:posOffset>9745726</wp:posOffset>
              </wp:positionH>
              <wp:positionV relativeFrom="page">
                <wp:posOffset>6985362</wp:posOffset>
              </wp:positionV>
              <wp:extent cx="281305" cy="15367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81305"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133</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767.380005pt;margin-top:550.028564pt;width:22.15pt;height:12.1pt;mso-position-horizontal-relative:page;mso-position-vertical-relative:page;z-index:-19433984" type="#_x0000_t202" id="docshape101"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133</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83008">
              <wp:simplePos x="0" y="0"/>
              <wp:positionH relativeFrom="page">
                <wp:posOffset>5058283</wp:posOffset>
              </wp:positionH>
              <wp:positionV relativeFrom="page">
                <wp:posOffset>7254950</wp:posOffset>
              </wp:positionV>
              <wp:extent cx="575945" cy="17780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398.290009pt;margin-top:571.255981pt;width:45.35pt;height:14pt;mso-position-horizontal-relative:page;mso-position-vertical-relative:page;z-index:-19433472" type="#_x0000_t202" id="docshape102"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51264">
              <wp:simplePos x="0" y="0"/>
              <wp:positionH relativeFrom="page">
                <wp:posOffset>681227</wp:posOffset>
              </wp:positionH>
              <wp:positionV relativeFrom="page">
                <wp:posOffset>6985362</wp:posOffset>
              </wp:positionV>
              <wp:extent cx="217170" cy="15367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32</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3.639999pt;margin-top:550.028564pt;width:17.1pt;height:12.1pt;mso-position-horizontal-relative:page;mso-position-vertical-relative:page;z-index:-19465216" type="#_x0000_t202" id="docshape29"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32</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51776">
              <wp:simplePos x="0" y="0"/>
              <wp:positionH relativeFrom="page">
                <wp:posOffset>1164132</wp:posOffset>
              </wp:positionH>
              <wp:positionV relativeFrom="page">
                <wp:posOffset>6985362</wp:posOffset>
              </wp:positionV>
              <wp:extent cx="2371725" cy="15367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wps:txbx>
                    <wps:bodyPr wrap="square" lIns="0" tIns="0" rIns="0" bIns="0" rtlCol="0">
                      <a:noAutofit/>
                    </wps:bodyPr>
                  </wps:wsp>
                </a:graphicData>
              </a:graphic>
            </wp:anchor>
          </w:drawing>
        </mc:Choice>
        <mc:Fallback>
          <w:pict>
            <v:shape style="position:absolute;margin-left:91.664001pt;margin-top:550.028564pt;width:186.75pt;height:12.1pt;mso-position-horizontal-relative:page;mso-position-vertical-relative:page;z-index:-19464704" type="#_x0000_t202" id="docshape30"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52288">
              <wp:simplePos x="0" y="0"/>
              <wp:positionH relativeFrom="page">
                <wp:posOffset>681227</wp:posOffset>
              </wp:positionH>
              <wp:positionV relativeFrom="page">
                <wp:posOffset>6985362</wp:posOffset>
              </wp:positionV>
              <wp:extent cx="217170" cy="15367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34</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3.639999pt;margin-top:550.028564pt;width:17.1pt;height:12.1pt;mso-position-horizontal-relative:page;mso-position-vertical-relative:page;z-index:-19464192" type="#_x0000_t202" id="docshape31"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34</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52800">
              <wp:simplePos x="0" y="0"/>
              <wp:positionH relativeFrom="page">
                <wp:posOffset>1164132</wp:posOffset>
              </wp:positionH>
              <wp:positionV relativeFrom="page">
                <wp:posOffset>6985362</wp:posOffset>
              </wp:positionV>
              <wp:extent cx="2371725" cy="15367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wps:txbx>
                    <wps:bodyPr wrap="square" lIns="0" tIns="0" rIns="0" bIns="0" rtlCol="0">
                      <a:noAutofit/>
                    </wps:bodyPr>
                  </wps:wsp>
                </a:graphicData>
              </a:graphic>
            </wp:anchor>
          </w:drawing>
        </mc:Choice>
        <mc:Fallback>
          <w:pict>
            <v:shape style="position:absolute;margin-left:91.664001pt;margin-top:550.028564pt;width:186.75pt;height:12.1pt;mso-position-horizontal-relative:page;mso-position-vertical-relative:page;z-index:-19463680" type="#_x0000_t202" id="docshape32"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 in</w:t>
                    </w:r>
                    <w:r>
                      <w:rPr>
                        <w:spacing w:val="-2"/>
                        <w:sz w:val="18"/>
                      </w:rPr>
                      <w:t> Victoria</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53312">
              <wp:simplePos x="0" y="0"/>
              <wp:positionH relativeFrom="page">
                <wp:posOffset>681227</wp:posOffset>
              </wp:positionH>
              <wp:positionV relativeFrom="page">
                <wp:posOffset>10117487</wp:posOffset>
              </wp:positionV>
              <wp:extent cx="217170" cy="15367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36</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3.639999pt;margin-top:796.652527pt;width:17.1pt;height:12.1pt;mso-position-horizontal-relative:page;mso-position-vertical-relative:page;z-index:-19463168" type="#_x0000_t202" id="docshape33"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36</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3853824">
              <wp:simplePos x="0" y="0"/>
              <wp:positionH relativeFrom="page">
                <wp:posOffset>1164132</wp:posOffset>
              </wp:positionH>
              <wp:positionV relativeFrom="page">
                <wp:posOffset>10117487</wp:posOffset>
              </wp:positionV>
              <wp:extent cx="2371725" cy="15367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371725" cy="153670"/>
                      </a:xfrm>
                      <a:prstGeom prst="rect">
                        <a:avLst/>
                      </a:prstGeom>
                    </wps:spPr>
                    <wps:txbx>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w:t>
                          </w:r>
                          <w:r>
                            <w:rPr>
                              <w:spacing w:val="1"/>
                              <w:sz w:val="18"/>
                            </w:rPr>
                            <w:t> </w:t>
                          </w:r>
                          <w:r>
                            <w:rPr>
                              <w:sz w:val="18"/>
                            </w:rPr>
                            <w:t>in</w:t>
                          </w:r>
                          <w:r>
                            <w:rPr>
                              <w:spacing w:val="-2"/>
                              <w:sz w:val="18"/>
                            </w:rPr>
                            <w:t> Victoria</w:t>
                          </w:r>
                        </w:p>
                      </w:txbxContent>
                    </wps:txbx>
                    <wps:bodyPr wrap="square" lIns="0" tIns="0" rIns="0" bIns="0" rtlCol="0">
                      <a:noAutofit/>
                    </wps:bodyPr>
                  </wps:wsp>
                </a:graphicData>
              </a:graphic>
            </wp:anchor>
          </w:drawing>
        </mc:Choice>
        <mc:Fallback>
          <w:pict>
            <v:shape style="position:absolute;margin-left:91.664001pt;margin-top:796.652527pt;width:186.75pt;height:12.1pt;mso-position-horizontal-relative:page;mso-position-vertical-relative:page;z-index:-19462656" type="#_x0000_t202" id="docshape34" filled="false" stroked="false">
              <v:textbox inset="0,0,0,0">
                <w:txbxContent>
                  <w:p>
                    <w:pPr>
                      <w:spacing w:before="14"/>
                      <w:ind w:left="20" w:right="0" w:firstLine="0"/>
                      <w:jc w:val="left"/>
                      <w:rPr>
                        <w:sz w:val="18"/>
                      </w:rPr>
                    </w:pPr>
                    <w:r>
                      <w:rPr>
                        <w:sz w:val="18"/>
                      </w:rPr>
                      <w:t>The</w:t>
                    </w:r>
                    <w:r>
                      <w:rPr>
                        <w:spacing w:val="-5"/>
                        <w:sz w:val="18"/>
                      </w:rPr>
                      <w:t> </w:t>
                    </w:r>
                    <w:r>
                      <w:rPr>
                        <w:sz w:val="18"/>
                      </w:rPr>
                      <w:t>use</w:t>
                    </w:r>
                    <w:r>
                      <w:rPr>
                        <w:spacing w:val="-2"/>
                        <w:sz w:val="18"/>
                      </w:rPr>
                      <w:t> </w:t>
                    </w:r>
                    <w:r>
                      <w:rPr>
                        <w:sz w:val="18"/>
                      </w:rPr>
                      <w:t>of</w:t>
                    </w:r>
                    <w:r>
                      <w:rPr>
                        <w:spacing w:val="-2"/>
                        <w:sz w:val="18"/>
                      </w:rPr>
                      <w:t> </w:t>
                    </w:r>
                    <w:r>
                      <w:rPr>
                        <w:sz w:val="18"/>
                      </w:rPr>
                      <w:t>1080</w:t>
                    </w:r>
                    <w:r>
                      <w:rPr>
                        <w:spacing w:val="-1"/>
                        <w:sz w:val="18"/>
                      </w:rPr>
                      <w:t> </w:t>
                    </w:r>
                    <w:r>
                      <w:rPr>
                        <w:sz w:val="18"/>
                      </w:rPr>
                      <w:t>and</w:t>
                    </w:r>
                    <w:r>
                      <w:rPr>
                        <w:spacing w:val="-2"/>
                        <w:sz w:val="18"/>
                      </w:rPr>
                      <w:t> </w:t>
                    </w:r>
                    <w:r>
                      <w:rPr>
                        <w:sz w:val="18"/>
                      </w:rPr>
                      <w:t>other</w:t>
                    </w:r>
                    <w:r>
                      <w:rPr>
                        <w:spacing w:val="-4"/>
                        <w:sz w:val="18"/>
                      </w:rPr>
                      <w:t> </w:t>
                    </w:r>
                    <w:r>
                      <w:rPr>
                        <w:sz w:val="18"/>
                      </w:rPr>
                      <w:t>methods</w:t>
                    </w:r>
                    <w:r>
                      <w:rPr>
                        <w:spacing w:val="1"/>
                        <w:sz w:val="18"/>
                      </w:rPr>
                      <w:t> </w:t>
                    </w:r>
                    <w:r>
                      <w:rPr>
                        <w:sz w:val="18"/>
                      </w:rPr>
                      <w:t>in</w:t>
                    </w:r>
                    <w:r>
                      <w:rPr>
                        <w:spacing w:val="-2"/>
                        <w:sz w:val="18"/>
                      </w:rPr>
                      <w:t> Victoria</w:t>
                    </w:r>
                  </w:p>
                </w:txbxContent>
              </v:textbox>
              <w10:wrap type="none"/>
            </v:shape>
          </w:pict>
        </mc:Fallback>
      </mc:AlternateContent>
    </w:r>
    <w:r>
      <w:rPr/>
      <mc:AlternateContent>
        <mc:Choice Requires="wps">
          <w:drawing>
            <wp:anchor distT="0" distB="0" distL="0" distR="0" allowOverlap="1" layoutInCell="1" locked="0" behindDoc="1" simplePos="0" relativeHeight="483854336">
              <wp:simplePos x="0" y="0"/>
              <wp:positionH relativeFrom="page">
                <wp:posOffset>3691254</wp:posOffset>
              </wp:positionH>
              <wp:positionV relativeFrom="page">
                <wp:posOffset>10388600</wp:posOffset>
              </wp:positionV>
              <wp:extent cx="575945" cy="17780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575945" cy="177800"/>
                      </a:xfrm>
                      <a:prstGeom prst="rect">
                        <a:avLst/>
                      </a:prstGeom>
                    </wps:spPr>
                    <wps:txbx>
                      <w:txbxContent>
                        <w:p>
                          <w:pPr>
                            <w:spacing w:line="264" w:lineRule="exact" w:before="0"/>
                            <w:ind w:left="20" w:right="0" w:firstLine="0"/>
                            <w:jc w:val="left"/>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style="position:absolute;margin-left:290.649994pt;margin-top:818pt;width:45.35pt;height:14pt;mso-position-horizontal-relative:page;mso-position-vertical-relative:page;z-index:-19462144" type="#_x0000_t202" id="docshape35" filled="false" stroked="false">
              <v:textbox inset="0,0,0,0">
                <w:txbxContent>
                  <w:p>
                    <w:pPr>
                      <w:spacing w:line="264" w:lineRule="exact" w:before="0"/>
                      <w:ind w:left="20" w:right="0" w:firstLine="0"/>
                      <w:jc w:val="left"/>
                      <w:rPr>
                        <w:rFonts w:ascii="Calibri"/>
                        <w:sz w:val="24"/>
                      </w:rPr>
                    </w:pPr>
                    <w:r>
                      <w:rPr>
                        <w:rFonts w:ascii="Calibri"/>
                        <w:spacing w:val="-2"/>
                        <w:sz w:val="24"/>
                      </w:rPr>
                      <w:t>OFFICIAL</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0"/>
      <w:numFmt w:val="bullet"/>
      <w:lvlText w:val=""/>
      <w:lvlJc w:val="left"/>
      <w:pPr>
        <w:ind w:left="10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919" w:hanging="360"/>
      </w:pPr>
      <w:rPr>
        <w:rFonts w:hint="default"/>
        <w:lang w:val="en-US" w:eastAsia="en-US" w:bidi="ar-SA"/>
      </w:rPr>
    </w:lvl>
    <w:lvl w:ilvl="2">
      <w:start w:val="0"/>
      <w:numFmt w:val="bullet"/>
      <w:lvlText w:val="•"/>
      <w:lvlJc w:val="left"/>
      <w:pPr>
        <w:ind w:left="1738" w:hanging="360"/>
      </w:pPr>
      <w:rPr>
        <w:rFonts w:hint="default"/>
        <w:lang w:val="en-US" w:eastAsia="en-US" w:bidi="ar-SA"/>
      </w:rPr>
    </w:lvl>
    <w:lvl w:ilvl="3">
      <w:start w:val="0"/>
      <w:numFmt w:val="bullet"/>
      <w:lvlText w:val="•"/>
      <w:lvlJc w:val="left"/>
      <w:pPr>
        <w:ind w:left="2557" w:hanging="360"/>
      </w:pPr>
      <w:rPr>
        <w:rFonts w:hint="default"/>
        <w:lang w:val="en-US" w:eastAsia="en-US" w:bidi="ar-SA"/>
      </w:rPr>
    </w:lvl>
    <w:lvl w:ilvl="4">
      <w:start w:val="0"/>
      <w:numFmt w:val="bullet"/>
      <w:lvlText w:val="•"/>
      <w:lvlJc w:val="left"/>
      <w:pPr>
        <w:ind w:left="3376" w:hanging="360"/>
      </w:pPr>
      <w:rPr>
        <w:rFonts w:hint="default"/>
        <w:lang w:val="en-US" w:eastAsia="en-US" w:bidi="ar-SA"/>
      </w:rPr>
    </w:lvl>
    <w:lvl w:ilvl="5">
      <w:start w:val="0"/>
      <w:numFmt w:val="bullet"/>
      <w:lvlText w:val="•"/>
      <w:lvlJc w:val="left"/>
      <w:pPr>
        <w:ind w:left="4196" w:hanging="360"/>
      </w:pPr>
      <w:rPr>
        <w:rFonts w:hint="default"/>
        <w:lang w:val="en-US" w:eastAsia="en-US" w:bidi="ar-SA"/>
      </w:rPr>
    </w:lvl>
    <w:lvl w:ilvl="6">
      <w:start w:val="0"/>
      <w:numFmt w:val="bullet"/>
      <w:lvlText w:val="•"/>
      <w:lvlJc w:val="left"/>
      <w:pPr>
        <w:ind w:left="5015" w:hanging="360"/>
      </w:pPr>
      <w:rPr>
        <w:rFonts w:hint="default"/>
        <w:lang w:val="en-US" w:eastAsia="en-US" w:bidi="ar-SA"/>
      </w:rPr>
    </w:lvl>
    <w:lvl w:ilvl="7">
      <w:start w:val="0"/>
      <w:numFmt w:val="bullet"/>
      <w:lvlText w:val="•"/>
      <w:lvlJc w:val="left"/>
      <w:pPr>
        <w:ind w:left="5834" w:hanging="360"/>
      </w:pPr>
      <w:rPr>
        <w:rFonts w:hint="default"/>
        <w:lang w:val="en-US" w:eastAsia="en-US" w:bidi="ar-SA"/>
      </w:rPr>
    </w:lvl>
    <w:lvl w:ilvl="8">
      <w:start w:val="0"/>
      <w:numFmt w:val="bullet"/>
      <w:lvlText w:val="•"/>
      <w:lvlJc w:val="left"/>
      <w:pPr>
        <w:ind w:left="6653" w:hanging="360"/>
      </w:pPr>
      <w:rPr>
        <w:rFonts w:hint="default"/>
        <w:lang w:val="en-US" w:eastAsia="en-US" w:bidi="ar-SA"/>
      </w:rPr>
    </w:lvl>
  </w:abstractNum>
  <w:abstractNum w:abstractNumId="32">
    <w:multiLevelType w:val="hybridMultilevel"/>
    <w:lvl w:ilvl="0">
      <w:start w:val="0"/>
      <w:numFmt w:val="bullet"/>
      <w:lvlText w:val=""/>
      <w:lvlJc w:val="left"/>
      <w:pPr>
        <w:ind w:left="10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919" w:hanging="360"/>
      </w:pPr>
      <w:rPr>
        <w:rFonts w:hint="default"/>
        <w:lang w:val="en-US" w:eastAsia="en-US" w:bidi="ar-SA"/>
      </w:rPr>
    </w:lvl>
    <w:lvl w:ilvl="2">
      <w:start w:val="0"/>
      <w:numFmt w:val="bullet"/>
      <w:lvlText w:val="•"/>
      <w:lvlJc w:val="left"/>
      <w:pPr>
        <w:ind w:left="1738" w:hanging="360"/>
      </w:pPr>
      <w:rPr>
        <w:rFonts w:hint="default"/>
        <w:lang w:val="en-US" w:eastAsia="en-US" w:bidi="ar-SA"/>
      </w:rPr>
    </w:lvl>
    <w:lvl w:ilvl="3">
      <w:start w:val="0"/>
      <w:numFmt w:val="bullet"/>
      <w:lvlText w:val="•"/>
      <w:lvlJc w:val="left"/>
      <w:pPr>
        <w:ind w:left="2557" w:hanging="360"/>
      </w:pPr>
      <w:rPr>
        <w:rFonts w:hint="default"/>
        <w:lang w:val="en-US" w:eastAsia="en-US" w:bidi="ar-SA"/>
      </w:rPr>
    </w:lvl>
    <w:lvl w:ilvl="4">
      <w:start w:val="0"/>
      <w:numFmt w:val="bullet"/>
      <w:lvlText w:val="•"/>
      <w:lvlJc w:val="left"/>
      <w:pPr>
        <w:ind w:left="3376" w:hanging="360"/>
      </w:pPr>
      <w:rPr>
        <w:rFonts w:hint="default"/>
        <w:lang w:val="en-US" w:eastAsia="en-US" w:bidi="ar-SA"/>
      </w:rPr>
    </w:lvl>
    <w:lvl w:ilvl="5">
      <w:start w:val="0"/>
      <w:numFmt w:val="bullet"/>
      <w:lvlText w:val="•"/>
      <w:lvlJc w:val="left"/>
      <w:pPr>
        <w:ind w:left="4196" w:hanging="360"/>
      </w:pPr>
      <w:rPr>
        <w:rFonts w:hint="default"/>
        <w:lang w:val="en-US" w:eastAsia="en-US" w:bidi="ar-SA"/>
      </w:rPr>
    </w:lvl>
    <w:lvl w:ilvl="6">
      <w:start w:val="0"/>
      <w:numFmt w:val="bullet"/>
      <w:lvlText w:val="•"/>
      <w:lvlJc w:val="left"/>
      <w:pPr>
        <w:ind w:left="5015" w:hanging="360"/>
      </w:pPr>
      <w:rPr>
        <w:rFonts w:hint="default"/>
        <w:lang w:val="en-US" w:eastAsia="en-US" w:bidi="ar-SA"/>
      </w:rPr>
    </w:lvl>
    <w:lvl w:ilvl="7">
      <w:start w:val="0"/>
      <w:numFmt w:val="bullet"/>
      <w:lvlText w:val="•"/>
      <w:lvlJc w:val="left"/>
      <w:pPr>
        <w:ind w:left="5834" w:hanging="360"/>
      </w:pPr>
      <w:rPr>
        <w:rFonts w:hint="default"/>
        <w:lang w:val="en-US" w:eastAsia="en-US" w:bidi="ar-SA"/>
      </w:rPr>
    </w:lvl>
    <w:lvl w:ilvl="8">
      <w:start w:val="0"/>
      <w:numFmt w:val="bullet"/>
      <w:lvlText w:val="•"/>
      <w:lvlJc w:val="left"/>
      <w:pPr>
        <w:ind w:left="6653" w:hanging="360"/>
      </w:pPr>
      <w:rPr>
        <w:rFonts w:hint="default"/>
        <w:lang w:val="en-US" w:eastAsia="en-US" w:bidi="ar-SA"/>
      </w:rPr>
    </w:lvl>
  </w:abstractNum>
  <w:abstractNum w:abstractNumId="31">
    <w:multiLevelType w:val="hybridMultilevel"/>
    <w:lvl w:ilvl="0">
      <w:start w:val="0"/>
      <w:numFmt w:val="bullet"/>
      <w:lvlText w:val=""/>
      <w:lvlJc w:val="left"/>
      <w:pPr>
        <w:ind w:left="10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919" w:hanging="360"/>
      </w:pPr>
      <w:rPr>
        <w:rFonts w:hint="default"/>
        <w:lang w:val="en-US" w:eastAsia="en-US" w:bidi="ar-SA"/>
      </w:rPr>
    </w:lvl>
    <w:lvl w:ilvl="2">
      <w:start w:val="0"/>
      <w:numFmt w:val="bullet"/>
      <w:lvlText w:val="•"/>
      <w:lvlJc w:val="left"/>
      <w:pPr>
        <w:ind w:left="1738" w:hanging="360"/>
      </w:pPr>
      <w:rPr>
        <w:rFonts w:hint="default"/>
        <w:lang w:val="en-US" w:eastAsia="en-US" w:bidi="ar-SA"/>
      </w:rPr>
    </w:lvl>
    <w:lvl w:ilvl="3">
      <w:start w:val="0"/>
      <w:numFmt w:val="bullet"/>
      <w:lvlText w:val="•"/>
      <w:lvlJc w:val="left"/>
      <w:pPr>
        <w:ind w:left="2557" w:hanging="360"/>
      </w:pPr>
      <w:rPr>
        <w:rFonts w:hint="default"/>
        <w:lang w:val="en-US" w:eastAsia="en-US" w:bidi="ar-SA"/>
      </w:rPr>
    </w:lvl>
    <w:lvl w:ilvl="4">
      <w:start w:val="0"/>
      <w:numFmt w:val="bullet"/>
      <w:lvlText w:val="•"/>
      <w:lvlJc w:val="left"/>
      <w:pPr>
        <w:ind w:left="3376" w:hanging="360"/>
      </w:pPr>
      <w:rPr>
        <w:rFonts w:hint="default"/>
        <w:lang w:val="en-US" w:eastAsia="en-US" w:bidi="ar-SA"/>
      </w:rPr>
    </w:lvl>
    <w:lvl w:ilvl="5">
      <w:start w:val="0"/>
      <w:numFmt w:val="bullet"/>
      <w:lvlText w:val="•"/>
      <w:lvlJc w:val="left"/>
      <w:pPr>
        <w:ind w:left="4196" w:hanging="360"/>
      </w:pPr>
      <w:rPr>
        <w:rFonts w:hint="default"/>
        <w:lang w:val="en-US" w:eastAsia="en-US" w:bidi="ar-SA"/>
      </w:rPr>
    </w:lvl>
    <w:lvl w:ilvl="6">
      <w:start w:val="0"/>
      <w:numFmt w:val="bullet"/>
      <w:lvlText w:val="•"/>
      <w:lvlJc w:val="left"/>
      <w:pPr>
        <w:ind w:left="5015" w:hanging="360"/>
      </w:pPr>
      <w:rPr>
        <w:rFonts w:hint="default"/>
        <w:lang w:val="en-US" w:eastAsia="en-US" w:bidi="ar-SA"/>
      </w:rPr>
    </w:lvl>
    <w:lvl w:ilvl="7">
      <w:start w:val="0"/>
      <w:numFmt w:val="bullet"/>
      <w:lvlText w:val="•"/>
      <w:lvlJc w:val="left"/>
      <w:pPr>
        <w:ind w:left="5834" w:hanging="360"/>
      </w:pPr>
      <w:rPr>
        <w:rFonts w:hint="default"/>
        <w:lang w:val="en-US" w:eastAsia="en-US" w:bidi="ar-SA"/>
      </w:rPr>
    </w:lvl>
    <w:lvl w:ilvl="8">
      <w:start w:val="0"/>
      <w:numFmt w:val="bullet"/>
      <w:lvlText w:val="•"/>
      <w:lvlJc w:val="left"/>
      <w:pPr>
        <w:ind w:left="6653" w:hanging="360"/>
      </w:pPr>
      <w:rPr>
        <w:rFonts w:hint="default"/>
        <w:lang w:val="en-US" w:eastAsia="en-US" w:bidi="ar-SA"/>
      </w:rPr>
    </w:lvl>
  </w:abstractNum>
  <w:abstractNum w:abstractNumId="30">
    <w:multiLevelType w:val="hybridMultilevel"/>
    <w:lvl w:ilvl="0">
      <w:start w:val="0"/>
      <w:numFmt w:val="bullet"/>
      <w:lvlText w:val=""/>
      <w:lvlJc w:val="left"/>
      <w:pPr>
        <w:ind w:left="10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919" w:hanging="360"/>
      </w:pPr>
      <w:rPr>
        <w:rFonts w:hint="default"/>
        <w:lang w:val="en-US" w:eastAsia="en-US" w:bidi="ar-SA"/>
      </w:rPr>
    </w:lvl>
    <w:lvl w:ilvl="2">
      <w:start w:val="0"/>
      <w:numFmt w:val="bullet"/>
      <w:lvlText w:val="•"/>
      <w:lvlJc w:val="left"/>
      <w:pPr>
        <w:ind w:left="1738" w:hanging="360"/>
      </w:pPr>
      <w:rPr>
        <w:rFonts w:hint="default"/>
        <w:lang w:val="en-US" w:eastAsia="en-US" w:bidi="ar-SA"/>
      </w:rPr>
    </w:lvl>
    <w:lvl w:ilvl="3">
      <w:start w:val="0"/>
      <w:numFmt w:val="bullet"/>
      <w:lvlText w:val="•"/>
      <w:lvlJc w:val="left"/>
      <w:pPr>
        <w:ind w:left="2557" w:hanging="360"/>
      </w:pPr>
      <w:rPr>
        <w:rFonts w:hint="default"/>
        <w:lang w:val="en-US" w:eastAsia="en-US" w:bidi="ar-SA"/>
      </w:rPr>
    </w:lvl>
    <w:lvl w:ilvl="4">
      <w:start w:val="0"/>
      <w:numFmt w:val="bullet"/>
      <w:lvlText w:val="•"/>
      <w:lvlJc w:val="left"/>
      <w:pPr>
        <w:ind w:left="3376" w:hanging="360"/>
      </w:pPr>
      <w:rPr>
        <w:rFonts w:hint="default"/>
        <w:lang w:val="en-US" w:eastAsia="en-US" w:bidi="ar-SA"/>
      </w:rPr>
    </w:lvl>
    <w:lvl w:ilvl="5">
      <w:start w:val="0"/>
      <w:numFmt w:val="bullet"/>
      <w:lvlText w:val="•"/>
      <w:lvlJc w:val="left"/>
      <w:pPr>
        <w:ind w:left="4196" w:hanging="360"/>
      </w:pPr>
      <w:rPr>
        <w:rFonts w:hint="default"/>
        <w:lang w:val="en-US" w:eastAsia="en-US" w:bidi="ar-SA"/>
      </w:rPr>
    </w:lvl>
    <w:lvl w:ilvl="6">
      <w:start w:val="0"/>
      <w:numFmt w:val="bullet"/>
      <w:lvlText w:val="•"/>
      <w:lvlJc w:val="left"/>
      <w:pPr>
        <w:ind w:left="5015" w:hanging="360"/>
      </w:pPr>
      <w:rPr>
        <w:rFonts w:hint="default"/>
        <w:lang w:val="en-US" w:eastAsia="en-US" w:bidi="ar-SA"/>
      </w:rPr>
    </w:lvl>
    <w:lvl w:ilvl="7">
      <w:start w:val="0"/>
      <w:numFmt w:val="bullet"/>
      <w:lvlText w:val="•"/>
      <w:lvlJc w:val="left"/>
      <w:pPr>
        <w:ind w:left="5834" w:hanging="360"/>
      </w:pPr>
      <w:rPr>
        <w:rFonts w:hint="default"/>
        <w:lang w:val="en-US" w:eastAsia="en-US" w:bidi="ar-SA"/>
      </w:rPr>
    </w:lvl>
    <w:lvl w:ilvl="8">
      <w:start w:val="0"/>
      <w:numFmt w:val="bullet"/>
      <w:lvlText w:val="•"/>
      <w:lvlJc w:val="left"/>
      <w:pPr>
        <w:ind w:left="6653" w:hanging="360"/>
      </w:pPr>
      <w:rPr>
        <w:rFonts w:hint="default"/>
        <w:lang w:val="en-US" w:eastAsia="en-US" w:bidi="ar-SA"/>
      </w:rPr>
    </w:lvl>
  </w:abstractNum>
  <w:abstractNum w:abstractNumId="29">
    <w:multiLevelType w:val="hybridMultilevel"/>
    <w:lvl w:ilvl="0">
      <w:start w:val="0"/>
      <w:numFmt w:val="bullet"/>
      <w:lvlText w:val=""/>
      <w:lvlJc w:val="left"/>
      <w:pPr>
        <w:ind w:left="833"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766" w:hanging="360"/>
      </w:pPr>
      <w:rPr>
        <w:rFonts w:hint="default"/>
        <w:lang w:val="en-US" w:eastAsia="en-US" w:bidi="ar-SA"/>
      </w:rPr>
    </w:lvl>
    <w:lvl w:ilvl="2">
      <w:start w:val="0"/>
      <w:numFmt w:val="bullet"/>
      <w:lvlText w:val="•"/>
      <w:lvlJc w:val="left"/>
      <w:pPr>
        <w:ind w:left="2693" w:hanging="360"/>
      </w:pPr>
      <w:rPr>
        <w:rFonts w:hint="default"/>
        <w:lang w:val="en-US" w:eastAsia="en-US" w:bidi="ar-SA"/>
      </w:rPr>
    </w:lvl>
    <w:lvl w:ilvl="3">
      <w:start w:val="0"/>
      <w:numFmt w:val="bullet"/>
      <w:lvlText w:val="•"/>
      <w:lvlJc w:val="left"/>
      <w:pPr>
        <w:ind w:left="3619" w:hanging="360"/>
      </w:pPr>
      <w:rPr>
        <w:rFonts w:hint="default"/>
        <w:lang w:val="en-US" w:eastAsia="en-US" w:bidi="ar-SA"/>
      </w:rPr>
    </w:lvl>
    <w:lvl w:ilvl="4">
      <w:start w:val="0"/>
      <w:numFmt w:val="bullet"/>
      <w:lvlText w:val="•"/>
      <w:lvlJc w:val="left"/>
      <w:pPr>
        <w:ind w:left="4546"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399" w:hanging="360"/>
      </w:pPr>
      <w:rPr>
        <w:rFonts w:hint="default"/>
        <w:lang w:val="en-US" w:eastAsia="en-US" w:bidi="ar-SA"/>
      </w:rPr>
    </w:lvl>
    <w:lvl w:ilvl="7">
      <w:start w:val="0"/>
      <w:numFmt w:val="bullet"/>
      <w:lvlText w:val="•"/>
      <w:lvlJc w:val="left"/>
      <w:pPr>
        <w:ind w:left="7326" w:hanging="360"/>
      </w:pPr>
      <w:rPr>
        <w:rFonts w:hint="default"/>
        <w:lang w:val="en-US" w:eastAsia="en-US" w:bidi="ar-SA"/>
      </w:rPr>
    </w:lvl>
    <w:lvl w:ilvl="8">
      <w:start w:val="0"/>
      <w:numFmt w:val="bullet"/>
      <w:lvlText w:val="•"/>
      <w:lvlJc w:val="left"/>
      <w:pPr>
        <w:ind w:left="8253" w:hanging="360"/>
      </w:pPr>
      <w:rPr>
        <w:rFonts w:hint="default"/>
        <w:lang w:val="en-US" w:eastAsia="en-US" w:bidi="ar-SA"/>
      </w:rPr>
    </w:lvl>
  </w:abstractNum>
  <w:abstractNum w:abstractNumId="28">
    <w:multiLevelType w:val="hybridMultilevel"/>
    <w:lvl w:ilvl="0">
      <w:start w:val="0"/>
      <w:numFmt w:val="bullet"/>
      <w:lvlText w:val=""/>
      <w:lvlJc w:val="left"/>
      <w:pPr>
        <w:ind w:left="851"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36" w:hanging="360"/>
      </w:pPr>
      <w:rPr>
        <w:rFonts w:hint="default"/>
        <w:lang w:val="en-US" w:eastAsia="en-US" w:bidi="ar-SA"/>
      </w:rPr>
    </w:lvl>
    <w:lvl w:ilvl="2">
      <w:start w:val="0"/>
      <w:numFmt w:val="bullet"/>
      <w:lvlText w:val="•"/>
      <w:lvlJc w:val="left"/>
      <w:pPr>
        <w:ind w:left="2013" w:hanging="360"/>
      </w:pPr>
      <w:rPr>
        <w:rFonts w:hint="default"/>
        <w:lang w:val="en-US" w:eastAsia="en-US" w:bidi="ar-SA"/>
      </w:rPr>
    </w:lvl>
    <w:lvl w:ilvl="3">
      <w:start w:val="0"/>
      <w:numFmt w:val="bullet"/>
      <w:lvlText w:val="•"/>
      <w:lvlJc w:val="left"/>
      <w:pPr>
        <w:ind w:left="2590" w:hanging="360"/>
      </w:pPr>
      <w:rPr>
        <w:rFonts w:hint="default"/>
        <w:lang w:val="en-US" w:eastAsia="en-US" w:bidi="ar-SA"/>
      </w:rPr>
    </w:lvl>
    <w:lvl w:ilvl="4">
      <w:start w:val="0"/>
      <w:numFmt w:val="bullet"/>
      <w:lvlText w:val="•"/>
      <w:lvlJc w:val="left"/>
      <w:pPr>
        <w:ind w:left="3166" w:hanging="360"/>
      </w:pPr>
      <w:rPr>
        <w:rFonts w:hint="default"/>
        <w:lang w:val="en-US" w:eastAsia="en-US" w:bidi="ar-SA"/>
      </w:rPr>
    </w:lvl>
    <w:lvl w:ilvl="5">
      <w:start w:val="0"/>
      <w:numFmt w:val="bullet"/>
      <w:lvlText w:val="•"/>
      <w:lvlJc w:val="left"/>
      <w:pPr>
        <w:ind w:left="3743" w:hanging="360"/>
      </w:pPr>
      <w:rPr>
        <w:rFonts w:hint="default"/>
        <w:lang w:val="en-US" w:eastAsia="en-US" w:bidi="ar-SA"/>
      </w:rPr>
    </w:lvl>
    <w:lvl w:ilvl="6">
      <w:start w:val="0"/>
      <w:numFmt w:val="bullet"/>
      <w:lvlText w:val="•"/>
      <w:lvlJc w:val="left"/>
      <w:pPr>
        <w:ind w:left="4320" w:hanging="360"/>
      </w:pPr>
      <w:rPr>
        <w:rFonts w:hint="default"/>
        <w:lang w:val="en-US" w:eastAsia="en-US" w:bidi="ar-SA"/>
      </w:rPr>
    </w:lvl>
    <w:lvl w:ilvl="7">
      <w:start w:val="0"/>
      <w:numFmt w:val="bullet"/>
      <w:lvlText w:val="•"/>
      <w:lvlJc w:val="left"/>
      <w:pPr>
        <w:ind w:left="4896" w:hanging="360"/>
      </w:pPr>
      <w:rPr>
        <w:rFonts w:hint="default"/>
        <w:lang w:val="en-US" w:eastAsia="en-US" w:bidi="ar-SA"/>
      </w:rPr>
    </w:lvl>
    <w:lvl w:ilvl="8">
      <w:start w:val="0"/>
      <w:numFmt w:val="bullet"/>
      <w:lvlText w:val="•"/>
      <w:lvlJc w:val="left"/>
      <w:pPr>
        <w:ind w:left="5473" w:hanging="360"/>
      </w:pPr>
      <w:rPr>
        <w:rFonts w:hint="default"/>
        <w:lang w:val="en-US" w:eastAsia="en-US" w:bidi="ar-SA"/>
      </w:rPr>
    </w:lvl>
  </w:abstractNum>
  <w:abstractNum w:abstractNumId="27">
    <w:multiLevelType w:val="hybridMultilevel"/>
    <w:lvl w:ilvl="0">
      <w:start w:val="16"/>
      <w:numFmt w:val="decimal"/>
      <w:lvlText w:val="%1"/>
      <w:lvlJc w:val="left"/>
      <w:pPr>
        <w:ind w:left="833" w:hanging="721"/>
        <w:jc w:val="left"/>
      </w:pPr>
      <w:rPr>
        <w:rFonts w:hint="default"/>
        <w:lang w:val="en-US" w:eastAsia="en-US" w:bidi="ar-SA"/>
      </w:rPr>
    </w:lvl>
    <w:lvl w:ilvl="1">
      <w:start w:val="2"/>
      <w:numFmt w:val="decimal"/>
      <w:lvlText w:val="%1.%2"/>
      <w:lvlJc w:val="left"/>
      <w:pPr>
        <w:ind w:left="833" w:hanging="721"/>
        <w:jc w:val="left"/>
      </w:pPr>
      <w:rPr>
        <w:rFonts w:hint="default"/>
        <w:lang w:val="en-US" w:eastAsia="en-US" w:bidi="ar-SA"/>
      </w:rPr>
    </w:lvl>
    <w:lvl w:ilvl="2">
      <w:start w:val="1"/>
      <w:numFmt w:val="decimal"/>
      <w:lvlText w:val="%1.%2.%3"/>
      <w:lvlJc w:val="left"/>
      <w:pPr>
        <w:ind w:left="833" w:hanging="721"/>
        <w:jc w:val="left"/>
      </w:pPr>
      <w:rPr>
        <w:rFonts w:hint="default" w:ascii="Arial" w:hAnsi="Arial" w:eastAsia="Arial" w:cs="Arial"/>
        <w:b/>
        <w:bCs/>
        <w:i w:val="0"/>
        <w:iCs w:val="0"/>
        <w:spacing w:val="-1"/>
        <w:w w:val="100"/>
        <w:sz w:val="22"/>
        <w:szCs w:val="22"/>
        <w:lang w:val="en-US" w:eastAsia="en-US" w:bidi="ar-SA"/>
      </w:rPr>
    </w:lvl>
    <w:lvl w:ilvl="3">
      <w:start w:val="0"/>
      <w:numFmt w:val="bullet"/>
      <w:lvlText w:val="•"/>
      <w:lvlJc w:val="left"/>
      <w:pPr>
        <w:ind w:left="3619" w:hanging="721"/>
      </w:pPr>
      <w:rPr>
        <w:rFonts w:hint="default"/>
        <w:lang w:val="en-US" w:eastAsia="en-US" w:bidi="ar-SA"/>
      </w:rPr>
    </w:lvl>
    <w:lvl w:ilvl="4">
      <w:start w:val="0"/>
      <w:numFmt w:val="bullet"/>
      <w:lvlText w:val="•"/>
      <w:lvlJc w:val="left"/>
      <w:pPr>
        <w:ind w:left="4546" w:hanging="721"/>
      </w:pPr>
      <w:rPr>
        <w:rFonts w:hint="default"/>
        <w:lang w:val="en-US" w:eastAsia="en-US" w:bidi="ar-SA"/>
      </w:rPr>
    </w:lvl>
    <w:lvl w:ilvl="5">
      <w:start w:val="0"/>
      <w:numFmt w:val="bullet"/>
      <w:lvlText w:val="•"/>
      <w:lvlJc w:val="left"/>
      <w:pPr>
        <w:ind w:left="5473" w:hanging="721"/>
      </w:pPr>
      <w:rPr>
        <w:rFonts w:hint="default"/>
        <w:lang w:val="en-US" w:eastAsia="en-US" w:bidi="ar-SA"/>
      </w:rPr>
    </w:lvl>
    <w:lvl w:ilvl="6">
      <w:start w:val="0"/>
      <w:numFmt w:val="bullet"/>
      <w:lvlText w:val="•"/>
      <w:lvlJc w:val="left"/>
      <w:pPr>
        <w:ind w:left="6399" w:hanging="721"/>
      </w:pPr>
      <w:rPr>
        <w:rFonts w:hint="default"/>
        <w:lang w:val="en-US" w:eastAsia="en-US" w:bidi="ar-SA"/>
      </w:rPr>
    </w:lvl>
    <w:lvl w:ilvl="7">
      <w:start w:val="0"/>
      <w:numFmt w:val="bullet"/>
      <w:lvlText w:val="•"/>
      <w:lvlJc w:val="left"/>
      <w:pPr>
        <w:ind w:left="7326" w:hanging="721"/>
      </w:pPr>
      <w:rPr>
        <w:rFonts w:hint="default"/>
        <w:lang w:val="en-US" w:eastAsia="en-US" w:bidi="ar-SA"/>
      </w:rPr>
    </w:lvl>
    <w:lvl w:ilvl="8">
      <w:start w:val="0"/>
      <w:numFmt w:val="bullet"/>
      <w:lvlText w:val="•"/>
      <w:lvlJc w:val="left"/>
      <w:pPr>
        <w:ind w:left="8253" w:hanging="721"/>
      </w:pPr>
      <w:rPr>
        <w:rFonts w:hint="default"/>
        <w:lang w:val="en-US" w:eastAsia="en-US" w:bidi="ar-SA"/>
      </w:rPr>
    </w:lvl>
  </w:abstractNum>
  <w:abstractNum w:abstractNumId="26">
    <w:multiLevelType w:val="hybridMultilevel"/>
    <w:lvl w:ilvl="0">
      <w:start w:val="16"/>
      <w:numFmt w:val="decimal"/>
      <w:lvlText w:val="%1"/>
      <w:lvlJc w:val="left"/>
      <w:pPr>
        <w:ind w:left="689" w:hanging="577"/>
        <w:jc w:val="left"/>
      </w:pPr>
      <w:rPr>
        <w:rFonts w:hint="default"/>
        <w:lang w:val="en-US" w:eastAsia="en-US" w:bidi="ar-SA"/>
      </w:rPr>
    </w:lvl>
    <w:lvl w:ilvl="1">
      <w:start w:val="1"/>
      <w:numFmt w:val="decimal"/>
      <w:lvlText w:val="%1.%2"/>
      <w:lvlJc w:val="left"/>
      <w:pPr>
        <w:ind w:left="689" w:hanging="577"/>
        <w:jc w:val="left"/>
      </w:pPr>
      <w:rPr>
        <w:rFonts w:hint="default" w:ascii="Arial" w:hAnsi="Arial" w:eastAsia="Arial" w:cs="Arial"/>
        <w:b/>
        <w:bCs/>
        <w:i w:val="0"/>
        <w:iCs w:val="0"/>
        <w:color w:val="2D1E66"/>
        <w:spacing w:val="0"/>
        <w:w w:val="99"/>
        <w:sz w:val="24"/>
        <w:szCs w:val="24"/>
        <w:lang w:val="en-US" w:eastAsia="en-US" w:bidi="ar-SA"/>
      </w:rPr>
    </w:lvl>
    <w:lvl w:ilvl="2">
      <w:start w:val="2"/>
      <w:numFmt w:val="decimal"/>
      <w:lvlText w:val="%1.%2.%3"/>
      <w:lvlJc w:val="left"/>
      <w:pPr>
        <w:ind w:left="833" w:hanging="721"/>
        <w:jc w:val="left"/>
      </w:pPr>
      <w:rPr>
        <w:rFonts w:hint="default" w:ascii="Arial" w:hAnsi="Arial" w:eastAsia="Arial" w:cs="Arial"/>
        <w:b/>
        <w:bCs/>
        <w:i w:val="0"/>
        <w:iCs w:val="0"/>
        <w:spacing w:val="-1"/>
        <w:w w:val="100"/>
        <w:sz w:val="22"/>
        <w:szCs w:val="22"/>
        <w:lang w:val="en-US" w:eastAsia="en-US" w:bidi="ar-SA"/>
      </w:rPr>
    </w:lvl>
    <w:lvl w:ilvl="3">
      <w:start w:val="0"/>
      <w:numFmt w:val="bullet"/>
      <w:lvlText w:val="•"/>
      <w:lvlJc w:val="left"/>
      <w:pPr>
        <w:ind w:left="2899" w:hanging="721"/>
      </w:pPr>
      <w:rPr>
        <w:rFonts w:hint="default"/>
        <w:lang w:val="en-US" w:eastAsia="en-US" w:bidi="ar-SA"/>
      </w:rPr>
    </w:lvl>
    <w:lvl w:ilvl="4">
      <w:start w:val="0"/>
      <w:numFmt w:val="bullet"/>
      <w:lvlText w:val="•"/>
      <w:lvlJc w:val="left"/>
      <w:pPr>
        <w:ind w:left="3928" w:hanging="721"/>
      </w:pPr>
      <w:rPr>
        <w:rFonts w:hint="default"/>
        <w:lang w:val="en-US" w:eastAsia="en-US" w:bidi="ar-SA"/>
      </w:rPr>
    </w:lvl>
    <w:lvl w:ilvl="5">
      <w:start w:val="0"/>
      <w:numFmt w:val="bullet"/>
      <w:lvlText w:val="•"/>
      <w:lvlJc w:val="left"/>
      <w:pPr>
        <w:ind w:left="4958" w:hanging="721"/>
      </w:pPr>
      <w:rPr>
        <w:rFonts w:hint="default"/>
        <w:lang w:val="en-US" w:eastAsia="en-US" w:bidi="ar-SA"/>
      </w:rPr>
    </w:lvl>
    <w:lvl w:ilvl="6">
      <w:start w:val="0"/>
      <w:numFmt w:val="bullet"/>
      <w:lvlText w:val="•"/>
      <w:lvlJc w:val="left"/>
      <w:pPr>
        <w:ind w:left="5988" w:hanging="721"/>
      </w:pPr>
      <w:rPr>
        <w:rFonts w:hint="default"/>
        <w:lang w:val="en-US" w:eastAsia="en-US" w:bidi="ar-SA"/>
      </w:rPr>
    </w:lvl>
    <w:lvl w:ilvl="7">
      <w:start w:val="0"/>
      <w:numFmt w:val="bullet"/>
      <w:lvlText w:val="•"/>
      <w:lvlJc w:val="left"/>
      <w:pPr>
        <w:ind w:left="7017" w:hanging="721"/>
      </w:pPr>
      <w:rPr>
        <w:rFonts w:hint="default"/>
        <w:lang w:val="en-US" w:eastAsia="en-US" w:bidi="ar-SA"/>
      </w:rPr>
    </w:lvl>
    <w:lvl w:ilvl="8">
      <w:start w:val="0"/>
      <w:numFmt w:val="bullet"/>
      <w:lvlText w:val="•"/>
      <w:lvlJc w:val="left"/>
      <w:pPr>
        <w:ind w:left="8047" w:hanging="721"/>
      </w:pPr>
      <w:rPr>
        <w:rFonts w:hint="default"/>
        <w:lang w:val="en-US" w:eastAsia="en-US" w:bidi="ar-SA"/>
      </w:rPr>
    </w:lvl>
  </w:abstractNum>
  <w:abstractNum w:abstractNumId="25">
    <w:multiLevelType w:val="hybridMultilevel"/>
    <w:lvl w:ilvl="0">
      <w:start w:val="15"/>
      <w:numFmt w:val="decimal"/>
      <w:lvlText w:val="%1"/>
      <w:lvlJc w:val="left"/>
      <w:pPr>
        <w:ind w:left="833" w:hanging="721"/>
        <w:jc w:val="left"/>
      </w:pPr>
      <w:rPr>
        <w:rFonts w:hint="default"/>
        <w:lang w:val="en-US" w:eastAsia="en-US" w:bidi="ar-SA"/>
      </w:rPr>
    </w:lvl>
    <w:lvl w:ilvl="1">
      <w:start w:val="8"/>
      <w:numFmt w:val="decimal"/>
      <w:lvlText w:val="%1.%2"/>
      <w:lvlJc w:val="left"/>
      <w:pPr>
        <w:ind w:left="833" w:hanging="721"/>
        <w:jc w:val="left"/>
      </w:pPr>
      <w:rPr>
        <w:rFonts w:hint="default"/>
        <w:lang w:val="en-US" w:eastAsia="en-US" w:bidi="ar-SA"/>
      </w:rPr>
    </w:lvl>
    <w:lvl w:ilvl="2">
      <w:start w:val="1"/>
      <w:numFmt w:val="decimal"/>
      <w:lvlText w:val="%1.%2.%3"/>
      <w:lvlJc w:val="left"/>
      <w:pPr>
        <w:ind w:left="833" w:hanging="721"/>
        <w:jc w:val="left"/>
      </w:pPr>
      <w:rPr>
        <w:rFonts w:hint="default" w:ascii="Arial" w:hAnsi="Arial" w:eastAsia="Arial" w:cs="Arial"/>
        <w:b/>
        <w:bCs/>
        <w:i w:val="0"/>
        <w:iCs w:val="0"/>
        <w:spacing w:val="-1"/>
        <w:w w:val="100"/>
        <w:sz w:val="22"/>
        <w:szCs w:val="22"/>
        <w:lang w:val="en-US" w:eastAsia="en-US" w:bidi="ar-SA"/>
      </w:rPr>
    </w:lvl>
    <w:lvl w:ilvl="3">
      <w:start w:val="0"/>
      <w:numFmt w:val="bullet"/>
      <w:lvlText w:val="•"/>
      <w:lvlJc w:val="left"/>
      <w:pPr>
        <w:ind w:left="3619" w:hanging="721"/>
      </w:pPr>
      <w:rPr>
        <w:rFonts w:hint="default"/>
        <w:lang w:val="en-US" w:eastAsia="en-US" w:bidi="ar-SA"/>
      </w:rPr>
    </w:lvl>
    <w:lvl w:ilvl="4">
      <w:start w:val="0"/>
      <w:numFmt w:val="bullet"/>
      <w:lvlText w:val="•"/>
      <w:lvlJc w:val="left"/>
      <w:pPr>
        <w:ind w:left="4546" w:hanging="721"/>
      </w:pPr>
      <w:rPr>
        <w:rFonts w:hint="default"/>
        <w:lang w:val="en-US" w:eastAsia="en-US" w:bidi="ar-SA"/>
      </w:rPr>
    </w:lvl>
    <w:lvl w:ilvl="5">
      <w:start w:val="0"/>
      <w:numFmt w:val="bullet"/>
      <w:lvlText w:val="•"/>
      <w:lvlJc w:val="left"/>
      <w:pPr>
        <w:ind w:left="5473" w:hanging="721"/>
      </w:pPr>
      <w:rPr>
        <w:rFonts w:hint="default"/>
        <w:lang w:val="en-US" w:eastAsia="en-US" w:bidi="ar-SA"/>
      </w:rPr>
    </w:lvl>
    <w:lvl w:ilvl="6">
      <w:start w:val="0"/>
      <w:numFmt w:val="bullet"/>
      <w:lvlText w:val="•"/>
      <w:lvlJc w:val="left"/>
      <w:pPr>
        <w:ind w:left="6399" w:hanging="721"/>
      </w:pPr>
      <w:rPr>
        <w:rFonts w:hint="default"/>
        <w:lang w:val="en-US" w:eastAsia="en-US" w:bidi="ar-SA"/>
      </w:rPr>
    </w:lvl>
    <w:lvl w:ilvl="7">
      <w:start w:val="0"/>
      <w:numFmt w:val="bullet"/>
      <w:lvlText w:val="•"/>
      <w:lvlJc w:val="left"/>
      <w:pPr>
        <w:ind w:left="7326" w:hanging="721"/>
      </w:pPr>
      <w:rPr>
        <w:rFonts w:hint="default"/>
        <w:lang w:val="en-US" w:eastAsia="en-US" w:bidi="ar-SA"/>
      </w:rPr>
    </w:lvl>
    <w:lvl w:ilvl="8">
      <w:start w:val="0"/>
      <w:numFmt w:val="bullet"/>
      <w:lvlText w:val="•"/>
      <w:lvlJc w:val="left"/>
      <w:pPr>
        <w:ind w:left="8253" w:hanging="721"/>
      </w:pPr>
      <w:rPr>
        <w:rFonts w:hint="default"/>
        <w:lang w:val="en-US" w:eastAsia="en-US" w:bidi="ar-SA"/>
      </w:rPr>
    </w:lvl>
  </w:abstractNum>
  <w:abstractNum w:abstractNumId="24">
    <w:multiLevelType w:val="hybridMultilevel"/>
    <w:lvl w:ilvl="0">
      <w:start w:val="15"/>
      <w:numFmt w:val="decimal"/>
      <w:lvlText w:val="%1"/>
      <w:lvlJc w:val="left"/>
      <w:pPr>
        <w:ind w:left="833" w:hanging="721"/>
        <w:jc w:val="left"/>
      </w:pPr>
      <w:rPr>
        <w:rFonts w:hint="default"/>
        <w:lang w:val="en-US" w:eastAsia="en-US" w:bidi="ar-SA"/>
      </w:rPr>
    </w:lvl>
    <w:lvl w:ilvl="1">
      <w:start w:val="2"/>
      <w:numFmt w:val="decimal"/>
      <w:lvlText w:val="%1.%2"/>
      <w:lvlJc w:val="left"/>
      <w:pPr>
        <w:ind w:left="833" w:hanging="721"/>
        <w:jc w:val="left"/>
      </w:pPr>
      <w:rPr>
        <w:rFonts w:hint="default"/>
        <w:lang w:val="en-US" w:eastAsia="en-US" w:bidi="ar-SA"/>
      </w:rPr>
    </w:lvl>
    <w:lvl w:ilvl="2">
      <w:start w:val="1"/>
      <w:numFmt w:val="decimal"/>
      <w:lvlText w:val="%1.%2.%3"/>
      <w:lvlJc w:val="left"/>
      <w:pPr>
        <w:ind w:left="833" w:hanging="721"/>
        <w:jc w:val="left"/>
      </w:pPr>
      <w:rPr>
        <w:rFonts w:hint="default" w:ascii="Arial" w:hAnsi="Arial" w:eastAsia="Arial" w:cs="Arial"/>
        <w:b/>
        <w:bCs/>
        <w:i w:val="0"/>
        <w:iCs w:val="0"/>
        <w:spacing w:val="-1"/>
        <w:w w:val="100"/>
        <w:sz w:val="22"/>
        <w:szCs w:val="22"/>
        <w:lang w:val="en-US" w:eastAsia="en-US" w:bidi="ar-SA"/>
      </w:rPr>
    </w:lvl>
    <w:lvl w:ilvl="3">
      <w:start w:val="0"/>
      <w:numFmt w:val="bullet"/>
      <w:lvlText w:val="•"/>
      <w:lvlJc w:val="left"/>
      <w:pPr>
        <w:ind w:left="3619" w:hanging="721"/>
      </w:pPr>
      <w:rPr>
        <w:rFonts w:hint="default"/>
        <w:lang w:val="en-US" w:eastAsia="en-US" w:bidi="ar-SA"/>
      </w:rPr>
    </w:lvl>
    <w:lvl w:ilvl="4">
      <w:start w:val="0"/>
      <w:numFmt w:val="bullet"/>
      <w:lvlText w:val="•"/>
      <w:lvlJc w:val="left"/>
      <w:pPr>
        <w:ind w:left="4546" w:hanging="721"/>
      </w:pPr>
      <w:rPr>
        <w:rFonts w:hint="default"/>
        <w:lang w:val="en-US" w:eastAsia="en-US" w:bidi="ar-SA"/>
      </w:rPr>
    </w:lvl>
    <w:lvl w:ilvl="5">
      <w:start w:val="0"/>
      <w:numFmt w:val="bullet"/>
      <w:lvlText w:val="•"/>
      <w:lvlJc w:val="left"/>
      <w:pPr>
        <w:ind w:left="5473" w:hanging="721"/>
      </w:pPr>
      <w:rPr>
        <w:rFonts w:hint="default"/>
        <w:lang w:val="en-US" w:eastAsia="en-US" w:bidi="ar-SA"/>
      </w:rPr>
    </w:lvl>
    <w:lvl w:ilvl="6">
      <w:start w:val="0"/>
      <w:numFmt w:val="bullet"/>
      <w:lvlText w:val="•"/>
      <w:lvlJc w:val="left"/>
      <w:pPr>
        <w:ind w:left="6399" w:hanging="721"/>
      </w:pPr>
      <w:rPr>
        <w:rFonts w:hint="default"/>
        <w:lang w:val="en-US" w:eastAsia="en-US" w:bidi="ar-SA"/>
      </w:rPr>
    </w:lvl>
    <w:lvl w:ilvl="7">
      <w:start w:val="0"/>
      <w:numFmt w:val="bullet"/>
      <w:lvlText w:val="•"/>
      <w:lvlJc w:val="left"/>
      <w:pPr>
        <w:ind w:left="7326" w:hanging="721"/>
      </w:pPr>
      <w:rPr>
        <w:rFonts w:hint="default"/>
        <w:lang w:val="en-US" w:eastAsia="en-US" w:bidi="ar-SA"/>
      </w:rPr>
    </w:lvl>
    <w:lvl w:ilvl="8">
      <w:start w:val="0"/>
      <w:numFmt w:val="bullet"/>
      <w:lvlText w:val="•"/>
      <w:lvlJc w:val="left"/>
      <w:pPr>
        <w:ind w:left="8253" w:hanging="721"/>
      </w:pPr>
      <w:rPr>
        <w:rFonts w:hint="default"/>
        <w:lang w:val="en-US" w:eastAsia="en-US" w:bidi="ar-SA"/>
      </w:rPr>
    </w:lvl>
  </w:abstractNum>
  <w:abstractNum w:abstractNumId="23">
    <w:multiLevelType w:val="hybridMultilevel"/>
    <w:lvl w:ilvl="0">
      <w:start w:val="15"/>
      <w:numFmt w:val="decimal"/>
      <w:lvlText w:val="%1"/>
      <w:lvlJc w:val="left"/>
      <w:pPr>
        <w:ind w:left="689" w:hanging="577"/>
        <w:jc w:val="left"/>
      </w:pPr>
      <w:rPr>
        <w:rFonts w:hint="default"/>
        <w:lang w:val="en-US" w:eastAsia="en-US" w:bidi="ar-SA"/>
      </w:rPr>
    </w:lvl>
    <w:lvl w:ilvl="1">
      <w:start w:val="1"/>
      <w:numFmt w:val="decimal"/>
      <w:lvlText w:val="%1.%2"/>
      <w:lvlJc w:val="left"/>
      <w:pPr>
        <w:ind w:left="689" w:hanging="577"/>
        <w:jc w:val="left"/>
      </w:pPr>
      <w:rPr>
        <w:rFonts w:hint="default" w:ascii="Arial" w:hAnsi="Arial" w:eastAsia="Arial" w:cs="Arial"/>
        <w:b/>
        <w:bCs/>
        <w:i w:val="0"/>
        <w:iCs w:val="0"/>
        <w:color w:val="2D1E66"/>
        <w:spacing w:val="0"/>
        <w:w w:val="99"/>
        <w:sz w:val="24"/>
        <w:szCs w:val="24"/>
        <w:lang w:val="en-US" w:eastAsia="en-US" w:bidi="ar-SA"/>
      </w:rPr>
    </w:lvl>
    <w:lvl w:ilvl="2">
      <w:start w:val="2"/>
      <w:numFmt w:val="decimal"/>
      <w:lvlText w:val="%1.%2.%3"/>
      <w:lvlJc w:val="left"/>
      <w:pPr>
        <w:ind w:left="833" w:hanging="721"/>
        <w:jc w:val="left"/>
      </w:pPr>
      <w:rPr>
        <w:rFonts w:hint="default" w:ascii="Arial" w:hAnsi="Arial" w:eastAsia="Arial" w:cs="Arial"/>
        <w:b/>
        <w:bCs/>
        <w:i w:val="0"/>
        <w:iCs w:val="0"/>
        <w:spacing w:val="-1"/>
        <w:w w:val="100"/>
        <w:sz w:val="22"/>
        <w:szCs w:val="22"/>
        <w:lang w:val="en-US" w:eastAsia="en-US" w:bidi="ar-SA"/>
      </w:rPr>
    </w:lvl>
    <w:lvl w:ilvl="3">
      <w:start w:val="0"/>
      <w:numFmt w:val="bullet"/>
      <w:lvlText w:val="•"/>
      <w:lvlJc w:val="left"/>
      <w:pPr>
        <w:ind w:left="2899" w:hanging="721"/>
      </w:pPr>
      <w:rPr>
        <w:rFonts w:hint="default"/>
        <w:lang w:val="en-US" w:eastAsia="en-US" w:bidi="ar-SA"/>
      </w:rPr>
    </w:lvl>
    <w:lvl w:ilvl="4">
      <w:start w:val="0"/>
      <w:numFmt w:val="bullet"/>
      <w:lvlText w:val="•"/>
      <w:lvlJc w:val="left"/>
      <w:pPr>
        <w:ind w:left="3928" w:hanging="721"/>
      </w:pPr>
      <w:rPr>
        <w:rFonts w:hint="default"/>
        <w:lang w:val="en-US" w:eastAsia="en-US" w:bidi="ar-SA"/>
      </w:rPr>
    </w:lvl>
    <w:lvl w:ilvl="5">
      <w:start w:val="0"/>
      <w:numFmt w:val="bullet"/>
      <w:lvlText w:val="•"/>
      <w:lvlJc w:val="left"/>
      <w:pPr>
        <w:ind w:left="4958" w:hanging="721"/>
      </w:pPr>
      <w:rPr>
        <w:rFonts w:hint="default"/>
        <w:lang w:val="en-US" w:eastAsia="en-US" w:bidi="ar-SA"/>
      </w:rPr>
    </w:lvl>
    <w:lvl w:ilvl="6">
      <w:start w:val="0"/>
      <w:numFmt w:val="bullet"/>
      <w:lvlText w:val="•"/>
      <w:lvlJc w:val="left"/>
      <w:pPr>
        <w:ind w:left="5988" w:hanging="721"/>
      </w:pPr>
      <w:rPr>
        <w:rFonts w:hint="default"/>
        <w:lang w:val="en-US" w:eastAsia="en-US" w:bidi="ar-SA"/>
      </w:rPr>
    </w:lvl>
    <w:lvl w:ilvl="7">
      <w:start w:val="0"/>
      <w:numFmt w:val="bullet"/>
      <w:lvlText w:val="•"/>
      <w:lvlJc w:val="left"/>
      <w:pPr>
        <w:ind w:left="7017" w:hanging="721"/>
      </w:pPr>
      <w:rPr>
        <w:rFonts w:hint="default"/>
        <w:lang w:val="en-US" w:eastAsia="en-US" w:bidi="ar-SA"/>
      </w:rPr>
    </w:lvl>
    <w:lvl w:ilvl="8">
      <w:start w:val="0"/>
      <w:numFmt w:val="bullet"/>
      <w:lvlText w:val="•"/>
      <w:lvlJc w:val="left"/>
      <w:pPr>
        <w:ind w:left="8047" w:hanging="721"/>
      </w:pPr>
      <w:rPr>
        <w:rFonts w:hint="default"/>
        <w:lang w:val="en-US" w:eastAsia="en-US" w:bidi="ar-SA"/>
      </w:rPr>
    </w:lvl>
  </w:abstractNum>
  <w:abstractNum w:abstractNumId="22">
    <w:multiLevelType w:val="hybridMultilevel"/>
    <w:lvl w:ilvl="0">
      <w:start w:val="1"/>
      <w:numFmt w:val="decimal"/>
      <w:lvlText w:val="%1."/>
      <w:lvlJc w:val="left"/>
      <w:pPr>
        <w:ind w:left="833" w:hanging="36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1742" w:hanging="360"/>
      </w:pPr>
      <w:rPr>
        <w:rFonts w:hint="default"/>
        <w:lang w:val="en-US" w:eastAsia="en-US" w:bidi="ar-SA"/>
      </w:rPr>
    </w:lvl>
    <w:lvl w:ilvl="2">
      <w:start w:val="0"/>
      <w:numFmt w:val="bullet"/>
      <w:lvlText w:val="•"/>
      <w:lvlJc w:val="left"/>
      <w:pPr>
        <w:ind w:left="2645" w:hanging="360"/>
      </w:pPr>
      <w:rPr>
        <w:rFonts w:hint="default"/>
        <w:lang w:val="en-US" w:eastAsia="en-US" w:bidi="ar-SA"/>
      </w:rPr>
    </w:lvl>
    <w:lvl w:ilvl="3">
      <w:start w:val="0"/>
      <w:numFmt w:val="bullet"/>
      <w:lvlText w:val="•"/>
      <w:lvlJc w:val="left"/>
      <w:pPr>
        <w:ind w:left="3547" w:hanging="360"/>
      </w:pPr>
      <w:rPr>
        <w:rFonts w:hint="default"/>
        <w:lang w:val="en-US" w:eastAsia="en-US" w:bidi="ar-SA"/>
      </w:rPr>
    </w:lvl>
    <w:lvl w:ilvl="4">
      <w:start w:val="0"/>
      <w:numFmt w:val="bullet"/>
      <w:lvlText w:val="•"/>
      <w:lvlJc w:val="left"/>
      <w:pPr>
        <w:ind w:left="4450" w:hanging="360"/>
      </w:pPr>
      <w:rPr>
        <w:rFonts w:hint="default"/>
        <w:lang w:val="en-US" w:eastAsia="en-US" w:bidi="ar-SA"/>
      </w:rPr>
    </w:lvl>
    <w:lvl w:ilvl="5">
      <w:start w:val="0"/>
      <w:numFmt w:val="bullet"/>
      <w:lvlText w:val="•"/>
      <w:lvlJc w:val="left"/>
      <w:pPr>
        <w:ind w:left="5353" w:hanging="360"/>
      </w:pPr>
      <w:rPr>
        <w:rFonts w:hint="default"/>
        <w:lang w:val="en-US" w:eastAsia="en-US" w:bidi="ar-SA"/>
      </w:rPr>
    </w:lvl>
    <w:lvl w:ilvl="6">
      <w:start w:val="0"/>
      <w:numFmt w:val="bullet"/>
      <w:lvlText w:val="•"/>
      <w:lvlJc w:val="left"/>
      <w:pPr>
        <w:ind w:left="6255" w:hanging="360"/>
      </w:pPr>
      <w:rPr>
        <w:rFonts w:hint="default"/>
        <w:lang w:val="en-US" w:eastAsia="en-US" w:bidi="ar-SA"/>
      </w:rPr>
    </w:lvl>
    <w:lvl w:ilvl="7">
      <w:start w:val="0"/>
      <w:numFmt w:val="bullet"/>
      <w:lvlText w:val="•"/>
      <w:lvlJc w:val="left"/>
      <w:pPr>
        <w:ind w:left="7158" w:hanging="360"/>
      </w:pPr>
      <w:rPr>
        <w:rFonts w:hint="default"/>
        <w:lang w:val="en-US" w:eastAsia="en-US" w:bidi="ar-SA"/>
      </w:rPr>
    </w:lvl>
    <w:lvl w:ilvl="8">
      <w:start w:val="0"/>
      <w:numFmt w:val="bullet"/>
      <w:lvlText w:val="•"/>
      <w:lvlJc w:val="left"/>
      <w:pPr>
        <w:ind w:left="8061" w:hanging="360"/>
      </w:pPr>
      <w:rPr>
        <w:rFonts w:hint="default"/>
        <w:lang w:val="en-US" w:eastAsia="en-US" w:bidi="ar-SA"/>
      </w:rPr>
    </w:lvl>
  </w:abstractNum>
  <w:abstractNum w:abstractNumId="21">
    <w:multiLevelType w:val="hybridMultilevel"/>
    <w:lvl w:ilvl="0">
      <w:start w:val="13"/>
      <w:numFmt w:val="decimal"/>
      <w:lvlText w:val="%1"/>
      <w:lvlJc w:val="left"/>
      <w:pPr>
        <w:ind w:left="689" w:hanging="577"/>
        <w:jc w:val="left"/>
      </w:pPr>
      <w:rPr>
        <w:rFonts w:hint="default"/>
        <w:lang w:val="en-US" w:eastAsia="en-US" w:bidi="ar-SA"/>
      </w:rPr>
    </w:lvl>
    <w:lvl w:ilvl="1">
      <w:start w:val="1"/>
      <w:numFmt w:val="decimal"/>
      <w:lvlText w:val="%1.%2"/>
      <w:lvlJc w:val="left"/>
      <w:pPr>
        <w:ind w:left="689" w:hanging="577"/>
        <w:jc w:val="left"/>
      </w:pPr>
      <w:rPr>
        <w:rFonts w:hint="default" w:ascii="Arial" w:hAnsi="Arial" w:eastAsia="Arial" w:cs="Arial"/>
        <w:b/>
        <w:bCs/>
        <w:i w:val="0"/>
        <w:iCs w:val="0"/>
        <w:color w:val="2D1E66"/>
        <w:spacing w:val="0"/>
        <w:w w:val="99"/>
        <w:sz w:val="24"/>
        <w:szCs w:val="24"/>
        <w:lang w:val="en-US" w:eastAsia="en-US" w:bidi="ar-SA"/>
      </w:rPr>
    </w:lvl>
    <w:lvl w:ilvl="2">
      <w:start w:val="1"/>
      <w:numFmt w:val="decimal"/>
      <w:lvlText w:val="%1.%2.%3"/>
      <w:lvlJc w:val="left"/>
      <w:pPr>
        <w:ind w:left="833" w:hanging="721"/>
        <w:jc w:val="left"/>
      </w:pPr>
      <w:rPr>
        <w:rFonts w:hint="default" w:ascii="Arial" w:hAnsi="Arial" w:eastAsia="Arial" w:cs="Arial"/>
        <w:b/>
        <w:bCs/>
        <w:i w:val="0"/>
        <w:iCs w:val="0"/>
        <w:spacing w:val="-1"/>
        <w:w w:val="100"/>
        <w:sz w:val="22"/>
        <w:szCs w:val="22"/>
        <w:lang w:val="en-US" w:eastAsia="en-US" w:bidi="ar-SA"/>
      </w:rPr>
    </w:lvl>
    <w:lvl w:ilvl="3">
      <w:start w:val="0"/>
      <w:numFmt w:val="bullet"/>
      <w:lvlText w:val="•"/>
      <w:lvlJc w:val="left"/>
      <w:pPr>
        <w:ind w:left="2845" w:hanging="721"/>
      </w:pPr>
      <w:rPr>
        <w:rFonts w:hint="default"/>
        <w:lang w:val="en-US" w:eastAsia="en-US" w:bidi="ar-SA"/>
      </w:rPr>
    </w:lvl>
    <w:lvl w:ilvl="4">
      <w:start w:val="0"/>
      <w:numFmt w:val="bullet"/>
      <w:lvlText w:val="•"/>
      <w:lvlJc w:val="left"/>
      <w:pPr>
        <w:ind w:left="3848" w:hanging="721"/>
      </w:pPr>
      <w:rPr>
        <w:rFonts w:hint="default"/>
        <w:lang w:val="en-US" w:eastAsia="en-US" w:bidi="ar-SA"/>
      </w:rPr>
    </w:lvl>
    <w:lvl w:ilvl="5">
      <w:start w:val="0"/>
      <w:numFmt w:val="bullet"/>
      <w:lvlText w:val="•"/>
      <w:lvlJc w:val="left"/>
      <w:pPr>
        <w:ind w:left="4851" w:hanging="721"/>
      </w:pPr>
      <w:rPr>
        <w:rFonts w:hint="default"/>
        <w:lang w:val="en-US" w:eastAsia="en-US" w:bidi="ar-SA"/>
      </w:rPr>
    </w:lvl>
    <w:lvl w:ilvl="6">
      <w:start w:val="0"/>
      <w:numFmt w:val="bullet"/>
      <w:lvlText w:val="•"/>
      <w:lvlJc w:val="left"/>
      <w:pPr>
        <w:ind w:left="5854" w:hanging="721"/>
      </w:pPr>
      <w:rPr>
        <w:rFonts w:hint="default"/>
        <w:lang w:val="en-US" w:eastAsia="en-US" w:bidi="ar-SA"/>
      </w:rPr>
    </w:lvl>
    <w:lvl w:ilvl="7">
      <w:start w:val="0"/>
      <w:numFmt w:val="bullet"/>
      <w:lvlText w:val="•"/>
      <w:lvlJc w:val="left"/>
      <w:pPr>
        <w:ind w:left="6857" w:hanging="721"/>
      </w:pPr>
      <w:rPr>
        <w:rFonts w:hint="default"/>
        <w:lang w:val="en-US" w:eastAsia="en-US" w:bidi="ar-SA"/>
      </w:rPr>
    </w:lvl>
    <w:lvl w:ilvl="8">
      <w:start w:val="0"/>
      <w:numFmt w:val="bullet"/>
      <w:lvlText w:val="•"/>
      <w:lvlJc w:val="left"/>
      <w:pPr>
        <w:ind w:left="7860" w:hanging="721"/>
      </w:pPr>
      <w:rPr>
        <w:rFonts w:hint="default"/>
        <w:lang w:val="en-US" w:eastAsia="en-US" w:bidi="ar-SA"/>
      </w:rPr>
    </w:lvl>
  </w:abstractNum>
  <w:abstractNum w:abstractNumId="20">
    <w:multiLevelType w:val="hybridMultilevel"/>
    <w:lvl w:ilvl="0">
      <w:start w:val="12"/>
      <w:numFmt w:val="decimal"/>
      <w:lvlText w:val="%1"/>
      <w:lvlJc w:val="left"/>
      <w:pPr>
        <w:ind w:left="689" w:hanging="577"/>
        <w:jc w:val="left"/>
      </w:pPr>
      <w:rPr>
        <w:rFonts w:hint="default"/>
        <w:lang w:val="en-US" w:eastAsia="en-US" w:bidi="ar-SA"/>
      </w:rPr>
    </w:lvl>
    <w:lvl w:ilvl="1">
      <w:start w:val="1"/>
      <w:numFmt w:val="decimal"/>
      <w:lvlText w:val="%1.%2"/>
      <w:lvlJc w:val="left"/>
      <w:pPr>
        <w:ind w:left="689" w:hanging="577"/>
        <w:jc w:val="left"/>
      </w:pPr>
      <w:rPr>
        <w:rFonts w:hint="default" w:ascii="Arial" w:hAnsi="Arial" w:eastAsia="Arial" w:cs="Arial"/>
        <w:b/>
        <w:bCs/>
        <w:i w:val="0"/>
        <w:iCs w:val="0"/>
        <w:color w:val="2D1E66"/>
        <w:spacing w:val="0"/>
        <w:w w:val="99"/>
        <w:sz w:val="24"/>
        <w:szCs w:val="24"/>
        <w:lang w:val="en-US" w:eastAsia="en-US" w:bidi="ar-SA"/>
      </w:rPr>
    </w:lvl>
    <w:lvl w:ilvl="2">
      <w:start w:val="1"/>
      <w:numFmt w:val="decimal"/>
      <w:lvlText w:val="%1.%2.%3"/>
      <w:lvlJc w:val="left"/>
      <w:pPr>
        <w:ind w:left="833" w:hanging="721"/>
        <w:jc w:val="left"/>
      </w:pPr>
      <w:rPr>
        <w:rFonts w:hint="default" w:ascii="Arial" w:hAnsi="Arial" w:eastAsia="Arial" w:cs="Arial"/>
        <w:b/>
        <w:bCs/>
        <w:i w:val="0"/>
        <w:iCs w:val="0"/>
        <w:spacing w:val="-1"/>
        <w:w w:val="100"/>
        <w:sz w:val="22"/>
        <w:szCs w:val="22"/>
        <w:lang w:val="en-US" w:eastAsia="en-US" w:bidi="ar-SA"/>
      </w:rPr>
    </w:lvl>
    <w:lvl w:ilvl="3">
      <w:start w:val="0"/>
      <w:numFmt w:val="bullet"/>
      <w:lvlText w:val="•"/>
      <w:lvlJc w:val="left"/>
      <w:pPr>
        <w:ind w:left="2845" w:hanging="721"/>
      </w:pPr>
      <w:rPr>
        <w:rFonts w:hint="default"/>
        <w:lang w:val="en-US" w:eastAsia="en-US" w:bidi="ar-SA"/>
      </w:rPr>
    </w:lvl>
    <w:lvl w:ilvl="4">
      <w:start w:val="0"/>
      <w:numFmt w:val="bullet"/>
      <w:lvlText w:val="•"/>
      <w:lvlJc w:val="left"/>
      <w:pPr>
        <w:ind w:left="3848" w:hanging="721"/>
      </w:pPr>
      <w:rPr>
        <w:rFonts w:hint="default"/>
        <w:lang w:val="en-US" w:eastAsia="en-US" w:bidi="ar-SA"/>
      </w:rPr>
    </w:lvl>
    <w:lvl w:ilvl="5">
      <w:start w:val="0"/>
      <w:numFmt w:val="bullet"/>
      <w:lvlText w:val="•"/>
      <w:lvlJc w:val="left"/>
      <w:pPr>
        <w:ind w:left="4851" w:hanging="721"/>
      </w:pPr>
      <w:rPr>
        <w:rFonts w:hint="default"/>
        <w:lang w:val="en-US" w:eastAsia="en-US" w:bidi="ar-SA"/>
      </w:rPr>
    </w:lvl>
    <w:lvl w:ilvl="6">
      <w:start w:val="0"/>
      <w:numFmt w:val="bullet"/>
      <w:lvlText w:val="•"/>
      <w:lvlJc w:val="left"/>
      <w:pPr>
        <w:ind w:left="5854" w:hanging="721"/>
      </w:pPr>
      <w:rPr>
        <w:rFonts w:hint="default"/>
        <w:lang w:val="en-US" w:eastAsia="en-US" w:bidi="ar-SA"/>
      </w:rPr>
    </w:lvl>
    <w:lvl w:ilvl="7">
      <w:start w:val="0"/>
      <w:numFmt w:val="bullet"/>
      <w:lvlText w:val="•"/>
      <w:lvlJc w:val="left"/>
      <w:pPr>
        <w:ind w:left="6857" w:hanging="721"/>
      </w:pPr>
      <w:rPr>
        <w:rFonts w:hint="default"/>
        <w:lang w:val="en-US" w:eastAsia="en-US" w:bidi="ar-SA"/>
      </w:rPr>
    </w:lvl>
    <w:lvl w:ilvl="8">
      <w:start w:val="0"/>
      <w:numFmt w:val="bullet"/>
      <w:lvlText w:val="•"/>
      <w:lvlJc w:val="left"/>
      <w:pPr>
        <w:ind w:left="7860" w:hanging="721"/>
      </w:pPr>
      <w:rPr>
        <w:rFonts w:hint="default"/>
        <w:lang w:val="en-US" w:eastAsia="en-US" w:bidi="ar-SA"/>
      </w:rPr>
    </w:lvl>
  </w:abstractNum>
  <w:abstractNum w:abstractNumId="19">
    <w:multiLevelType w:val="hybridMultilevel"/>
    <w:lvl w:ilvl="0">
      <w:start w:val="1"/>
      <w:numFmt w:val="decimal"/>
      <w:lvlText w:val="%1."/>
      <w:lvlJc w:val="left"/>
      <w:pPr>
        <w:ind w:left="833" w:hanging="36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1742" w:hanging="360"/>
      </w:pPr>
      <w:rPr>
        <w:rFonts w:hint="default"/>
        <w:lang w:val="en-US" w:eastAsia="en-US" w:bidi="ar-SA"/>
      </w:rPr>
    </w:lvl>
    <w:lvl w:ilvl="2">
      <w:start w:val="0"/>
      <w:numFmt w:val="bullet"/>
      <w:lvlText w:val="•"/>
      <w:lvlJc w:val="left"/>
      <w:pPr>
        <w:ind w:left="2645" w:hanging="360"/>
      </w:pPr>
      <w:rPr>
        <w:rFonts w:hint="default"/>
        <w:lang w:val="en-US" w:eastAsia="en-US" w:bidi="ar-SA"/>
      </w:rPr>
    </w:lvl>
    <w:lvl w:ilvl="3">
      <w:start w:val="0"/>
      <w:numFmt w:val="bullet"/>
      <w:lvlText w:val="•"/>
      <w:lvlJc w:val="left"/>
      <w:pPr>
        <w:ind w:left="3547" w:hanging="360"/>
      </w:pPr>
      <w:rPr>
        <w:rFonts w:hint="default"/>
        <w:lang w:val="en-US" w:eastAsia="en-US" w:bidi="ar-SA"/>
      </w:rPr>
    </w:lvl>
    <w:lvl w:ilvl="4">
      <w:start w:val="0"/>
      <w:numFmt w:val="bullet"/>
      <w:lvlText w:val="•"/>
      <w:lvlJc w:val="left"/>
      <w:pPr>
        <w:ind w:left="4450" w:hanging="360"/>
      </w:pPr>
      <w:rPr>
        <w:rFonts w:hint="default"/>
        <w:lang w:val="en-US" w:eastAsia="en-US" w:bidi="ar-SA"/>
      </w:rPr>
    </w:lvl>
    <w:lvl w:ilvl="5">
      <w:start w:val="0"/>
      <w:numFmt w:val="bullet"/>
      <w:lvlText w:val="•"/>
      <w:lvlJc w:val="left"/>
      <w:pPr>
        <w:ind w:left="5353" w:hanging="360"/>
      </w:pPr>
      <w:rPr>
        <w:rFonts w:hint="default"/>
        <w:lang w:val="en-US" w:eastAsia="en-US" w:bidi="ar-SA"/>
      </w:rPr>
    </w:lvl>
    <w:lvl w:ilvl="6">
      <w:start w:val="0"/>
      <w:numFmt w:val="bullet"/>
      <w:lvlText w:val="•"/>
      <w:lvlJc w:val="left"/>
      <w:pPr>
        <w:ind w:left="6255" w:hanging="360"/>
      </w:pPr>
      <w:rPr>
        <w:rFonts w:hint="default"/>
        <w:lang w:val="en-US" w:eastAsia="en-US" w:bidi="ar-SA"/>
      </w:rPr>
    </w:lvl>
    <w:lvl w:ilvl="7">
      <w:start w:val="0"/>
      <w:numFmt w:val="bullet"/>
      <w:lvlText w:val="•"/>
      <w:lvlJc w:val="left"/>
      <w:pPr>
        <w:ind w:left="7158" w:hanging="360"/>
      </w:pPr>
      <w:rPr>
        <w:rFonts w:hint="default"/>
        <w:lang w:val="en-US" w:eastAsia="en-US" w:bidi="ar-SA"/>
      </w:rPr>
    </w:lvl>
    <w:lvl w:ilvl="8">
      <w:start w:val="0"/>
      <w:numFmt w:val="bullet"/>
      <w:lvlText w:val="•"/>
      <w:lvlJc w:val="left"/>
      <w:pPr>
        <w:ind w:left="8061" w:hanging="360"/>
      </w:pPr>
      <w:rPr>
        <w:rFonts w:hint="default"/>
        <w:lang w:val="en-US" w:eastAsia="en-US" w:bidi="ar-SA"/>
      </w:rPr>
    </w:lvl>
  </w:abstractNum>
  <w:abstractNum w:abstractNumId="18">
    <w:multiLevelType w:val="hybridMultilevel"/>
    <w:lvl w:ilvl="0">
      <w:start w:val="11"/>
      <w:numFmt w:val="decimal"/>
      <w:lvlText w:val="%1"/>
      <w:lvlJc w:val="left"/>
      <w:pPr>
        <w:ind w:left="689" w:hanging="577"/>
        <w:jc w:val="left"/>
      </w:pPr>
      <w:rPr>
        <w:rFonts w:hint="default"/>
        <w:lang w:val="en-US" w:eastAsia="en-US" w:bidi="ar-SA"/>
      </w:rPr>
    </w:lvl>
    <w:lvl w:ilvl="1">
      <w:start w:val="2"/>
      <w:numFmt w:val="decimal"/>
      <w:lvlText w:val="%1.%2"/>
      <w:lvlJc w:val="left"/>
      <w:pPr>
        <w:ind w:left="689" w:hanging="577"/>
        <w:jc w:val="left"/>
      </w:pPr>
      <w:rPr>
        <w:rFonts w:hint="default" w:ascii="Arial" w:hAnsi="Arial" w:eastAsia="Arial" w:cs="Arial"/>
        <w:b/>
        <w:bCs/>
        <w:i w:val="0"/>
        <w:iCs w:val="0"/>
        <w:color w:val="2D1E66"/>
        <w:spacing w:val="0"/>
        <w:w w:val="99"/>
        <w:sz w:val="24"/>
        <w:szCs w:val="24"/>
        <w:lang w:val="en-US" w:eastAsia="en-US" w:bidi="ar-SA"/>
      </w:rPr>
    </w:lvl>
    <w:lvl w:ilvl="2">
      <w:start w:val="0"/>
      <w:numFmt w:val="bullet"/>
      <w:lvlText w:val="•"/>
      <w:lvlJc w:val="left"/>
      <w:pPr>
        <w:ind w:left="2517" w:hanging="577"/>
      </w:pPr>
      <w:rPr>
        <w:rFonts w:hint="default"/>
        <w:lang w:val="en-US" w:eastAsia="en-US" w:bidi="ar-SA"/>
      </w:rPr>
    </w:lvl>
    <w:lvl w:ilvl="3">
      <w:start w:val="0"/>
      <w:numFmt w:val="bullet"/>
      <w:lvlText w:val="•"/>
      <w:lvlJc w:val="left"/>
      <w:pPr>
        <w:ind w:left="3435" w:hanging="577"/>
      </w:pPr>
      <w:rPr>
        <w:rFonts w:hint="default"/>
        <w:lang w:val="en-US" w:eastAsia="en-US" w:bidi="ar-SA"/>
      </w:rPr>
    </w:lvl>
    <w:lvl w:ilvl="4">
      <w:start w:val="0"/>
      <w:numFmt w:val="bullet"/>
      <w:lvlText w:val="•"/>
      <w:lvlJc w:val="left"/>
      <w:pPr>
        <w:ind w:left="4354" w:hanging="577"/>
      </w:pPr>
      <w:rPr>
        <w:rFonts w:hint="default"/>
        <w:lang w:val="en-US" w:eastAsia="en-US" w:bidi="ar-SA"/>
      </w:rPr>
    </w:lvl>
    <w:lvl w:ilvl="5">
      <w:start w:val="0"/>
      <w:numFmt w:val="bullet"/>
      <w:lvlText w:val="•"/>
      <w:lvlJc w:val="left"/>
      <w:pPr>
        <w:ind w:left="5273" w:hanging="577"/>
      </w:pPr>
      <w:rPr>
        <w:rFonts w:hint="default"/>
        <w:lang w:val="en-US" w:eastAsia="en-US" w:bidi="ar-SA"/>
      </w:rPr>
    </w:lvl>
    <w:lvl w:ilvl="6">
      <w:start w:val="0"/>
      <w:numFmt w:val="bullet"/>
      <w:lvlText w:val="•"/>
      <w:lvlJc w:val="left"/>
      <w:pPr>
        <w:ind w:left="6191" w:hanging="577"/>
      </w:pPr>
      <w:rPr>
        <w:rFonts w:hint="default"/>
        <w:lang w:val="en-US" w:eastAsia="en-US" w:bidi="ar-SA"/>
      </w:rPr>
    </w:lvl>
    <w:lvl w:ilvl="7">
      <w:start w:val="0"/>
      <w:numFmt w:val="bullet"/>
      <w:lvlText w:val="•"/>
      <w:lvlJc w:val="left"/>
      <w:pPr>
        <w:ind w:left="7110" w:hanging="577"/>
      </w:pPr>
      <w:rPr>
        <w:rFonts w:hint="default"/>
        <w:lang w:val="en-US" w:eastAsia="en-US" w:bidi="ar-SA"/>
      </w:rPr>
    </w:lvl>
    <w:lvl w:ilvl="8">
      <w:start w:val="0"/>
      <w:numFmt w:val="bullet"/>
      <w:lvlText w:val="•"/>
      <w:lvlJc w:val="left"/>
      <w:pPr>
        <w:ind w:left="8029" w:hanging="577"/>
      </w:pPr>
      <w:rPr>
        <w:rFonts w:hint="default"/>
        <w:lang w:val="en-US" w:eastAsia="en-US" w:bidi="ar-SA"/>
      </w:rPr>
    </w:lvl>
  </w:abstractNum>
  <w:abstractNum w:abstractNumId="17">
    <w:multiLevelType w:val="hybridMultilevel"/>
    <w:lvl w:ilvl="0">
      <w:start w:val="11"/>
      <w:numFmt w:val="decimal"/>
      <w:lvlText w:val="%1"/>
      <w:lvlJc w:val="left"/>
      <w:pPr>
        <w:ind w:left="833" w:hanging="721"/>
        <w:jc w:val="left"/>
      </w:pPr>
      <w:rPr>
        <w:rFonts w:hint="default"/>
        <w:lang w:val="en-US" w:eastAsia="en-US" w:bidi="ar-SA"/>
      </w:rPr>
    </w:lvl>
    <w:lvl w:ilvl="1">
      <w:start w:val="1"/>
      <w:numFmt w:val="decimal"/>
      <w:lvlText w:val="%1.%2"/>
      <w:lvlJc w:val="left"/>
      <w:pPr>
        <w:ind w:left="833" w:hanging="721"/>
        <w:jc w:val="left"/>
      </w:pPr>
      <w:rPr>
        <w:rFonts w:hint="default"/>
        <w:lang w:val="en-US" w:eastAsia="en-US" w:bidi="ar-SA"/>
      </w:rPr>
    </w:lvl>
    <w:lvl w:ilvl="2">
      <w:start w:val="1"/>
      <w:numFmt w:val="decimal"/>
      <w:lvlText w:val="%1.%2.%3"/>
      <w:lvlJc w:val="left"/>
      <w:pPr>
        <w:ind w:left="833" w:hanging="721"/>
        <w:jc w:val="left"/>
      </w:pPr>
      <w:rPr>
        <w:rFonts w:hint="default" w:ascii="Arial" w:hAnsi="Arial" w:eastAsia="Arial" w:cs="Arial"/>
        <w:b/>
        <w:bCs/>
        <w:i w:val="0"/>
        <w:iCs w:val="0"/>
        <w:spacing w:val="-1"/>
        <w:w w:val="100"/>
        <w:sz w:val="22"/>
        <w:szCs w:val="22"/>
        <w:lang w:val="en-US" w:eastAsia="en-US" w:bidi="ar-SA"/>
      </w:rPr>
    </w:lvl>
    <w:lvl w:ilvl="3">
      <w:start w:val="0"/>
      <w:numFmt w:val="bullet"/>
      <w:lvlText w:val=""/>
      <w:lvlJc w:val="left"/>
      <w:pPr>
        <w:ind w:left="833" w:hanging="360"/>
      </w:pPr>
      <w:rPr>
        <w:rFonts w:hint="default" w:ascii="Symbol" w:hAnsi="Symbol" w:eastAsia="Symbol" w:cs="Symbol"/>
        <w:b w:val="0"/>
        <w:bCs w:val="0"/>
        <w:i w:val="0"/>
        <w:iCs w:val="0"/>
        <w:spacing w:val="0"/>
        <w:w w:val="99"/>
        <w:sz w:val="20"/>
        <w:szCs w:val="20"/>
        <w:lang w:val="en-US" w:eastAsia="en-US" w:bidi="ar-SA"/>
      </w:rPr>
    </w:lvl>
    <w:lvl w:ilvl="4">
      <w:start w:val="0"/>
      <w:numFmt w:val="bullet"/>
      <w:lvlText w:val="•"/>
      <w:lvlJc w:val="left"/>
      <w:pPr>
        <w:ind w:left="4450" w:hanging="360"/>
      </w:pPr>
      <w:rPr>
        <w:rFonts w:hint="default"/>
        <w:lang w:val="en-US" w:eastAsia="en-US" w:bidi="ar-SA"/>
      </w:rPr>
    </w:lvl>
    <w:lvl w:ilvl="5">
      <w:start w:val="0"/>
      <w:numFmt w:val="bullet"/>
      <w:lvlText w:val="•"/>
      <w:lvlJc w:val="left"/>
      <w:pPr>
        <w:ind w:left="5353" w:hanging="360"/>
      </w:pPr>
      <w:rPr>
        <w:rFonts w:hint="default"/>
        <w:lang w:val="en-US" w:eastAsia="en-US" w:bidi="ar-SA"/>
      </w:rPr>
    </w:lvl>
    <w:lvl w:ilvl="6">
      <w:start w:val="0"/>
      <w:numFmt w:val="bullet"/>
      <w:lvlText w:val="•"/>
      <w:lvlJc w:val="left"/>
      <w:pPr>
        <w:ind w:left="6255" w:hanging="360"/>
      </w:pPr>
      <w:rPr>
        <w:rFonts w:hint="default"/>
        <w:lang w:val="en-US" w:eastAsia="en-US" w:bidi="ar-SA"/>
      </w:rPr>
    </w:lvl>
    <w:lvl w:ilvl="7">
      <w:start w:val="0"/>
      <w:numFmt w:val="bullet"/>
      <w:lvlText w:val="•"/>
      <w:lvlJc w:val="left"/>
      <w:pPr>
        <w:ind w:left="7158" w:hanging="360"/>
      </w:pPr>
      <w:rPr>
        <w:rFonts w:hint="default"/>
        <w:lang w:val="en-US" w:eastAsia="en-US" w:bidi="ar-SA"/>
      </w:rPr>
    </w:lvl>
    <w:lvl w:ilvl="8">
      <w:start w:val="0"/>
      <w:numFmt w:val="bullet"/>
      <w:lvlText w:val="•"/>
      <w:lvlJc w:val="left"/>
      <w:pPr>
        <w:ind w:left="8061" w:hanging="360"/>
      </w:pPr>
      <w:rPr>
        <w:rFonts w:hint="default"/>
        <w:lang w:val="en-US" w:eastAsia="en-US" w:bidi="ar-SA"/>
      </w:rPr>
    </w:lvl>
  </w:abstractNum>
  <w:abstractNum w:abstractNumId="16">
    <w:multiLevelType w:val="hybridMultilevel"/>
    <w:lvl w:ilvl="0">
      <w:start w:val="10"/>
      <w:numFmt w:val="decimal"/>
      <w:lvlText w:val="%1"/>
      <w:lvlJc w:val="left"/>
      <w:pPr>
        <w:ind w:left="689" w:hanging="577"/>
        <w:jc w:val="left"/>
      </w:pPr>
      <w:rPr>
        <w:rFonts w:hint="default"/>
        <w:lang w:val="en-US" w:eastAsia="en-US" w:bidi="ar-SA"/>
      </w:rPr>
    </w:lvl>
    <w:lvl w:ilvl="1">
      <w:start w:val="2"/>
      <w:numFmt w:val="decimal"/>
      <w:lvlText w:val="%1.%2"/>
      <w:lvlJc w:val="left"/>
      <w:pPr>
        <w:ind w:left="689" w:hanging="577"/>
        <w:jc w:val="left"/>
      </w:pPr>
      <w:rPr>
        <w:rFonts w:hint="default" w:ascii="Arial" w:hAnsi="Arial" w:eastAsia="Arial" w:cs="Arial"/>
        <w:b/>
        <w:bCs/>
        <w:i w:val="0"/>
        <w:iCs w:val="0"/>
        <w:color w:val="2D1E66"/>
        <w:spacing w:val="0"/>
        <w:w w:val="99"/>
        <w:sz w:val="24"/>
        <w:szCs w:val="24"/>
        <w:lang w:val="en-US" w:eastAsia="en-US" w:bidi="ar-SA"/>
      </w:rPr>
    </w:lvl>
    <w:lvl w:ilvl="2">
      <w:start w:val="1"/>
      <w:numFmt w:val="decimal"/>
      <w:lvlText w:val="%1.%2.%3"/>
      <w:lvlJc w:val="left"/>
      <w:pPr>
        <w:ind w:left="833" w:hanging="721"/>
        <w:jc w:val="left"/>
      </w:pPr>
      <w:rPr>
        <w:rFonts w:hint="default" w:ascii="Arial" w:hAnsi="Arial" w:eastAsia="Arial" w:cs="Arial"/>
        <w:b/>
        <w:bCs/>
        <w:i w:val="0"/>
        <w:iCs w:val="0"/>
        <w:spacing w:val="-1"/>
        <w:w w:val="100"/>
        <w:sz w:val="22"/>
        <w:szCs w:val="22"/>
        <w:lang w:val="en-US" w:eastAsia="en-US" w:bidi="ar-SA"/>
      </w:rPr>
    </w:lvl>
    <w:lvl w:ilvl="3">
      <w:start w:val="0"/>
      <w:numFmt w:val="bullet"/>
      <w:lvlText w:val="•"/>
      <w:lvlJc w:val="left"/>
      <w:pPr>
        <w:ind w:left="2845" w:hanging="721"/>
      </w:pPr>
      <w:rPr>
        <w:rFonts w:hint="default"/>
        <w:lang w:val="en-US" w:eastAsia="en-US" w:bidi="ar-SA"/>
      </w:rPr>
    </w:lvl>
    <w:lvl w:ilvl="4">
      <w:start w:val="0"/>
      <w:numFmt w:val="bullet"/>
      <w:lvlText w:val="•"/>
      <w:lvlJc w:val="left"/>
      <w:pPr>
        <w:ind w:left="3848" w:hanging="721"/>
      </w:pPr>
      <w:rPr>
        <w:rFonts w:hint="default"/>
        <w:lang w:val="en-US" w:eastAsia="en-US" w:bidi="ar-SA"/>
      </w:rPr>
    </w:lvl>
    <w:lvl w:ilvl="5">
      <w:start w:val="0"/>
      <w:numFmt w:val="bullet"/>
      <w:lvlText w:val="•"/>
      <w:lvlJc w:val="left"/>
      <w:pPr>
        <w:ind w:left="4851" w:hanging="721"/>
      </w:pPr>
      <w:rPr>
        <w:rFonts w:hint="default"/>
        <w:lang w:val="en-US" w:eastAsia="en-US" w:bidi="ar-SA"/>
      </w:rPr>
    </w:lvl>
    <w:lvl w:ilvl="6">
      <w:start w:val="0"/>
      <w:numFmt w:val="bullet"/>
      <w:lvlText w:val="•"/>
      <w:lvlJc w:val="left"/>
      <w:pPr>
        <w:ind w:left="5854" w:hanging="721"/>
      </w:pPr>
      <w:rPr>
        <w:rFonts w:hint="default"/>
        <w:lang w:val="en-US" w:eastAsia="en-US" w:bidi="ar-SA"/>
      </w:rPr>
    </w:lvl>
    <w:lvl w:ilvl="7">
      <w:start w:val="0"/>
      <w:numFmt w:val="bullet"/>
      <w:lvlText w:val="•"/>
      <w:lvlJc w:val="left"/>
      <w:pPr>
        <w:ind w:left="6857" w:hanging="721"/>
      </w:pPr>
      <w:rPr>
        <w:rFonts w:hint="default"/>
        <w:lang w:val="en-US" w:eastAsia="en-US" w:bidi="ar-SA"/>
      </w:rPr>
    </w:lvl>
    <w:lvl w:ilvl="8">
      <w:start w:val="0"/>
      <w:numFmt w:val="bullet"/>
      <w:lvlText w:val="•"/>
      <w:lvlJc w:val="left"/>
      <w:pPr>
        <w:ind w:left="7860" w:hanging="721"/>
      </w:pPr>
      <w:rPr>
        <w:rFonts w:hint="default"/>
        <w:lang w:val="en-US" w:eastAsia="en-US" w:bidi="ar-SA"/>
      </w:rPr>
    </w:lvl>
  </w:abstractNum>
  <w:abstractNum w:abstractNumId="15">
    <w:multiLevelType w:val="hybridMultilevel"/>
    <w:lvl w:ilvl="0">
      <w:start w:val="10"/>
      <w:numFmt w:val="decimal"/>
      <w:lvlText w:val="%1"/>
      <w:lvlJc w:val="left"/>
      <w:pPr>
        <w:ind w:left="833" w:hanging="721"/>
        <w:jc w:val="left"/>
      </w:pPr>
      <w:rPr>
        <w:rFonts w:hint="default"/>
        <w:lang w:val="en-US" w:eastAsia="en-US" w:bidi="ar-SA"/>
      </w:rPr>
    </w:lvl>
    <w:lvl w:ilvl="1">
      <w:start w:val="1"/>
      <w:numFmt w:val="decimal"/>
      <w:lvlText w:val="%1.%2"/>
      <w:lvlJc w:val="left"/>
      <w:pPr>
        <w:ind w:left="833" w:hanging="721"/>
        <w:jc w:val="left"/>
      </w:pPr>
      <w:rPr>
        <w:rFonts w:hint="default"/>
        <w:lang w:val="en-US" w:eastAsia="en-US" w:bidi="ar-SA"/>
      </w:rPr>
    </w:lvl>
    <w:lvl w:ilvl="2">
      <w:start w:val="1"/>
      <w:numFmt w:val="decimal"/>
      <w:lvlText w:val="%1.%2.%3"/>
      <w:lvlJc w:val="left"/>
      <w:pPr>
        <w:ind w:left="833" w:hanging="721"/>
        <w:jc w:val="left"/>
      </w:pPr>
      <w:rPr>
        <w:rFonts w:hint="default" w:ascii="Arial" w:hAnsi="Arial" w:eastAsia="Arial" w:cs="Arial"/>
        <w:b/>
        <w:bCs/>
        <w:i w:val="0"/>
        <w:iCs w:val="0"/>
        <w:spacing w:val="-1"/>
        <w:w w:val="100"/>
        <w:sz w:val="22"/>
        <w:szCs w:val="22"/>
        <w:lang w:val="en-US" w:eastAsia="en-US" w:bidi="ar-SA"/>
      </w:rPr>
    </w:lvl>
    <w:lvl w:ilvl="3">
      <w:start w:val="0"/>
      <w:numFmt w:val="bullet"/>
      <w:lvlText w:val="•"/>
      <w:lvlJc w:val="left"/>
      <w:pPr>
        <w:ind w:left="3547" w:hanging="721"/>
      </w:pPr>
      <w:rPr>
        <w:rFonts w:hint="default"/>
        <w:lang w:val="en-US" w:eastAsia="en-US" w:bidi="ar-SA"/>
      </w:rPr>
    </w:lvl>
    <w:lvl w:ilvl="4">
      <w:start w:val="0"/>
      <w:numFmt w:val="bullet"/>
      <w:lvlText w:val="•"/>
      <w:lvlJc w:val="left"/>
      <w:pPr>
        <w:ind w:left="4450" w:hanging="721"/>
      </w:pPr>
      <w:rPr>
        <w:rFonts w:hint="default"/>
        <w:lang w:val="en-US" w:eastAsia="en-US" w:bidi="ar-SA"/>
      </w:rPr>
    </w:lvl>
    <w:lvl w:ilvl="5">
      <w:start w:val="0"/>
      <w:numFmt w:val="bullet"/>
      <w:lvlText w:val="•"/>
      <w:lvlJc w:val="left"/>
      <w:pPr>
        <w:ind w:left="5353" w:hanging="721"/>
      </w:pPr>
      <w:rPr>
        <w:rFonts w:hint="default"/>
        <w:lang w:val="en-US" w:eastAsia="en-US" w:bidi="ar-SA"/>
      </w:rPr>
    </w:lvl>
    <w:lvl w:ilvl="6">
      <w:start w:val="0"/>
      <w:numFmt w:val="bullet"/>
      <w:lvlText w:val="•"/>
      <w:lvlJc w:val="left"/>
      <w:pPr>
        <w:ind w:left="6255" w:hanging="721"/>
      </w:pPr>
      <w:rPr>
        <w:rFonts w:hint="default"/>
        <w:lang w:val="en-US" w:eastAsia="en-US" w:bidi="ar-SA"/>
      </w:rPr>
    </w:lvl>
    <w:lvl w:ilvl="7">
      <w:start w:val="0"/>
      <w:numFmt w:val="bullet"/>
      <w:lvlText w:val="•"/>
      <w:lvlJc w:val="left"/>
      <w:pPr>
        <w:ind w:left="7158" w:hanging="721"/>
      </w:pPr>
      <w:rPr>
        <w:rFonts w:hint="default"/>
        <w:lang w:val="en-US" w:eastAsia="en-US" w:bidi="ar-SA"/>
      </w:rPr>
    </w:lvl>
    <w:lvl w:ilvl="8">
      <w:start w:val="0"/>
      <w:numFmt w:val="bullet"/>
      <w:lvlText w:val="•"/>
      <w:lvlJc w:val="left"/>
      <w:pPr>
        <w:ind w:left="8061" w:hanging="721"/>
      </w:pPr>
      <w:rPr>
        <w:rFonts w:hint="default"/>
        <w:lang w:val="en-US" w:eastAsia="en-US" w:bidi="ar-SA"/>
      </w:rPr>
    </w:lvl>
  </w:abstractNum>
  <w:abstractNum w:abstractNumId="14">
    <w:multiLevelType w:val="hybridMultilevel"/>
    <w:lvl w:ilvl="0">
      <w:start w:val="1"/>
      <w:numFmt w:val="decimal"/>
      <w:lvlText w:val="%1."/>
      <w:lvlJc w:val="left"/>
      <w:pPr>
        <w:ind w:left="833" w:hanging="36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1742" w:hanging="360"/>
      </w:pPr>
      <w:rPr>
        <w:rFonts w:hint="default"/>
        <w:lang w:val="en-US" w:eastAsia="en-US" w:bidi="ar-SA"/>
      </w:rPr>
    </w:lvl>
    <w:lvl w:ilvl="2">
      <w:start w:val="0"/>
      <w:numFmt w:val="bullet"/>
      <w:lvlText w:val="•"/>
      <w:lvlJc w:val="left"/>
      <w:pPr>
        <w:ind w:left="2645" w:hanging="360"/>
      </w:pPr>
      <w:rPr>
        <w:rFonts w:hint="default"/>
        <w:lang w:val="en-US" w:eastAsia="en-US" w:bidi="ar-SA"/>
      </w:rPr>
    </w:lvl>
    <w:lvl w:ilvl="3">
      <w:start w:val="0"/>
      <w:numFmt w:val="bullet"/>
      <w:lvlText w:val="•"/>
      <w:lvlJc w:val="left"/>
      <w:pPr>
        <w:ind w:left="3547" w:hanging="360"/>
      </w:pPr>
      <w:rPr>
        <w:rFonts w:hint="default"/>
        <w:lang w:val="en-US" w:eastAsia="en-US" w:bidi="ar-SA"/>
      </w:rPr>
    </w:lvl>
    <w:lvl w:ilvl="4">
      <w:start w:val="0"/>
      <w:numFmt w:val="bullet"/>
      <w:lvlText w:val="•"/>
      <w:lvlJc w:val="left"/>
      <w:pPr>
        <w:ind w:left="4450" w:hanging="360"/>
      </w:pPr>
      <w:rPr>
        <w:rFonts w:hint="default"/>
        <w:lang w:val="en-US" w:eastAsia="en-US" w:bidi="ar-SA"/>
      </w:rPr>
    </w:lvl>
    <w:lvl w:ilvl="5">
      <w:start w:val="0"/>
      <w:numFmt w:val="bullet"/>
      <w:lvlText w:val="•"/>
      <w:lvlJc w:val="left"/>
      <w:pPr>
        <w:ind w:left="5353" w:hanging="360"/>
      </w:pPr>
      <w:rPr>
        <w:rFonts w:hint="default"/>
        <w:lang w:val="en-US" w:eastAsia="en-US" w:bidi="ar-SA"/>
      </w:rPr>
    </w:lvl>
    <w:lvl w:ilvl="6">
      <w:start w:val="0"/>
      <w:numFmt w:val="bullet"/>
      <w:lvlText w:val="•"/>
      <w:lvlJc w:val="left"/>
      <w:pPr>
        <w:ind w:left="6255" w:hanging="360"/>
      </w:pPr>
      <w:rPr>
        <w:rFonts w:hint="default"/>
        <w:lang w:val="en-US" w:eastAsia="en-US" w:bidi="ar-SA"/>
      </w:rPr>
    </w:lvl>
    <w:lvl w:ilvl="7">
      <w:start w:val="0"/>
      <w:numFmt w:val="bullet"/>
      <w:lvlText w:val="•"/>
      <w:lvlJc w:val="left"/>
      <w:pPr>
        <w:ind w:left="7158" w:hanging="360"/>
      </w:pPr>
      <w:rPr>
        <w:rFonts w:hint="default"/>
        <w:lang w:val="en-US" w:eastAsia="en-US" w:bidi="ar-SA"/>
      </w:rPr>
    </w:lvl>
    <w:lvl w:ilvl="8">
      <w:start w:val="0"/>
      <w:numFmt w:val="bullet"/>
      <w:lvlText w:val="•"/>
      <w:lvlJc w:val="left"/>
      <w:pPr>
        <w:ind w:left="8061" w:hanging="360"/>
      </w:pPr>
      <w:rPr>
        <w:rFonts w:hint="default"/>
        <w:lang w:val="en-US" w:eastAsia="en-US" w:bidi="ar-SA"/>
      </w:rPr>
    </w:lvl>
  </w:abstractNum>
  <w:abstractNum w:abstractNumId="13">
    <w:multiLevelType w:val="hybridMultilevel"/>
    <w:lvl w:ilvl="0">
      <w:start w:val="9"/>
      <w:numFmt w:val="decimal"/>
      <w:lvlText w:val="%1"/>
      <w:lvlJc w:val="left"/>
      <w:pPr>
        <w:ind w:left="679" w:hanging="567"/>
        <w:jc w:val="left"/>
      </w:pPr>
      <w:rPr>
        <w:rFonts w:hint="default" w:ascii="Arial" w:hAnsi="Arial" w:eastAsia="Arial" w:cs="Arial"/>
        <w:b/>
        <w:bCs/>
        <w:i w:val="0"/>
        <w:iCs w:val="0"/>
        <w:color w:val="001F5F"/>
        <w:spacing w:val="0"/>
        <w:w w:val="99"/>
        <w:sz w:val="32"/>
        <w:szCs w:val="32"/>
        <w:lang w:val="en-US" w:eastAsia="en-US" w:bidi="ar-SA"/>
      </w:rPr>
    </w:lvl>
    <w:lvl w:ilvl="1">
      <w:start w:val="2"/>
      <w:numFmt w:val="decimal"/>
      <w:lvlText w:val="%1.%2"/>
      <w:lvlJc w:val="left"/>
      <w:pPr>
        <w:ind w:left="689" w:hanging="577"/>
        <w:jc w:val="left"/>
      </w:pPr>
      <w:rPr>
        <w:rFonts w:hint="default" w:ascii="Arial" w:hAnsi="Arial" w:eastAsia="Arial" w:cs="Arial"/>
        <w:b/>
        <w:bCs/>
        <w:i w:val="0"/>
        <w:iCs w:val="0"/>
        <w:color w:val="2D1E66"/>
        <w:spacing w:val="0"/>
        <w:w w:val="99"/>
        <w:sz w:val="24"/>
        <w:szCs w:val="24"/>
        <w:lang w:val="en-US" w:eastAsia="en-US" w:bidi="ar-SA"/>
      </w:rPr>
    </w:lvl>
    <w:lvl w:ilvl="2">
      <w:start w:val="1"/>
      <w:numFmt w:val="decimal"/>
      <w:lvlText w:val="%1.%2.%3"/>
      <w:lvlJc w:val="left"/>
      <w:pPr>
        <w:ind w:left="833" w:hanging="721"/>
        <w:jc w:val="left"/>
      </w:pPr>
      <w:rPr>
        <w:rFonts w:hint="default" w:ascii="Arial" w:hAnsi="Arial" w:eastAsia="Arial" w:cs="Arial"/>
        <w:b/>
        <w:bCs/>
        <w:i w:val="0"/>
        <w:iCs w:val="0"/>
        <w:spacing w:val="0"/>
        <w:w w:val="100"/>
        <w:sz w:val="22"/>
        <w:szCs w:val="22"/>
        <w:lang w:val="en-US" w:eastAsia="en-US" w:bidi="ar-SA"/>
      </w:rPr>
    </w:lvl>
    <w:lvl w:ilvl="3">
      <w:start w:val="0"/>
      <w:numFmt w:val="bullet"/>
      <w:lvlText w:val="•"/>
      <w:lvlJc w:val="left"/>
      <w:pPr>
        <w:ind w:left="2845" w:hanging="721"/>
      </w:pPr>
      <w:rPr>
        <w:rFonts w:hint="default"/>
        <w:lang w:val="en-US" w:eastAsia="en-US" w:bidi="ar-SA"/>
      </w:rPr>
    </w:lvl>
    <w:lvl w:ilvl="4">
      <w:start w:val="0"/>
      <w:numFmt w:val="bullet"/>
      <w:lvlText w:val="•"/>
      <w:lvlJc w:val="left"/>
      <w:pPr>
        <w:ind w:left="3848" w:hanging="721"/>
      </w:pPr>
      <w:rPr>
        <w:rFonts w:hint="default"/>
        <w:lang w:val="en-US" w:eastAsia="en-US" w:bidi="ar-SA"/>
      </w:rPr>
    </w:lvl>
    <w:lvl w:ilvl="5">
      <w:start w:val="0"/>
      <w:numFmt w:val="bullet"/>
      <w:lvlText w:val="•"/>
      <w:lvlJc w:val="left"/>
      <w:pPr>
        <w:ind w:left="4851" w:hanging="721"/>
      </w:pPr>
      <w:rPr>
        <w:rFonts w:hint="default"/>
        <w:lang w:val="en-US" w:eastAsia="en-US" w:bidi="ar-SA"/>
      </w:rPr>
    </w:lvl>
    <w:lvl w:ilvl="6">
      <w:start w:val="0"/>
      <w:numFmt w:val="bullet"/>
      <w:lvlText w:val="•"/>
      <w:lvlJc w:val="left"/>
      <w:pPr>
        <w:ind w:left="5854" w:hanging="721"/>
      </w:pPr>
      <w:rPr>
        <w:rFonts w:hint="default"/>
        <w:lang w:val="en-US" w:eastAsia="en-US" w:bidi="ar-SA"/>
      </w:rPr>
    </w:lvl>
    <w:lvl w:ilvl="7">
      <w:start w:val="0"/>
      <w:numFmt w:val="bullet"/>
      <w:lvlText w:val="•"/>
      <w:lvlJc w:val="left"/>
      <w:pPr>
        <w:ind w:left="6857" w:hanging="721"/>
      </w:pPr>
      <w:rPr>
        <w:rFonts w:hint="default"/>
        <w:lang w:val="en-US" w:eastAsia="en-US" w:bidi="ar-SA"/>
      </w:rPr>
    </w:lvl>
    <w:lvl w:ilvl="8">
      <w:start w:val="0"/>
      <w:numFmt w:val="bullet"/>
      <w:lvlText w:val="•"/>
      <w:lvlJc w:val="left"/>
      <w:pPr>
        <w:ind w:left="7860" w:hanging="721"/>
      </w:pPr>
      <w:rPr>
        <w:rFonts w:hint="default"/>
        <w:lang w:val="en-US" w:eastAsia="en-US" w:bidi="ar-SA"/>
      </w:rPr>
    </w:lvl>
  </w:abstractNum>
  <w:abstractNum w:abstractNumId="12">
    <w:multiLevelType w:val="hybridMultilevel"/>
    <w:lvl w:ilvl="0">
      <w:start w:val="8"/>
      <w:numFmt w:val="decimal"/>
      <w:lvlText w:val="%1"/>
      <w:lvlJc w:val="left"/>
      <w:pPr>
        <w:ind w:left="889" w:hanging="577"/>
        <w:jc w:val="left"/>
      </w:pPr>
      <w:rPr>
        <w:rFonts w:hint="default"/>
        <w:lang w:val="en-US" w:eastAsia="en-US" w:bidi="ar-SA"/>
      </w:rPr>
    </w:lvl>
    <w:lvl w:ilvl="1">
      <w:start w:val="2"/>
      <w:numFmt w:val="decimal"/>
      <w:lvlText w:val="%1.%2"/>
      <w:lvlJc w:val="left"/>
      <w:pPr>
        <w:ind w:left="889" w:hanging="577"/>
        <w:jc w:val="left"/>
      </w:pPr>
      <w:rPr>
        <w:rFonts w:hint="default" w:ascii="Arial" w:hAnsi="Arial" w:eastAsia="Arial" w:cs="Arial"/>
        <w:b/>
        <w:bCs/>
        <w:i w:val="0"/>
        <w:iCs w:val="0"/>
        <w:color w:val="2D1E66"/>
        <w:spacing w:val="0"/>
        <w:w w:val="99"/>
        <w:sz w:val="24"/>
        <w:szCs w:val="24"/>
        <w:lang w:val="en-US" w:eastAsia="en-US" w:bidi="ar-SA"/>
      </w:rPr>
    </w:lvl>
    <w:lvl w:ilvl="2">
      <w:start w:val="1"/>
      <w:numFmt w:val="decimal"/>
      <w:lvlText w:val="%1.%2.%3"/>
      <w:lvlJc w:val="left"/>
      <w:pPr>
        <w:ind w:left="1033" w:hanging="721"/>
        <w:jc w:val="left"/>
      </w:pPr>
      <w:rPr>
        <w:rFonts w:hint="default" w:ascii="Arial" w:hAnsi="Arial" w:eastAsia="Arial" w:cs="Arial"/>
        <w:b/>
        <w:bCs/>
        <w:i w:val="0"/>
        <w:iCs w:val="0"/>
        <w:spacing w:val="0"/>
        <w:w w:val="100"/>
        <w:sz w:val="22"/>
        <w:szCs w:val="22"/>
        <w:lang w:val="en-US" w:eastAsia="en-US" w:bidi="ar-SA"/>
      </w:rPr>
    </w:lvl>
    <w:lvl w:ilvl="3">
      <w:start w:val="0"/>
      <w:numFmt w:val="bullet"/>
      <w:lvlText w:val="•"/>
      <w:lvlJc w:val="left"/>
      <w:pPr>
        <w:ind w:left="3054" w:hanging="721"/>
      </w:pPr>
      <w:rPr>
        <w:rFonts w:hint="default"/>
        <w:lang w:val="en-US" w:eastAsia="en-US" w:bidi="ar-SA"/>
      </w:rPr>
    </w:lvl>
    <w:lvl w:ilvl="4">
      <w:start w:val="0"/>
      <w:numFmt w:val="bullet"/>
      <w:lvlText w:val="•"/>
      <w:lvlJc w:val="left"/>
      <w:pPr>
        <w:ind w:left="4062" w:hanging="721"/>
      </w:pPr>
      <w:rPr>
        <w:rFonts w:hint="default"/>
        <w:lang w:val="en-US" w:eastAsia="en-US" w:bidi="ar-SA"/>
      </w:rPr>
    </w:lvl>
    <w:lvl w:ilvl="5">
      <w:start w:val="0"/>
      <w:numFmt w:val="bullet"/>
      <w:lvlText w:val="•"/>
      <w:lvlJc w:val="left"/>
      <w:pPr>
        <w:ind w:left="5069" w:hanging="721"/>
      </w:pPr>
      <w:rPr>
        <w:rFonts w:hint="default"/>
        <w:lang w:val="en-US" w:eastAsia="en-US" w:bidi="ar-SA"/>
      </w:rPr>
    </w:lvl>
    <w:lvl w:ilvl="6">
      <w:start w:val="0"/>
      <w:numFmt w:val="bullet"/>
      <w:lvlText w:val="•"/>
      <w:lvlJc w:val="left"/>
      <w:pPr>
        <w:ind w:left="6076" w:hanging="721"/>
      </w:pPr>
      <w:rPr>
        <w:rFonts w:hint="default"/>
        <w:lang w:val="en-US" w:eastAsia="en-US" w:bidi="ar-SA"/>
      </w:rPr>
    </w:lvl>
    <w:lvl w:ilvl="7">
      <w:start w:val="0"/>
      <w:numFmt w:val="bullet"/>
      <w:lvlText w:val="•"/>
      <w:lvlJc w:val="left"/>
      <w:pPr>
        <w:ind w:left="7084" w:hanging="721"/>
      </w:pPr>
      <w:rPr>
        <w:rFonts w:hint="default"/>
        <w:lang w:val="en-US" w:eastAsia="en-US" w:bidi="ar-SA"/>
      </w:rPr>
    </w:lvl>
    <w:lvl w:ilvl="8">
      <w:start w:val="0"/>
      <w:numFmt w:val="bullet"/>
      <w:lvlText w:val="•"/>
      <w:lvlJc w:val="left"/>
      <w:pPr>
        <w:ind w:left="8091" w:hanging="721"/>
      </w:pPr>
      <w:rPr>
        <w:rFonts w:hint="default"/>
        <w:lang w:val="en-US" w:eastAsia="en-US" w:bidi="ar-SA"/>
      </w:rPr>
    </w:lvl>
  </w:abstractNum>
  <w:abstractNum w:abstractNumId="11">
    <w:multiLevelType w:val="hybridMultilevel"/>
    <w:lvl w:ilvl="0">
      <w:start w:val="0"/>
      <w:numFmt w:val="bullet"/>
      <w:lvlText w:val=""/>
      <w:lvlJc w:val="left"/>
      <w:pPr>
        <w:ind w:left="1033"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o"/>
      <w:lvlJc w:val="left"/>
      <w:pPr>
        <w:ind w:left="1753" w:hanging="360"/>
      </w:pPr>
      <w:rPr>
        <w:rFonts w:hint="default" w:ascii="Courier New" w:hAnsi="Courier New" w:eastAsia="Courier New" w:cs="Courier New"/>
        <w:b w:val="0"/>
        <w:bCs w:val="0"/>
        <w:i w:val="0"/>
        <w:iCs w:val="0"/>
        <w:spacing w:val="0"/>
        <w:w w:val="99"/>
        <w:sz w:val="20"/>
        <w:szCs w:val="20"/>
        <w:lang w:val="en-US" w:eastAsia="en-US" w:bidi="ar-SA"/>
      </w:rPr>
    </w:lvl>
    <w:lvl w:ilvl="2">
      <w:start w:val="0"/>
      <w:numFmt w:val="bullet"/>
      <w:lvlText w:val="•"/>
      <w:lvlJc w:val="left"/>
      <w:pPr>
        <w:ind w:left="2687" w:hanging="360"/>
      </w:pPr>
      <w:rPr>
        <w:rFonts w:hint="default"/>
        <w:lang w:val="en-US" w:eastAsia="en-US" w:bidi="ar-SA"/>
      </w:rPr>
    </w:lvl>
    <w:lvl w:ilvl="3">
      <w:start w:val="0"/>
      <w:numFmt w:val="bullet"/>
      <w:lvlText w:val="•"/>
      <w:lvlJc w:val="left"/>
      <w:pPr>
        <w:ind w:left="3614" w:hanging="360"/>
      </w:pPr>
      <w:rPr>
        <w:rFonts w:hint="default"/>
        <w:lang w:val="en-US" w:eastAsia="en-US" w:bidi="ar-SA"/>
      </w:rPr>
    </w:lvl>
    <w:lvl w:ilvl="4">
      <w:start w:val="0"/>
      <w:numFmt w:val="bullet"/>
      <w:lvlText w:val="•"/>
      <w:lvlJc w:val="left"/>
      <w:pPr>
        <w:ind w:left="4542" w:hanging="360"/>
      </w:pPr>
      <w:rPr>
        <w:rFonts w:hint="default"/>
        <w:lang w:val="en-US" w:eastAsia="en-US" w:bidi="ar-SA"/>
      </w:rPr>
    </w:lvl>
    <w:lvl w:ilvl="5">
      <w:start w:val="0"/>
      <w:numFmt w:val="bullet"/>
      <w:lvlText w:val="•"/>
      <w:lvlJc w:val="left"/>
      <w:pPr>
        <w:ind w:left="5469" w:hanging="360"/>
      </w:pPr>
      <w:rPr>
        <w:rFonts w:hint="default"/>
        <w:lang w:val="en-US" w:eastAsia="en-US" w:bidi="ar-SA"/>
      </w:rPr>
    </w:lvl>
    <w:lvl w:ilvl="6">
      <w:start w:val="0"/>
      <w:numFmt w:val="bullet"/>
      <w:lvlText w:val="•"/>
      <w:lvlJc w:val="left"/>
      <w:pPr>
        <w:ind w:left="6396" w:hanging="360"/>
      </w:pPr>
      <w:rPr>
        <w:rFonts w:hint="default"/>
        <w:lang w:val="en-US" w:eastAsia="en-US" w:bidi="ar-SA"/>
      </w:rPr>
    </w:lvl>
    <w:lvl w:ilvl="7">
      <w:start w:val="0"/>
      <w:numFmt w:val="bullet"/>
      <w:lvlText w:val="•"/>
      <w:lvlJc w:val="left"/>
      <w:pPr>
        <w:ind w:left="7324" w:hanging="360"/>
      </w:pPr>
      <w:rPr>
        <w:rFonts w:hint="default"/>
        <w:lang w:val="en-US" w:eastAsia="en-US" w:bidi="ar-SA"/>
      </w:rPr>
    </w:lvl>
    <w:lvl w:ilvl="8">
      <w:start w:val="0"/>
      <w:numFmt w:val="bullet"/>
      <w:lvlText w:val="•"/>
      <w:lvlJc w:val="left"/>
      <w:pPr>
        <w:ind w:left="8251" w:hanging="360"/>
      </w:pPr>
      <w:rPr>
        <w:rFonts w:hint="default"/>
        <w:lang w:val="en-US" w:eastAsia="en-US" w:bidi="ar-SA"/>
      </w:rPr>
    </w:lvl>
  </w:abstractNum>
  <w:abstractNum w:abstractNumId="10">
    <w:multiLevelType w:val="hybridMultilevel"/>
    <w:lvl w:ilvl="0">
      <w:start w:val="1"/>
      <w:numFmt w:val="decimal"/>
      <w:lvlText w:val="%1"/>
      <w:lvlJc w:val="left"/>
      <w:pPr>
        <w:ind w:left="740" w:hanging="435"/>
        <w:jc w:val="left"/>
      </w:pPr>
      <w:rPr>
        <w:rFonts w:hint="default" w:ascii="Arial" w:hAnsi="Arial" w:eastAsia="Arial" w:cs="Arial"/>
        <w:b/>
        <w:bCs/>
        <w:i w:val="0"/>
        <w:iCs w:val="0"/>
        <w:color w:val="001F5F"/>
        <w:spacing w:val="0"/>
        <w:w w:val="99"/>
        <w:sz w:val="32"/>
        <w:szCs w:val="32"/>
        <w:lang w:val="en-US" w:eastAsia="en-US" w:bidi="ar-SA"/>
      </w:rPr>
    </w:lvl>
    <w:lvl w:ilvl="1">
      <w:start w:val="1"/>
      <w:numFmt w:val="decimal"/>
      <w:lvlText w:val="%1.%2"/>
      <w:lvlJc w:val="left"/>
      <w:pPr>
        <w:ind w:left="889" w:hanging="577"/>
        <w:jc w:val="left"/>
      </w:pPr>
      <w:rPr>
        <w:rFonts w:hint="default" w:ascii="Arial" w:hAnsi="Arial" w:eastAsia="Arial" w:cs="Arial"/>
        <w:b/>
        <w:bCs/>
        <w:i w:val="0"/>
        <w:iCs w:val="0"/>
        <w:color w:val="2D1E66"/>
        <w:spacing w:val="0"/>
        <w:w w:val="99"/>
        <w:sz w:val="24"/>
        <w:szCs w:val="24"/>
        <w:lang w:val="en-US" w:eastAsia="en-US" w:bidi="ar-SA"/>
      </w:rPr>
    </w:lvl>
    <w:lvl w:ilvl="2">
      <w:start w:val="1"/>
      <w:numFmt w:val="decimal"/>
      <w:lvlText w:val="%1.%2.%3"/>
      <w:lvlJc w:val="left"/>
      <w:pPr>
        <w:ind w:left="1033" w:hanging="721"/>
        <w:jc w:val="left"/>
      </w:pPr>
      <w:rPr>
        <w:rFonts w:hint="default" w:ascii="Arial" w:hAnsi="Arial" w:eastAsia="Arial" w:cs="Arial"/>
        <w:b/>
        <w:bCs/>
        <w:i w:val="0"/>
        <w:iCs w:val="0"/>
        <w:spacing w:val="0"/>
        <w:w w:val="100"/>
        <w:sz w:val="22"/>
        <w:szCs w:val="22"/>
        <w:lang w:val="en-US" w:eastAsia="en-US" w:bidi="ar-SA"/>
      </w:rPr>
    </w:lvl>
    <w:lvl w:ilvl="3">
      <w:start w:val="1"/>
      <w:numFmt w:val="decimal"/>
      <w:lvlText w:val="%4)"/>
      <w:lvlJc w:val="left"/>
      <w:pPr>
        <w:ind w:left="1033" w:hanging="360"/>
        <w:jc w:val="left"/>
      </w:pPr>
      <w:rPr>
        <w:rFonts w:hint="default" w:ascii="Arial" w:hAnsi="Arial" w:eastAsia="Arial" w:cs="Arial"/>
        <w:b w:val="0"/>
        <w:bCs w:val="0"/>
        <w:i w:val="0"/>
        <w:iCs w:val="0"/>
        <w:spacing w:val="-1"/>
        <w:w w:val="99"/>
        <w:sz w:val="20"/>
        <w:szCs w:val="20"/>
        <w:lang w:val="en-US" w:eastAsia="en-US" w:bidi="ar-SA"/>
      </w:rPr>
    </w:lvl>
    <w:lvl w:ilvl="4">
      <w:start w:val="0"/>
      <w:numFmt w:val="bullet"/>
      <w:lvlText w:val="•"/>
      <w:lvlJc w:val="left"/>
      <w:pPr>
        <w:ind w:left="3306" w:hanging="360"/>
      </w:pPr>
      <w:rPr>
        <w:rFonts w:hint="default"/>
        <w:lang w:val="en-US" w:eastAsia="en-US" w:bidi="ar-SA"/>
      </w:rPr>
    </w:lvl>
    <w:lvl w:ilvl="5">
      <w:start w:val="0"/>
      <w:numFmt w:val="bullet"/>
      <w:lvlText w:val="•"/>
      <w:lvlJc w:val="left"/>
      <w:pPr>
        <w:ind w:left="4439" w:hanging="360"/>
      </w:pPr>
      <w:rPr>
        <w:rFonts w:hint="default"/>
        <w:lang w:val="en-US" w:eastAsia="en-US" w:bidi="ar-SA"/>
      </w:rPr>
    </w:lvl>
    <w:lvl w:ilvl="6">
      <w:start w:val="0"/>
      <w:numFmt w:val="bullet"/>
      <w:lvlText w:val="•"/>
      <w:lvlJc w:val="left"/>
      <w:pPr>
        <w:ind w:left="5573" w:hanging="360"/>
      </w:pPr>
      <w:rPr>
        <w:rFonts w:hint="default"/>
        <w:lang w:val="en-US" w:eastAsia="en-US" w:bidi="ar-SA"/>
      </w:rPr>
    </w:lvl>
    <w:lvl w:ilvl="7">
      <w:start w:val="0"/>
      <w:numFmt w:val="bullet"/>
      <w:lvlText w:val="•"/>
      <w:lvlJc w:val="left"/>
      <w:pPr>
        <w:ind w:left="6706" w:hanging="360"/>
      </w:pPr>
      <w:rPr>
        <w:rFonts w:hint="default"/>
        <w:lang w:val="en-US" w:eastAsia="en-US" w:bidi="ar-SA"/>
      </w:rPr>
    </w:lvl>
    <w:lvl w:ilvl="8">
      <w:start w:val="0"/>
      <w:numFmt w:val="bullet"/>
      <w:lvlText w:val="•"/>
      <w:lvlJc w:val="left"/>
      <w:pPr>
        <w:ind w:left="7839" w:hanging="360"/>
      </w:pPr>
      <w:rPr>
        <w:rFonts w:hint="default"/>
        <w:lang w:val="en-US" w:eastAsia="en-US" w:bidi="ar-SA"/>
      </w:rPr>
    </w:lvl>
  </w:abstractNum>
  <w:abstractNum w:abstractNumId="9">
    <w:multiLevelType w:val="hybridMultilevel"/>
    <w:lvl w:ilvl="0">
      <w:start w:val="16"/>
      <w:numFmt w:val="decimal"/>
      <w:lvlText w:val="%1"/>
      <w:lvlJc w:val="left"/>
      <w:pPr>
        <w:ind w:left="879" w:hanging="567"/>
        <w:jc w:val="left"/>
      </w:pPr>
      <w:rPr>
        <w:rFonts w:hint="default"/>
        <w:lang w:val="en-US" w:eastAsia="en-US" w:bidi="ar-SA"/>
      </w:rPr>
    </w:lvl>
    <w:lvl w:ilvl="1">
      <w:start w:val="2"/>
      <w:numFmt w:val="decimal"/>
      <w:lvlText w:val="%1.%2"/>
      <w:lvlJc w:val="left"/>
      <w:pPr>
        <w:ind w:left="879" w:hanging="567"/>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1.%2.%3"/>
      <w:lvlJc w:val="left"/>
      <w:pPr>
        <w:ind w:left="1590" w:hanging="711"/>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3490" w:hanging="711"/>
      </w:pPr>
      <w:rPr>
        <w:rFonts w:hint="default"/>
        <w:lang w:val="en-US" w:eastAsia="en-US" w:bidi="ar-SA"/>
      </w:rPr>
    </w:lvl>
    <w:lvl w:ilvl="4">
      <w:start w:val="0"/>
      <w:numFmt w:val="bullet"/>
      <w:lvlText w:val="•"/>
      <w:lvlJc w:val="left"/>
      <w:pPr>
        <w:ind w:left="4435" w:hanging="711"/>
      </w:pPr>
      <w:rPr>
        <w:rFonts w:hint="default"/>
        <w:lang w:val="en-US" w:eastAsia="en-US" w:bidi="ar-SA"/>
      </w:rPr>
    </w:lvl>
    <w:lvl w:ilvl="5">
      <w:start w:val="0"/>
      <w:numFmt w:val="bullet"/>
      <w:lvlText w:val="•"/>
      <w:lvlJc w:val="left"/>
      <w:pPr>
        <w:ind w:left="5380" w:hanging="711"/>
      </w:pPr>
      <w:rPr>
        <w:rFonts w:hint="default"/>
        <w:lang w:val="en-US" w:eastAsia="en-US" w:bidi="ar-SA"/>
      </w:rPr>
    </w:lvl>
    <w:lvl w:ilvl="6">
      <w:start w:val="0"/>
      <w:numFmt w:val="bullet"/>
      <w:lvlText w:val="•"/>
      <w:lvlJc w:val="left"/>
      <w:pPr>
        <w:ind w:left="6325" w:hanging="711"/>
      </w:pPr>
      <w:rPr>
        <w:rFonts w:hint="default"/>
        <w:lang w:val="en-US" w:eastAsia="en-US" w:bidi="ar-SA"/>
      </w:rPr>
    </w:lvl>
    <w:lvl w:ilvl="7">
      <w:start w:val="0"/>
      <w:numFmt w:val="bullet"/>
      <w:lvlText w:val="•"/>
      <w:lvlJc w:val="left"/>
      <w:pPr>
        <w:ind w:left="7270" w:hanging="711"/>
      </w:pPr>
      <w:rPr>
        <w:rFonts w:hint="default"/>
        <w:lang w:val="en-US" w:eastAsia="en-US" w:bidi="ar-SA"/>
      </w:rPr>
    </w:lvl>
    <w:lvl w:ilvl="8">
      <w:start w:val="0"/>
      <w:numFmt w:val="bullet"/>
      <w:lvlText w:val="•"/>
      <w:lvlJc w:val="left"/>
      <w:pPr>
        <w:ind w:left="8216" w:hanging="711"/>
      </w:pPr>
      <w:rPr>
        <w:rFonts w:hint="default"/>
        <w:lang w:val="en-US" w:eastAsia="en-US" w:bidi="ar-SA"/>
      </w:rPr>
    </w:lvl>
  </w:abstractNum>
  <w:abstractNum w:abstractNumId="8">
    <w:multiLevelType w:val="hybridMultilevel"/>
    <w:lvl w:ilvl="0">
      <w:start w:val="13"/>
      <w:numFmt w:val="decimal"/>
      <w:lvlText w:val="%1"/>
      <w:lvlJc w:val="left"/>
      <w:pPr>
        <w:ind w:left="879" w:hanging="567"/>
        <w:jc w:val="left"/>
      </w:pPr>
      <w:rPr>
        <w:rFonts w:hint="default"/>
        <w:lang w:val="en-US" w:eastAsia="en-US" w:bidi="ar-SA"/>
      </w:rPr>
    </w:lvl>
    <w:lvl w:ilvl="1">
      <w:start w:val="2"/>
      <w:numFmt w:val="decimal"/>
      <w:lvlText w:val="%1.%2"/>
      <w:lvlJc w:val="left"/>
      <w:pPr>
        <w:ind w:left="879" w:hanging="567"/>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2725" w:hanging="567"/>
      </w:pPr>
      <w:rPr>
        <w:rFonts w:hint="default"/>
        <w:lang w:val="en-US" w:eastAsia="en-US" w:bidi="ar-SA"/>
      </w:rPr>
    </w:lvl>
    <w:lvl w:ilvl="3">
      <w:start w:val="0"/>
      <w:numFmt w:val="bullet"/>
      <w:lvlText w:val="•"/>
      <w:lvlJc w:val="left"/>
      <w:pPr>
        <w:ind w:left="3647" w:hanging="567"/>
      </w:pPr>
      <w:rPr>
        <w:rFonts w:hint="default"/>
        <w:lang w:val="en-US" w:eastAsia="en-US" w:bidi="ar-SA"/>
      </w:rPr>
    </w:lvl>
    <w:lvl w:ilvl="4">
      <w:start w:val="0"/>
      <w:numFmt w:val="bullet"/>
      <w:lvlText w:val="•"/>
      <w:lvlJc w:val="left"/>
      <w:pPr>
        <w:ind w:left="4570" w:hanging="567"/>
      </w:pPr>
      <w:rPr>
        <w:rFonts w:hint="default"/>
        <w:lang w:val="en-US" w:eastAsia="en-US" w:bidi="ar-SA"/>
      </w:rPr>
    </w:lvl>
    <w:lvl w:ilvl="5">
      <w:start w:val="0"/>
      <w:numFmt w:val="bullet"/>
      <w:lvlText w:val="•"/>
      <w:lvlJc w:val="left"/>
      <w:pPr>
        <w:ind w:left="5493" w:hanging="567"/>
      </w:pPr>
      <w:rPr>
        <w:rFonts w:hint="default"/>
        <w:lang w:val="en-US" w:eastAsia="en-US" w:bidi="ar-SA"/>
      </w:rPr>
    </w:lvl>
    <w:lvl w:ilvl="6">
      <w:start w:val="0"/>
      <w:numFmt w:val="bullet"/>
      <w:lvlText w:val="•"/>
      <w:lvlJc w:val="left"/>
      <w:pPr>
        <w:ind w:left="6415" w:hanging="567"/>
      </w:pPr>
      <w:rPr>
        <w:rFonts w:hint="default"/>
        <w:lang w:val="en-US" w:eastAsia="en-US" w:bidi="ar-SA"/>
      </w:rPr>
    </w:lvl>
    <w:lvl w:ilvl="7">
      <w:start w:val="0"/>
      <w:numFmt w:val="bullet"/>
      <w:lvlText w:val="•"/>
      <w:lvlJc w:val="left"/>
      <w:pPr>
        <w:ind w:left="7338" w:hanging="567"/>
      </w:pPr>
      <w:rPr>
        <w:rFonts w:hint="default"/>
        <w:lang w:val="en-US" w:eastAsia="en-US" w:bidi="ar-SA"/>
      </w:rPr>
    </w:lvl>
    <w:lvl w:ilvl="8">
      <w:start w:val="0"/>
      <w:numFmt w:val="bullet"/>
      <w:lvlText w:val="•"/>
      <w:lvlJc w:val="left"/>
      <w:pPr>
        <w:ind w:left="8261" w:hanging="567"/>
      </w:pPr>
      <w:rPr>
        <w:rFonts w:hint="default"/>
        <w:lang w:val="en-US" w:eastAsia="en-US" w:bidi="ar-SA"/>
      </w:rPr>
    </w:lvl>
  </w:abstractNum>
  <w:abstractNum w:abstractNumId="7">
    <w:multiLevelType w:val="hybridMultilevel"/>
    <w:lvl w:ilvl="0">
      <w:start w:val="12"/>
      <w:numFmt w:val="decimal"/>
      <w:lvlText w:val="%1"/>
      <w:lvlJc w:val="left"/>
      <w:pPr>
        <w:ind w:left="879" w:hanging="567"/>
        <w:jc w:val="left"/>
      </w:pPr>
      <w:rPr>
        <w:rFonts w:hint="default"/>
        <w:lang w:val="en-US" w:eastAsia="en-US" w:bidi="ar-SA"/>
      </w:rPr>
    </w:lvl>
    <w:lvl w:ilvl="1">
      <w:start w:val="3"/>
      <w:numFmt w:val="decimal"/>
      <w:lvlText w:val="%1.%2"/>
      <w:lvlJc w:val="left"/>
      <w:pPr>
        <w:ind w:left="879" w:hanging="567"/>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2725" w:hanging="567"/>
      </w:pPr>
      <w:rPr>
        <w:rFonts w:hint="default"/>
        <w:lang w:val="en-US" w:eastAsia="en-US" w:bidi="ar-SA"/>
      </w:rPr>
    </w:lvl>
    <w:lvl w:ilvl="3">
      <w:start w:val="0"/>
      <w:numFmt w:val="bullet"/>
      <w:lvlText w:val="•"/>
      <w:lvlJc w:val="left"/>
      <w:pPr>
        <w:ind w:left="3647" w:hanging="567"/>
      </w:pPr>
      <w:rPr>
        <w:rFonts w:hint="default"/>
        <w:lang w:val="en-US" w:eastAsia="en-US" w:bidi="ar-SA"/>
      </w:rPr>
    </w:lvl>
    <w:lvl w:ilvl="4">
      <w:start w:val="0"/>
      <w:numFmt w:val="bullet"/>
      <w:lvlText w:val="•"/>
      <w:lvlJc w:val="left"/>
      <w:pPr>
        <w:ind w:left="4570" w:hanging="567"/>
      </w:pPr>
      <w:rPr>
        <w:rFonts w:hint="default"/>
        <w:lang w:val="en-US" w:eastAsia="en-US" w:bidi="ar-SA"/>
      </w:rPr>
    </w:lvl>
    <w:lvl w:ilvl="5">
      <w:start w:val="0"/>
      <w:numFmt w:val="bullet"/>
      <w:lvlText w:val="•"/>
      <w:lvlJc w:val="left"/>
      <w:pPr>
        <w:ind w:left="5493" w:hanging="567"/>
      </w:pPr>
      <w:rPr>
        <w:rFonts w:hint="default"/>
        <w:lang w:val="en-US" w:eastAsia="en-US" w:bidi="ar-SA"/>
      </w:rPr>
    </w:lvl>
    <w:lvl w:ilvl="6">
      <w:start w:val="0"/>
      <w:numFmt w:val="bullet"/>
      <w:lvlText w:val="•"/>
      <w:lvlJc w:val="left"/>
      <w:pPr>
        <w:ind w:left="6415" w:hanging="567"/>
      </w:pPr>
      <w:rPr>
        <w:rFonts w:hint="default"/>
        <w:lang w:val="en-US" w:eastAsia="en-US" w:bidi="ar-SA"/>
      </w:rPr>
    </w:lvl>
    <w:lvl w:ilvl="7">
      <w:start w:val="0"/>
      <w:numFmt w:val="bullet"/>
      <w:lvlText w:val="•"/>
      <w:lvlJc w:val="left"/>
      <w:pPr>
        <w:ind w:left="7338" w:hanging="567"/>
      </w:pPr>
      <w:rPr>
        <w:rFonts w:hint="default"/>
        <w:lang w:val="en-US" w:eastAsia="en-US" w:bidi="ar-SA"/>
      </w:rPr>
    </w:lvl>
    <w:lvl w:ilvl="8">
      <w:start w:val="0"/>
      <w:numFmt w:val="bullet"/>
      <w:lvlText w:val="•"/>
      <w:lvlJc w:val="left"/>
      <w:pPr>
        <w:ind w:left="8261" w:hanging="567"/>
      </w:pPr>
      <w:rPr>
        <w:rFonts w:hint="default"/>
        <w:lang w:val="en-US" w:eastAsia="en-US" w:bidi="ar-SA"/>
      </w:rPr>
    </w:lvl>
  </w:abstractNum>
  <w:abstractNum w:abstractNumId="6">
    <w:multiLevelType w:val="hybridMultilevel"/>
    <w:lvl w:ilvl="0">
      <w:start w:val="12"/>
      <w:numFmt w:val="decimal"/>
      <w:lvlText w:val="%1"/>
      <w:lvlJc w:val="left"/>
      <w:pPr>
        <w:ind w:left="1590" w:hanging="711"/>
        <w:jc w:val="left"/>
      </w:pPr>
      <w:rPr>
        <w:rFonts w:hint="default"/>
        <w:lang w:val="en-US" w:eastAsia="en-US" w:bidi="ar-SA"/>
      </w:rPr>
    </w:lvl>
    <w:lvl w:ilvl="1">
      <w:start w:val="2"/>
      <w:numFmt w:val="decimal"/>
      <w:lvlText w:val="%1.%2"/>
      <w:lvlJc w:val="left"/>
      <w:pPr>
        <w:ind w:left="1590" w:hanging="711"/>
        <w:jc w:val="left"/>
      </w:pPr>
      <w:rPr>
        <w:rFonts w:hint="default"/>
        <w:lang w:val="en-US" w:eastAsia="en-US" w:bidi="ar-SA"/>
      </w:rPr>
    </w:lvl>
    <w:lvl w:ilvl="2">
      <w:start w:val="3"/>
      <w:numFmt w:val="decimal"/>
      <w:lvlText w:val="%1.%2.%3"/>
      <w:lvlJc w:val="left"/>
      <w:pPr>
        <w:ind w:left="1590" w:hanging="711"/>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4151" w:hanging="711"/>
      </w:pPr>
      <w:rPr>
        <w:rFonts w:hint="default"/>
        <w:lang w:val="en-US" w:eastAsia="en-US" w:bidi="ar-SA"/>
      </w:rPr>
    </w:lvl>
    <w:lvl w:ilvl="4">
      <w:start w:val="0"/>
      <w:numFmt w:val="bullet"/>
      <w:lvlText w:val="•"/>
      <w:lvlJc w:val="left"/>
      <w:pPr>
        <w:ind w:left="5002" w:hanging="711"/>
      </w:pPr>
      <w:rPr>
        <w:rFonts w:hint="default"/>
        <w:lang w:val="en-US" w:eastAsia="en-US" w:bidi="ar-SA"/>
      </w:rPr>
    </w:lvl>
    <w:lvl w:ilvl="5">
      <w:start w:val="0"/>
      <w:numFmt w:val="bullet"/>
      <w:lvlText w:val="•"/>
      <w:lvlJc w:val="left"/>
      <w:pPr>
        <w:ind w:left="5853" w:hanging="711"/>
      </w:pPr>
      <w:rPr>
        <w:rFonts w:hint="default"/>
        <w:lang w:val="en-US" w:eastAsia="en-US" w:bidi="ar-SA"/>
      </w:rPr>
    </w:lvl>
    <w:lvl w:ilvl="6">
      <w:start w:val="0"/>
      <w:numFmt w:val="bullet"/>
      <w:lvlText w:val="•"/>
      <w:lvlJc w:val="left"/>
      <w:pPr>
        <w:ind w:left="6703" w:hanging="711"/>
      </w:pPr>
      <w:rPr>
        <w:rFonts w:hint="default"/>
        <w:lang w:val="en-US" w:eastAsia="en-US" w:bidi="ar-SA"/>
      </w:rPr>
    </w:lvl>
    <w:lvl w:ilvl="7">
      <w:start w:val="0"/>
      <w:numFmt w:val="bullet"/>
      <w:lvlText w:val="•"/>
      <w:lvlJc w:val="left"/>
      <w:pPr>
        <w:ind w:left="7554" w:hanging="711"/>
      </w:pPr>
      <w:rPr>
        <w:rFonts w:hint="default"/>
        <w:lang w:val="en-US" w:eastAsia="en-US" w:bidi="ar-SA"/>
      </w:rPr>
    </w:lvl>
    <w:lvl w:ilvl="8">
      <w:start w:val="0"/>
      <w:numFmt w:val="bullet"/>
      <w:lvlText w:val="•"/>
      <w:lvlJc w:val="left"/>
      <w:pPr>
        <w:ind w:left="8405" w:hanging="711"/>
      </w:pPr>
      <w:rPr>
        <w:rFonts w:hint="default"/>
        <w:lang w:val="en-US" w:eastAsia="en-US" w:bidi="ar-SA"/>
      </w:rPr>
    </w:lvl>
  </w:abstractNum>
  <w:abstractNum w:abstractNumId="5">
    <w:multiLevelType w:val="hybridMultilevel"/>
    <w:lvl w:ilvl="0">
      <w:start w:val="11"/>
      <w:numFmt w:val="decimal"/>
      <w:lvlText w:val="%1"/>
      <w:lvlJc w:val="left"/>
      <w:pPr>
        <w:ind w:left="879" w:hanging="567"/>
        <w:jc w:val="left"/>
      </w:pPr>
      <w:rPr>
        <w:rFonts w:hint="default"/>
        <w:lang w:val="en-US" w:eastAsia="en-US" w:bidi="ar-SA"/>
      </w:rPr>
    </w:lvl>
    <w:lvl w:ilvl="1">
      <w:start w:val="2"/>
      <w:numFmt w:val="decimal"/>
      <w:lvlText w:val="%1.%2"/>
      <w:lvlJc w:val="left"/>
      <w:pPr>
        <w:ind w:left="879" w:hanging="567"/>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2725" w:hanging="567"/>
      </w:pPr>
      <w:rPr>
        <w:rFonts w:hint="default"/>
        <w:lang w:val="en-US" w:eastAsia="en-US" w:bidi="ar-SA"/>
      </w:rPr>
    </w:lvl>
    <w:lvl w:ilvl="3">
      <w:start w:val="0"/>
      <w:numFmt w:val="bullet"/>
      <w:lvlText w:val="•"/>
      <w:lvlJc w:val="left"/>
      <w:pPr>
        <w:ind w:left="3647" w:hanging="567"/>
      </w:pPr>
      <w:rPr>
        <w:rFonts w:hint="default"/>
        <w:lang w:val="en-US" w:eastAsia="en-US" w:bidi="ar-SA"/>
      </w:rPr>
    </w:lvl>
    <w:lvl w:ilvl="4">
      <w:start w:val="0"/>
      <w:numFmt w:val="bullet"/>
      <w:lvlText w:val="•"/>
      <w:lvlJc w:val="left"/>
      <w:pPr>
        <w:ind w:left="4570" w:hanging="567"/>
      </w:pPr>
      <w:rPr>
        <w:rFonts w:hint="default"/>
        <w:lang w:val="en-US" w:eastAsia="en-US" w:bidi="ar-SA"/>
      </w:rPr>
    </w:lvl>
    <w:lvl w:ilvl="5">
      <w:start w:val="0"/>
      <w:numFmt w:val="bullet"/>
      <w:lvlText w:val="•"/>
      <w:lvlJc w:val="left"/>
      <w:pPr>
        <w:ind w:left="5493" w:hanging="567"/>
      </w:pPr>
      <w:rPr>
        <w:rFonts w:hint="default"/>
        <w:lang w:val="en-US" w:eastAsia="en-US" w:bidi="ar-SA"/>
      </w:rPr>
    </w:lvl>
    <w:lvl w:ilvl="6">
      <w:start w:val="0"/>
      <w:numFmt w:val="bullet"/>
      <w:lvlText w:val="•"/>
      <w:lvlJc w:val="left"/>
      <w:pPr>
        <w:ind w:left="6415" w:hanging="567"/>
      </w:pPr>
      <w:rPr>
        <w:rFonts w:hint="default"/>
        <w:lang w:val="en-US" w:eastAsia="en-US" w:bidi="ar-SA"/>
      </w:rPr>
    </w:lvl>
    <w:lvl w:ilvl="7">
      <w:start w:val="0"/>
      <w:numFmt w:val="bullet"/>
      <w:lvlText w:val="•"/>
      <w:lvlJc w:val="left"/>
      <w:pPr>
        <w:ind w:left="7338" w:hanging="567"/>
      </w:pPr>
      <w:rPr>
        <w:rFonts w:hint="default"/>
        <w:lang w:val="en-US" w:eastAsia="en-US" w:bidi="ar-SA"/>
      </w:rPr>
    </w:lvl>
    <w:lvl w:ilvl="8">
      <w:start w:val="0"/>
      <w:numFmt w:val="bullet"/>
      <w:lvlText w:val="•"/>
      <w:lvlJc w:val="left"/>
      <w:pPr>
        <w:ind w:left="8261" w:hanging="567"/>
      </w:pPr>
      <w:rPr>
        <w:rFonts w:hint="default"/>
        <w:lang w:val="en-US" w:eastAsia="en-US" w:bidi="ar-SA"/>
      </w:rPr>
    </w:lvl>
  </w:abstractNum>
  <w:abstractNum w:abstractNumId="4">
    <w:multiLevelType w:val="hybridMultilevel"/>
    <w:lvl w:ilvl="0">
      <w:start w:val="10"/>
      <w:numFmt w:val="decimal"/>
      <w:lvlText w:val="%1"/>
      <w:lvlJc w:val="left"/>
      <w:pPr>
        <w:ind w:left="879" w:hanging="567"/>
        <w:jc w:val="left"/>
      </w:pPr>
      <w:rPr>
        <w:rFonts w:hint="default"/>
        <w:lang w:val="en-US" w:eastAsia="en-US" w:bidi="ar-SA"/>
      </w:rPr>
    </w:lvl>
    <w:lvl w:ilvl="1">
      <w:start w:val="2"/>
      <w:numFmt w:val="decimal"/>
      <w:lvlText w:val="%1.%2"/>
      <w:lvlJc w:val="left"/>
      <w:pPr>
        <w:ind w:left="879" w:hanging="567"/>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1.%2.%3"/>
      <w:lvlJc w:val="left"/>
      <w:pPr>
        <w:ind w:left="1590" w:hanging="711"/>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3490" w:hanging="711"/>
      </w:pPr>
      <w:rPr>
        <w:rFonts w:hint="default"/>
        <w:lang w:val="en-US" w:eastAsia="en-US" w:bidi="ar-SA"/>
      </w:rPr>
    </w:lvl>
    <w:lvl w:ilvl="4">
      <w:start w:val="0"/>
      <w:numFmt w:val="bullet"/>
      <w:lvlText w:val="•"/>
      <w:lvlJc w:val="left"/>
      <w:pPr>
        <w:ind w:left="4435" w:hanging="711"/>
      </w:pPr>
      <w:rPr>
        <w:rFonts w:hint="default"/>
        <w:lang w:val="en-US" w:eastAsia="en-US" w:bidi="ar-SA"/>
      </w:rPr>
    </w:lvl>
    <w:lvl w:ilvl="5">
      <w:start w:val="0"/>
      <w:numFmt w:val="bullet"/>
      <w:lvlText w:val="•"/>
      <w:lvlJc w:val="left"/>
      <w:pPr>
        <w:ind w:left="5380" w:hanging="711"/>
      </w:pPr>
      <w:rPr>
        <w:rFonts w:hint="default"/>
        <w:lang w:val="en-US" w:eastAsia="en-US" w:bidi="ar-SA"/>
      </w:rPr>
    </w:lvl>
    <w:lvl w:ilvl="6">
      <w:start w:val="0"/>
      <w:numFmt w:val="bullet"/>
      <w:lvlText w:val="•"/>
      <w:lvlJc w:val="left"/>
      <w:pPr>
        <w:ind w:left="6325" w:hanging="711"/>
      </w:pPr>
      <w:rPr>
        <w:rFonts w:hint="default"/>
        <w:lang w:val="en-US" w:eastAsia="en-US" w:bidi="ar-SA"/>
      </w:rPr>
    </w:lvl>
    <w:lvl w:ilvl="7">
      <w:start w:val="0"/>
      <w:numFmt w:val="bullet"/>
      <w:lvlText w:val="•"/>
      <w:lvlJc w:val="left"/>
      <w:pPr>
        <w:ind w:left="7270" w:hanging="711"/>
      </w:pPr>
      <w:rPr>
        <w:rFonts w:hint="default"/>
        <w:lang w:val="en-US" w:eastAsia="en-US" w:bidi="ar-SA"/>
      </w:rPr>
    </w:lvl>
    <w:lvl w:ilvl="8">
      <w:start w:val="0"/>
      <w:numFmt w:val="bullet"/>
      <w:lvlText w:val="•"/>
      <w:lvlJc w:val="left"/>
      <w:pPr>
        <w:ind w:left="8216" w:hanging="711"/>
      </w:pPr>
      <w:rPr>
        <w:rFonts w:hint="default"/>
        <w:lang w:val="en-US" w:eastAsia="en-US" w:bidi="ar-SA"/>
      </w:rPr>
    </w:lvl>
  </w:abstractNum>
  <w:abstractNum w:abstractNumId="3">
    <w:multiLevelType w:val="hybridMultilevel"/>
    <w:lvl w:ilvl="0">
      <w:start w:val="10"/>
      <w:numFmt w:val="decimal"/>
      <w:lvlText w:val="%1"/>
      <w:lvlJc w:val="left"/>
      <w:pPr>
        <w:ind w:left="1590" w:hanging="711"/>
        <w:jc w:val="left"/>
      </w:pPr>
      <w:rPr>
        <w:rFonts w:hint="default"/>
        <w:lang w:val="en-US" w:eastAsia="en-US" w:bidi="ar-SA"/>
      </w:rPr>
    </w:lvl>
    <w:lvl w:ilvl="1">
      <w:start w:val="1"/>
      <w:numFmt w:val="decimal"/>
      <w:lvlText w:val="%1.%2"/>
      <w:lvlJc w:val="left"/>
      <w:pPr>
        <w:ind w:left="1590" w:hanging="711"/>
        <w:jc w:val="left"/>
      </w:pPr>
      <w:rPr>
        <w:rFonts w:hint="default"/>
        <w:lang w:val="en-US" w:eastAsia="en-US" w:bidi="ar-SA"/>
      </w:rPr>
    </w:lvl>
    <w:lvl w:ilvl="2">
      <w:start w:val="1"/>
      <w:numFmt w:val="decimal"/>
      <w:lvlText w:val="%1.%2.%3"/>
      <w:lvlJc w:val="left"/>
      <w:pPr>
        <w:ind w:left="1590" w:hanging="711"/>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4151" w:hanging="711"/>
      </w:pPr>
      <w:rPr>
        <w:rFonts w:hint="default"/>
        <w:lang w:val="en-US" w:eastAsia="en-US" w:bidi="ar-SA"/>
      </w:rPr>
    </w:lvl>
    <w:lvl w:ilvl="4">
      <w:start w:val="0"/>
      <w:numFmt w:val="bullet"/>
      <w:lvlText w:val="•"/>
      <w:lvlJc w:val="left"/>
      <w:pPr>
        <w:ind w:left="5002" w:hanging="711"/>
      </w:pPr>
      <w:rPr>
        <w:rFonts w:hint="default"/>
        <w:lang w:val="en-US" w:eastAsia="en-US" w:bidi="ar-SA"/>
      </w:rPr>
    </w:lvl>
    <w:lvl w:ilvl="5">
      <w:start w:val="0"/>
      <w:numFmt w:val="bullet"/>
      <w:lvlText w:val="•"/>
      <w:lvlJc w:val="left"/>
      <w:pPr>
        <w:ind w:left="5853" w:hanging="711"/>
      </w:pPr>
      <w:rPr>
        <w:rFonts w:hint="default"/>
        <w:lang w:val="en-US" w:eastAsia="en-US" w:bidi="ar-SA"/>
      </w:rPr>
    </w:lvl>
    <w:lvl w:ilvl="6">
      <w:start w:val="0"/>
      <w:numFmt w:val="bullet"/>
      <w:lvlText w:val="•"/>
      <w:lvlJc w:val="left"/>
      <w:pPr>
        <w:ind w:left="6703" w:hanging="711"/>
      </w:pPr>
      <w:rPr>
        <w:rFonts w:hint="default"/>
        <w:lang w:val="en-US" w:eastAsia="en-US" w:bidi="ar-SA"/>
      </w:rPr>
    </w:lvl>
    <w:lvl w:ilvl="7">
      <w:start w:val="0"/>
      <w:numFmt w:val="bullet"/>
      <w:lvlText w:val="•"/>
      <w:lvlJc w:val="left"/>
      <w:pPr>
        <w:ind w:left="7554" w:hanging="711"/>
      </w:pPr>
      <w:rPr>
        <w:rFonts w:hint="default"/>
        <w:lang w:val="en-US" w:eastAsia="en-US" w:bidi="ar-SA"/>
      </w:rPr>
    </w:lvl>
    <w:lvl w:ilvl="8">
      <w:start w:val="0"/>
      <w:numFmt w:val="bullet"/>
      <w:lvlText w:val="•"/>
      <w:lvlJc w:val="left"/>
      <w:pPr>
        <w:ind w:left="8405" w:hanging="711"/>
      </w:pPr>
      <w:rPr>
        <w:rFonts w:hint="default"/>
        <w:lang w:val="en-US" w:eastAsia="en-US" w:bidi="ar-SA"/>
      </w:rPr>
    </w:lvl>
  </w:abstractNum>
  <w:abstractNum w:abstractNumId="2">
    <w:multiLevelType w:val="hybridMultilevel"/>
    <w:lvl w:ilvl="0">
      <w:start w:val="9"/>
      <w:numFmt w:val="decimal"/>
      <w:lvlText w:val="%1"/>
      <w:lvlJc w:val="left"/>
      <w:pPr>
        <w:ind w:left="879" w:hanging="567"/>
        <w:jc w:val="left"/>
      </w:pPr>
      <w:rPr>
        <w:rFonts w:hint="default"/>
        <w:lang w:val="en-US" w:eastAsia="en-US" w:bidi="ar-SA"/>
      </w:rPr>
    </w:lvl>
    <w:lvl w:ilvl="1">
      <w:start w:val="2"/>
      <w:numFmt w:val="decimal"/>
      <w:lvlText w:val="%1.%2"/>
      <w:lvlJc w:val="left"/>
      <w:pPr>
        <w:ind w:left="879" w:hanging="567"/>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1.%2.%3"/>
      <w:lvlJc w:val="left"/>
      <w:pPr>
        <w:ind w:left="1590" w:hanging="711"/>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3490" w:hanging="711"/>
      </w:pPr>
      <w:rPr>
        <w:rFonts w:hint="default"/>
        <w:lang w:val="en-US" w:eastAsia="en-US" w:bidi="ar-SA"/>
      </w:rPr>
    </w:lvl>
    <w:lvl w:ilvl="4">
      <w:start w:val="0"/>
      <w:numFmt w:val="bullet"/>
      <w:lvlText w:val="•"/>
      <w:lvlJc w:val="left"/>
      <w:pPr>
        <w:ind w:left="4435" w:hanging="711"/>
      </w:pPr>
      <w:rPr>
        <w:rFonts w:hint="default"/>
        <w:lang w:val="en-US" w:eastAsia="en-US" w:bidi="ar-SA"/>
      </w:rPr>
    </w:lvl>
    <w:lvl w:ilvl="5">
      <w:start w:val="0"/>
      <w:numFmt w:val="bullet"/>
      <w:lvlText w:val="•"/>
      <w:lvlJc w:val="left"/>
      <w:pPr>
        <w:ind w:left="5380" w:hanging="711"/>
      </w:pPr>
      <w:rPr>
        <w:rFonts w:hint="default"/>
        <w:lang w:val="en-US" w:eastAsia="en-US" w:bidi="ar-SA"/>
      </w:rPr>
    </w:lvl>
    <w:lvl w:ilvl="6">
      <w:start w:val="0"/>
      <w:numFmt w:val="bullet"/>
      <w:lvlText w:val="•"/>
      <w:lvlJc w:val="left"/>
      <w:pPr>
        <w:ind w:left="6325" w:hanging="711"/>
      </w:pPr>
      <w:rPr>
        <w:rFonts w:hint="default"/>
        <w:lang w:val="en-US" w:eastAsia="en-US" w:bidi="ar-SA"/>
      </w:rPr>
    </w:lvl>
    <w:lvl w:ilvl="7">
      <w:start w:val="0"/>
      <w:numFmt w:val="bullet"/>
      <w:lvlText w:val="•"/>
      <w:lvlJc w:val="left"/>
      <w:pPr>
        <w:ind w:left="7270" w:hanging="711"/>
      </w:pPr>
      <w:rPr>
        <w:rFonts w:hint="default"/>
        <w:lang w:val="en-US" w:eastAsia="en-US" w:bidi="ar-SA"/>
      </w:rPr>
    </w:lvl>
    <w:lvl w:ilvl="8">
      <w:start w:val="0"/>
      <w:numFmt w:val="bullet"/>
      <w:lvlText w:val="•"/>
      <w:lvlJc w:val="left"/>
      <w:pPr>
        <w:ind w:left="8216" w:hanging="711"/>
      </w:pPr>
      <w:rPr>
        <w:rFonts w:hint="default"/>
        <w:lang w:val="en-US" w:eastAsia="en-US" w:bidi="ar-SA"/>
      </w:rPr>
    </w:lvl>
  </w:abstractNum>
  <w:abstractNum w:abstractNumId="1">
    <w:multiLevelType w:val="hybridMultilevel"/>
    <w:lvl w:ilvl="0">
      <w:start w:val="8"/>
      <w:numFmt w:val="decimal"/>
      <w:lvlText w:val="%1"/>
      <w:lvlJc w:val="left"/>
      <w:pPr>
        <w:ind w:left="879" w:hanging="567"/>
        <w:jc w:val="left"/>
      </w:pPr>
      <w:rPr>
        <w:rFonts w:hint="default"/>
        <w:lang w:val="en-US" w:eastAsia="en-US" w:bidi="ar-SA"/>
      </w:rPr>
    </w:lvl>
    <w:lvl w:ilvl="1">
      <w:start w:val="2"/>
      <w:numFmt w:val="decimal"/>
      <w:lvlText w:val="%1.%2"/>
      <w:lvlJc w:val="left"/>
      <w:pPr>
        <w:ind w:left="879" w:hanging="567"/>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1.%2.%3"/>
      <w:lvlJc w:val="left"/>
      <w:pPr>
        <w:ind w:left="1590" w:hanging="711"/>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3490" w:hanging="711"/>
      </w:pPr>
      <w:rPr>
        <w:rFonts w:hint="default"/>
        <w:lang w:val="en-US" w:eastAsia="en-US" w:bidi="ar-SA"/>
      </w:rPr>
    </w:lvl>
    <w:lvl w:ilvl="4">
      <w:start w:val="0"/>
      <w:numFmt w:val="bullet"/>
      <w:lvlText w:val="•"/>
      <w:lvlJc w:val="left"/>
      <w:pPr>
        <w:ind w:left="4435" w:hanging="711"/>
      </w:pPr>
      <w:rPr>
        <w:rFonts w:hint="default"/>
        <w:lang w:val="en-US" w:eastAsia="en-US" w:bidi="ar-SA"/>
      </w:rPr>
    </w:lvl>
    <w:lvl w:ilvl="5">
      <w:start w:val="0"/>
      <w:numFmt w:val="bullet"/>
      <w:lvlText w:val="•"/>
      <w:lvlJc w:val="left"/>
      <w:pPr>
        <w:ind w:left="5380" w:hanging="711"/>
      </w:pPr>
      <w:rPr>
        <w:rFonts w:hint="default"/>
        <w:lang w:val="en-US" w:eastAsia="en-US" w:bidi="ar-SA"/>
      </w:rPr>
    </w:lvl>
    <w:lvl w:ilvl="6">
      <w:start w:val="0"/>
      <w:numFmt w:val="bullet"/>
      <w:lvlText w:val="•"/>
      <w:lvlJc w:val="left"/>
      <w:pPr>
        <w:ind w:left="6325" w:hanging="711"/>
      </w:pPr>
      <w:rPr>
        <w:rFonts w:hint="default"/>
        <w:lang w:val="en-US" w:eastAsia="en-US" w:bidi="ar-SA"/>
      </w:rPr>
    </w:lvl>
    <w:lvl w:ilvl="7">
      <w:start w:val="0"/>
      <w:numFmt w:val="bullet"/>
      <w:lvlText w:val="•"/>
      <w:lvlJc w:val="left"/>
      <w:pPr>
        <w:ind w:left="7270" w:hanging="711"/>
      </w:pPr>
      <w:rPr>
        <w:rFonts w:hint="default"/>
        <w:lang w:val="en-US" w:eastAsia="en-US" w:bidi="ar-SA"/>
      </w:rPr>
    </w:lvl>
    <w:lvl w:ilvl="8">
      <w:start w:val="0"/>
      <w:numFmt w:val="bullet"/>
      <w:lvlText w:val="•"/>
      <w:lvlJc w:val="left"/>
      <w:pPr>
        <w:ind w:left="8216" w:hanging="711"/>
      </w:pPr>
      <w:rPr>
        <w:rFonts w:hint="default"/>
        <w:lang w:val="en-US" w:eastAsia="en-US" w:bidi="ar-SA"/>
      </w:rPr>
    </w:lvl>
  </w:abstractNum>
  <w:abstractNum w:abstractNumId="0">
    <w:multiLevelType w:val="hybridMultilevel"/>
    <w:lvl w:ilvl="0">
      <w:start w:val="1"/>
      <w:numFmt w:val="decimal"/>
      <w:lvlText w:val="%1"/>
      <w:lvlJc w:val="left"/>
      <w:pPr>
        <w:ind w:left="879" w:hanging="567"/>
        <w:jc w:val="left"/>
      </w:pPr>
      <w:rPr>
        <w:rFonts w:hint="default" w:ascii="Arial" w:hAnsi="Arial" w:eastAsia="Arial" w:cs="Arial"/>
        <w:b/>
        <w:bCs/>
        <w:i w:val="0"/>
        <w:iCs w:val="0"/>
        <w:color w:val="001F5F"/>
        <w:spacing w:val="0"/>
        <w:w w:val="99"/>
        <w:sz w:val="20"/>
        <w:szCs w:val="20"/>
        <w:lang w:val="en-US" w:eastAsia="en-US" w:bidi="ar-SA"/>
      </w:rPr>
    </w:lvl>
    <w:lvl w:ilvl="1">
      <w:start w:val="1"/>
      <w:numFmt w:val="decimal"/>
      <w:lvlText w:val="%1.%2"/>
      <w:lvlJc w:val="left"/>
      <w:pPr>
        <w:ind w:left="879" w:hanging="567"/>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1.%2.%3"/>
      <w:lvlJc w:val="left"/>
      <w:pPr>
        <w:ind w:left="1590" w:hanging="711"/>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3490" w:hanging="711"/>
      </w:pPr>
      <w:rPr>
        <w:rFonts w:hint="default"/>
        <w:lang w:val="en-US" w:eastAsia="en-US" w:bidi="ar-SA"/>
      </w:rPr>
    </w:lvl>
    <w:lvl w:ilvl="4">
      <w:start w:val="0"/>
      <w:numFmt w:val="bullet"/>
      <w:lvlText w:val="•"/>
      <w:lvlJc w:val="left"/>
      <w:pPr>
        <w:ind w:left="4435" w:hanging="711"/>
      </w:pPr>
      <w:rPr>
        <w:rFonts w:hint="default"/>
        <w:lang w:val="en-US" w:eastAsia="en-US" w:bidi="ar-SA"/>
      </w:rPr>
    </w:lvl>
    <w:lvl w:ilvl="5">
      <w:start w:val="0"/>
      <w:numFmt w:val="bullet"/>
      <w:lvlText w:val="•"/>
      <w:lvlJc w:val="left"/>
      <w:pPr>
        <w:ind w:left="5380" w:hanging="711"/>
      </w:pPr>
      <w:rPr>
        <w:rFonts w:hint="default"/>
        <w:lang w:val="en-US" w:eastAsia="en-US" w:bidi="ar-SA"/>
      </w:rPr>
    </w:lvl>
    <w:lvl w:ilvl="6">
      <w:start w:val="0"/>
      <w:numFmt w:val="bullet"/>
      <w:lvlText w:val="•"/>
      <w:lvlJc w:val="left"/>
      <w:pPr>
        <w:ind w:left="6325" w:hanging="711"/>
      </w:pPr>
      <w:rPr>
        <w:rFonts w:hint="default"/>
        <w:lang w:val="en-US" w:eastAsia="en-US" w:bidi="ar-SA"/>
      </w:rPr>
    </w:lvl>
    <w:lvl w:ilvl="7">
      <w:start w:val="0"/>
      <w:numFmt w:val="bullet"/>
      <w:lvlText w:val="•"/>
      <w:lvlJc w:val="left"/>
      <w:pPr>
        <w:ind w:left="7270" w:hanging="711"/>
      </w:pPr>
      <w:rPr>
        <w:rFonts w:hint="default"/>
        <w:lang w:val="en-US" w:eastAsia="en-US" w:bidi="ar-SA"/>
      </w:rPr>
    </w:lvl>
    <w:lvl w:ilvl="8">
      <w:start w:val="0"/>
      <w:numFmt w:val="bullet"/>
      <w:lvlText w:val="•"/>
      <w:lvlJc w:val="left"/>
      <w:pPr>
        <w:ind w:left="8216" w:hanging="711"/>
      </w:pPr>
      <w:rPr>
        <w:rFonts w:hint="default"/>
        <w:lang w:val="en-US" w:eastAsia="en-US" w:bidi="ar-SA"/>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70"/>
      <w:ind w:left="879" w:hanging="567"/>
    </w:pPr>
    <w:rPr>
      <w:rFonts w:ascii="Arial" w:hAnsi="Arial" w:eastAsia="Arial" w:cs="Arial"/>
      <w:b/>
      <w:bCs/>
      <w:sz w:val="20"/>
      <w:szCs w:val="20"/>
      <w:lang w:val="en-US" w:eastAsia="en-US" w:bidi="ar-SA"/>
    </w:rPr>
  </w:style>
  <w:style w:styleId="TOC2" w:type="paragraph">
    <w:name w:val="TOC 2"/>
    <w:basedOn w:val="Normal"/>
    <w:uiPriority w:val="1"/>
    <w:qFormat/>
    <w:pPr>
      <w:spacing w:before="60"/>
      <w:ind w:left="876" w:hanging="564"/>
    </w:pPr>
    <w:rPr>
      <w:rFonts w:ascii="Arial" w:hAnsi="Arial" w:eastAsia="Arial" w:cs="Arial"/>
      <w:sz w:val="20"/>
      <w:szCs w:val="20"/>
      <w:lang w:val="en-US" w:eastAsia="en-US" w:bidi="ar-SA"/>
    </w:rPr>
  </w:style>
  <w:style w:styleId="TOC3" w:type="paragraph">
    <w:name w:val="TOC 3"/>
    <w:basedOn w:val="Normal"/>
    <w:uiPriority w:val="1"/>
    <w:qFormat/>
    <w:pPr>
      <w:spacing w:before="121"/>
      <w:ind w:left="1589" w:hanging="710"/>
    </w:pPr>
    <w:rPr>
      <w:rFonts w:ascii="Arial" w:hAnsi="Arial" w:eastAsia="Arial" w:cs="Arial"/>
      <w:sz w:val="20"/>
      <w:szCs w:val="20"/>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73"/>
      <w:ind w:left="312"/>
      <w:outlineLvl w:val="1"/>
    </w:pPr>
    <w:rPr>
      <w:rFonts w:ascii="Arial" w:hAnsi="Arial" w:eastAsia="Arial" w:cs="Arial"/>
      <w:sz w:val="40"/>
      <w:szCs w:val="40"/>
      <w:lang w:val="en-US" w:eastAsia="en-US" w:bidi="ar-SA"/>
    </w:rPr>
  </w:style>
  <w:style w:styleId="Heading2" w:type="paragraph">
    <w:name w:val="Heading 2"/>
    <w:basedOn w:val="Normal"/>
    <w:uiPriority w:val="1"/>
    <w:qFormat/>
    <w:pPr>
      <w:spacing w:before="61"/>
      <w:ind w:left="679" w:hanging="567"/>
      <w:outlineLvl w:val="2"/>
    </w:pPr>
    <w:rPr>
      <w:rFonts w:ascii="Arial" w:hAnsi="Arial" w:eastAsia="Arial" w:cs="Arial"/>
      <w:b/>
      <w:bCs/>
      <w:sz w:val="32"/>
      <w:szCs w:val="32"/>
      <w:lang w:val="en-US" w:eastAsia="en-US" w:bidi="ar-SA"/>
    </w:rPr>
  </w:style>
  <w:style w:styleId="Heading3" w:type="paragraph">
    <w:name w:val="Heading 3"/>
    <w:basedOn w:val="Normal"/>
    <w:uiPriority w:val="1"/>
    <w:qFormat/>
    <w:pPr>
      <w:ind w:left="686" w:hanging="574"/>
      <w:outlineLvl w:val="3"/>
    </w:pPr>
    <w:rPr>
      <w:rFonts w:ascii="Arial" w:hAnsi="Arial" w:eastAsia="Arial" w:cs="Arial"/>
      <w:b/>
      <w:bCs/>
      <w:sz w:val="24"/>
      <w:szCs w:val="24"/>
      <w:lang w:val="en-US" w:eastAsia="en-US" w:bidi="ar-SA"/>
    </w:rPr>
  </w:style>
  <w:style w:styleId="Heading4" w:type="paragraph">
    <w:name w:val="Heading 4"/>
    <w:basedOn w:val="Normal"/>
    <w:uiPriority w:val="1"/>
    <w:qFormat/>
    <w:pPr>
      <w:spacing w:line="264" w:lineRule="exact"/>
      <w:ind w:left="20"/>
      <w:outlineLvl w:val="4"/>
    </w:pPr>
    <w:rPr>
      <w:rFonts w:ascii="Calibri" w:hAnsi="Calibri" w:eastAsia="Calibri" w:cs="Calibri"/>
      <w:sz w:val="24"/>
      <w:szCs w:val="24"/>
      <w:lang w:val="en-US" w:eastAsia="en-US" w:bidi="ar-SA"/>
    </w:rPr>
  </w:style>
  <w:style w:styleId="Heading5" w:type="paragraph">
    <w:name w:val="Heading 5"/>
    <w:basedOn w:val="Normal"/>
    <w:uiPriority w:val="1"/>
    <w:qFormat/>
    <w:pPr>
      <w:spacing w:before="141"/>
      <w:ind w:left="831" w:hanging="719"/>
      <w:outlineLvl w:val="5"/>
    </w:pPr>
    <w:rPr>
      <w:rFonts w:ascii="Arial" w:hAnsi="Arial" w:eastAsia="Arial" w:cs="Arial"/>
      <w:b/>
      <w:bCs/>
      <w:sz w:val="22"/>
      <w:szCs w:val="22"/>
      <w:lang w:val="en-US" w:eastAsia="en-US" w:bidi="ar-SA"/>
    </w:rPr>
  </w:style>
  <w:style w:styleId="Heading6" w:type="paragraph">
    <w:name w:val="Heading 6"/>
    <w:basedOn w:val="Normal"/>
    <w:uiPriority w:val="1"/>
    <w:qFormat/>
    <w:pPr>
      <w:spacing w:before="57"/>
      <w:ind w:left="112"/>
      <w:outlineLvl w:val="6"/>
    </w:pPr>
    <w:rPr>
      <w:rFonts w:ascii="Arial" w:hAnsi="Arial" w:eastAsia="Arial" w:cs="Arial"/>
      <w:b/>
      <w:bCs/>
      <w:i/>
      <w:iCs/>
      <w:sz w:val="22"/>
      <w:szCs w:val="22"/>
      <w:lang w:val="en-US" w:eastAsia="en-US" w:bidi="ar-SA"/>
    </w:rPr>
  </w:style>
  <w:style w:styleId="Heading7" w:type="paragraph">
    <w:name w:val="Heading 7"/>
    <w:basedOn w:val="Normal"/>
    <w:uiPriority w:val="1"/>
    <w:qFormat/>
    <w:pPr>
      <w:spacing w:before="65"/>
      <w:ind w:left="112"/>
      <w:outlineLvl w:val="7"/>
    </w:pPr>
    <w:rPr>
      <w:rFonts w:ascii="Arial" w:hAnsi="Arial" w:eastAsia="Arial" w:cs="Arial"/>
      <w:b/>
      <w:bCs/>
      <w:sz w:val="20"/>
      <w:szCs w:val="20"/>
      <w:lang w:val="en-US" w:eastAsia="en-US" w:bidi="ar-SA"/>
    </w:rPr>
  </w:style>
  <w:style w:styleId="Title" w:type="paragraph">
    <w:name w:val="Title"/>
    <w:basedOn w:val="Normal"/>
    <w:uiPriority w:val="1"/>
    <w:qFormat/>
    <w:pPr>
      <w:ind w:left="312"/>
      <w:jc w:val="both"/>
    </w:pPr>
    <w:rPr>
      <w:rFonts w:ascii="Arial" w:hAnsi="Arial" w:eastAsia="Arial" w:cs="Arial"/>
      <w:b/>
      <w:bCs/>
      <w:sz w:val="48"/>
      <w:szCs w:val="48"/>
      <w:lang w:val="en-US" w:eastAsia="en-US" w:bidi="ar-SA"/>
    </w:rPr>
  </w:style>
  <w:style w:styleId="ListParagraph" w:type="paragraph">
    <w:name w:val="List Paragraph"/>
    <w:basedOn w:val="Normal"/>
    <w:uiPriority w:val="1"/>
    <w:qFormat/>
    <w:pPr>
      <w:ind w:left="831" w:hanging="567"/>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hyperlink" Target="http://www.ari.vic.gov.au/" TargetMode="External"/><Relationship Id="rId16" Type="http://schemas.openxmlformats.org/officeDocument/2006/relationships/image" Target="media/image10.png"/><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hyperlink" Target="https://pestsmart.org.au/" TargetMode="External"/><Relationship Id="rId20" Type="http://schemas.openxmlformats.org/officeDocument/2006/relationships/hyperlink" Target="https://agriculture.vic.gov.au/biosecurity/pest-animals" TargetMode="External"/><Relationship Id="rId21" Type="http://schemas.openxmlformats.org/officeDocument/2006/relationships/hyperlink" Target="https://agriculture.vic.gov.au/biosecurity/pest-animals/invasive-animal-management/integrated-rabbit-control" TargetMode="External"/><Relationship Id="rId22" Type="http://schemas.openxmlformats.org/officeDocument/2006/relationships/hyperlink" Target="https://pestsmart.org.au/wp-content/uploads/sites/3/2020/09/CISS-Glovebox-Guide-Rabbit-web.pdf" TargetMode="External"/><Relationship Id="rId23" Type="http://schemas.openxmlformats.org/officeDocument/2006/relationships/hyperlink" Target="http://www.rba.gov.au/calculator/annualDecimal.html" TargetMode="External"/><Relationship Id="rId24" Type="http://schemas.openxmlformats.org/officeDocument/2006/relationships/hyperlink" Target="https://agriculture.vic.gov.au/biosecurity/pest-animals/established-pest-animal-species" TargetMode="External"/><Relationship Id="rId25" Type="http://schemas.openxmlformats.org/officeDocument/2006/relationships/hyperlink" Target="https://agriculture.vic.gov.au/biosecurity/pest-animals/invasive-animal-management/integrated-feral-pig-control" TargetMode="External"/><Relationship Id="rId26" Type="http://schemas.openxmlformats.org/officeDocument/2006/relationships/hyperlink" Target="https://pestsmart.org.au/wp-content/uploads/sites/3/2020/09/CISS-Glovebox-Guide-Pig-web.pdf" TargetMode="External"/><Relationship Id="rId27" Type="http://schemas.openxmlformats.org/officeDocument/2006/relationships/hyperlink" Target="https://agriculture.vic.gov.au/biosecurity/pest-animals/invasive-animal-management/integrated-fox-control" TargetMode="External"/><Relationship Id="rId28" Type="http://schemas.openxmlformats.org/officeDocument/2006/relationships/hyperlink" Target="https://pestsmart.org.au/wp-content/uploads/sites/3/2021/03/CISS-Glovebox-Guide-Fox-web.pdf" TargetMode="External"/><Relationship Id="rId29" Type="http://schemas.openxmlformats.org/officeDocument/2006/relationships/hyperlink" Target="https://www.wildlife.vic.gov.au/__data/assets/pdf_file/0028/722971/wild-dog-program-summaries.pdf" TargetMode="Externa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footer" Target="footer6.xml"/><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footer" Target="footer9.xml"/><Relationship Id="rId36" Type="http://schemas.openxmlformats.org/officeDocument/2006/relationships/footer" Target="footer10.xml"/><Relationship Id="rId37" Type="http://schemas.openxmlformats.org/officeDocument/2006/relationships/image" Target="media/image11.jpeg"/><Relationship Id="rId38" Type="http://schemas.openxmlformats.org/officeDocument/2006/relationships/image" Target="media/image12.jpeg"/><Relationship Id="rId39" Type="http://schemas.openxmlformats.org/officeDocument/2006/relationships/image" Target="media/image13.jpeg"/><Relationship Id="rId40" Type="http://schemas.openxmlformats.org/officeDocument/2006/relationships/image" Target="media/image14.jpeg"/><Relationship Id="rId41" Type="http://schemas.openxmlformats.org/officeDocument/2006/relationships/image" Target="media/image15.jpeg"/><Relationship Id="rId42" Type="http://schemas.openxmlformats.org/officeDocument/2006/relationships/footer" Target="footer11.xml"/><Relationship Id="rId43" Type="http://schemas.openxmlformats.org/officeDocument/2006/relationships/footer" Target="footer12.xml"/><Relationship Id="rId44" Type="http://schemas.openxmlformats.org/officeDocument/2006/relationships/footer" Target="footer13.xml"/><Relationship Id="rId45" Type="http://schemas.openxmlformats.org/officeDocument/2006/relationships/footer" Target="footer14.xml"/><Relationship Id="rId46" Type="http://schemas.openxmlformats.org/officeDocument/2006/relationships/footer" Target="footer15.xml"/><Relationship Id="rId47" Type="http://schemas.openxmlformats.org/officeDocument/2006/relationships/footer" Target="footer16.xml"/><Relationship Id="rId48" Type="http://schemas.openxmlformats.org/officeDocument/2006/relationships/footer" Target="footer17.xml"/><Relationship Id="rId49" Type="http://schemas.openxmlformats.org/officeDocument/2006/relationships/footer" Target="footer18.xml"/><Relationship Id="rId50" Type="http://schemas.openxmlformats.org/officeDocument/2006/relationships/image" Target="media/image16.jpeg"/><Relationship Id="rId51" Type="http://schemas.openxmlformats.org/officeDocument/2006/relationships/image" Target="media/image17.jpeg"/><Relationship Id="rId52" Type="http://schemas.openxmlformats.org/officeDocument/2006/relationships/hyperlink" Target="https://static1.squarespace.com/static/5a5ebfbed74cff30017f4e32/t/5b04e0998a922da81bbffc6b/1527046315060/CPE%2BDL%2BBooklet-Email.compressed.pdf" TargetMode="External"/><Relationship Id="rId53" Type="http://schemas.openxmlformats.org/officeDocument/2006/relationships/footer" Target="footer19.xml"/><Relationship Id="rId54" Type="http://schemas.openxmlformats.org/officeDocument/2006/relationships/footer" Target="footer20.xml"/><Relationship Id="rId55" Type="http://schemas.openxmlformats.org/officeDocument/2006/relationships/image" Target="media/image18.jpeg"/><Relationship Id="rId56" Type="http://schemas.openxmlformats.org/officeDocument/2006/relationships/image" Target="media/image19.jpeg"/><Relationship Id="rId57" Type="http://schemas.openxmlformats.org/officeDocument/2006/relationships/footer" Target="footer21.xml"/><Relationship Id="rId58" Type="http://schemas.openxmlformats.org/officeDocument/2006/relationships/footer" Target="footer22.xml"/><Relationship Id="rId59" Type="http://schemas.openxmlformats.org/officeDocument/2006/relationships/footer" Target="footer23.xml"/><Relationship Id="rId60" Type="http://schemas.openxmlformats.org/officeDocument/2006/relationships/footer" Target="footer24.xml"/><Relationship Id="rId61" Type="http://schemas.openxmlformats.org/officeDocument/2006/relationships/footer" Target="footer25.xml"/><Relationship Id="rId62" Type="http://schemas.openxmlformats.org/officeDocument/2006/relationships/footer" Target="footer26.xml"/><Relationship Id="rId63" Type="http://schemas.openxmlformats.org/officeDocument/2006/relationships/footer" Target="footer27.xml"/><Relationship Id="rId64" Type="http://schemas.openxmlformats.org/officeDocument/2006/relationships/footer" Target="footer28.xml"/><Relationship Id="rId65" Type="http://schemas.openxmlformats.org/officeDocument/2006/relationships/footer" Target="footer29.xml"/><Relationship Id="rId66" Type="http://schemas.openxmlformats.org/officeDocument/2006/relationships/footer" Target="footer30.xml"/><Relationship Id="rId67" Type="http://schemas.openxmlformats.org/officeDocument/2006/relationships/footer" Target="footer31.xml"/><Relationship Id="rId68" Type="http://schemas.openxmlformats.org/officeDocument/2006/relationships/footer" Target="footer32.xml"/><Relationship Id="rId69" Type="http://schemas.openxmlformats.org/officeDocument/2006/relationships/footer" Target="footer33.xml"/><Relationship Id="rId70" Type="http://schemas.openxmlformats.org/officeDocument/2006/relationships/footer" Target="footer34.xml"/><Relationship Id="rId71" Type="http://schemas.openxmlformats.org/officeDocument/2006/relationships/footer" Target="footer35.xml"/><Relationship Id="rId72" Type="http://schemas.openxmlformats.org/officeDocument/2006/relationships/footer" Target="footer36.xml"/><Relationship Id="rId73" Type="http://schemas.openxmlformats.org/officeDocument/2006/relationships/footer" Target="footer37.xml"/><Relationship Id="rId74" Type="http://schemas.openxmlformats.org/officeDocument/2006/relationships/footer" Target="footer38.xml"/><Relationship Id="rId75" Type="http://schemas.openxmlformats.org/officeDocument/2006/relationships/footer" Target="footer39.xml"/><Relationship Id="rId76" Type="http://schemas.openxmlformats.org/officeDocument/2006/relationships/footer" Target="footer40.xml"/><Relationship Id="rId77" Type="http://schemas.openxmlformats.org/officeDocument/2006/relationships/footer" Target="footer41.xml"/><Relationship Id="rId78" Type="http://schemas.openxmlformats.org/officeDocument/2006/relationships/hyperlink" Target="https://pestsmart.org.au/toolkit-resource/baiting-of-wild-dogs-with-papp/" TargetMode="External"/><Relationship Id="rId79" Type="http://schemas.openxmlformats.org/officeDocument/2006/relationships/hyperlink" Target="https://pestsmart.org.au/toolkit-resource/baiting-of-foxes-with-para-aminopropiophenone-papp/" TargetMode="External"/><Relationship Id="rId80" Type="http://schemas.openxmlformats.org/officeDocument/2006/relationships/footer" Target="footer42.xml"/><Relationship Id="rId81" Type="http://schemas.openxmlformats.org/officeDocument/2006/relationships/footer" Target="footer43.xml"/><Relationship Id="rId82" Type="http://schemas.openxmlformats.org/officeDocument/2006/relationships/hyperlink" Target="https://pestsmart.org.au/wp-content/uploads/sites/3/2020/07/pig_baiting_sodium_nitrite.pdf" TargetMode="External"/><Relationship Id="rId83" Type="http://schemas.openxmlformats.org/officeDocument/2006/relationships/hyperlink" Target="https://pestsmart.org.au/wp-content/uploads/sites/3/2020/07/rabbit_baiting_pindone.pdf" TargetMode="External"/><Relationship Id="rId84" Type="http://schemas.openxmlformats.org/officeDocument/2006/relationships/hyperlink" Target="https://pestsmart.org.au/toolkit-resource/diffusion-fumigation-of-rabbit-warrens/" TargetMode="External"/><Relationship Id="rId85" Type="http://schemas.openxmlformats.org/officeDocument/2006/relationships/hyperlink" Target="https://pestsmart.org.au/toolkit-resource/fumigation-of-fox-dens-using-carbon-monoxide/" TargetMode="External"/><Relationship Id="rId86" Type="http://schemas.openxmlformats.org/officeDocument/2006/relationships/hyperlink" Target="https://pestsmart.org.au/wp-content/uploads/sites/3/2020/07/rabbit_warren_destruction_ripping.pdf" TargetMode="External"/><Relationship Id="rId87" Type="http://schemas.openxmlformats.org/officeDocument/2006/relationships/hyperlink" Target="https://pestsmart.org.au/wp-content/uploads/sites/3/2020/07/rabbit_bait_delivery_RHDV-1.pdf" TargetMode="External"/><Relationship Id="rId88" Type="http://schemas.openxmlformats.org/officeDocument/2006/relationships/hyperlink" Target="https://agriculture.vic.gov.au/farm-management/chemicals/requirements-for-using-1080-and-PAPP-animal-bait/1080-and-papp-animal-bait" TargetMode="External"/><Relationship Id="rId89" Type="http://schemas.openxmlformats.org/officeDocument/2006/relationships/hyperlink" Target="https://agriculture.vic.gov.au/farm-management/chemicals/requirements-for-using-1080-and-PAPP-animal-bait/directions-for-use-of-1080-and-papp-bait-products" TargetMode="External"/><Relationship Id="rId90" Type="http://schemas.openxmlformats.org/officeDocument/2006/relationships/hyperlink" Target="https://animalcontrol.com.au/products/hoggone.(accessed" TargetMode="External"/><Relationship Id="rId91" Type="http://schemas.openxmlformats.org/officeDocument/2006/relationships/hyperlink" Target="http://dx.doi.org/10.1071/WR11135" TargetMode="External"/><Relationship Id="rId92" Type="http://schemas.openxmlformats.org/officeDocument/2006/relationships/hyperlink" Target="https://www.doc.govt.nz/about-us/statutory-and-advisory-bodies/nz-conservation-authority/submissions/1080-reassessment/" TargetMode="External"/><Relationship Id="rId93" Type="http://schemas.openxmlformats.org/officeDocument/2006/relationships/hyperlink" Target="http://www.npic.orst.edu/factsheets/sfgen.html" TargetMode="External"/><Relationship Id="rId94" Type="http://schemas.openxmlformats.org/officeDocument/2006/relationships/hyperlink" Target="http://dx.doi.org/10.1071/WR95066" TargetMode="External"/><Relationship Id="rId95" Type="http://schemas.openxmlformats.org/officeDocument/2006/relationships/hyperlink" Target="https://doi.org/10.1016/j.biocon.2024.110645" TargetMode="External"/><Relationship Id="rId96" Type="http://schemas.openxmlformats.org/officeDocument/2006/relationships/hyperlink" Target="https://pestsmart.org.au/wp-content/uploads/sites/3/2020/06/Economic-evaluation-of-the-role-of-bounties.pdf" TargetMode="External"/><Relationship Id="rId97" Type="http://schemas.openxmlformats.org/officeDocument/2006/relationships/hyperlink" Target="https://doi.org/10.1017/CBO9780511525797" TargetMode="External"/><Relationship Id="rId98" Type="http://schemas.openxmlformats.org/officeDocument/2006/relationships/hyperlink" Target="https://doi.org/10.1111/mam.12115" TargetMode="External"/><Relationship Id="rId99" Type="http://schemas.openxmlformats.org/officeDocument/2006/relationships/hyperlink" Target="https://www.dpi.nsw.gov.au/__data/assets/pdf_file/0006/178908/guard-animals.pdf" TargetMode="External"/><Relationship Id="rId100" Type="http://schemas.openxmlformats.org/officeDocument/2006/relationships/hyperlink" Target="https://digitalcommons.unl.edu/vpc11/20" TargetMode="External"/><Relationship Id="rId101" Type="http://schemas.openxmlformats.org/officeDocument/2006/relationships/hyperlink" Target="https://doi.org/10.3390/ani13030472" TargetMode="External"/><Relationship Id="rId102" Type="http://schemas.openxmlformats.org/officeDocument/2006/relationships/hyperlink" Target="https://doi.org/10.1071/WR24117" TargetMode="External"/><Relationship Id="rId103" Type="http://schemas.openxmlformats.org/officeDocument/2006/relationships/hyperlink" Target="https://doi.org/www.environmentalevidence.org/SR24.html" TargetMode="External"/><Relationship Id="rId104" Type="http://schemas.openxmlformats.org/officeDocument/2006/relationships/hyperlink" Target="http://www.hobbyfarms.com/livestock-and-pets/guard-donkeys.aspx" TargetMode="External"/><Relationship Id="rId105" Type="http://schemas.openxmlformats.org/officeDocument/2006/relationships/hyperlink" Target="https://doi.org/10.2307/3872549" TargetMode="External"/><Relationship Id="rId106" Type="http://schemas.openxmlformats.org/officeDocument/2006/relationships/hyperlink" Target="https://www.mla.com.au/globalassets/mla-corporate/prices--markets/documents/trends--analysis/sheep-projections/september-2024-update_mla-australian-sheep-industry-projections_0209242.pdf" TargetMode="External"/><Relationship Id="rId107" Type="http://schemas.openxmlformats.org/officeDocument/2006/relationships/hyperlink" Target="https://www.dpi.nsw.gov.au/__data/assets/pdf_file/0008/1396772/NSWFOX-SOP4-Fumigation-of-fox-dens-using-carbon-monoxide.PDF" TargetMode="External"/><Relationship Id="rId108" Type="http://schemas.openxmlformats.org/officeDocument/2006/relationships/hyperlink" Target="https://doi.org/10.1016/j.biocon.2009.11.028" TargetMode="External"/><Relationship Id="rId109" Type="http://schemas.openxmlformats.org/officeDocument/2006/relationships/hyperlink" Target="https://www.peta.org.au/living/1080-killer-poison-need-know/" TargetMode="External"/><Relationship Id="rId110" Type="http://schemas.openxmlformats.org/officeDocument/2006/relationships/hyperlink" Target="https://doi.org/10.3390/v15051159" TargetMode="External"/><Relationship Id="rId111" Type="http://schemas.openxmlformats.org/officeDocument/2006/relationships/hyperlink" Target="https://doi.org/10.1002/jwmg.851" TargetMode="External"/><Relationship Id="rId112" Type="http://schemas.openxmlformats.org/officeDocument/2006/relationships/hyperlink" Target="http://www.canids.org/occasionalpapers/" TargetMode="External"/><Relationship Id="rId113" Type="http://schemas.openxmlformats.org/officeDocument/2006/relationships/hyperlink" Target="https://cdpnews.net/wp-content/uploads/2023/11/cdpnews24_rigg_2022.pdf" TargetMode="External"/><Relationship Id="rId114" Type="http://schemas.openxmlformats.org/officeDocument/2006/relationships/hyperlink" Target="https://kb.rspca.org.au/%20knowledge-base/what-is-the-rspcasview-on-using-1080-for-pest-animalcontrol/" TargetMode="External"/><Relationship Id="rId115" Type="http://schemas.openxmlformats.org/officeDocument/2006/relationships/hyperlink" Target="https://pestsmart.org.au/%20toolkit-resource/poisoning-of-feral-pigs-with-sodium-fluroacetate-1080/" TargetMode="External"/><Relationship Id="rId116" Type="http://schemas.openxmlformats.org/officeDocument/2006/relationships/hyperlink" Target="https://pestsmart.org.au/toolkit-resource/trapping-of-feral-pigs/" TargetMode="External"/><Relationship Id="rId117" Type="http://schemas.openxmlformats.org/officeDocument/2006/relationships/hyperlink" Target="https://pestsmart.org.au/toolkit-resource/groundshooting-of-feral-pigs/" TargetMode="External"/><Relationship Id="rId118" Type="http://schemas.openxmlformats.org/officeDocument/2006/relationships/hyperlink" Target="https://pestsmart.org.au/wp-content/uploads/sites/3/2024/04/NATSOP-FOX004.pdf" TargetMode="External"/><Relationship Id="rId119" Type="http://schemas.openxmlformats.org/officeDocument/2006/relationships/hyperlink" Target="https://pestsmart.org.au/toolkit-resource/trapping-of-wild-dogs-using-padded-jaw-traps" TargetMode="External"/><Relationship Id="rId120" Type="http://schemas.openxmlformats.org/officeDocument/2006/relationships/hyperlink" Target="https://pestsmart.org.au/toolkit-resource/diffusionfumigation-of-rabbit-warrens/" TargetMode="External"/><Relationship Id="rId121" Type="http://schemas.openxmlformats.org/officeDocument/2006/relationships/hyperlink" Target="http://go.warwick.ac.uk/globalpadintercultural" TargetMode="External"/><Relationship Id="rId122" Type="http://schemas.openxmlformats.org/officeDocument/2006/relationships/hyperlink" Target="http://www/" TargetMode="External"/><Relationship Id="rId123" Type="http://schemas.openxmlformats.org/officeDocument/2006/relationships/hyperlink" Target="https://www.aphis.usda.gov/sites/default/files/al-2019-sodium-nitrite-feral-swine-final-ea.pdf" TargetMode="External"/><Relationship Id="rId124" Type="http://schemas.openxmlformats.org/officeDocument/2006/relationships/hyperlink" Target="https://doi.org/10.1093/evlett/qrae057" TargetMode="External"/><Relationship Id="rId125" Type="http://schemas.openxmlformats.org/officeDocument/2006/relationships/footer" Target="footer44.xml"/><Relationship Id="rId126" Type="http://schemas.openxmlformats.org/officeDocument/2006/relationships/footer" Target="footer45.xml"/><Relationship Id="rId127" Type="http://schemas.openxmlformats.org/officeDocument/2006/relationships/footer" Target="footer46.xml"/><Relationship Id="rId128" Type="http://schemas.openxmlformats.org/officeDocument/2006/relationships/footer" Target="footer47.xml"/><Relationship Id="rId129" Type="http://schemas.openxmlformats.org/officeDocument/2006/relationships/hyperlink" Target="http://www.delwp.vic.gov.au/" TargetMode="External"/><Relationship Id="rId1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Lindy F Lumsden (DELWP)</dc:creator>
  <dc:title>1080 review</dc:title>
  <dcterms:created xsi:type="dcterms:W3CDTF">2025-09-10T06:18:42Z</dcterms:created>
  <dcterms:modified xsi:type="dcterms:W3CDTF">2025-09-10T06:18:42Z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Microsoft® Word for Microsoft 365</vt:lpwstr>
  </property>
  <property fmtid="{D5CDD505-2E9C-101B-9397-08002B2CF9AE}" pid="4" name="LastSaved">
    <vt:filetime>2025-09-10T00:00:00Z</vt:filetime>
  </property>
  <property fmtid="{D5CDD505-2E9C-101B-9397-08002B2CF9AE}" pid="5" name="MSIP_Label_4257e2ab-f512-40e2-9c9a-c64247360765_ActionId">
    <vt:lpwstr>5e1b7eb0-5ee6-4127-97ec-4bd4876e6fd3</vt:lpwstr>
  </property>
  <property fmtid="{D5CDD505-2E9C-101B-9397-08002B2CF9AE}" pid="6" name="MSIP_Label_4257e2ab-f512-40e2-9c9a-c64247360765_ContentBits">
    <vt:lpwstr>2</vt:lpwstr>
  </property>
  <property fmtid="{D5CDD505-2E9C-101B-9397-08002B2CF9AE}" pid="7" name="MSIP_Label_4257e2ab-f512-40e2-9c9a-c64247360765_Enabled">
    <vt:lpwstr>true</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etDate">
    <vt:lpwstr>2023-07-12T13:54:21Z</vt:lpwstr>
  </property>
  <property fmtid="{D5CDD505-2E9C-101B-9397-08002B2CF9AE}" pid="11" name="MSIP_Label_4257e2ab-f512-40e2-9c9a-c64247360765_SiteId">
    <vt:lpwstr>e8bdd6f7-fc18-4e48-a554-7f547927223b</vt:lpwstr>
  </property>
  <property fmtid="{D5CDD505-2E9C-101B-9397-08002B2CF9AE}" pid="12" name="Producer">
    <vt:lpwstr>Microsoft® Word for Microsoft 365</vt:lpwstr>
  </property>
</Properties>
</file>