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0C756" w14:textId="77777777" w:rsidR="001938B2" w:rsidRPr="005E67B1" w:rsidRDefault="001938B2" w:rsidP="001938B2">
      <w:pPr>
        <w:spacing w:before="100" w:beforeAutospacing="1" w:after="140"/>
        <w:ind w:left="720"/>
        <w:rPr>
          <w:rFonts w:cs="Arial"/>
          <w:b/>
          <w:bCs/>
          <w:sz w:val="40"/>
          <w:szCs w:val="40"/>
        </w:rPr>
      </w:pPr>
      <w:r w:rsidRPr="005E67B1">
        <w:rPr>
          <w:rFonts w:cs="Arial"/>
          <w:b/>
          <w:bCs/>
          <w:sz w:val="40"/>
          <w:szCs w:val="40"/>
        </w:rPr>
        <w:t>Medicinal Cannabis:</w:t>
      </w:r>
    </w:p>
    <w:p w14:paraId="7A6C011C" w14:textId="77777777" w:rsidR="001938B2" w:rsidRPr="005E67B1" w:rsidRDefault="001938B2" w:rsidP="001938B2">
      <w:pPr>
        <w:spacing w:before="100" w:beforeAutospacing="1" w:after="140"/>
        <w:ind w:left="720"/>
        <w:rPr>
          <w:rFonts w:cs="Arial"/>
          <w:b/>
          <w:bCs/>
          <w:sz w:val="40"/>
          <w:szCs w:val="40"/>
        </w:rPr>
      </w:pPr>
      <w:r w:rsidRPr="005E67B1">
        <w:rPr>
          <w:rFonts w:cs="Arial"/>
          <w:b/>
          <w:bCs/>
          <w:sz w:val="40"/>
          <w:szCs w:val="40"/>
        </w:rPr>
        <w:t>Industry development modelling</w:t>
      </w:r>
    </w:p>
    <w:p w14:paraId="1C738B55" w14:textId="77777777" w:rsidR="001938B2" w:rsidRPr="005E67B1" w:rsidRDefault="001938B2" w:rsidP="001938B2">
      <w:pPr>
        <w:spacing w:before="100" w:beforeAutospacing="1" w:after="140"/>
        <w:ind w:left="720"/>
        <w:rPr>
          <w:rFonts w:cs="Arial"/>
        </w:rPr>
      </w:pPr>
      <w:r w:rsidRPr="005E67B1">
        <w:rPr>
          <w:rFonts w:cs="Arial"/>
        </w:rPr>
        <w:t>Summary Report</w:t>
      </w:r>
    </w:p>
    <w:p w14:paraId="17B4EE9C" w14:textId="77777777" w:rsidR="001938B2" w:rsidRPr="005E67B1" w:rsidRDefault="001938B2" w:rsidP="001938B2">
      <w:pPr>
        <w:spacing w:before="100" w:beforeAutospacing="1" w:after="140"/>
        <w:ind w:left="720"/>
        <w:rPr>
          <w:rFonts w:cs="Arial"/>
        </w:rPr>
      </w:pPr>
      <w:r w:rsidRPr="005E67B1">
        <w:rPr>
          <w:rFonts w:cs="Arial"/>
        </w:rPr>
        <w:t>Deloitte Access Economics</w:t>
      </w:r>
    </w:p>
    <w:p w14:paraId="13328907" w14:textId="77777777" w:rsidR="001938B2" w:rsidRPr="005E67B1" w:rsidRDefault="001938B2" w:rsidP="001938B2">
      <w:pPr>
        <w:spacing w:before="100" w:beforeAutospacing="1" w:after="140"/>
        <w:ind w:left="720"/>
        <w:rPr>
          <w:rFonts w:cs="Arial"/>
        </w:rPr>
      </w:pPr>
      <w:r w:rsidRPr="005E67B1">
        <w:rPr>
          <w:rFonts w:cs="Arial"/>
        </w:rPr>
        <w:t>Agriculture Victoria, Department of Jobs, Precincts and Regions</w:t>
      </w:r>
    </w:p>
    <w:p w14:paraId="14BF876B" w14:textId="77777777" w:rsidR="001938B2" w:rsidRPr="005E67B1" w:rsidRDefault="001938B2" w:rsidP="001938B2">
      <w:pPr>
        <w:spacing w:before="100" w:beforeAutospacing="1" w:after="140"/>
        <w:ind w:left="720"/>
        <w:rPr>
          <w:rFonts w:cs="Arial"/>
        </w:rPr>
      </w:pPr>
    </w:p>
    <w:p w14:paraId="12BADE5A" w14:textId="77777777" w:rsidR="001938B2" w:rsidRPr="005E67B1" w:rsidRDefault="001938B2" w:rsidP="001938B2">
      <w:pPr>
        <w:spacing w:before="147"/>
        <w:ind w:firstLine="720"/>
        <w:rPr>
          <w:b/>
          <w:bCs/>
          <w:sz w:val="48"/>
          <w:szCs w:val="48"/>
        </w:rPr>
      </w:pPr>
      <w:r w:rsidRPr="005E67B1">
        <w:rPr>
          <w:b/>
          <w:bCs/>
          <w:sz w:val="48"/>
          <w:szCs w:val="48"/>
        </w:rPr>
        <w:t>Contents</w:t>
      </w:r>
    </w:p>
    <w:sdt>
      <w:sdtPr>
        <w:id w:val="726810454"/>
        <w:docPartObj>
          <w:docPartGallery w:val="Table of Contents"/>
          <w:docPartUnique/>
        </w:docPartObj>
      </w:sdtPr>
      <w:sdtEndPr/>
      <w:sdtContent>
        <w:p w14:paraId="25F0EB4E" w14:textId="77777777" w:rsidR="001938B2" w:rsidRPr="005E67B1" w:rsidRDefault="000821C4" w:rsidP="001938B2">
          <w:pPr>
            <w:pStyle w:val="TOC1"/>
            <w:tabs>
              <w:tab w:val="right" w:pos="10293"/>
            </w:tabs>
            <w:spacing w:before="116"/>
            <w:ind w:left="0" w:firstLine="1152"/>
          </w:pPr>
          <w:hyperlink w:anchor="_TOC_250006" w:history="1">
            <w:r w:rsidR="001938B2" w:rsidRPr="005E67B1">
              <w:t>Key</w:t>
            </w:r>
            <w:r w:rsidR="001938B2" w:rsidRPr="005E67B1">
              <w:rPr>
                <w:spacing w:val="-6"/>
              </w:rPr>
              <w:t xml:space="preserve"> </w:t>
            </w:r>
            <w:r w:rsidR="001938B2" w:rsidRPr="005E67B1">
              <w:t>findings</w:t>
            </w:r>
            <w:r w:rsidR="001938B2" w:rsidRPr="005E67B1">
              <w:tab/>
              <w:t>2</w:t>
            </w:r>
          </w:hyperlink>
        </w:p>
        <w:p w14:paraId="267FC330" w14:textId="1465FD4F" w:rsidR="001938B2" w:rsidRPr="005E67B1" w:rsidRDefault="000821C4" w:rsidP="001938B2">
          <w:pPr>
            <w:pStyle w:val="TOC1"/>
            <w:numPr>
              <w:ilvl w:val="0"/>
              <w:numId w:val="1"/>
            </w:numPr>
            <w:tabs>
              <w:tab w:val="left" w:pos="1513"/>
              <w:tab w:val="left" w:pos="1514"/>
              <w:tab w:val="right" w:pos="10293"/>
            </w:tabs>
          </w:pPr>
          <w:hyperlink w:anchor="_TOC_250005" w:history="1">
            <w:r w:rsidR="001938B2" w:rsidRPr="005E67B1">
              <w:t>Background</w:t>
            </w:r>
            <w:r w:rsidR="001938B2" w:rsidRPr="005E67B1">
              <w:tab/>
            </w:r>
            <w:r w:rsidR="002366C9">
              <w:t>5</w:t>
            </w:r>
          </w:hyperlink>
        </w:p>
        <w:p w14:paraId="0E6FD697" w14:textId="0CDC85AC" w:rsidR="001938B2" w:rsidRPr="005E67B1" w:rsidRDefault="000821C4" w:rsidP="001938B2">
          <w:pPr>
            <w:pStyle w:val="TOC1"/>
            <w:numPr>
              <w:ilvl w:val="0"/>
              <w:numId w:val="1"/>
            </w:numPr>
            <w:tabs>
              <w:tab w:val="left" w:pos="1524"/>
              <w:tab w:val="left" w:pos="1525"/>
              <w:tab w:val="right" w:pos="10293"/>
            </w:tabs>
            <w:ind w:left="1524" w:hanging="372"/>
          </w:pPr>
          <w:hyperlink w:anchor="_TOC_250004" w:history="1">
            <w:r w:rsidR="001938B2" w:rsidRPr="005E67B1">
              <w:t>Current demand</w:t>
            </w:r>
            <w:r w:rsidR="001938B2" w:rsidRPr="005E67B1">
              <w:tab/>
            </w:r>
            <w:r w:rsidR="00C37326">
              <w:t>6</w:t>
            </w:r>
          </w:hyperlink>
        </w:p>
        <w:p w14:paraId="738823A3" w14:textId="5AFB2A13" w:rsidR="001938B2" w:rsidRPr="005E67B1" w:rsidRDefault="000821C4" w:rsidP="001938B2">
          <w:pPr>
            <w:pStyle w:val="TOC1"/>
            <w:numPr>
              <w:ilvl w:val="0"/>
              <w:numId w:val="1"/>
            </w:numPr>
            <w:tabs>
              <w:tab w:val="left" w:pos="1524"/>
              <w:tab w:val="left" w:pos="1525"/>
              <w:tab w:val="right" w:pos="10293"/>
            </w:tabs>
            <w:spacing w:before="260"/>
            <w:ind w:left="1524" w:hanging="372"/>
          </w:pPr>
          <w:hyperlink w:anchor="_TOC_250003" w:history="1">
            <w:r w:rsidR="001938B2" w:rsidRPr="005E67B1">
              <w:t>Current supply</w:t>
            </w:r>
            <w:r w:rsidR="001938B2" w:rsidRPr="005E67B1">
              <w:tab/>
            </w:r>
            <w:r w:rsidR="00E06296">
              <w:t>9</w:t>
            </w:r>
          </w:hyperlink>
        </w:p>
        <w:p w14:paraId="48CC1AAD" w14:textId="76C6F6F8" w:rsidR="001938B2" w:rsidRPr="005E67B1" w:rsidRDefault="000821C4" w:rsidP="001938B2">
          <w:pPr>
            <w:pStyle w:val="TOC1"/>
            <w:numPr>
              <w:ilvl w:val="0"/>
              <w:numId w:val="1"/>
            </w:numPr>
            <w:tabs>
              <w:tab w:val="left" w:pos="1524"/>
              <w:tab w:val="left" w:pos="1525"/>
              <w:tab w:val="right" w:pos="10293"/>
            </w:tabs>
            <w:ind w:left="1524" w:hanging="372"/>
          </w:pPr>
          <w:hyperlink w:anchor="_TOC_250002" w:history="1">
            <w:r w:rsidR="001938B2" w:rsidRPr="005E67B1">
              <w:t>Future industry</w:t>
            </w:r>
            <w:r w:rsidR="001938B2" w:rsidRPr="005E67B1">
              <w:rPr>
                <w:spacing w:val="8"/>
              </w:rPr>
              <w:t xml:space="preserve"> </w:t>
            </w:r>
            <w:r w:rsidR="001938B2" w:rsidRPr="005E67B1">
              <w:t>development</w:t>
            </w:r>
            <w:r w:rsidR="001938B2" w:rsidRPr="005E67B1">
              <w:rPr>
                <w:spacing w:val="-2"/>
              </w:rPr>
              <w:t xml:space="preserve"> </w:t>
            </w:r>
            <w:r w:rsidR="001938B2" w:rsidRPr="005E67B1">
              <w:t>scenarios</w:t>
            </w:r>
            <w:r w:rsidR="001938B2" w:rsidRPr="005E67B1">
              <w:tab/>
            </w:r>
            <w:r w:rsidR="00C37326">
              <w:t>1</w:t>
            </w:r>
            <w:r w:rsidR="00E06296">
              <w:t>0</w:t>
            </w:r>
          </w:hyperlink>
        </w:p>
        <w:p w14:paraId="59283F6E" w14:textId="1D9F2627" w:rsidR="001938B2" w:rsidRPr="005E67B1" w:rsidRDefault="000821C4" w:rsidP="001938B2">
          <w:pPr>
            <w:pStyle w:val="TOC1"/>
            <w:numPr>
              <w:ilvl w:val="0"/>
              <w:numId w:val="1"/>
            </w:numPr>
            <w:tabs>
              <w:tab w:val="left" w:pos="1513"/>
              <w:tab w:val="left" w:pos="1514"/>
              <w:tab w:val="right" w:pos="10275"/>
            </w:tabs>
            <w:spacing w:before="260"/>
          </w:pPr>
          <w:hyperlink w:anchor="_TOC_250001" w:history="1">
            <w:r w:rsidR="001938B2" w:rsidRPr="005E67B1">
              <w:t>Economic contribution</w:t>
            </w:r>
            <w:r w:rsidR="001938B2" w:rsidRPr="005E67B1">
              <w:tab/>
              <w:t>1</w:t>
            </w:r>
            <w:r w:rsidR="00E06296">
              <w:t>6</w:t>
            </w:r>
          </w:hyperlink>
        </w:p>
        <w:p w14:paraId="78163DF8" w14:textId="4F416130" w:rsidR="001938B2" w:rsidRPr="005E67B1" w:rsidRDefault="000821C4" w:rsidP="001938B2">
          <w:pPr>
            <w:pStyle w:val="TOC1"/>
            <w:numPr>
              <w:ilvl w:val="0"/>
              <w:numId w:val="1"/>
            </w:numPr>
            <w:tabs>
              <w:tab w:val="left" w:pos="1524"/>
              <w:tab w:val="left" w:pos="1525"/>
              <w:tab w:val="right" w:pos="10275"/>
            </w:tabs>
            <w:ind w:left="1524" w:hanging="372"/>
          </w:pPr>
          <w:hyperlink w:anchor="_TOC_250000" w:history="1">
            <w:r w:rsidR="001938B2" w:rsidRPr="005E67B1">
              <w:t>Implications of</w:t>
            </w:r>
            <w:r w:rsidR="001938B2" w:rsidRPr="005E67B1">
              <w:rPr>
                <w:spacing w:val="5"/>
              </w:rPr>
              <w:t xml:space="preserve"> </w:t>
            </w:r>
            <w:r w:rsidR="001938B2" w:rsidRPr="005E67B1">
              <w:t>this</w:t>
            </w:r>
            <w:r w:rsidR="001938B2" w:rsidRPr="005E67B1">
              <w:rPr>
                <w:spacing w:val="3"/>
              </w:rPr>
              <w:t xml:space="preserve"> </w:t>
            </w:r>
            <w:r w:rsidR="001938B2" w:rsidRPr="005E67B1">
              <w:t>study</w:t>
            </w:r>
            <w:r w:rsidR="001938B2" w:rsidRPr="005E67B1">
              <w:tab/>
              <w:t>1</w:t>
            </w:r>
            <w:r w:rsidR="00E06296">
              <w:t>8</w:t>
            </w:r>
          </w:hyperlink>
        </w:p>
      </w:sdtContent>
    </w:sdt>
    <w:p w14:paraId="0854393A" w14:textId="77777777" w:rsidR="001938B2" w:rsidRPr="005E67B1" w:rsidRDefault="001938B2" w:rsidP="001938B2">
      <w:pPr>
        <w:sectPr w:rsidR="001938B2" w:rsidRPr="005E67B1" w:rsidSect="00893B30">
          <w:headerReference w:type="default" r:id="rId8"/>
          <w:pgSz w:w="11910" w:h="16840"/>
          <w:pgMar w:top="1580" w:right="80" w:bottom="280" w:left="200" w:header="0" w:footer="0" w:gutter="0"/>
          <w:cols w:space="720"/>
          <w:docGrid w:linePitch="299"/>
        </w:sectPr>
      </w:pPr>
    </w:p>
    <w:p w14:paraId="19A6F5AF" w14:textId="69361E77" w:rsidR="001938B2" w:rsidRPr="005E67B1" w:rsidRDefault="001938B2" w:rsidP="00B5765A">
      <w:pPr>
        <w:pStyle w:val="Heading2"/>
        <w:spacing w:before="168"/>
        <w:ind w:left="1242" w:right="1361"/>
        <w:rPr>
          <w:rFonts w:ascii="Verdana" w:hAnsi="Verdana"/>
          <w:b/>
          <w:bCs/>
          <w:color w:val="auto"/>
          <w:sz w:val="40"/>
          <w:szCs w:val="40"/>
        </w:rPr>
      </w:pPr>
      <w:r w:rsidRPr="005E67B1">
        <w:rPr>
          <w:rFonts w:ascii="Verdana" w:hAnsi="Verdana"/>
          <w:b/>
          <w:bCs/>
          <w:color w:val="auto"/>
          <w:sz w:val="40"/>
          <w:szCs w:val="40"/>
        </w:rPr>
        <w:lastRenderedPageBreak/>
        <w:t>Key findings</w:t>
      </w:r>
    </w:p>
    <w:p w14:paraId="0C276B30" w14:textId="5E693164" w:rsidR="00B5765A" w:rsidRPr="005E67B1" w:rsidRDefault="001938B2" w:rsidP="00B5765A">
      <w:pPr>
        <w:spacing w:before="168"/>
        <w:ind w:left="1242" w:right="1361"/>
        <w:rPr>
          <w:b/>
          <w:bCs/>
          <w:sz w:val="18"/>
          <w:szCs w:val="18"/>
        </w:rPr>
      </w:pPr>
      <w:r w:rsidRPr="005E67B1">
        <w:rPr>
          <w:b/>
          <w:bCs/>
          <w:sz w:val="18"/>
          <w:szCs w:val="18"/>
        </w:rPr>
        <w:t>Medicinal cannabis industry development modelling</w:t>
      </w:r>
    </w:p>
    <w:p w14:paraId="6F8C24AB" w14:textId="0498A246" w:rsidR="001938B2" w:rsidRPr="005E67B1" w:rsidRDefault="001938B2" w:rsidP="00B5765A">
      <w:pPr>
        <w:spacing w:before="168"/>
        <w:ind w:left="1242" w:right="1361"/>
        <w:rPr>
          <w:sz w:val="18"/>
          <w:szCs w:val="18"/>
        </w:rPr>
      </w:pPr>
      <w:r w:rsidRPr="005E67B1">
        <w:rPr>
          <w:sz w:val="18"/>
          <w:szCs w:val="18"/>
        </w:rPr>
        <w:t>The Victorian medicinal cannabis industry emerged late in 2016, following the passing of the Access to Medicinal Cannabis Act 2016.</w:t>
      </w:r>
    </w:p>
    <w:p w14:paraId="5056CA80" w14:textId="155158E3" w:rsidR="001938B2" w:rsidRPr="005E67B1" w:rsidRDefault="001938B2" w:rsidP="00B5765A">
      <w:pPr>
        <w:spacing w:before="168"/>
        <w:ind w:left="1242" w:right="1361"/>
        <w:rPr>
          <w:sz w:val="18"/>
          <w:szCs w:val="18"/>
        </w:rPr>
      </w:pPr>
      <w:proofErr w:type="spellStart"/>
      <w:r w:rsidRPr="005E67B1">
        <w:rPr>
          <w:sz w:val="18"/>
          <w:szCs w:val="18"/>
        </w:rPr>
        <w:t>Recognising</w:t>
      </w:r>
      <w:proofErr w:type="spellEnd"/>
      <w:r w:rsidRPr="005E67B1">
        <w:rPr>
          <w:sz w:val="18"/>
          <w:szCs w:val="18"/>
        </w:rPr>
        <w:t xml:space="preserve"> the potential for opportunity across both pharmaceuticals and agriculture, the Victorian Government has undertaken a range of initiatives to establish a thriving Victorian medicinal cannabis industry. These include commissioning a study in 2017 to investigate the industry’s growth prospects. Two years later the Victorian Government (Department of Jobs, Precincts and Regions (DJPR)) engaged Deloitte Access Economics to update the modelling and forecasts for the Victorian industry, through to 2028, so that the Department has the most up-to-date information on the industry and its future trajectory.</w:t>
      </w:r>
    </w:p>
    <w:p w14:paraId="2CA37355" w14:textId="77777777" w:rsidR="001938B2" w:rsidRPr="005E67B1" w:rsidRDefault="001938B2" w:rsidP="00B5765A">
      <w:pPr>
        <w:spacing w:before="168"/>
        <w:ind w:right="1361"/>
        <w:rPr>
          <w:sz w:val="18"/>
          <w:szCs w:val="18"/>
        </w:rPr>
      </w:pPr>
    </w:p>
    <w:p w14:paraId="53A861BF" w14:textId="6E95FBD8" w:rsidR="00AE695B" w:rsidRPr="005E67B1" w:rsidRDefault="001938B2" w:rsidP="00B5765A">
      <w:pPr>
        <w:spacing w:before="168"/>
        <w:ind w:left="1242" w:right="1361"/>
        <w:rPr>
          <w:b/>
          <w:bCs/>
          <w:sz w:val="18"/>
          <w:szCs w:val="18"/>
        </w:rPr>
      </w:pPr>
      <w:r w:rsidRPr="005E67B1">
        <w:rPr>
          <w:b/>
          <w:bCs/>
          <w:sz w:val="18"/>
          <w:szCs w:val="18"/>
        </w:rPr>
        <w:t>How has the industry changed between 2017-2019?</w:t>
      </w:r>
    </w:p>
    <w:p w14:paraId="33EF3658" w14:textId="3B0F6980" w:rsidR="0009644C" w:rsidRPr="005E67B1" w:rsidRDefault="001938B2" w:rsidP="00B5765A">
      <w:pPr>
        <w:spacing w:before="168"/>
        <w:ind w:left="1242" w:right="1361"/>
        <w:rPr>
          <w:sz w:val="18"/>
          <w:szCs w:val="18"/>
        </w:rPr>
      </w:pPr>
      <w:r w:rsidRPr="005E67B1">
        <w:rPr>
          <w:sz w:val="18"/>
          <w:szCs w:val="18"/>
        </w:rPr>
        <w:t>The medicinal cannabis industry in Australia has experienced rapid growth over the past two years, including significant increases in:</w:t>
      </w:r>
    </w:p>
    <w:p w14:paraId="594F2EFC" w14:textId="111570F9" w:rsidR="00B5765A" w:rsidRPr="005E67B1" w:rsidRDefault="00B5765A" w:rsidP="00B5765A">
      <w:pPr>
        <w:pStyle w:val="ListParagraph"/>
        <w:numPr>
          <w:ilvl w:val="0"/>
          <w:numId w:val="25"/>
        </w:numPr>
        <w:spacing w:before="168"/>
        <w:ind w:right="1361"/>
        <w:rPr>
          <w:sz w:val="18"/>
          <w:szCs w:val="18"/>
        </w:rPr>
      </w:pPr>
      <w:r w:rsidRPr="005E67B1">
        <w:rPr>
          <w:sz w:val="18"/>
          <w:szCs w:val="18"/>
        </w:rPr>
        <w:t>Victorian production capacity and supply</w:t>
      </w:r>
    </w:p>
    <w:p w14:paraId="7E9BC16B" w14:textId="2BBB6225" w:rsidR="00B5765A" w:rsidRPr="005E67B1" w:rsidRDefault="00B5765A" w:rsidP="00B5765A">
      <w:pPr>
        <w:pStyle w:val="ListParagraph"/>
        <w:numPr>
          <w:ilvl w:val="0"/>
          <w:numId w:val="25"/>
        </w:numPr>
        <w:spacing w:before="168"/>
        <w:ind w:right="1361"/>
        <w:rPr>
          <w:sz w:val="18"/>
          <w:szCs w:val="18"/>
        </w:rPr>
      </w:pPr>
      <w:r w:rsidRPr="005E67B1">
        <w:rPr>
          <w:sz w:val="18"/>
          <w:szCs w:val="18"/>
        </w:rPr>
        <w:t>Patient cohorts</w:t>
      </w:r>
    </w:p>
    <w:p w14:paraId="3CB3425F" w14:textId="47429DE0" w:rsidR="001938B2" w:rsidRPr="00CF23D8" w:rsidRDefault="00B5765A" w:rsidP="00CF23D8">
      <w:pPr>
        <w:pStyle w:val="ListParagraph"/>
        <w:numPr>
          <w:ilvl w:val="0"/>
          <w:numId w:val="25"/>
        </w:numPr>
        <w:spacing w:before="168"/>
        <w:ind w:right="1361"/>
        <w:rPr>
          <w:sz w:val="18"/>
          <w:szCs w:val="18"/>
        </w:rPr>
      </w:pPr>
      <w:r w:rsidRPr="005E67B1">
        <w:rPr>
          <w:sz w:val="18"/>
          <w:szCs w:val="18"/>
        </w:rPr>
        <w:t>Export opportunities</w:t>
      </w:r>
    </w:p>
    <w:p w14:paraId="1992B0F1" w14:textId="2AA606C8" w:rsidR="001938B2" w:rsidRPr="005E67B1" w:rsidRDefault="001938B2" w:rsidP="00B5765A">
      <w:pPr>
        <w:spacing w:before="168"/>
        <w:ind w:left="1242" w:right="1361"/>
        <w:rPr>
          <w:sz w:val="18"/>
          <w:szCs w:val="18"/>
        </w:rPr>
      </w:pPr>
      <w:r w:rsidRPr="005E67B1">
        <w:rPr>
          <w:sz w:val="18"/>
          <w:szCs w:val="18"/>
        </w:rPr>
        <w:t>241,886 patients across 13 indications are expected to demand medicinal cannabis in 2028, compared to 166,000 in the 2017 modelling.</w:t>
      </w:r>
    </w:p>
    <w:p w14:paraId="6EF9AC87" w14:textId="3E5F037E" w:rsidR="001938B2" w:rsidRPr="005E67B1" w:rsidRDefault="001938B2" w:rsidP="00B5765A">
      <w:pPr>
        <w:spacing w:before="168"/>
        <w:ind w:left="1242" w:right="1361"/>
        <w:rPr>
          <w:sz w:val="18"/>
          <w:szCs w:val="18"/>
        </w:rPr>
      </w:pPr>
      <w:r w:rsidRPr="005E67B1">
        <w:rPr>
          <w:sz w:val="18"/>
          <w:szCs w:val="18"/>
        </w:rPr>
        <w:t>Patients suffering from chronic pain, sleep disorders, migraine, cancer and anxiety will make up the most significant portion of domestic demand in 2028.</w:t>
      </w:r>
    </w:p>
    <w:p w14:paraId="54187C06" w14:textId="5E15D4A2" w:rsidR="001938B2" w:rsidRPr="005E67B1" w:rsidRDefault="001938B2" w:rsidP="00B5765A">
      <w:pPr>
        <w:spacing w:before="168"/>
        <w:ind w:left="1242" w:right="1361"/>
        <w:rPr>
          <w:sz w:val="18"/>
          <w:szCs w:val="18"/>
        </w:rPr>
      </w:pPr>
      <w:r w:rsidRPr="005E67B1">
        <w:rPr>
          <w:sz w:val="18"/>
          <w:szCs w:val="18"/>
        </w:rPr>
        <w:t>Patient demand has been estimated using current prevalence rates, future population projections and uptake assumptions around future use and conditions.</w:t>
      </w:r>
    </w:p>
    <w:p w14:paraId="24BA4AD4" w14:textId="77777777" w:rsidR="00B5765A" w:rsidRPr="005E67B1" w:rsidRDefault="001938B2" w:rsidP="00B5765A">
      <w:pPr>
        <w:spacing w:before="168"/>
        <w:ind w:left="1242" w:right="1361"/>
        <w:rPr>
          <w:sz w:val="18"/>
          <w:szCs w:val="18"/>
        </w:rPr>
      </w:pPr>
      <w:r w:rsidRPr="005E67B1">
        <w:rPr>
          <w:sz w:val="18"/>
          <w:szCs w:val="18"/>
        </w:rPr>
        <w:t>The Victorian medicinal cannabis industry is expected to service between 30-50% of Australian demand for medicinal cannabis products.</w:t>
      </w:r>
    </w:p>
    <w:p w14:paraId="171A14FB" w14:textId="77777777" w:rsidR="00B5765A" w:rsidRPr="005E67B1" w:rsidRDefault="001938B2" w:rsidP="00B5765A">
      <w:pPr>
        <w:pStyle w:val="ListParagraph"/>
        <w:numPr>
          <w:ilvl w:val="0"/>
          <w:numId w:val="26"/>
        </w:numPr>
        <w:spacing w:before="168"/>
        <w:ind w:right="1361"/>
        <w:rPr>
          <w:sz w:val="18"/>
          <w:szCs w:val="18"/>
        </w:rPr>
      </w:pPr>
      <w:r w:rsidRPr="005E67B1">
        <w:rPr>
          <w:sz w:val="18"/>
          <w:szCs w:val="18"/>
        </w:rPr>
        <w:t>241,866 patients</w:t>
      </w:r>
    </w:p>
    <w:p w14:paraId="56D65F82" w14:textId="77777777" w:rsidR="00B5765A" w:rsidRPr="005E67B1" w:rsidRDefault="001938B2" w:rsidP="00B5765A">
      <w:pPr>
        <w:pStyle w:val="ListParagraph"/>
        <w:numPr>
          <w:ilvl w:val="0"/>
          <w:numId w:val="26"/>
        </w:numPr>
        <w:spacing w:before="168"/>
        <w:ind w:right="1361"/>
        <w:rPr>
          <w:sz w:val="18"/>
          <w:szCs w:val="18"/>
        </w:rPr>
      </w:pPr>
      <w:r w:rsidRPr="005E67B1">
        <w:rPr>
          <w:sz w:val="18"/>
          <w:szCs w:val="18"/>
        </w:rPr>
        <w:t xml:space="preserve">181,900 </w:t>
      </w:r>
      <w:proofErr w:type="spellStart"/>
      <w:r w:rsidRPr="005E67B1">
        <w:rPr>
          <w:sz w:val="18"/>
          <w:szCs w:val="18"/>
        </w:rPr>
        <w:t>litres</w:t>
      </w:r>
      <w:proofErr w:type="spellEnd"/>
      <w:r w:rsidRPr="005E67B1">
        <w:rPr>
          <w:sz w:val="18"/>
          <w:szCs w:val="18"/>
        </w:rPr>
        <w:t xml:space="preserve"> of Australian wide</w:t>
      </w:r>
    </w:p>
    <w:p w14:paraId="783FDD92" w14:textId="222035E4" w:rsidR="00AE695B" w:rsidRPr="005E67B1" w:rsidRDefault="001938B2" w:rsidP="00B5765A">
      <w:pPr>
        <w:pStyle w:val="ListParagraph"/>
        <w:numPr>
          <w:ilvl w:val="0"/>
          <w:numId w:val="26"/>
        </w:numPr>
        <w:spacing w:before="168"/>
        <w:ind w:right="1361"/>
        <w:rPr>
          <w:sz w:val="18"/>
          <w:szCs w:val="18"/>
        </w:rPr>
      </w:pPr>
      <w:r w:rsidRPr="005E67B1">
        <w:rPr>
          <w:sz w:val="18"/>
          <w:szCs w:val="18"/>
        </w:rPr>
        <w:t>60,600 kilograms of dried product</w:t>
      </w:r>
    </w:p>
    <w:p w14:paraId="48C01FD4" w14:textId="77777777" w:rsidR="00B5765A" w:rsidRPr="005E67B1" w:rsidRDefault="00B5765A" w:rsidP="00B5765A">
      <w:pPr>
        <w:pStyle w:val="ListParagraph"/>
        <w:spacing w:before="168"/>
        <w:ind w:left="1962" w:right="1361" w:firstLine="0"/>
        <w:rPr>
          <w:sz w:val="18"/>
          <w:szCs w:val="18"/>
        </w:rPr>
      </w:pPr>
    </w:p>
    <w:p w14:paraId="5770A93C" w14:textId="54451B10" w:rsidR="00AE695B" w:rsidRPr="005E67B1" w:rsidRDefault="00AE695B" w:rsidP="00B5765A">
      <w:pPr>
        <w:spacing w:before="168"/>
        <w:ind w:left="1242" w:right="1361"/>
        <w:rPr>
          <w:sz w:val="18"/>
          <w:szCs w:val="18"/>
        </w:rPr>
      </w:pPr>
      <w:r w:rsidRPr="005E67B1">
        <w:rPr>
          <w:sz w:val="18"/>
          <w:szCs w:val="18"/>
        </w:rPr>
        <w:t>The Victorian Government’s early support for the industry has seen the State emerge as a medicinal cannabis hub. Planned volume of production and the current capacity of medicinal cannabis cultivation and manufacturing facilities has increased significantly. This study has estimated the potential size of the medicinal cannabis industry in Victoria by 2028, considering both demand and supply estimates.</w:t>
      </w:r>
    </w:p>
    <w:p w14:paraId="12BFC54D" w14:textId="77777777" w:rsidR="00702F21" w:rsidRPr="005E67B1" w:rsidRDefault="00AE695B" w:rsidP="00702F21">
      <w:pPr>
        <w:spacing w:before="168"/>
        <w:ind w:left="1242" w:right="1361"/>
        <w:rPr>
          <w:sz w:val="18"/>
          <w:szCs w:val="18"/>
        </w:rPr>
      </w:pPr>
      <w:r w:rsidRPr="005E67B1">
        <w:rPr>
          <w:sz w:val="18"/>
          <w:szCs w:val="18"/>
        </w:rPr>
        <w:t>Three supply development scenarios are considered in this study, reflecting a broad potential range for Victorian supply of medicinal cannabis products by 2028.</w:t>
      </w:r>
    </w:p>
    <w:p w14:paraId="095B0E6C" w14:textId="77777777" w:rsidR="00702F21" w:rsidRPr="005E67B1" w:rsidRDefault="00AE695B" w:rsidP="00702F21">
      <w:pPr>
        <w:pStyle w:val="ListParagraph"/>
        <w:numPr>
          <w:ilvl w:val="0"/>
          <w:numId w:val="27"/>
        </w:numPr>
        <w:spacing w:before="168"/>
        <w:ind w:right="1361"/>
        <w:rPr>
          <w:sz w:val="18"/>
          <w:szCs w:val="18"/>
        </w:rPr>
      </w:pPr>
      <w:r w:rsidRPr="005E67B1">
        <w:rPr>
          <w:sz w:val="18"/>
          <w:szCs w:val="18"/>
        </w:rPr>
        <w:t>The upper limit represents the sum of the production capacity estimated by industry. In other words, it is based on industry’s views.</w:t>
      </w:r>
    </w:p>
    <w:p w14:paraId="76964B3D" w14:textId="77777777" w:rsidR="00702F21" w:rsidRPr="005E67B1" w:rsidRDefault="00AE695B" w:rsidP="00702F21">
      <w:pPr>
        <w:pStyle w:val="ListParagraph"/>
        <w:numPr>
          <w:ilvl w:val="0"/>
          <w:numId w:val="27"/>
        </w:numPr>
        <w:spacing w:before="168"/>
        <w:ind w:right="1361"/>
        <w:rPr>
          <w:sz w:val="18"/>
          <w:szCs w:val="18"/>
        </w:rPr>
      </w:pPr>
      <w:r w:rsidRPr="005E67B1">
        <w:rPr>
          <w:sz w:val="18"/>
          <w:szCs w:val="18"/>
        </w:rPr>
        <w:t>The medium scenario sits between the upper limit and lower bound estimates and is viewed as most likely based on the literature and stakeholder consultations.</w:t>
      </w:r>
    </w:p>
    <w:p w14:paraId="050065E5" w14:textId="51C7BC79" w:rsidR="00AE695B" w:rsidRPr="005E67B1" w:rsidRDefault="00AE695B" w:rsidP="00702F21">
      <w:pPr>
        <w:pStyle w:val="ListParagraph"/>
        <w:numPr>
          <w:ilvl w:val="0"/>
          <w:numId w:val="27"/>
        </w:numPr>
        <w:spacing w:before="168"/>
        <w:ind w:right="1361"/>
        <w:rPr>
          <w:sz w:val="18"/>
          <w:szCs w:val="18"/>
        </w:rPr>
      </w:pPr>
      <w:r w:rsidRPr="005E67B1">
        <w:rPr>
          <w:sz w:val="18"/>
          <w:szCs w:val="18"/>
        </w:rPr>
        <w:t xml:space="preserve">The lower bound scenario is defined by the approximate share of current Australian medicinal cannabis </w:t>
      </w:r>
      <w:proofErr w:type="spellStart"/>
      <w:r w:rsidRPr="005E67B1">
        <w:rPr>
          <w:sz w:val="18"/>
          <w:szCs w:val="18"/>
        </w:rPr>
        <w:t>licences</w:t>
      </w:r>
      <w:proofErr w:type="spellEnd"/>
      <w:r w:rsidRPr="005E67B1">
        <w:rPr>
          <w:sz w:val="18"/>
          <w:szCs w:val="18"/>
        </w:rPr>
        <w:t xml:space="preserve"> issued for Victorian premises (i</w:t>
      </w:r>
      <w:r w:rsidR="00FC5064" w:rsidRPr="005E67B1">
        <w:rPr>
          <w:sz w:val="18"/>
          <w:szCs w:val="18"/>
        </w:rPr>
        <w:t xml:space="preserve">n </w:t>
      </w:r>
      <w:r w:rsidRPr="005E67B1">
        <w:rPr>
          <w:sz w:val="18"/>
          <w:szCs w:val="18"/>
        </w:rPr>
        <w:t>September 2019).</w:t>
      </w:r>
    </w:p>
    <w:p w14:paraId="1C0FA131" w14:textId="77777777" w:rsidR="00AE695B" w:rsidRPr="005E67B1" w:rsidRDefault="00AE695B" w:rsidP="00B81F4B">
      <w:pPr>
        <w:ind w:left="567"/>
        <w:rPr>
          <w:sz w:val="18"/>
          <w:szCs w:val="18"/>
        </w:rPr>
      </w:pPr>
    </w:p>
    <w:p w14:paraId="310CC66A" w14:textId="0EA00522" w:rsidR="001938B2" w:rsidRPr="005E67B1" w:rsidRDefault="001938B2" w:rsidP="00B81F4B">
      <w:pPr>
        <w:ind w:left="567"/>
        <w:rPr>
          <w:sz w:val="18"/>
          <w:szCs w:val="18"/>
        </w:rPr>
      </w:pPr>
    </w:p>
    <w:p w14:paraId="2BF19663" w14:textId="31CD1CE2" w:rsidR="00AE695B" w:rsidRPr="005E67B1" w:rsidRDefault="00AE695B" w:rsidP="00B81F4B">
      <w:pPr>
        <w:ind w:left="567"/>
        <w:rPr>
          <w:sz w:val="18"/>
          <w:szCs w:val="18"/>
        </w:rPr>
      </w:pPr>
    </w:p>
    <w:p w14:paraId="24D9C632" w14:textId="51953990" w:rsidR="00395EC5" w:rsidRPr="005E67B1" w:rsidRDefault="00395EC5" w:rsidP="00B81F4B">
      <w:pPr>
        <w:ind w:left="567"/>
        <w:rPr>
          <w:sz w:val="18"/>
          <w:szCs w:val="18"/>
        </w:rPr>
      </w:pPr>
    </w:p>
    <w:p w14:paraId="64CE3B80" w14:textId="56CD96CF" w:rsidR="00395EC5" w:rsidRPr="005E67B1" w:rsidRDefault="00395EC5" w:rsidP="00B81F4B">
      <w:pPr>
        <w:ind w:left="567"/>
        <w:rPr>
          <w:sz w:val="18"/>
          <w:szCs w:val="18"/>
        </w:rPr>
      </w:pPr>
    </w:p>
    <w:p w14:paraId="281F5FF6" w14:textId="56B13543" w:rsidR="00395EC5" w:rsidRPr="005E67B1" w:rsidRDefault="00395EC5" w:rsidP="00B81F4B">
      <w:pPr>
        <w:ind w:left="567"/>
        <w:rPr>
          <w:sz w:val="18"/>
          <w:szCs w:val="18"/>
        </w:rPr>
      </w:pPr>
    </w:p>
    <w:p w14:paraId="67551D76" w14:textId="475814B4" w:rsidR="00395EC5" w:rsidRPr="005E67B1" w:rsidRDefault="00395EC5" w:rsidP="00B81F4B">
      <w:pPr>
        <w:ind w:left="567"/>
        <w:rPr>
          <w:sz w:val="18"/>
          <w:szCs w:val="18"/>
        </w:rPr>
      </w:pPr>
    </w:p>
    <w:p w14:paraId="64E5B9D4" w14:textId="77777777" w:rsidR="00395EC5" w:rsidRPr="005E67B1" w:rsidRDefault="00395EC5" w:rsidP="00A810D3">
      <w:pPr>
        <w:spacing w:before="168"/>
        <w:ind w:right="1361"/>
        <w:rPr>
          <w:sz w:val="18"/>
          <w:szCs w:val="18"/>
        </w:rPr>
      </w:pPr>
    </w:p>
    <w:p w14:paraId="6697BB75" w14:textId="3ECA5EFA" w:rsidR="001938B2" w:rsidRPr="005E67B1" w:rsidRDefault="001938B2" w:rsidP="00A810D3">
      <w:pPr>
        <w:spacing w:before="168"/>
        <w:ind w:left="1242" w:right="1361" w:firstLine="153"/>
      </w:pPr>
      <w:r w:rsidRPr="005E67B1">
        <w:rPr>
          <w:b/>
          <w:bCs/>
          <w:sz w:val="18"/>
          <w:szCs w:val="18"/>
        </w:rPr>
        <w:t xml:space="preserve">Modelling Results </w:t>
      </w:r>
    </w:p>
    <w:p w14:paraId="4F38C04E" w14:textId="74AA7994" w:rsidR="00AE695B" w:rsidRPr="005E67B1" w:rsidRDefault="0062283A" w:rsidP="00A810D3">
      <w:pPr>
        <w:spacing w:before="168"/>
        <w:ind w:left="1242" w:right="1361"/>
        <w:rPr>
          <w:sz w:val="18"/>
          <w:szCs w:val="18"/>
        </w:rPr>
      </w:pPr>
      <w:r>
        <w:rPr>
          <w:noProof/>
        </w:rPr>
        <w:drawing>
          <wp:inline distT="0" distB="0" distL="0" distR="0" wp14:anchorId="0E0B43C0" wp14:editId="1A51054B">
            <wp:extent cx="4187190" cy="1595120"/>
            <wp:effectExtent l="0" t="0" r="3810" b="5080"/>
            <wp:docPr id="244" name="Picture 244" descr="Graph shows modelling results for domestic demand 2028:&#10;Total number of Australian patients= Lower bound 241,886, Medium 241,886, Upper limit 241,886.&#10;Percentage of Australian market captured by Victoria= Lower bound 30%, Medium 41%, and Upper limit 50%.&#10;Exports (2028) share of total Victorian production exported= Lower bound 0%, Medium 66%, and upper limit 9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187190" cy="1595120"/>
                    </a:xfrm>
                    <a:prstGeom prst="rect">
                      <a:avLst/>
                    </a:prstGeom>
                  </pic:spPr>
                </pic:pic>
              </a:graphicData>
            </a:graphic>
          </wp:inline>
        </w:drawing>
      </w:r>
    </w:p>
    <w:p w14:paraId="54CF5A0F" w14:textId="77777777" w:rsidR="00A810D3" w:rsidRDefault="00A810D3" w:rsidP="00A810D3">
      <w:pPr>
        <w:spacing w:before="168"/>
        <w:ind w:right="1361"/>
        <w:rPr>
          <w:b/>
          <w:sz w:val="18"/>
          <w:szCs w:val="18"/>
        </w:rPr>
      </w:pPr>
    </w:p>
    <w:p w14:paraId="027033B2" w14:textId="31BEDFAC" w:rsidR="00FC318B" w:rsidRPr="00A810D3" w:rsidRDefault="00FC318B" w:rsidP="00A810D3">
      <w:pPr>
        <w:spacing w:before="168"/>
        <w:ind w:left="1242" w:right="1361" w:firstLine="153"/>
        <w:rPr>
          <w:b/>
          <w:sz w:val="18"/>
          <w:szCs w:val="18"/>
        </w:rPr>
      </w:pPr>
      <w:r w:rsidRPr="005E67B1">
        <w:rPr>
          <w:b/>
          <w:sz w:val="18"/>
          <w:szCs w:val="18"/>
        </w:rPr>
        <w:t>Medium scenario - Modelling results of future supply</w:t>
      </w:r>
    </w:p>
    <w:p w14:paraId="0891DB08" w14:textId="346501B0" w:rsidR="00FB2D3A" w:rsidRDefault="000F2F7C" w:rsidP="005D7236">
      <w:pPr>
        <w:spacing w:before="168"/>
        <w:ind w:left="1242" w:right="1361"/>
      </w:pPr>
      <w:r w:rsidRPr="005E67B1">
        <w:rPr>
          <w:noProof/>
        </w:rPr>
        <w:drawing>
          <wp:inline distT="0" distB="0" distL="0" distR="0" wp14:anchorId="3CC9D9E9" wp14:editId="36164463">
            <wp:extent cx="3589655" cy="1859915"/>
            <wp:effectExtent l="0" t="0" r="0" b="6985"/>
            <wp:docPr id="1" name="Picture 1" descr="Medium scenario for future supply in '000 litres:&#10;Victorian supply: 223.8&#10;Potential Australian patients: 74.6&#10;Potential exports: 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89655" cy="1859915"/>
                    </a:xfrm>
                    <a:prstGeom prst="rect">
                      <a:avLst/>
                    </a:prstGeom>
                  </pic:spPr>
                </pic:pic>
              </a:graphicData>
            </a:graphic>
          </wp:inline>
        </w:drawing>
      </w:r>
    </w:p>
    <w:p w14:paraId="21FE9CB3" w14:textId="77777777" w:rsidR="005D7236" w:rsidRPr="005E67B1" w:rsidRDefault="005D7236" w:rsidP="005D7236">
      <w:pPr>
        <w:spacing w:before="168"/>
        <w:ind w:left="1242" w:right="1361"/>
      </w:pPr>
    </w:p>
    <w:p w14:paraId="009D86C3" w14:textId="5E637257" w:rsidR="00843F6B" w:rsidRPr="005E67B1" w:rsidRDefault="00843F6B" w:rsidP="00A810D3">
      <w:pPr>
        <w:spacing w:before="168"/>
        <w:ind w:left="1242" w:right="1361"/>
        <w:jc w:val="both"/>
        <w:rPr>
          <w:b/>
          <w:sz w:val="18"/>
          <w:szCs w:val="18"/>
        </w:rPr>
      </w:pPr>
      <w:r w:rsidRPr="005E67B1">
        <w:rPr>
          <w:b/>
          <w:sz w:val="18"/>
          <w:szCs w:val="18"/>
        </w:rPr>
        <w:t>Medium scenario – Potential economic contribution</w:t>
      </w:r>
    </w:p>
    <w:p w14:paraId="75AFB34F" w14:textId="5B9AB175" w:rsidR="00843F6B" w:rsidRPr="005E67B1" w:rsidRDefault="00843F6B" w:rsidP="00A810D3">
      <w:pPr>
        <w:spacing w:before="168" w:line="193" w:lineRule="exact"/>
        <w:ind w:left="1242" w:right="1361"/>
        <w:jc w:val="both"/>
        <w:rPr>
          <w:b/>
          <w:sz w:val="18"/>
          <w:szCs w:val="18"/>
        </w:rPr>
      </w:pPr>
      <w:r w:rsidRPr="005E67B1">
        <w:rPr>
          <w:sz w:val="18"/>
          <w:szCs w:val="18"/>
        </w:rPr>
        <w:t xml:space="preserve">The medicinal cannabis industry could </w:t>
      </w:r>
      <w:r w:rsidRPr="005E67B1">
        <w:rPr>
          <w:bCs/>
          <w:sz w:val="18"/>
          <w:szCs w:val="18"/>
        </w:rPr>
        <w:t>contribute an estimated $365 million to Victoria’s Gross State Product by 2028 under the medium scenario. This equates</w:t>
      </w:r>
      <w:r w:rsidRPr="005E67B1">
        <w:rPr>
          <w:sz w:val="18"/>
          <w:szCs w:val="18"/>
        </w:rPr>
        <w:t xml:space="preserve"> to approximately 0.08% of GSP, or, for $1.00 of value added generated by the Victorian medicinal cannabis industry, a further $0.57c of value added is generated in industries that supply inputs to the</w:t>
      </w:r>
      <w:r w:rsidRPr="005E67B1">
        <w:rPr>
          <w:spacing w:val="11"/>
          <w:sz w:val="18"/>
          <w:szCs w:val="18"/>
        </w:rPr>
        <w:t xml:space="preserve"> </w:t>
      </w:r>
      <w:r w:rsidRPr="005E67B1">
        <w:rPr>
          <w:sz w:val="18"/>
          <w:szCs w:val="18"/>
        </w:rPr>
        <w:t>sector.</w:t>
      </w:r>
    </w:p>
    <w:p w14:paraId="269854D9" w14:textId="2E955075" w:rsidR="005D7236" w:rsidRDefault="0062283A" w:rsidP="00210816">
      <w:pPr>
        <w:spacing w:before="168"/>
        <w:ind w:left="1242" w:right="1361"/>
      </w:pPr>
      <w:r>
        <w:rPr>
          <w:noProof/>
        </w:rPr>
        <w:drawing>
          <wp:inline distT="0" distB="0" distL="0" distR="0" wp14:anchorId="64C8FE8D" wp14:editId="653D877B">
            <wp:extent cx="3590925" cy="605790"/>
            <wp:effectExtent l="0" t="0" r="9525" b="3810"/>
            <wp:docPr id="245" name="Picture 245" descr="Direct employment= 750 FTES&#10;Direct economic contribution= $233 million&#10;Indirect economic contribution= $132 m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90925" cy="605790"/>
                    </a:xfrm>
                    <a:prstGeom prst="rect">
                      <a:avLst/>
                    </a:prstGeom>
                  </pic:spPr>
                </pic:pic>
              </a:graphicData>
            </a:graphic>
          </wp:inline>
        </w:drawing>
      </w:r>
    </w:p>
    <w:p w14:paraId="313C5B91" w14:textId="77777777" w:rsidR="00210816" w:rsidRPr="005D7236" w:rsidRDefault="00210816" w:rsidP="00210816">
      <w:pPr>
        <w:spacing w:before="168"/>
        <w:ind w:left="1242" w:right="1361"/>
      </w:pPr>
    </w:p>
    <w:p w14:paraId="4C865B8D" w14:textId="1FAC0378" w:rsidR="004C7E48" w:rsidRPr="005E67B1" w:rsidRDefault="004C7E48" w:rsidP="00B5765A">
      <w:pPr>
        <w:spacing w:before="168"/>
        <w:ind w:left="1242" w:right="1361"/>
        <w:rPr>
          <w:sz w:val="18"/>
          <w:szCs w:val="18"/>
        </w:rPr>
      </w:pPr>
      <w:r w:rsidRPr="005E67B1">
        <w:rPr>
          <w:sz w:val="18"/>
          <w:szCs w:val="18"/>
        </w:rPr>
        <w:t>The findings of this study reveal that the medicinal cannabis industry is still in its infancy. The science, the regulatory environment, patient preferences and prescriber preferences are still changing.</w:t>
      </w:r>
    </w:p>
    <w:p w14:paraId="6E0EB055" w14:textId="19810115" w:rsidR="004C7E48" w:rsidRPr="005E67B1" w:rsidRDefault="004C7E48" w:rsidP="00E95A65">
      <w:pPr>
        <w:spacing w:before="168" w:line="237" w:lineRule="auto"/>
        <w:ind w:left="1242" w:right="1361"/>
        <w:rPr>
          <w:sz w:val="18"/>
          <w:szCs w:val="18"/>
        </w:rPr>
      </w:pPr>
      <w:r w:rsidRPr="005E67B1">
        <w:rPr>
          <w:sz w:val="18"/>
          <w:szCs w:val="18"/>
        </w:rPr>
        <w:t>The Victorian Government could seek to lead two activities to continue to support the Victorian industry:</w:t>
      </w:r>
    </w:p>
    <w:p w14:paraId="03717BAA" w14:textId="779CA2FE" w:rsidR="004C7E48" w:rsidRPr="005E67B1" w:rsidRDefault="004C7E48" w:rsidP="00E95A65">
      <w:pPr>
        <w:pStyle w:val="ListParagraph"/>
        <w:numPr>
          <w:ilvl w:val="0"/>
          <w:numId w:val="28"/>
        </w:numPr>
        <w:spacing w:before="168" w:line="237" w:lineRule="auto"/>
        <w:ind w:right="1361"/>
        <w:rPr>
          <w:sz w:val="18"/>
          <w:szCs w:val="18"/>
        </w:rPr>
      </w:pPr>
      <w:r w:rsidRPr="005E67B1">
        <w:rPr>
          <w:sz w:val="18"/>
          <w:szCs w:val="18"/>
        </w:rPr>
        <w:t>Continue to research medicinal cannabis plant strains</w:t>
      </w:r>
      <w:r w:rsidRPr="005E67B1">
        <w:rPr>
          <w:spacing w:val="9"/>
          <w:sz w:val="18"/>
          <w:szCs w:val="18"/>
        </w:rPr>
        <w:t xml:space="preserve"> </w:t>
      </w:r>
      <w:r w:rsidRPr="005E67B1">
        <w:rPr>
          <w:sz w:val="18"/>
          <w:szCs w:val="18"/>
        </w:rPr>
        <w:t>and share this information with the Victorian industry.</w:t>
      </w:r>
    </w:p>
    <w:p w14:paraId="4D99B42C" w14:textId="00D002E6" w:rsidR="004C7E48" w:rsidRDefault="00E95A65" w:rsidP="00E95A65">
      <w:pPr>
        <w:pStyle w:val="ListParagraph"/>
        <w:numPr>
          <w:ilvl w:val="0"/>
          <w:numId w:val="28"/>
        </w:numPr>
        <w:tabs>
          <w:tab w:val="left" w:pos="203"/>
        </w:tabs>
        <w:spacing w:before="168" w:line="192" w:lineRule="exact"/>
        <w:ind w:right="1361"/>
        <w:rPr>
          <w:sz w:val="18"/>
          <w:szCs w:val="18"/>
        </w:rPr>
      </w:pPr>
      <w:r w:rsidRPr="005E67B1">
        <w:rPr>
          <w:sz w:val="18"/>
          <w:szCs w:val="18"/>
        </w:rPr>
        <w:t>Strengthen the provision of advice to industry</w:t>
      </w:r>
      <w:r w:rsidRPr="005E67B1">
        <w:rPr>
          <w:spacing w:val="2"/>
          <w:sz w:val="18"/>
          <w:szCs w:val="18"/>
        </w:rPr>
        <w:t xml:space="preserve"> </w:t>
      </w:r>
      <w:r w:rsidRPr="005E67B1">
        <w:rPr>
          <w:sz w:val="18"/>
          <w:szCs w:val="18"/>
        </w:rPr>
        <w:t xml:space="preserve">by </w:t>
      </w:r>
      <w:proofErr w:type="spellStart"/>
      <w:r w:rsidRPr="005E67B1">
        <w:rPr>
          <w:sz w:val="18"/>
          <w:szCs w:val="18"/>
        </w:rPr>
        <w:t>capitalising</w:t>
      </w:r>
      <w:proofErr w:type="spellEnd"/>
      <w:r w:rsidRPr="005E67B1">
        <w:rPr>
          <w:sz w:val="18"/>
          <w:szCs w:val="18"/>
        </w:rPr>
        <w:t xml:space="preserve"> on DJPR’s knowledge and experience in the development of the industry and the regulatory environment.</w:t>
      </w:r>
    </w:p>
    <w:p w14:paraId="470BEF26" w14:textId="77777777" w:rsidR="00210816" w:rsidRPr="00210816" w:rsidRDefault="00210816" w:rsidP="00210816">
      <w:pPr>
        <w:pStyle w:val="ListParagraph"/>
        <w:tabs>
          <w:tab w:val="left" w:pos="203"/>
        </w:tabs>
        <w:spacing w:before="168" w:line="192" w:lineRule="exact"/>
        <w:ind w:left="1602" w:right="1361" w:firstLine="0"/>
        <w:rPr>
          <w:sz w:val="18"/>
          <w:szCs w:val="18"/>
        </w:rPr>
      </w:pPr>
    </w:p>
    <w:p w14:paraId="2928F082" w14:textId="25D35D95" w:rsidR="0062283A" w:rsidRPr="005E67B1" w:rsidRDefault="00D57398" w:rsidP="00210816">
      <w:pPr>
        <w:spacing w:before="168"/>
        <w:ind w:left="1242" w:right="1361"/>
        <w:rPr>
          <w:sz w:val="18"/>
          <w:szCs w:val="18"/>
        </w:rPr>
      </w:pPr>
      <w:r w:rsidRPr="005E67B1">
        <w:rPr>
          <w:sz w:val="18"/>
          <w:szCs w:val="18"/>
        </w:rPr>
        <w:t>There are three key (interrelated) areas of action recommended for industry to reach the medium scenario, or potentially the more optimistic scenario. Each focus area has 2-3 recommended actions for industry to lead:</w:t>
      </w:r>
    </w:p>
    <w:p w14:paraId="75A2F1F4" w14:textId="77777777" w:rsidR="00E95A65" w:rsidRPr="005E67B1" w:rsidRDefault="00D57398" w:rsidP="00E95A65">
      <w:pPr>
        <w:pStyle w:val="ListParagraph"/>
        <w:numPr>
          <w:ilvl w:val="0"/>
          <w:numId w:val="29"/>
        </w:numPr>
        <w:spacing w:before="168"/>
        <w:ind w:right="1361"/>
        <w:rPr>
          <w:sz w:val="18"/>
          <w:szCs w:val="18"/>
        </w:rPr>
      </w:pPr>
      <w:r w:rsidRPr="005E67B1">
        <w:rPr>
          <w:sz w:val="18"/>
          <w:szCs w:val="18"/>
        </w:rPr>
        <w:t>Secure Victoria’s competitive advantage:</w:t>
      </w:r>
    </w:p>
    <w:p w14:paraId="22B7433B" w14:textId="77777777" w:rsidR="00E95A65" w:rsidRPr="005E67B1" w:rsidRDefault="00D57398" w:rsidP="00E95A65">
      <w:pPr>
        <w:pStyle w:val="ListParagraph"/>
        <w:numPr>
          <w:ilvl w:val="1"/>
          <w:numId w:val="29"/>
        </w:numPr>
        <w:spacing w:before="168"/>
        <w:ind w:right="1361"/>
        <w:rPr>
          <w:sz w:val="18"/>
          <w:szCs w:val="18"/>
        </w:rPr>
      </w:pPr>
      <w:r w:rsidRPr="005E67B1">
        <w:rPr>
          <w:sz w:val="18"/>
          <w:szCs w:val="18"/>
        </w:rPr>
        <w:lastRenderedPageBreak/>
        <w:t>Maintain existing quality standards</w:t>
      </w:r>
    </w:p>
    <w:p w14:paraId="1CE26EBA" w14:textId="77777777" w:rsidR="00E95A65" w:rsidRPr="005E67B1" w:rsidRDefault="00D57398" w:rsidP="00E95A65">
      <w:pPr>
        <w:pStyle w:val="ListParagraph"/>
        <w:numPr>
          <w:ilvl w:val="1"/>
          <w:numId w:val="29"/>
        </w:numPr>
        <w:spacing w:before="168"/>
        <w:ind w:right="1361"/>
        <w:rPr>
          <w:sz w:val="18"/>
          <w:szCs w:val="18"/>
        </w:rPr>
      </w:pPr>
      <w:r w:rsidRPr="005E67B1">
        <w:rPr>
          <w:sz w:val="18"/>
          <w:szCs w:val="18"/>
        </w:rPr>
        <w:t>Focus on industry efficiency</w:t>
      </w:r>
    </w:p>
    <w:p w14:paraId="25F9F6D2" w14:textId="282E5862" w:rsidR="00E95A65" w:rsidRPr="005E67B1" w:rsidRDefault="00D57398" w:rsidP="00E95A65">
      <w:pPr>
        <w:pStyle w:val="ListParagraph"/>
        <w:numPr>
          <w:ilvl w:val="1"/>
          <w:numId w:val="29"/>
        </w:numPr>
        <w:spacing w:before="168"/>
        <w:ind w:right="1361"/>
        <w:rPr>
          <w:sz w:val="18"/>
          <w:szCs w:val="18"/>
        </w:rPr>
      </w:pPr>
      <w:r w:rsidRPr="005E67B1">
        <w:rPr>
          <w:sz w:val="18"/>
          <w:szCs w:val="18"/>
        </w:rPr>
        <w:t>Support evidence collection through clinic trials</w:t>
      </w:r>
    </w:p>
    <w:p w14:paraId="15017E26" w14:textId="77777777" w:rsidR="00E95A65" w:rsidRPr="005E67B1" w:rsidRDefault="00E95A65" w:rsidP="00E95A65">
      <w:pPr>
        <w:pStyle w:val="ListParagraph"/>
        <w:spacing w:before="168"/>
        <w:ind w:left="2322" w:right="1361" w:firstLine="0"/>
        <w:rPr>
          <w:sz w:val="18"/>
          <w:szCs w:val="18"/>
        </w:rPr>
      </w:pPr>
    </w:p>
    <w:p w14:paraId="14AAFCEA" w14:textId="77777777" w:rsidR="00E95A65" w:rsidRPr="005E67B1" w:rsidRDefault="00D57398" w:rsidP="00E95A65">
      <w:pPr>
        <w:pStyle w:val="ListParagraph"/>
        <w:numPr>
          <w:ilvl w:val="0"/>
          <w:numId w:val="29"/>
        </w:numPr>
        <w:spacing w:before="168"/>
        <w:ind w:right="1361"/>
        <w:rPr>
          <w:sz w:val="18"/>
          <w:szCs w:val="18"/>
        </w:rPr>
      </w:pPr>
      <w:proofErr w:type="spellStart"/>
      <w:r w:rsidRPr="005E67B1">
        <w:rPr>
          <w:sz w:val="18"/>
          <w:szCs w:val="18"/>
        </w:rPr>
        <w:t>Realise</w:t>
      </w:r>
      <w:proofErr w:type="spellEnd"/>
      <w:r w:rsidRPr="005E67B1">
        <w:rPr>
          <w:sz w:val="18"/>
          <w:szCs w:val="18"/>
        </w:rPr>
        <w:t xml:space="preserve"> full export potential:</w:t>
      </w:r>
    </w:p>
    <w:p w14:paraId="6914B54E" w14:textId="77777777" w:rsidR="00E95A65" w:rsidRPr="005E67B1" w:rsidRDefault="00D57398" w:rsidP="00E95A65">
      <w:pPr>
        <w:pStyle w:val="ListParagraph"/>
        <w:numPr>
          <w:ilvl w:val="1"/>
          <w:numId w:val="29"/>
        </w:numPr>
        <w:spacing w:before="168"/>
        <w:ind w:right="1361"/>
        <w:rPr>
          <w:sz w:val="18"/>
          <w:szCs w:val="18"/>
        </w:rPr>
      </w:pPr>
      <w:r w:rsidRPr="005E67B1">
        <w:rPr>
          <w:sz w:val="18"/>
          <w:szCs w:val="18"/>
        </w:rPr>
        <w:t>Promote export opportunities through the medicinal cannabis industry associations</w:t>
      </w:r>
    </w:p>
    <w:p w14:paraId="61BA876F" w14:textId="0076CFF6" w:rsidR="00D57398" w:rsidRPr="005E67B1" w:rsidRDefault="00D57398" w:rsidP="00E95A65">
      <w:pPr>
        <w:pStyle w:val="ListParagraph"/>
        <w:numPr>
          <w:ilvl w:val="1"/>
          <w:numId w:val="29"/>
        </w:numPr>
        <w:spacing w:before="168"/>
        <w:ind w:right="1361"/>
        <w:rPr>
          <w:sz w:val="18"/>
          <w:szCs w:val="18"/>
        </w:rPr>
      </w:pPr>
      <w:r w:rsidRPr="005E67B1">
        <w:rPr>
          <w:sz w:val="18"/>
          <w:szCs w:val="18"/>
        </w:rPr>
        <w:t>Undertake more research and modelling of domestic and global markets</w:t>
      </w:r>
    </w:p>
    <w:p w14:paraId="124EBD6A" w14:textId="77777777" w:rsidR="00D57398" w:rsidRPr="005E67B1" w:rsidRDefault="00D57398" w:rsidP="00E95A65">
      <w:pPr>
        <w:pStyle w:val="ListParagraph"/>
        <w:spacing w:before="168"/>
        <w:ind w:left="1242" w:right="1361" w:firstLine="0"/>
        <w:rPr>
          <w:sz w:val="18"/>
          <w:szCs w:val="18"/>
        </w:rPr>
      </w:pPr>
    </w:p>
    <w:p w14:paraId="6029EF23" w14:textId="77777777" w:rsidR="00E95A65" w:rsidRPr="005E67B1" w:rsidRDefault="00D57398" w:rsidP="00E95A65">
      <w:pPr>
        <w:pStyle w:val="ListParagraph"/>
        <w:numPr>
          <w:ilvl w:val="0"/>
          <w:numId w:val="29"/>
        </w:numPr>
        <w:spacing w:before="168"/>
        <w:ind w:right="1361"/>
        <w:rPr>
          <w:sz w:val="18"/>
          <w:szCs w:val="18"/>
        </w:rPr>
      </w:pPr>
      <w:proofErr w:type="spellStart"/>
      <w:r w:rsidRPr="005E67B1">
        <w:rPr>
          <w:sz w:val="18"/>
          <w:szCs w:val="18"/>
        </w:rPr>
        <w:t>Realise</w:t>
      </w:r>
      <w:proofErr w:type="spellEnd"/>
      <w:r w:rsidRPr="005E67B1">
        <w:rPr>
          <w:sz w:val="18"/>
          <w:szCs w:val="18"/>
        </w:rPr>
        <w:t xml:space="preserve"> full domestic market potential:</w:t>
      </w:r>
    </w:p>
    <w:p w14:paraId="6BC9034A" w14:textId="77777777" w:rsidR="00E95A65" w:rsidRPr="005E67B1" w:rsidRDefault="00D57398" w:rsidP="00E95A65">
      <w:pPr>
        <w:pStyle w:val="ListParagraph"/>
        <w:numPr>
          <w:ilvl w:val="1"/>
          <w:numId w:val="29"/>
        </w:numPr>
        <w:spacing w:before="168"/>
        <w:ind w:right="1361"/>
        <w:rPr>
          <w:sz w:val="18"/>
          <w:szCs w:val="18"/>
        </w:rPr>
      </w:pPr>
      <w:r w:rsidRPr="005E67B1">
        <w:rPr>
          <w:sz w:val="18"/>
          <w:szCs w:val="18"/>
        </w:rPr>
        <w:t>Simplify the process for the medical industry to become aware of the efficacy and price of local products</w:t>
      </w:r>
    </w:p>
    <w:p w14:paraId="3E0B8448" w14:textId="77777777" w:rsidR="00E95A65" w:rsidRPr="005E67B1" w:rsidRDefault="00D57398" w:rsidP="00E95A65">
      <w:pPr>
        <w:pStyle w:val="ListParagraph"/>
        <w:numPr>
          <w:ilvl w:val="1"/>
          <w:numId w:val="29"/>
        </w:numPr>
        <w:spacing w:before="168"/>
        <w:ind w:right="1361"/>
        <w:rPr>
          <w:sz w:val="18"/>
          <w:szCs w:val="18"/>
        </w:rPr>
      </w:pPr>
      <w:r w:rsidRPr="005E67B1">
        <w:rPr>
          <w:sz w:val="18"/>
          <w:szCs w:val="18"/>
        </w:rPr>
        <w:t>Ensure local products are price competitive</w:t>
      </w:r>
    </w:p>
    <w:p w14:paraId="4B2F4483" w14:textId="4BB37139" w:rsidR="00D57398" w:rsidRPr="005E67B1" w:rsidRDefault="00D57398" w:rsidP="00E95A65">
      <w:pPr>
        <w:pStyle w:val="ListParagraph"/>
        <w:numPr>
          <w:ilvl w:val="1"/>
          <w:numId w:val="29"/>
        </w:numPr>
        <w:spacing w:before="168"/>
        <w:ind w:right="1361"/>
        <w:rPr>
          <w:sz w:val="18"/>
          <w:szCs w:val="18"/>
        </w:rPr>
      </w:pPr>
      <w:r w:rsidRPr="005E67B1">
        <w:rPr>
          <w:sz w:val="18"/>
          <w:szCs w:val="18"/>
        </w:rPr>
        <w:t>Ensure local products can be supplied to pharmacies</w:t>
      </w:r>
    </w:p>
    <w:p w14:paraId="066D277B" w14:textId="77777777" w:rsidR="00D57398" w:rsidRPr="005E67B1" w:rsidRDefault="00D57398" w:rsidP="00FC5064">
      <w:pPr>
        <w:pStyle w:val="ListParagraph"/>
        <w:ind w:left="0" w:firstLine="0"/>
        <w:rPr>
          <w:sz w:val="20"/>
          <w:szCs w:val="20"/>
        </w:rPr>
      </w:pPr>
    </w:p>
    <w:p w14:paraId="10E71422" w14:textId="77777777" w:rsidR="00793562" w:rsidRPr="005E67B1" w:rsidRDefault="00793562" w:rsidP="00793562">
      <w:pPr>
        <w:pStyle w:val="BodyText"/>
        <w:rPr>
          <w:sz w:val="20"/>
        </w:rPr>
      </w:pPr>
    </w:p>
    <w:p w14:paraId="0BFC1CDE" w14:textId="36B8FEC4" w:rsidR="00793562" w:rsidRPr="005E67B1" w:rsidRDefault="00793562" w:rsidP="00793562">
      <w:pPr>
        <w:pStyle w:val="BodyText"/>
        <w:rPr>
          <w:sz w:val="20"/>
        </w:rPr>
      </w:pPr>
    </w:p>
    <w:p w14:paraId="72127034" w14:textId="48677446" w:rsidR="00672957" w:rsidRPr="005E67B1" w:rsidRDefault="00672957" w:rsidP="00793562">
      <w:pPr>
        <w:pStyle w:val="BodyText"/>
        <w:rPr>
          <w:sz w:val="20"/>
        </w:rPr>
      </w:pPr>
    </w:p>
    <w:p w14:paraId="43E48529" w14:textId="30D546AB" w:rsidR="00672957" w:rsidRPr="005E67B1" w:rsidRDefault="00672957" w:rsidP="00793562">
      <w:pPr>
        <w:pStyle w:val="BodyText"/>
        <w:rPr>
          <w:sz w:val="20"/>
        </w:rPr>
      </w:pPr>
    </w:p>
    <w:p w14:paraId="0104E09F" w14:textId="3329E6B7" w:rsidR="00672957" w:rsidRPr="005E67B1" w:rsidRDefault="00672957" w:rsidP="00793562">
      <w:pPr>
        <w:pStyle w:val="BodyText"/>
        <w:rPr>
          <w:sz w:val="20"/>
        </w:rPr>
      </w:pPr>
    </w:p>
    <w:p w14:paraId="6984C1BC" w14:textId="25094B0A" w:rsidR="00672957" w:rsidRPr="005E67B1" w:rsidRDefault="00672957" w:rsidP="00793562">
      <w:pPr>
        <w:pStyle w:val="BodyText"/>
        <w:rPr>
          <w:sz w:val="20"/>
        </w:rPr>
      </w:pPr>
    </w:p>
    <w:p w14:paraId="7090727B" w14:textId="7084CD32" w:rsidR="00672957" w:rsidRPr="005E67B1" w:rsidRDefault="00672957" w:rsidP="00793562">
      <w:pPr>
        <w:pStyle w:val="BodyText"/>
        <w:rPr>
          <w:sz w:val="20"/>
        </w:rPr>
      </w:pPr>
    </w:p>
    <w:p w14:paraId="31C0E263" w14:textId="4FB9C71B" w:rsidR="00672957" w:rsidRPr="005E67B1" w:rsidRDefault="00672957" w:rsidP="00793562">
      <w:pPr>
        <w:pStyle w:val="BodyText"/>
        <w:rPr>
          <w:sz w:val="20"/>
        </w:rPr>
      </w:pPr>
    </w:p>
    <w:p w14:paraId="25183A2A" w14:textId="2D7C318E" w:rsidR="00672957" w:rsidRPr="005E67B1" w:rsidRDefault="00672957" w:rsidP="00793562">
      <w:pPr>
        <w:pStyle w:val="BodyText"/>
        <w:rPr>
          <w:sz w:val="20"/>
        </w:rPr>
      </w:pPr>
    </w:p>
    <w:p w14:paraId="1085D554" w14:textId="7955A897" w:rsidR="00672957" w:rsidRPr="005E67B1" w:rsidRDefault="00672957" w:rsidP="00793562">
      <w:pPr>
        <w:pStyle w:val="BodyText"/>
        <w:rPr>
          <w:sz w:val="20"/>
        </w:rPr>
      </w:pPr>
    </w:p>
    <w:p w14:paraId="6631A815" w14:textId="1A0A17F4" w:rsidR="00672957" w:rsidRPr="005E67B1" w:rsidRDefault="00672957" w:rsidP="00793562">
      <w:pPr>
        <w:pStyle w:val="BodyText"/>
        <w:rPr>
          <w:sz w:val="20"/>
        </w:rPr>
      </w:pPr>
    </w:p>
    <w:p w14:paraId="1045BBD1" w14:textId="5E430209" w:rsidR="00672957" w:rsidRPr="005E67B1" w:rsidRDefault="00672957" w:rsidP="00793562">
      <w:pPr>
        <w:pStyle w:val="BodyText"/>
        <w:rPr>
          <w:sz w:val="20"/>
        </w:rPr>
      </w:pPr>
    </w:p>
    <w:p w14:paraId="4BB20D8D" w14:textId="08BEC4D9" w:rsidR="00672957" w:rsidRPr="005E67B1" w:rsidRDefault="00672957" w:rsidP="00793562">
      <w:pPr>
        <w:pStyle w:val="BodyText"/>
        <w:rPr>
          <w:sz w:val="20"/>
        </w:rPr>
      </w:pPr>
    </w:p>
    <w:p w14:paraId="19927E85" w14:textId="240C64F2" w:rsidR="00672957" w:rsidRPr="005E67B1" w:rsidRDefault="00672957" w:rsidP="00793562">
      <w:pPr>
        <w:pStyle w:val="BodyText"/>
        <w:rPr>
          <w:sz w:val="20"/>
        </w:rPr>
      </w:pPr>
    </w:p>
    <w:p w14:paraId="0A896D56" w14:textId="5534326A" w:rsidR="00672957" w:rsidRPr="005E67B1" w:rsidRDefault="00672957" w:rsidP="00793562">
      <w:pPr>
        <w:pStyle w:val="BodyText"/>
        <w:rPr>
          <w:sz w:val="20"/>
        </w:rPr>
      </w:pPr>
    </w:p>
    <w:p w14:paraId="4E7EF2DC" w14:textId="7737C067" w:rsidR="00672957" w:rsidRPr="005E67B1" w:rsidRDefault="00672957" w:rsidP="00793562">
      <w:pPr>
        <w:pStyle w:val="BodyText"/>
        <w:rPr>
          <w:sz w:val="20"/>
        </w:rPr>
      </w:pPr>
    </w:p>
    <w:p w14:paraId="30DD317F" w14:textId="30C09534" w:rsidR="00672957" w:rsidRPr="005E67B1" w:rsidRDefault="00672957" w:rsidP="00793562">
      <w:pPr>
        <w:pStyle w:val="BodyText"/>
        <w:rPr>
          <w:sz w:val="20"/>
        </w:rPr>
      </w:pPr>
    </w:p>
    <w:p w14:paraId="6728AAFA" w14:textId="1E3436C7" w:rsidR="00672957" w:rsidRPr="005E67B1" w:rsidRDefault="00672957" w:rsidP="00793562">
      <w:pPr>
        <w:pStyle w:val="BodyText"/>
        <w:rPr>
          <w:sz w:val="20"/>
        </w:rPr>
      </w:pPr>
    </w:p>
    <w:p w14:paraId="542630BB" w14:textId="582857DD" w:rsidR="00672957" w:rsidRPr="005E67B1" w:rsidRDefault="00672957" w:rsidP="00793562">
      <w:pPr>
        <w:pStyle w:val="BodyText"/>
        <w:rPr>
          <w:sz w:val="20"/>
        </w:rPr>
      </w:pPr>
    </w:p>
    <w:p w14:paraId="1EBFA2A3" w14:textId="38CF0987" w:rsidR="00672957" w:rsidRPr="005E67B1" w:rsidRDefault="00672957" w:rsidP="00793562">
      <w:pPr>
        <w:pStyle w:val="BodyText"/>
        <w:rPr>
          <w:sz w:val="20"/>
        </w:rPr>
      </w:pPr>
    </w:p>
    <w:p w14:paraId="79AD505D" w14:textId="08F0F534" w:rsidR="00672957" w:rsidRPr="005E67B1" w:rsidRDefault="00672957" w:rsidP="00793562">
      <w:pPr>
        <w:pStyle w:val="BodyText"/>
        <w:rPr>
          <w:sz w:val="20"/>
        </w:rPr>
      </w:pPr>
    </w:p>
    <w:p w14:paraId="1EFB7148" w14:textId="2F35A323" w:rsidR="00672957" w:rsidRPr="005E67B1" w:rsidRDefault="00672957" w:rsidP="00793562">
      <w:pPr>
        <w:pStyle w:val="BodyText"/>
        <w:rPr>
          <w:sz w:val="20"/>
        </w:rPr>
      </w:pPr>
    </w:p>
    <w:p w14:paraId="37C0303C" w14:textId="6BB9BB60" w:rsidR="00672957" w:rsidRDefault="00672957" w:rsidP="00793562">
      <w:pPr>
        <w:pStyle w:val="BodyText"/>
        <w:rPr>
          <w:sz w:val="20"/>
        </w:rPr>
      </w:pPr>
    </w:p>
    <w:p w14:paraId="4F5652C0" w14:textId="08FAEF5A" w:rsidR="0062283A" w:rsidRDefault="0062283A" w:rsidP="00793562">
      <w:pPr>
        <w:pStyle w:val="BodyText"/>
        <w:rPr>
          <w:sz w:val="20"/>
        </w:rPr>
      </w:pPr>
    </w:p>
    <w:p w14:paraId="1DBCFBAE" w14:textId="76100D96" w:rsidR="0062283A" w:rsidRDefault="0062283A" w:rsidP="00793562">
      <w:pPr>
        <w:pStyle w:val="BodyText"/>
        <w:rPr>
          <w:sz w:val="20"/>
        </w:rPr>
      </w:pPr>
    </w:p>
    <w:p w14:paraId="60E6295A" w14:textId="77777777" w:rsidR="0062283A" w:rsidRPr="005E67B1" w:rsidRDefault="0062283A" w:rsidP="00793562">
      <w:pPr>
        <w:pStyle w:val="BodyText"/>
        <w:rPr>
          <w:sz w:val="20"/>
        </w:rPr>
      </w:pPr>
    </w:p>
    <w:p w14:paraId="2887F312" w14:textId="0284C49F" w:rsidR="00672957" w:rsidRPr="005E67B1" w:rsidRDefault="00672957" w:rsidP="00793562">
      <w:pPr>
        <w:pStyle w:val="BodyText"/>
        <w:rPr>
          <w:sz w:val="20"/>
        </w:rPr>
      </w:pPr>
    </w:p>
    <w:p w14:paraId="3A77BB63" w14:textId="1E5CA494" w:rsidR="00672957" w:rsidRPr="005E67B1" w:rsidRDefault="00672957" w:rsidP="00793562">
      <w:pPr>
        <w:pStyle w:val="BodyText"/>
        <w:rPr>
          <w:sz w:val="20"/>
        </w:rPr>
      </w:pPr>
    </w:p>
    <w:p w14:paraId="6322838D" w14:textId="3E1DA47F" w:rsidR="00672957" w:rsidRPr="005E67B1" w:rsidRDefault="00672957" w:rsidP="00793562">
      <w:pPr>
        <w:pStyle w:val="BodyText"/>
        <w:rPr>
          <w:sz w:val="20"/>
        </w:rPr>
      </w:pPr>
    </w:p>
    <w:p w14:paraId="123C61AC" w14:textId="317BCC8A" w:rsidR="00672957" w:rsidRPr="005E67B1" w:rsidRDefault="00672957" w:rsidP="00793562">
      <w:pPr>
        <w:pStyle w:val="BodyText"/>
        <w:rPr>
          <w:sz w:val="20"/>
        </w:rPr>
      </w:pPr>
    </w:p>
    <w:p w14:paraId="7562A7CA" w14:textId="118D50D9" w:rsidR="00672957" w:rsidRDefault="00672957" w:rsidP="00793562">
      <w:pPr>
        <w:pStyle w:val="BodyText"/>
        <w:rPr>
          <w:sz w:val="20"/>
        </w:rPr>
      </w:pPr>
    </w:p>
    <w:p w14:paraId="75634E4D" w14:textId="7DBFC606" w:rsidR="00CF23D8" w:rsidRDefault="00CF23D8" w:rsidP="00793562">
      <w:pPr>
        <w:pStyle w:val="BodyText"/>
        <w:rPr>
          <w:sz w:val="20"/>
        </w:rPr>
      </w:pPr>
    </w:p>
    <w:p w14:paraId="411CBD4E" w14:textId="77777777" w:rsidR="00CF23D8" w:rsidRPr="005E67B1" w:rsidRDefault="00CF23D8" w:rsidP="00793562">
      <w:pPr>
        <w:pStyle w:val="BodyText"/>
        <w:rPr>
          <w:sz w:val="20"/>
        </w:rPr>
      </w:pPr>
    </w:p>
    <w:p w14:paraId="7F2438DF" w14:textId="739192F4" w:rsidR="00672957" w:rsidRDefault="00672957" w:rsidP="00793562">
      <w:pPr>
        <w:pStyle w:val="BodyText"/>
        <w:rPr>
          <w:sz w:val="20"/>
        </w:rPr>
      </w:pPr>
    </w:p>
    <w:p w14:paraId="32BF8D35" w14:textId="7998F9C0" w:rsidR="00210816" w:rsidRDefault="00210816" w:rsidP="00793562">
      <w:pPr>
        <w:pStyle w:val="BodyText"/>
        <w:rPr>
          <w:sz w:val="20"/>
        </w:rPr>
      </w:pPr>
    </w:p>
    <w:p w14:paraId="7CB2303C" w14:textId="77777777" w:rsidR="00210816" w:rsidRPr="005E67B1" w:rsidRDefault="00210816" w:rsidP="00793562">
      <w:pPr>
        <w:pStyle w:val="BodyText"/>
        <w:rPr>
          <w:sz w:val="20"/>
        </w:rPr>
      </w:pPr>
    </w:p>
    <w:p w14:paraId="39C6ADB1" w14:textId="229F8272" w:rsidR="00672957" w:rsidRDefault="00672957" w:rsidP="00793562">
      <w:pPr>
        <w:pStyle w:val="BodyText"/>
        <w:rPr>
          <w:sz w:val="20"/>
        </w:rPr>
      </w:pPr>
    </w:p>
    <w:p w14:paraId="5C5C135F" w14:textId="18C647BC" w:rsidR="0062283A" w:rsidRDefault="0062283A" w:rsidP="00793562">
      <w:pPr>
        <w:pStyle w:val="BodyText"/>
        <w:rPr>
          <w:sz w:val="20"/>
        </w:rPr>
      </w:pPr>
    </w:p>
    <w:p w14:paraId="09BAA814" w14:textId="77777777" w:rsidR="00A810D3" w:rsidRDefault="00A810D3" w:rsidP="00793562">
      <w:pPr>
        <w:pStyle w:val="BodyText"/>
        <w:rPr>
          <w:sz w:val="20"/>
        </w:rPr>
      </w:pPr>
    </w:p>
    <w:p w14:paraId="28D425D6" w14:textId="77777777" w:rsidR="0062283A" w:rsidRPr="005E67B1" w:rsidRDefault="0062283A" w:rsidP="00793562">
      <w:pPr>
        <w:pStyle w:val="BodyText"/>
        <w:rPr>
          <w:sz w:val="20"/>
        </w:rPr>
      </w:pPr>
    </w:p>
    <w:p w14:paraId="61EC332F" w14:textId="56241FDF" w:rsidR="00793562" w:rsidRPr="002366C9" w:rsidRDefault="00793562" w:rsidP="002366C9">
      <w:pPr>
        <w:pStyle w:val="Heading1"/>
        <w:numPr>
          <w:ilvl w:val="0"/>
          <w:numId w:val="41"/>
        </w:numPr>
        <w:rPr>
          <w:rFonts w:ascii="Verdana" w:hAnsi="Verdana"/>
          <w:b/>
          <w:bCs/>
          <w:color w:val="auto"/>
        </w:rPr>
      </w:pPr>
      <w:bookmarkStart w:id="0" w:name="_TOC_250005"/>
      <w:bookmarkEnd w:id="0"/>
      <w:r w:rsidRPr="002366C9">
        <w:rPr>
          <w:rFonts w:ascii="Verdana" w:hAnsi="Verdana"/>
          <w:b/>
          <w:bCs/>
          <w:color w:val="auto"/>
        </w:rPr>
        <w:lastRenderedPageBreak/>
        <w:t>Background</w:t>
      </w:r>
    </w:p>
    <w:p w14:paraId="3D74774E" w14:textId="77777777" w:rsidR="00793562" w:rsidRPr="00FB461D" w:rsidRDefault="00793562" w:rsidP="00793562">
      <w:pPr>
        <w:pStyle w:val="Heading6"/>
        <w:keepNext w:val="0"/>
        <w:keepLines w:val="0"/>
        <w:numPr>
          <w:ilvl w:val="2"/>
          <w:numId w:val="22"/>
        </w:numPr>
        <w:tabs>
          <w:tab w:val="left" w:pos="1816"/>
          <w:tab w:val="left" w:pos="1817"/>
        </w:tabs>
        <w:spacing w:before="259"/>
        <w:ind w:hanging="577"/>
        <w:rPr>
          <w:rFonts w:ascii="Verdana" w:hAnsi="Verdana"/>
          <w:b/>
          <w:bCs/>
          <w:color w:val="auto"/>
          <w:sz w:val="20"/>
          <w:szCs w:val="20"/>
        </w:rPr>
      </w:pPr>
      <w:r w:rsidRPr="00FB461D">
        <w:rPr>
          <w:rFonts w:ascii="Verdana" w:hAnsi="Verdana"/>
          <w:b/>
          <w:bCs/>
          <w:color w:val="auto"/>
          <w:sz w:val="20"/>
          <w:szCs w:val="20"/>
        </w:rPr>
        <w:t>Industry background and</w:t>
      </w:r>
      <w:r w:rsidRPr="00FB461D">
        <w:rPr>
          <w:rFonts w:ascii="Verdana" w:hAnsi="Verdana"/>
          <w:b/>
          <w:bCs/>
          <w:color w:val="auto"/>
          <w:spacing w:val="-2"/>
          <w:sz w:val="20"/>
          <w:szCs w:val="20"/>
        </w:rPr>
        <w:t xml:space="preserve"> </w:t>
      </w:r>
      <w:r w:rsidRPr="00FB461D">
        <w:rPr>
          <w:rFonts w:ascii="Verdana" w:hAnsi="Verdana"/>
          <w:b/>
          <w:bCs/>
          <w:color w:val="auto"/>
          <w:sz w:val="20"/>
          <w:szCs w:val="20"/>
        </w:rPr>
        <w:t>context</w:t>
      </w:r>
    </w:p>
    <w:p w14:paraId="3811AE06" w14:textId="77777777" w:rsidR="00793562" w:rsidRPr="005E67B1" w:rsidRDefault="00793562" w:rsidP="00793562">
      <w:pPr>
        <w:pStyle w:val="BodyText"/>
        <w:spacing w:before="81" w:line="264" w:lineRule="auto"/>
        <w:ind w:left="1240" w:right="1930"/>
      </w:pPr>
      <w:r w:rsidRPr="005E67B1">
        <w:t>The Victorian medicinal cannabis industry has emerged over the last few years, following the passing of state government legislation in 2016</w:t>
      </w:r>
      <w:r w:rsidRPr="005E67B1">
        <w:rPr>
          <w:position w:val="6"/>
          <w:sz w:val="12"/>
        </w:rPr>
        <w:t>1</w:t>
      </w:r>
      <w:r w:rsidRPr="005E67B1">
        <w:t>, and has experienced rapid growth since.</w:t>
      </w:r>
    </w:p>
    <w:p w14:paraId="194DE8FC" w14:textId="77777777" w:rsidR="00793562" w:rsidRPr="005E67B1" w:rsidRDefault="00793562" w:rsidP="00793562">
      <w:pPr>
        <w:pStyle w:val="BodyText"/>
        <w:spacing w:before="167" w:line="264" w:lineRule="auto"/>
        <w:ind w:left="1240" w:right="1640"/>
      </w:pPr>
      <w:r w:rsidRPr="005E67B1">
        <w:t xml:space="preserve">Having </w:t>
      </w:r>
      <w:proofErr w:type="spellStart"/>
      <w:r w:rsidRPr="005E67B1">
        <w:t>recognised</w:t>
      </w:r>
      <w:proofErr w:type="spellEnd"/>
      <w:r w:rsidRPr="005E67B1">
        <w:t xml:space="preserve"> the economic potential of the medicinal cannabis industry to both the pharmaceutical and agricultural sectors, the Victorian Government has developed a range of initiatives to establish a competitive local industry. This includes investigating the growth prospects and potential of the industry in 2017 to guide the development of the Victorian Government’s inaugural Medicinal Cannabis Industry Development Plan.</w:t>
      </w:r>
      <w:r w:rsidRPr="005E67B1">
        <w:rPr>
          <w:position w:val="6"/>
          <w:sz w:val="12"/>
        </w:rPr>
        <w:t xml:space="preserve">2 </w:t>
      </w:r>
      <w:r w:rsidRPr="005E67B1">
        <w:t>This plan outlined the State’s strategy to grow the emerging sector to an established industry.</w:t>
      </w:r>
    </w:p>
    <w:p w14:paraId="5CEFC5FD" w14:textId="77777777" w:rsidR="00793562" w:rsidRPr="005E67B1" w:rsidRDefault="00793562" w:rsidP="00793562">
      <w:pPr>
        <w:pStyle w:val="BodyText"/>
        <w:spacing w:before="167" w:line="264" w:lineRule="auto"/>
        <w:ind w:left="1240" w:right="1361"/>
      </w:pPr>
      <w:r w:rsidRPr="005E67B1">
        <w:t>At the time of writing the Medicinal Cannabis Industry Development Plan, the Australian industry was in its infancy. While Australia had amended its Narcotic Drugs Act 1967 to allow the cultivation and production of cannabis for medicinal and scientific purposes, Victoria was the only state to have taken steps to establish local production to secure access for patients.</w:t>
      </w:r>
    </w:p>
    <w:p w14:paraId="758B6ED2" w14:textId="77777777" w:rsidR="00793562" w:rsidRPr="005E67B1" w:rsidRDefault="00793562" w:rsidP="00793562">
      <w:pPr>
        <w:pStyle w:val="BodyText"/>
        <w:spacing w:before="168" w:line="264" w:lineRule="auto"/>
        <w:ind w:left="1240" w:right="1406"/>
      </w:pPr>
      <w:r w:rsidRPr="005E67B1">
        <w:t xml:space="preserve">However, since the release of the Industry Development Plan, there have been significant changes to the market and the regulatory environment – both in Australia and abroad. This includes the passing of federal legislation in January 2018 to </w:t>
      </w:r>
      <w:proofErr w:type="spellStart"/>
      <w:r w:rsidRPr="005E67B1">
        <w:t>legalise</w:t>
      </w:r>
      <w:proofErr w:type="spellEnd"/>
      <w:r w:rsidRPr="005E67B1">
        <w:t xml:space="preserve"> exports, and the unification of state legislation controlling patient access to medicinal cannabis. Alongside these legislative changes, the number of Australian medicinal cannabis firms and patients demanding medicinal cannabis has increased</w:t>
      </w:r>
      <w:r w:rsidRPr="005E67B1">
        <w:rPr>
          <w:spacing w:val="-2"/>
        </w:rPr>
        <w:t xml:space="preserve"> </w:t>
      </w:r>
      <w:r w:rsidRPr="005E67B1">
        <w:t>rapidly.</w:t>
      </w:r>
    </w:p>
    <w:p w14:paraId="01276E6C" w14:textId="77777777" w:rsidR="00793562" w:rsidRPr="005E67B1" w:rsidRDefault="00793562" w:rsidP="00793562">
      <w:pPr>
        <w:pStyle w:val="BodyText"/>
        <w:spacing w:before="167" w:line="264" w:lineRule="auto"/>
        <w:ind w:left="1240" w:right="1640"/>
      </w:pPr>
      <w:r w:rsidRPr="005E67B1">
        <w:t>Given these changes, the Victorian Government (the Department of Jobs, Precincts and Regions (DJPR)) engaged Deloitte Access Economics in 2019 to update the forecasts for the Victorian industry through to 2028, so that the Department has the most up-to-date information on the industry and its future trajectory.</w:t>
      </w:r>
    </w:p>
    <w:p w14:paraId="60C3C9B9" w14:textId="77777777" w:rsidR="00793562" w:rsidRPr="005E67B1" w:rsidRDefault="00793562" w:rsidP="00793562">
      <w:pPr>
        <w:pStyle w:val="BodyText"/>
        <w:spacing w:before="168" w:line="264" w:lineRule="auto"/>
        <w:ind w:left="1240" w:right="1868"/>
      </w:pPr>
      <w:r w:rsidRPr="005E67B1">
        <w:t>This summary report presents the key findings and modelling from this project for DJPR, with findings current as of September 2019.</w:t>
      </w:r>
    </w:p>
    <w:p w14:paraId="521EA9A8" w14:textId="77777777" w:rsidR="00793562" w:rsidRPr="005E67B1" w:rsidRDefault="00793562" w:rsidP="00793562">
      <w:pPr>
        <w:pStyle w:val="BodyText"/>
        <w:spacing w:before="8"/>
        <w:rPr>
          <w:sz w:val="19"/>
        </w:rPr>
      </w:pPr>
    </w:p>
    <w:p w14:paraId="7D5F631A" w14:textId="77777777" w:rsidR="00793562" w:rsidRPr="00FB461D" w:rsidRDefault="00793562" w:rsidP="00793562">
      <w:pPr>
        <w:pStyle w:val="Heading6"/>
        <w:keepNext w:val="0"/>
        <w:keepLines w:val="0"/>
        <w:numPr>
          <w:ilvl w:val="2"/>
          <w:numId w:val="22"/>
        </w:numPr>
        <w:tabs>
          <w:tab w:val="left" w:pos="1816"/>
          <w:tab w:val="left" w:pos="1817"/>
        </w:tabs>
        <w:spacing w:before="0"/>
        <w:ind w:hanging="577"/>
        <w:rPr>
          <w:rFonts w:ascii="Verdana" w:hAnsi="Verdana"/>
          <w:b/>
          <w:bCs/>
          <w:color w:val="auto"/>
          <w:sz w:val="20"/>
          <w:szCs w:val="20"/>
        </w:rPr>
      </w:pPr>
      <w:r w:rsidRPr="00FB461D">
        <w:rPr>
          <w:rFonts w:ascii="Verdana" w:hAnsi="Verdana"/>
          <w:b/>
          <w:bCs/>
          <w:color w:val="auto"/>
          <w:sz w:val="20"/>
          <w:szCs w:val="20"/>
        </w:rPr>
        <w:t>Approach</w:t>
      </w:r>
    </w:p>
    <w:p w14:paraId="2E71BB49" w14:textId="77777777" w:rsidR="00614941" w:rsidRDefault="00793562" w:rsidP="00614941">
      <w:pPr>
        <w:pStyle w:val="BodyText"/>
        <w:spacing w:before="81" w:line="264" w:lineRule="auto"/>
        <w:ind w:left="1240" w:right="2209"/>
      </w:pPr>
      <w:r w:rsidRPr="005E67B1">
        <w:t>The findings in this summary report are based on the work undertaken by Deloitte Access Economics, which comprised:</w:t>
      </w:r>
    </w:p>
    <w:p w14:paraId="18B4CEAC" w14:textId="6B69532E" w:rsidR="00A810D3" w:rsidRDefault="00793562" w:rsidP="00A810D3">
      <w:pPr>
        <w:pStyle w:val="BodyText"/>
        <w:numPr>
          <w:ilvl w:val="0"/>
          <w:numId w:val="40"/>
        </w:numPr>
        <w:spacing w:before="81" w:line="264" w:lineRule="auto"/>
        <w:ind w:right="2209"/>
      </w:pPr>
      <w:r w:rsidRPr="005E67B1">
        <w:t>Primary data collection of demand and supply data from a literature scan, and through consultations with industry stakeholders, including producers and clinicians.</w:t>
      </w:r>
    </w:p>
    <w:p w14:paraId="0A0BC2CA" w14:textId="77777777" w:rsidR="00A810D3" w:rsidRDefault="00793562" w:rsidP="00A810D3">
      <w:pPr>
        <w:pStyle w:val="BodyText"/>
        <w:numPr>
          <w:ilvl w:val="0"/>
          <w:numId w:val="40"/>
        </w:numPr>
        <w:spacing w:before="81" w:line="264" w:lineRule="auto"/>
        <w:ind w:right="2209"/>
      </w:pPr>
      <w:r w:rsidRPr="005E67B1">
        <w:t>Forecasting total Australian patient demand for medicinal cannabis through to 2028.</w:t>
      </w:r>
    </w:p>
    <w:p w14:paraId="1DB5BAC3" w14:textId="77777777" w:rsidR="00A810D3" w:rsidRDefault="00793562" w:rsidP="00A810D3">
      <w:pPr>
        <w:pStyle w:val="BodyText"/>
        <w:numPr>
          <w:ilvl w:val="0"/>
          <w:numId w:val="40"/>
        </w:numPr>
        <w:spacing w:before="81" w:line="264" w:lineRule="auto"/>
        <w:ind w:right="2209"/>
      </w:pPr>
      <w:r w:rsidRPr="005E67B1">
        <w:t>Modelling the industry supply response from Victorian producers under three industry</w:t>
      </w:r>
      <w:r w:rsidR="00A810D3">
        <w:t xml:space="preserve"> </w:t>
      </w:r>
      <w:r w:rsidRPr="005E67B1">
        <w:t xml:space="preserve">development scenarios – a lower bound, a medium scenario, and an upper limit scenario. </w:t>
      </w:r>
    </w:p>
    <w:p w14:paraId="13416EC4" w14:textId="77777777" w:rsidR="00A810D3" w:rsidRDefault="00793562" w:rsidP="00A810D3">
      <w:pPr>
        <w:pStyle w:val="BodyText"/>
        <w:numPr>
          <w:ilvl w:val="0"/>
          <w:numId w:val="40"/>
        </w:numPr>
        <w:spacing w:before="81" w:line="264" w:lineRule="auto"/>
        <w:ind w:right="2209"/>
      </w:pPr>
      <w:r w:rsidRPr="005E67B1">
        <w:t>Estimating the potential economic contribution of the local Victorian industry under each of these three scenarios through to 2028.</w:t>
      </w:r>
    </w:p>
    <w:p w14:paraId="19C6147A" w14:textId="498F2313" w:rsidR="00793562" w:rsidRPr="005E67B1" w:rsidRDefault="00793562" w:rsidP="00A810D3">
      <w:pPr>
        <w:pStyle w:val="BodyText"/>
        <w:numPr>
          <w:ilvl w:val="0"/>
          <w:numId w:val="40"/>
        </w:numPr>
        <w:spacing w:before="81" w:line="264" w:lineRule="auto"/>
        <w:ind w:right="2209"/>
      </w:pPr>
      <w:r w:rsidRPr="005E67B1">
        <w:t>Making recommendations to DJPR and industry for the future development of the industry.</w:t>
      </w:r>
    </w:p>
    <w:p w14:paraId="5F0C529A" w14:textId="77777777" w:rsidR="00793562" w:rsidRPr="005E67B1" w:rsidRDefault="00793562" w:rsidP="00793562">
      <w:pPr>
        <w:pStyle w:val="BodyText"/>
        <w:spacing w:before="140" w:line="264" w:lineRule="auto"/>
        <w:ind w:left="1240" w:right="1653"/>
      </w:pPr>
      <w:r w:rsidRPr="005E67B1">
        <w:t>The remainder of this summary report provides an overview of the current state of demand and supply, then outlines the methodology to estimate the potential size of the Victorian industry, including an estimate of the industry’s economic value across the three scenarios. The report concludes with the implications and recommendations of the study for DJPR and the industry.</w:t>
      </w:r>
    </w:p>
    <w:p w14:paraId="76C9C651" w14:textId="48714FE4" w:rsidR="00793562" w:rsidRPr="005E67B1" w:rsidRDefault="00793562" w:rsidP="00793562">
      <w:pPr>
        <w:pStyle w:val="BodyText"/>
        <w:spacing w:before="4"/>
      </w:pPr>
      <w:r w:rsidRPr="005E67B1">
        <w:rPr>
          <w:noProof/>
        </w:rPr>
        <mc:AlternateContent>
          <mc:Choice Requires="wps">
            <w:drawing>
              <wp:anchor distT="0" distB="0" distL="0" distR="0" simplePos="0" relativeHeight="251701248" behindDoc="1" locked="0" layoutInCell="1" allowOverlap="1" wp14:anchorId="1144AEC1" wp14:editId="57A7665D">
                <wp:simplePos x="0" y="0"/>
                <wp:positionH relativeFrom="page">
                  <wp:posOffset>914400</wp:posOffset>
                </wp:positionH>
                <wp:positionV relativeFrom="paragraph">
                  <wp:posOffset>166370</wp:posOffset>
                </wp:positionV>
                <wp:extent cx="1828800" cy="6350"/>
                <wp:effectExtent l="0" t="1905" r="0" b="1270"/>
                <wp:wrapTopAndBottom/>
                <wp:docPr id="241" name="Rectangle 2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8EE5C" id="Rectangle 241" o:spid="_x0000_s1026" style="position:absolute;margin-left:1in;margin-top:13.1pt;width:2in;height:.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" fillcolor="black" stroked="f">
                <w10:wrap type="topAndBottom" anchorx="page"/>
              </v:rect>
            </w:pict>
          </mc:Fallback>
        </mc:AlternateContent>
      </w:r>
    </w:p>
    <w:p w14:paraId="35CA129A" w14:textId="77777777" w:rsidR="00793562" w:rsidRPr="005E67B1" w:rsidRDefault="00793562" w:rsidP="00793562">
      <w:pPr>
        <w:pStyle w:val="BodyText"/>
        <w:spacing w:before="7"/>
        <w:rPr>
          <w:sz w:val="15"/>
        </w:rPr>
      </w:pPr>
    </w:p>
    <w:p w14:paraId="24387D7B" w14:textId="77777777" w:rsidR="00793562" w:rsidRPr="005E67B1" w:rsidRDefault="00793562" w:rsidP="00793562">
      <w:pPr>
        <w:spacing w:before="101"/>
        <w:ind w:left="1240"/>
        <w:rPr>
          <w:sz w:val="16"/>
        </w:rPr>
      </w:pPr>
      <w:r w:rsidRPr="005E67B1">
        <w:rPr>
          <w:sz w:val="16"/>
          <w:vertAlign w:val="superscript"/>
        </w:rPr>
        <w:t>1</w:t>
      </w:r>
      <w:r w:rsidRPr="005E67B1">
        <w:rPr>
          <w:sz w:val="16"/>
        </w:rPr>
        <w:t xml:space="preserve"> Access to Medicinal Cannabis Act 2016</w:t>
      </w:r>
    </w:p>
    <w:p w14:paraId="7F786E61" w14:textId="06596217" w:rsidR="00793562" w:rsidRPr="005E67B1" w:rsidRDefault="00793562" w:rsidP="00210816">
      <w:pPr>
        <w:spacing w:before="60"/>
        <w:ind w:left="1240" w:right="1393"/>
        <w:rPr>
          <w:sz w:val="16"/>
        </w:rPr>
        <w:sectPr w:rsidR="00793562" w:rsidRPr="005E67B1" w:rsidSect="00190D04">
          <w:headerReference w:type="default" r:id="rId12"/>
          <w:footerReference w:type="default" r:id="rId13"/>
          <w:pgSz w:w="11910" w:h="16840"/>
          <w:pgMar w:top="840" w:right="82" w:bottom="860" w:left="200" w:header="650" w:footer="679" w:gutter="0"/>
          <w:cols w:space="720"/>
          <w:docGrid w:linePitch="299"/>
        </w:sectPr>
      </w:pPr>
      <w:r w:rsidRPr="005E67B1">
        <w:rPr>
          <w:sz w:val="16"/>
          <w:vertAlign w:val="superscript"/>
        </w:rPr>
        <w:t>2</w:t>
      </w:r>
      <w:r w:rsidRPr="005E67B1">
        <w:rPr>
          <w:sz w:val="16"/>
        </w:rPr>
        <w:t xml:space="preserve"> The full Industry Development Plan can be found here: &lt;</w:t>
      </w:r>
      <w:hyperlink r:id="rId14">
        <w:r w:rsidRPr="005E67B1">
          <w:rPr>
            <w:sz w:val="16"/>
          </w:rPr>
          <w:t>http://agriculture.vic.gov.au/agriculture/grains-and-</w:t>
        </w:r>
      </w:hyperlink>
      <w:r w:rsidRPr="005E67B1">
        <w:rPr>
          <w:sz w:val="16"/>
        </w:rPr>
        <w:t xml:space="preserve"> other-crops/cannabis-in-</w:t>
      </w:r>
      <w:proofErr w:type="spellStart"/>
      <w:r w:rsidRPr="005E67B1">
        <w:rPr>
          <w:sz w:val="16"/>
        </w:rPr>
        <w:t>victoria</w:t>
      </w:r>
      <w:proofErr w:type="spellEnd"/>
      <w:r w:rsidRPr="005E67B1">
        <w:rPr>
          <w:sz w:val="16"/>
        </w:rPr>
        <w:t>/medicinal-cannabis&gt;</w:t>
      </w:r>
    </w:p>
    <w:p w14:paraId="1DB05E0D" w14:textId="1EDD8F9B" w:rsidR="00793562" w:rsidRPr="002366C9" w:rsidRDefault="00793562" w:rsidP="002366C9">
      <w:pPr>
        <w:pStyle w:val="Heading1"/>
        <w:numPr>
          <w:ilvl w:val="0"/>
          <w:numId w:val="41"/>
        </w:numPr>
        <w:rPr>
          <w:rFonts w:ascii="Verdana" w:hAnsi="Verdana"/>
          <w:b/>
          <w:bCs/>
          <w:color w:val="auto"/>
        </w:rPr>
      </w:pPr>
      <w:bookmarkStart w:id="1" w:name="_TOC_250004"/>
      <w:r w:rsidRPr="002366C9">
        <w:rPr>
          <w:rFonts w:ascii="Verdana" w:hAnsi="Verdana"/>
          <w:b/>
          <w:bCs/>
          <w:color w:val="auto"/>
        </w:rPr>
        <w:lastRenderedPageBreak/>
        <w:t>Current</w:t>
      </w:r>
      <w:r w:rsidRPr="002366C9">
        <w:rPr>
          <w:rFonts w:ascii="Verdana" w:hAnsi="Verdana"/>
          <w:b/>
          <w:bCs/>
          <w:color w:val="auto"/>
          <w:spacing w:val="2"/>
        </w:rPr>
        <w:t xml:space="preserve"> </w:t>
      </w:r>
      <w:bookmarkEnd w:id="1"/>
      <w:r w:rsidRPr="002366C9">
        <w:rPr>
          <w:rFonts w:ascii="Verdana" w:hAnsi="Verdana"/>
          <w:b/>
          <w:bCs/>
          <w:color w:val="auto"/>
        </w:rPr>
        <w:t>demand</w:t>
      </w:r>
    </w:p>
    <w:p w14:paraId="1214EA79" w14:textId="77777777" w:rsidR="00793562" w:rsidRPr="005E67B1" w:rsidRDefault="00793562" w:rsidP="00793562">
      <w:pPr>
        <w:pStyle w:val="BodyText"/>
        <w:spacing w:before="259" w:line="264" w:lineRule="auto"/>
        <w:ind w:left="1240" w:right="1741"/>
      </w:pPr>
      <w:r w:rsidRPr="005E67B1">
        <w:t xml:space="preserve">Demand for Victorian medicinal cannabis products </w:t>
      </w:r>
      <w:proofErr w:type="gramStart"/>
      <w:r w:rsidRPr="005E67B1">
        <w:t>comes</w:t>
      </w:r>
      <w:proofErr w:type="gramEnd"/>
      <w:r w:rsidRPr="005E67B1">
        <w:t xml:space="preserve"> from both domestic and international patients. This chapter describes the current size of both patient cohorts.</w:t>
      </w:r>
    </w:p>
    <w:p w14:paraId="4773DDF4" w14:textId="77777777" w:rsidR="00793562" w:rsidRPr="005E67B1" w:rsidRDefault="00793562" w:rsidP="00793562">
      <w:pPr>
        <w:pStyle w:val="BodyText"/>
        <w:spacing w:before="5"/>
        <w:rPr>
          <w:sz w:val="19"/>
        </w:rPr>
      </w:pPr>
    </w:p>
    <w:p w14:paraId="4316A3BF" w14:textId="77777777" w:rsidR="00793562" w:rsidRPr="00FB461D" w:rsidRDefault="00793562" w:rsidP="00793562">
      <w:pPr>
        <w:pStyle w:val="Heading6"/>
        <w:keepNext w:val="0"/>
        <w:keepLines w:val="0"/>
        <w:numPr>
          <w:ilvl w:val="2"/>
          <w:numId w:val="22"/>
        </w:numPr>
        <w:tabs>
          <w:tab w:val="left" w:pos="1816"/>
          <w:tab w:val="left" w:pos="1817"/>
        </w:tabs>
        <w:spacing w:before="0"/>
        <w:ind w:hanging="577"/>
        <w:rPr>
          <w:rFonts w:ascii="Verdana" w:hAnsi="Verdana"/>
          <w:b/>
          <w:bCs/>
          <w:color w:val="auto"/>
          <w:sz w:val="20"/>
          <w:szCs w:val="20"/>
        </w:rPr>
      </w:pPr>
      <w:r w:rsidRPr="00FB461D">
        <w:rPr>
          <w:rFonts w:ascii="Verdana" w:hAnsi="Verdana"/>
          <w:b/>
          <w:bCs/>
          <w:color w:val="auto"/>
          <w:sz w:val="20"/>
          <w:szCs w:val="20"/>
        </w:rPr>
        <w:t>Domestic</w:t>
      </w:r>
      <w:r w:rsidRPr="00FB461D">
        <w:rPr>
          <w:rFonts w:ascii="Verdana" w:hAnsi="Verdana"/>
          <w:b/>
          <w:bCs/>
          <w:color w:val="auto"/>
          <w:spacing w:val="-1"/>
          <w:sz w:val="20"/>
          <w:szCs w:val="20"/>
        </w:rPr>
        <w:t xml:space="preserve"> </w:t>
      </w:r>
      <w:r w:rsidRPr="00FB461D">
        <w:rPr>
          <w:rFonts w:ascii="Verdana" w:hAnsi="Verdana"/>
          <w:b/>
          <w:bCs/>
          <w:color w:val="auto"/>
          <w:sz w:val="20"/>
          <w:szCs w:val="20"/>
        </w:rPr>
        <w:t>demand</w:t>
      </w:r>
    </w:p>
    <w:p w14:paraId="5694A283" w14:textId="77777777" w:rsidR="00793562" w:rsidRPr="005E67B1" w:rsidRDefault="00793562" w:rsidP="00793562">
      <w:pPr>
        <w:pStyle w:val="BodyText"/>
        <w:spacing w:before="84" w:line="264" w:lineRule="auto"/>
        <w:ind w:left="1240" w:right="1431"/>
      </w:pPr>
      <w:r w:rsidRPr="005E67B1">
        <w:t xml:space="preserve">Patient demand for medicinal cannabis is influenced by factors such as barriers to access, price and product information. Domestic demand has increased significantly over the last two years due to improvements in the process for patient </w:t>
      </w:r>
      <w:proofErr w:type="gramStart"/>
      <w:r w:rsidRPr="005E67B1">
        <w:t>access, and</w:t>
      </w:r>
      <w:proofErr w:type="gramEnd"/>
      <w:r w:rsidRPr="005E67B1">
        <w:t xml:space="preserve"> is expected to continue increasing as product availability improves and prices reduce through competition.</w:t>
      </w:r>
    </w:p>
    <w:p w14:paraId="1F2B6A69" w14:textId="77777777" w:rsidR="00793562" w:rsidRPr="005E67B1" w:rsidRDefault="00793562" w:rsidP="00793562">
      <w:pPr>
        <w:pStyle w:val="BodyText"/>
        <w:spacing w:before="5"/>
        <w:rPr>
          <w:sz w:val="19"/>
        </w:rPr>
      </w:pPr>
    </w:p>
    <w:p w14:paraId="5F9E0A6C" w14:textId="77777777" w:rsidR="00793562" w:rsidRPr="00FB461D" w:rsidRDefault="00793562" w:rsidP="00793562">
      <w:pPr>
        <w:pStyle w:val="Heading6"/>
        <w:keepNext w:val="0"/>
        <w:keepLines w:val="0"/>
        <w:numPr>
          <w:ilvl w:val="3"/>
          <w:numId w:val="22"/>
        </w:numPr>
        <w:tabs>
          <w:tab w:val="left" w:pos="1960"/>
          <w:tab w:val="left" w:pos="1961"/>
        </w:tabs>
        <w:spacing w:before="0"/>
        <w:ind w:hanging="721"/>
        <w:rPr>
          <w:rFonts w:ascii="Verdana" w:hAnsi="Verdana"/>
          <w:b/>
          <w:bCs/>
          <w:color w:val="auto"/>
          <w:sz w:val="20"/>
          <w:szCs w:val="20"/>
        </w:rPr>
      </w:pPr>
      <w:r w:rsidRPr="00FB461D">
        <w:rPr>
          <w:rFonts w:ascii="Verdana" w:hAnsi="Verdana"/>
          <w:b/>
          <w:bCs/>
          <w:color w:val="auto"/>
          <w:sz w:val="20"/>
          <w:szCs w:val="20"/>
        </w:rPr>
        <w:t>Patient</w:t>
      </w:r>
      <w:r w:rsidRPr="00FB461D">
        <w:rPr>
          <w:rFonts w:ascii="Verdana" w:hAnsi="Verdana"/>
          <w:b/>
          <w:bCs/>
          <w:color w:val="auto"/>
          <w:spacing w:val="-2"/>
          <w:sz w:val="20"/>
          <w:szCs w:val="20"/>
        </w:rPr>
        <w:t xml:space="preserve"> </w:t>
      </w:r>
      <w:r w:rsidRPr="00FB461D">
        <w:rPr>
          <w:rFonts w:ascii="Verdana" w:hAnsi="Verdana"/>
          <w:b/>
          <w:bCs/>
          <w:color w:val="auto"/>
          <w:sz w:val="20"/>
          <w:szCs w:val="20"/>
        </w:rPr>
        <w:t>access</w:t>
      </w:r>
    </w:p>
    <w:p w14:paraId="4D02A7A0" w14:textId="77777777" w:rsidR="00793562" w:rsidRPr="005E67B1" w:rsidRDefault="00793562" w:rsidP="00793562">
      <w:pPr>
        <w:pStyle w:val="BodyText"/>
        <w:spacing w:before="83" w:line="264" w:lineRule="auto"/>
        <w:ind w:left="1240" w:right="1388"/>
      </w:pPr>
      <w:r w:rsidRPr="005E67B1">
        <w:t>Access to medicinal cannabis is relatively more difficult than other medicinal products in Australia, as it is currently an unregistered drug and is not listed on the Australian Register of Therapeutic Goods (ARTG). Supply of medicinal cannabis products to the Australian market is provided by both local producers and through imported products, with patient access regulated by national legislation.</w:t>
      </w:r>
    </w:p>
    <w:p w14:paraId="79E58F85" w14:textId="77777777" w:rsidR="00793562" w:rsidRPr="005E67B1" w:rsidRDefault="00793562" w:rsidP="00793562">
      <w:pPr>
        <w:pStyle w:val="BodyText"/>
        <w:spacing w:before="165" w:line="264" w:lineRule="auto"/>
        <w:ind w:left="1240" w:right="1489"/>
      </w:pPr>
      <w:r w:rsidRPr="005E67B1">
        <w:t xml:space="preserve">There are three methods for Australian patients to access unregistered medicines such as medicinal cannabis: the </w:t>
      </w:r>
      <w:proofErr w:type="spellStart"/>
      <w:r w:rsidRPr="005E67B1">
        <w:t>Authorised</w:t>
      </w:r>
      <w:proofErr w:type="spellEnd"/>
      <w:r w:rsidRPr="005E67B1">
        <w:t xml:space="preserve"> Prescriber Scheme (APS), the Special Access Scheme B (SAS- B), and clinical trials.</w:t>
      </w:r>
    </w:p>
    <w:p w14:paraId="76BFDED1" w14:textId="77777777" w:rsidR="00793562" w:rsidRPr="005E67B1" w:rsidRDefault="00793562" w:rsidP="00793562">
      <w:pPr>
        <w:pStyle w:val="BodyText"/>
        <w:spacing w:before="169" w:line="264" w:lineRule="auto"/>
        <w:ind w:left="1240" w:right="1430"/>
      </w:pPr>
      <w:r w:rsidRPr="005E67B1">
        <w:t>The SAS-B scheme is currently the largest route for Australian patients to legally access medicinal cannabis. The SAS-B process requires doctors to apply to the Therapeutic Goods Administration (TGA) for approval for a patient to access an unapproved medicinal cannabis product. Applications are assessed on a case-by-case basis and crucially, access is only granted as a medication of last resort.</w:t>
      </w:r>
    </w:p>
    <w:p w14:paraId="39D401B8" w14:textId="77777777" w:rsidR="00793562" w:rsidRPr="005E67B1" w:rsidRDefault="00793562" w:rsidP="00793562">
      <w:pPr>
        <w:pStyle w:val="BodyText"/>
        <w:spacing w:before="167" w:line="264" w:lineRule="auto"/>
        <w:ind w:left="1240" w:right="1700"/>
      </w:pPr>
      <w:r w:rsidRPr="005E67B1">
        <w:t>In 2018 this scheme was streamlined by the TGA through the introduction of an online portal, making the application process simpler for the prescribing doctor, and in turn reducing the wait time for patients Australia-wide.</w:t>
      </w:r>
    </w:p>
    <w:p w14:paraId="700E83A0" w14:textId="77777777" w:rsidR="00AB2DB4" w:rsidRDefault="00793562" w:rsidP="00750F3E">
      <w:pPr>
        <w:pStyle w:val="BodyText"/>
        <w:spacing w:before="169" w:line="264" w:lineRule="auto"/>
        <w:ind w:left="1240" w:right="1506"/>
      </w:pPr>
      <w:r w:rsidRPr="005E67B1">
        <w:t>Since the streamlined process for the SAS-B scheme was introduced in 2018, the number of individual approvals through this pathway has increased from a handful per month Australia-wide in early 2018 to over 3000 per month in October 2019 (se</w:t>
      </w:r>
      <w:hyperlink w:anchor="_bookmark0" w:history="1">
        <w:r w:rsidRPr="005E67B1">
          <w:t>e Chart 2.1</w:t>
        </w:r>
      </w:hyperlink>
      <w:r w:rsidRPr="005E67B1">
        <w:t>, overleaf</w:t>
      </w:r>
      <w:r w:rsidR="00AB2DB4">
        <w:t>.</w:t>
      </w:r>
    </w:p>
    <w:p w14:paraId="231261A0" w14:textId="77777777" w:rsidR="00C163D5" w:rsidRDefault="00750F3E" w:rsidP="00E06296">
      <w:pPr>
        <w:spacing w:before="168"/>
        <w:ind w:left="1242" w:right="1361"/>
        <w:rPr>
          <w:sz w:val="16"/>
          <w:szCs w:val="16"/>
        </w:rPr>
      </w:pPr>
      <w:r w:rsidRPr="005E67B1">
        <w:rPr>
          <w:sz w:val="17"/>
        </w:rPr>
        <w:t>Chart 2.1: Monthly number of SAS-B approvals, Australi</w:t>
      </w:r>
      <w:r w:rsidR="00E06296">
        <w:rPr>
          <w:sz w:val="17"/>
        </w:rPr>
        <w:t>a</w:t>
      </w:r>
      <w:r>
        <w:rPr>
          <w:noProof/>
        </w:rPr>
        <w:drawing>
          <wp:inline distT="0" distB="0" distL="0" distR="0" wp14:anchorId="7C5599E6" wp14:editId="24D04FAA">
            <wp:extent cx="5920956" cy="3076575"/>
            <wp:effectExtent l="0" t="0" r="3810" b="0"/>
            <wp:docPr id="3" name="Picture 3" descr="Graph of monthly number of SAS-B approvals in Australia. Table below outlines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55757" cy="3094658"/>
                    </a:xfrm>
                    <a:prstGeom prst="rect">
                      <a:avLst/>
                    </a:prstGeom>
                  </pic:spPr>
                </pic:pic>
              </a:graphicData>
            </a:graphic>
          </wp:inline>
        </w:drawing>
      </w:r>
      <w:r w:rsidR="00C163D5" w:rsidRPr="00C163D5">
        <w:rPr>
          <w:sz w:val="16"/>
          <w:szCs w:val="16"/>
        </w:rPr>
        <w:t xml:space="preserve"> </w:t>
      </w:r>
    </w:p>
    <w:p w14:paraId="24498DA9" w14:textId="3CDDC66F" w:rsidR="00750F3E" w:rsidRPr="007A7A1B" w:rsidRDefault="00C163D5" w:rsidP="00E06296">
      <w:pPr>
        <w:spacing w:before="168"/>
        <w:ind w:left="1242" w:right="1361"/>
        <w:rPr>
          <w:sz w:val="17"/>
        </w:rPr>
        <w:sectPr w:rsidR="00750F3E" w:rsidRPr="007A7A1B">
          <w:pgSz w:w="11910" w:h="16840"/>
          <w:pgMar w:top="840" w:right="82" w:bottom="860" w:left="200" w:header="650" w:footer="679" w:gutter="0"/>
          <w:cols w:space="720"/>
        </w:sectPr>
      </w:pPr>
      <w:r>
        <w:rPr>
          <w:sz w:val="16"/>
          <w:szCs w:val="16"/>
        </w:rPr>
        <w:t>Source: Lambert Initiative for Cannabinoid Therapeutics.</w:t>
      </w:r>
      <w:bookmarkStart w:id="2" w:name="_GoBack"/>
      <w:bookmarkEnd w:id="2"/>
    </w:p>
    <w:tbl>
      <w:tblPr>
        <w:tblStyle w:val="TableGrid"/>
        <w:tblpPr w:leftFromText="180" w:rightFromText="180" w:vertAnchor="text" w:horzAnchor="page" w:tblpX="1562" w:tblpY="280"/>
        <w:tblW w:w="0" w:type="auto"/>
        <w:tblLayout w:type="fixed"/>
        <w:tblLook w:val="01E0" w:firstRow="1" w:lastRow="1" w:firstColumn="1" w:lastColumn="1" w:noHBand="0" w:noVBand="0"/>
      </w:tblPr>
      <w:tblGrid>
        <w:gridCol w:w="1839"/>
        <w:gridCol w:w="1702"/>
        <w:gridCol w:w="1986"/>
        <w:gridCol w:w="1843"/>
      </w:tblGrid>
      <w:tr w:rsidR="00E06296" w:rsidRPr="00AB2DB4" w14:paraId="0C81F495" w14:textId="77777777" w:rsidTr="00E06296">
        <w:trPr>
          <w:trHeight w:val="339"/>
        </w:trPr>
        <w:tc>
          <w:tcPr>
            <w:tcW w:w="1839" w:type="dxa"/>
          </w:tcPr>
          <w:p w14:paraId="7857B736" w14:textId="77777777" w:rsidR="00E06296" w:rsidRPr="00AB2DB4" w:rsidRDefault="00E06296" w:rsidP="00E06296">
            <w:pPr>
              <w:pStyle w:val="TableParagraph"/>
              <w:rPr>
                <w:b/>
                <w:bCs/>
                <w:sz w:val="18"/>
                <w:szCs w:val="18"/>
              </w:rPr>
            </w:pPr>
            <w:bookmarkStart w:id="3" w:name="_bookmark0"/>
            <w:bookmarkEnd w:id="3"/>
            <w:r w:rsidRPr="00AB2DB4">
              <w:rPr>
                <w:b/>
                <w:bCs/>
                <w:sz w:val="18"/>
                <w:szCs w:val="18"/>
              </w:rPr>
              <w:lastRenderedPageBreak/>
              <w:t>Month</w:t>
            </w:r>
          </w:p>
        </w:tc>
        <w:tc>
          <w:tcPr>
            <w:tcW w:w="1702" w:type="dxa"/>
          </w:tcPr>
          <w:p w14:paraId="581C9571" w14:textId="77777777" w:rsidR="00E06296" w:rsidRPr="00AB2DB4" w:rsidRDefault="00E06296" w:rsidP="00E06296">
            <w:pPr>
              <w:pStyle w:val="TableParagraph"/>
              <w:ind w:left="44"/>
              <w:rPr>
                <w:b/>
                <w:bCs/>
                <w:sz w:val="18"/>
                <w:szCs w:val="18"/>
              </w:rPr>
            </w:pPr>
            <w:r w:rsidRPr="00AB2DB4">
              <w:rPr>
                <w:b/>
                <w:bCs/>
                <w:sz w:val="18"/>
                <w:szCs w:val="18"/>
              </w:rPr>
              <w:t>Number of SAS-B approvals</w:t>
            </w:r>
          </w:p>
        </w:tc>
        <w:tc>
          <w:tcPr>
            <w:tcW w:w="1986" w:type="dxa"/>
          </w:tcPr>
          <w:p w14:paraId="5B9DEF95" w14:textId="77777777" w:rsidR="00E06296" w:rsidRPr="00AB2DB4" w:rsidRDefault="00E06296" w:rsidP="00E06296">
            <w:pPr>
              <w:pStyle w:val="TableParagraph"/>
              <w:rPr>
                <w:b/>
                <w:bCs/>
                <w:sz w:val="18"/>
                <w:szCs w:val="18"/>
              </w:rPr>
            </w:pPr>
            <w:r w:rsidRPr="00AB2DB4">
              <w:rPr>
                <w:b/>
                <w:bCs/>
                <w:sz w:val="18"/>
                <w:szCs w:val="18"/>
              </w:rPr>
              <w:t>Month</w:t>
            </w:r>
          </w:p>
        </w:tc>
        <w:tc>
          <w:tcPr>
            <w:tcW w:w="1843" w:type="dxa"/>
          </w:tcPr>
          <w:p w14:paraId="54FD17AC" w14:textId="77777777" w:rsidR="00E06296" w:rsidRPr="00AB2DB4" w:rsidRDefault="00E06296" w:rsidP="00E06296">
            <w:pPr>
              <w:pStyle w:val="TableParagraph"/>
              <w:rPr>
                <w:b/>
                <w:bCs/>
                <w:sz w:val="18"/>
                <w:szCs w:val="18"/>
              </w:rPr>
            </w:pPr>
            <w:r w:rsidRPr="00AB2DB4">
              <w:rPr>
                <w:b/>
                <w:bCs/>
                <w:sz w:val="18"/>
                <w:szCs w:val="18"/>
              </w:rPr>
              <w:t>Number of SAS-B approvals</w:t>
            </w:r>
          </w:p>
        </w:tc>
      </w:tr>
      <w:tr w:rsidR="00E06296" w:rsidRPr="00AB2DB4" w14:paraId="46025907" w14:textId="77777777" w:rsidTr="00E06296">
        <w:trPr>
          <w:trHeight w:val="339"/>
        </w:trPr>
        <w:tc>
          <w:tcPr>
            <w:tcW w:w="1839" w:type="dxa"/>
          </w:tcPr>
          <w:p w14:paraId="7090BC76" w14:textId="77777777" w:rsidR="00E06296" w:rsidRPr="00AB2DB4" w:rsidRDefault="00E06296" w:rsidP="00E06296">
            <w:pPr>
              <w:pStyle w:val="TableParagraph"/>
              <w:rPr>
                <w:sz w:val="18"/>
                <w:szCs w:val="18"/>
              </w:rPr>
            </w:pPr>
            <w:r w:rsidRPr="00AB2DB4">
              <w:rPr>
                <w:sz w:val="18"/>
                <w:szCs w:val="18"/>
              </w:rPr>
              <w:t>January 2017</w:t>
            </w:r>
          </w:p>
        </w:tc>
        <w:tc>
          <w:tcPr>
            <w:tcW w:w="1702" w:type="dxa"/>
          </w:tcPr>
          <w:p w14:paraId="7B9AEDE1" w14:textId="77777777" w:rsidR="00E06296" w:rsidRPr="00AB2DB4" w:rsidRDefault="00E06296" w:rsidP="00E06296">
            <w:pPr>
              <w:pStyle w:val="TableParagraph"/>
              <w:ind w:left="44"/>
              <w:rPr>
                <w:sz w:val="18"/>
                <w:szCs w:val="18"/>
              </w:rPr>
            </w:pPr>
            <w:r w:rsidRPr="00AB2DB4">
              <w:rPr>
                <w:sz w:val="18"/>
                <w:szCs w:val="18"/>
              </w:rPr>
              <w:t>0</w:t>
            </w:r>
          </w:p>
        </w:tc>
        <w:tc>
          <w:tcPr>
            <w:tcW w:w="1986" w:type="dxa"/>
          </w:tcPr>
          <w:p w14:paraId="01A4CA0D" w14:textId="77777777" w:rsidR="00E06296" w:rsidRPr="00AB2DB4" w:rsidRDefault="00E06296" w:rsidP="00E06296">
            <w:pPr>
              <w:pStyle w:val="TableParagraph"/>
              <w:rPr>
                <w:sz w:val="18"/>
                <w:szCs w:val="18"/>
              </w:rPr>
            </w:pPr>
            <w:r w:rsidRPr="00AB2DB4">
              <w:rPr>
                <w:sz w:val="18"/>
                <w:szCs w:val="18"/>
              </w:rPr>
              <w:t>June 2018</w:t>
            </w:r>
          </w:p>
        </w:tc>
        <w:tc>
          <w:tcPr>
            <w:tcW w:w="1843" w:type="dxa"/>
          </w:tcPr>
          <w:p w14:paraId="29E80B32" w14:textId="77777777" w:rsidR="00E06296" w:rsidRPr="00AB2DB4" w:rsidRDefault="00E06296" w:rsidP="00E06296">
            <w:pPr>
              <w:pStyle w:val="TableParagraph"/>
              <w:ind w:left="208"/>
              <w:rPr>
                <w:sz w:val="18"/>
                <w:szCs w:val="18"/>
              </w:rPr>
            </w:pPr>
            <w:r w:rsidRPr="00AB2DB4">
              <w:rPr>
                <w:sz w:val="18"/>
                <w:szCs w:val="18"/>
              </w:rPr>
              <w:t>146</w:t>
            </w:r>
          </w:p>
        </w:tc>
      </w:tr>
      <w:tr w:rsidR="00E06296" w:rsidRPr="00AB2DB4" w14:paraId="26F996A6" w14:textId="77777777" w:rsidTr="00E06296">
        <w:trPr>
          <w:trHeight w:val="341"/>
        </w:trPr>
        <w:tc>
          <w:tcPr>
            <w:tcW w:w="1839" w:type="dxa"/>
          </w:tcPr>
          <w:p w14:paraId="631E3B0B" w14:textId="77777777" w:rsidR="00E06296" w:rsidRPr="00AB2DB4" w:rsidRDefault="00E06296" w:rsidP="00E06296">
            <w:pPr>
              <w:pStyle w:val="TableParagraph"/>
              <w:rPr>
                <w:sz w:val="18"/>
                <w:szCs w:val="18"/>
              </w:rPr>
            </w:pPr>
            <w:r w:rsidRPr="00AB2DB4">
              <w:rPr>
                <w:sz w:val="18"/>
                <w:szCs w:val="18"/>
              </w:rPr>
              <w:t>February 2017</w:t>
            </w:r>
          </w:p>
        </w:tc>
        <w:tc>
          <w:tcPr>
            <w:tcW w:w="1702" w:type="dxa"/>
          </w:tcPr>
          <w:p w14:paraId="19CC00E5" w14:textId="77777777" w:rsidR="00E06296" w:rsidRPr="00AB2DB4" w:rsidRDefault="00E06296" w:rsidP="00E06296">
            <w:pPr>
              <w:pStyle w:val="TableParagraph"/>
              <w:ind w:left="44"/>
              <w:rPr>
                <w:sz w:val="18"/>
                <w:szCs w:val="18"/>
              </w:rPr>
            </w:pPr>
            <w:r w:rsidRPr="00AB2DB4">
              <w:rPr>
                <w:sz w:val="18"/>
                <w:szCs w:val="18"/>
              </w:rPr>
              <w:t>26</w:t>
            </w:r>
          </w:p>
        </w:tc>
        <w:tc>
          <w:tcPr>
            <w:tcW w:w="1986" w:type="dxa"/>
          </w:tcPr>
          <w:p w14:paraId="424B1A3F" w14:textId="77777777" w:rsidR="00E06296" w:rsidRPr="00AB2DB4" w:rsidRDefault="00E06296" w:rsidP="00E06296">
            <w:pPr>
              <w:pStyle w:val="TableParagraph"/>
              <w:rPr>
                <w:sz w:val="18"/>
                <w:szCs w:val="18"/>
              </w:rPr>
            </w:pPr>
            <w:r w:rsidRPr="00AB2DB4">
              <w:rPr>
                <w:sz w:val="18"/>
                <w:szCs w:val="18"/>
              </w:rPr>
              <w:t>July 2018</w:t>
            </w:r>
          </w:p>
        </w:tc>
        <w:tc>
          <w:tcPr>
            <w:tcW w:w="1843" w:type="dxa"/>
          </w:tcPr>
          <w:p w14:paraId="563AC08C" w14:textId="77777777" w:rsidR="00E06296" w:rsidRPr="00AB2DB4" w:rsidRDefault="00E06296" w:rsidP="00E06296">
            <w:pPr>
              <w:pStyle w:val="TableParagraph"/>
              <w:ind w:left="208"/>
              <w:rPr>
                <w:sz w:val="18"/>
                <w:szCs w:val="18"/>
              </w:rPr>
            </w:pPr>
            <w:r w:rsidRPr="00AB2DB4">
              <w:rPr>
                <w:sz w:val="18"/>
                <w:szCs w:val="18"/>
              </w:rPr>
              <w:t>188</w:t>
            </w:r>
          </w:p>
        </w:tc>
      </w:tr>
      <w:tr w:rsidR="00E06296" w:rsidRPr="00AB2DB4" w14:paraId="1AAADE4A" w14:textId="77777777" w:rsidTr="00E06296">
        <w:trPr>
          <w:trHeight w:val="341"/>
        </w:trPr>
        <w:tc>
          <w:tcPr>
            <w:tcW w:w="1839" w:type="dxa"/>
          </w:tcPr>
          <w:p w14:paraId="50152556" w14:textId="77777777" w:rsidR="00E06296" w:rsidRPr="00AB2DB4" w:rsidRDefault="00E06296" w:rsidP="00E06296">
            <w:pPr>
              <w:pStyle w:val="TableParagraph"/>
              <w:rPr>
                <w:sz w:val="18"/>
                <w:szCs w:val="18"/>
              </w:rPr>
            </w:pPr>
            <w:r w:rsidRPr="00AB2DB4">
              <w:rPr>
                <w:sz w:val="18"/>
                <w:szCs w:val="18"/>
              </w:rPr>
              <w:t>March 2017</w:t>
            </w:r>
          </w:p>
        </w:tc>
        <w:tc>
          <w:tcPr>
            <w:tcW w:w="1702" w:type="dxa"/>
          </w:tcPr>
          <w:p w14:paraId="56463593" w14:textId="77777777" w:rsidR="00E06296" w:rsidRPr="00AB2DB4" w:rsidRDefault="00E06296" w:rsidP="00E06296">
            <w:pPr>
              <w:pStyle w:val="TableParagraph"/>
              <w:ind w:left="44"/>
              <w:rPr>
                <w:sz w:val="18"/>
                <w:szCs w:val="18"/>
              </w:rPr>
            </w:pPr>
            <w:r w:rsidRPr="00AB2DB4">
              <w:rPr>
                <w:sz w:val="18"/>
                <w:szCs w:val="18"/>
              </w:rPr>
              <w:t>13</w:t>
            </w:r>
          </w:p>
        </w:tc>
        <w:tc>
          <w:tcPr>
            <w:tcW w:w="1986" w:type="dxa"/>
          </w:tcPr>
          <w:p w14:paraId="5E82205E" w14:textId="77777777" w:rsidR="00E06296" w:rsidRPr="00AB2DB4" w:rsidRDefault="00E06296" w:rsidP="00E06296">
            <w:pPr>
              <w:pStyle w:val="TableParagraph"/>
              <w:rPr>
                <w:sz w:val="18"/>
                <w:szCs w:val="18"/>
              </w:rPr>
            </w:pPr>
            <w:r w:rsidRPr="00AB2DB4">
              <w:rPr>
                <w:sz w:val="18"/>
                <w:szCs w:val="18"/>
              </w:rPr>
              <w:t>August 2018</w:t>
            </w:r>
          </w:p>
        </w:tc>
        <w:tc>
          <w:tcPr>
            <w:tcW w:w="1843" w:type="dxa"/>
          </w:tcPr>
          <w:p w14:paraId="4120996E" w14:textId="77777777" w:rsidR="00E06296" w:rsidRPr="00AB2DB4" w:rsidRDefault="00E06296" w:rsidP="00E06296">
            <w:pPr>
              <w:pStyle w:val="TableParagraph"/>
              <w:ind w:left="208"/>
              <w:rPr>
                <w:sz w:val="18"/>
                <w:szCs w:val="18"/>
              </w:rPr>
            </w:pPr>
            <w:r w:rsidRPr="00AB2DB4">
              <w:rPr>
                <w:sz w:val="18"/>
                <w:szCs w:val="18"/>
              </w:rPr>
              <w:t>229</w:t>
            </w:r>
          </w:p>
        </w:tc>
      </w:tr>
      <w:tr w:rsidR="00E06296" w:rsidRPr="00AB2DB4" w14:paraId="7BA63B69" w14:textId="77777777" w:rsidTr="00E06296">
        <w:trPr>
          <w:trHeight w:val="339"/>
        </w:trPr>
        <w:tc>
          <w:tcPr>
            <w:tcW w:w="1839" w:type="dxa"/>
          </w:tcPr>
          <w:p w14:paraId="281E81BE" w14:textId="77777777" w:rsidR="00E06296" w:rsidRPr="00AB2DB4" w:rsidRDefault="00E06296" w:rsidP="00E06296">
            <w:pPr>
              <w:pStyle w:val="TableParagraph"/>
              <w:rPr>
                <w:sz w:val="18"/>
                <w:szCs w:val="18"/>
              </w:rPr>
            </w:pPr>
            <w:r w:rsidRPr="00AB2DB4">
              <w:rPr>
                <w:sz w:val="18"/>
                <w:szCs w:val="18"/>
              </w:rPr>
              <w:t>April 2017</w:t>
            </w:r>
          </w:p>
        </w:tc>
        <w:tc>
          <w:tcPr>
            <w:tcW w:w="1702" w:type="dxa"/>
          </w:tcPr>
          <w:p w14:paraId="35642D17" w14:textId="77777777" w:rsidR="00E06296" w:rsidRPr="00AB2DB4" w:rsidRDefault="00E06296" w:rsidP="00E06296">
            <w:pPr>
              <w:pStyle w:val="TableParagraph"/>
              <w:ind w:left="44"/>
              <w:rPr>
                <w:sz w:val="18"/>
                <w:szCs w:val="18"/>
              </w:rPr>
            </w:pPr>
            <w:r w:rsidRPr="00AB2DB4">
              <w:rPr>
                <w:sz w:val="18"/>
                <w:szCs w:val="18"/>
              </w:rPr>
              <w:t>6</w:t>
            </w:r>
          </w:p>
        </w:tc>
        <w:tc>
          <w:tcPr>
            <w:tcW w:w="1986" w:type="dxa"/>
          </w:tcPr>
          <w:p w14:paraId="5F22A7BE" w14:textId="77777777" w:rsidR="00E06296" w:rsidRPr="00AB2DB4" w:rsidRDefault="00E06296" w:rsidP="00E06296">
            <w:pPr>
              <w:pStyle w:val="TableParagraph"/>
              <w:rPr>
                <w:sz w:val="18"/>
                <w:szCs w:val="18"/>
              </w:rPr>
            </w:pPr>
            <w:r w:rsidRPr="00AB2DB4">
              <w:rPr>
                <w:sz w:val="18"/>
                <w:szCs w:val="18"/>
              </w:rPr>
              <w:t>September 2018</w:t>
            </w:r>
          </w:p>
        </w:tc>
        <w:tc>
          <w:tcPr>
            <w:tcW w:w="1843" w:type="dxa"/>
          </w:tcPr>
          <w:p w14:paraId="4F89FC70" w14:textId="77777777" w:rsidR="00E06296" w:rsidRPr="00AB2DB4" w:rsidRDefault="00E06296" w:rsidP="00E06296">
            <w:pPr>
              <w:pStyle w:val="TableParagraph"/>
              <w:ind w:left="208"/>
              <w:rPr>
                <w:sz w:val="18"/>
                <w:szCs w:val="18"/>
              </w:rPr>
            </w:pPr>
            <w:r w:rsidRPr="00AB2DB4">
              <w:rPr>
                <w:sz w:val="18"/>
                <w:szCs w:val="18"/>
              </w:rPr>
              <w:t>237</w:t>
            </w:r>
          </w:p>
        </w:tc>
      </w:tr>
      <w:tr w:rsidR="00E06296" w:rsidRPr="00AB2DB4" w14:paraId="726FC05F" w14:textId="77777777" w:rsidTr="00E06296">
        <w:trPr>
          <w:trHeight w:val="342"/>
        </w:trPr>
        <w:tc>
          <w:tcPr>
            <w:tcW w:w="1839" w:type="dxa"/>
          </w:tcPr>
          <w:p w14:paraId="33422C79" w14:textId="77777777" w:rsidR="00E06296" w:rsidRPr="00AB2DB4" w:rsidRDefault="00E06296" w:rsidP="00E06296">
            <w:pPr>
              <w:pStyle w:val="TableParagraph"/>
              <w:rPr>
                <w:sz w:val="18"/>
                <w:szCs w:val="18"/>
              </w:rPr>
            </w:pPr>
            <w:r w:rsidRPr="00AB2DB4">
              <w:rPr>
                <w:sz w:val="18"/>
                <w:szCs w:val="18"/>
              </w:rPr>
              <w:t>May 2017</w:t>
            </w:r>
          </w:p>
        </w:tc>
        <w:tc>
          <w:tcPr>
            <w:tcW w:w="1702" w:type="dxa"/>
          </w:tcPr>
          <w:p w14:paraId="0CB0E538" w14:textId="77777777" w:rsidR="00E06296" w:rsidRPr="00AB2DB4" w:rsidRDefault="00E06296" w:rsidP="00E06296">
            <w:pPr>
              <w:pStyle w:val="TableParagraph"/>
              <w:ind w:left="44"/>
              <w:rPr>
                <w:sz w:val="18"/>
                <w:szCs w:val="18"/>
              </w:rPr>
            </w:pPr>
            <w:r w:rsidRPr="00AB2DB4">
              <w:rPr>
                <w:sz w:val="18"/>
                <w:szCs w:val="18"/>
              </w:rPr>
              <w:t>10</w:t>
            </w:r>
          </w:p>
        </w:tc>
        <w:tc>
          <w:tcPr>
            <w:tcW w:w="1986" w:type="dxa"/>
          </w:tcPr>
          <w:p w14:paraId="79563EDA" w14:textId="77777777" w:rsidR="00E06296" w:rsidRPr="00AB2DB4" w:rsidRDefault="00E06296" w:rsidP="00E06296">
            <w:pPr>
              <w:pStyle w:val="TableParagraph"/>
              <w:rPr>
                <w:sz w:val="18"/>
                <w:szCs w:val="18"/>
              </w:rPr>
            </w:pPr>
            <w:r w:rsidRPr="00AB2DB4">
              <w:rPr>
                <w:sz w:val="18"/>
                <w:szCs w:val="18"/>
              </w:rPr>
              <w:t>October 2018</w:t>
            </w:r>
          </w:p>
        </w:tc>
        <w:tc>
          <w:tcPr>
            <w:tcW w:w="1843" w:type="dxa"/>
          </w:tcPr>
          <w:p w14:paraId="7CB62328" w14:textId="77777777" w:rsidR="00E06296" w:rsidRPr="00AB2DB4" w:rsidRDefault="00E06296" w:rsidP="00E06296">
            <w:pPr>
              <w:pStyle w:val="TableParagraph"/>
              <w:ind w:left="208"/>
              <w:rPr>
                <w:sz w:val="18"/>
                <w:szCs w:val="18"/>
              </w:rPr>
            </w:pPr>
            <w:r w:rsidRPr="00AB2DB4">
              <w:rPr>
                <w:sz w:val="18"/>
                <w:szCs w:val="18"/>
              </w:rPr>
              <w:t>331</w:t>
            </w:r>
          </w:p>
        </w:tc>
      </w:tr>
      <w:tr w:rsidR="00E06296" w:rsidRPr="00AB2DB4" w14:paraId="4CAB8856" w14:textId="77777777" w:rsidTr="00E06296">
        <w:trPr>
          <w:trHeight w:val="341"/>
        </w:trPr>
        <w:tc>
          <w:tcPr>
            <w:tcW w:w="1839" w:type="dxa"/>
          </w:tcPr>
          <w:p w14:paraId="4433ECAE" w14:textId="77777777" w:rsidR="00E06296" w:rsidRPr="00AB2DB4" w:rsidRDefault="00E06296" w:rsidP="00E06296">
            <w:pPr>
              <w:pStyle w:val="TableParagraph"/>
              <w:rPr>
                <w:sz w:val="18"/>
                <w:szCs w:val="18"/>
              </w:rPr>
            </w:pPr>
            <w:r w:rsidRPr="00AB2DB4">
              <w:rPr>
                <w:sz w:val="18"/>
                <w:szCs w:val="18"/>
              </w:rPr>
              <w:t>June 2017</w:t>
            </w:r>
          </w:p>
        </w:tc>
        <w:tc>
          <w:tcPr>
            <w:tcW w:w="1702" w:type="dxa"/>
          </w:tcPr>
          <w:p w14:paraId="170BA5E8" w14:textId="77777777" w:rsidR="00E06296" w:rsidRPr="00AB2DB4" w:rsidRDefault="00E06296" w:rsidP="00E06296">
            <w:pPr>
              <w:pStyle w:val="TableParagraph"/>
              <w:ind w:left="44"/>
              <w:rPr>
                <w:sz w:val="18"/>
                <w:szCs w:val="18"/>
              </w:rPr>
            </w:pPr>
            <w:r w:rsidRPr="00AB2DB4">
              <w:rPr>
                <w:sz w:val="18"/>
                <w:szCs w:val="18"/>
              </w:rPr>
              <w:t>15</w:t>
            </w:r>
          </w:p>
        </w:tc>
        <w:tc>
          <w:tcPr>
            <w:tcW w:w="1986" w:type="dxa"/>
          </w:tcPr>
          <w:p w14:paraId="34E86ED4" w14:textId="77777777" w:rsidR="00E06296" w:rsidRPr="00AB2DB4" w:rsidRDefault="00E06296" w:rsidP="00E06296">
            <w:pPr>
              <w:pStyle w:val="TableParagraph"/>
              <w:rPr>
                <w:sz w:val="18"/>
                <w:szCs w:val="18"/>
              </w:rPr>
            </w:pPr>
            <w:r w:rsidRPr="00AB2DB4">
              <w:rPr>
                <w:sz w:val="18"/>
                <w:szCs w:val="18"/>
              </w:rPr>
              <w:t>November 2018</w:t>
            </w:r>
          </w:p>
        </w:tc>
        <w:tc>
          <w:tcPr>
            <w:tcW w:w="1843" w:type="dxa"/>
          </w:tcPr>
          <w:p w14:paraId="53F081AC" w14:textId="77777777" w:rsidR="00E06296" w:rsidRPr="00AB2DB4" w:rsidRDefault="00E06296" w:rsidP="00E06296">
            <w:pPr>
              <w:pStyle w:val="TableParagraph"/>
              <w:ind w:left="208"/>
              <w:rPr>
                <w:sz w:val="18"/>
                <w:szCs w:val="18"/>
              </w:rPr>
            </w:pPr>
            <w:r w:rsidRPr="00AB2DB4">
              <w:rPr>
                <w:sz w:val="18"/>
                <w:szCs w:val="18"/>
              </w:rPr>
              <w:t>567</w:t>
            </w:r>
          </w:p>
        </w:tc>
      </w:tr>
      <w:tr w:rsidR="00E06296" w:rsidRPr="00AB2DB4" w14:paraId="1C4A5A18" w14:textId="77777777" w:rsidTr="00E06296">
        <w:trPr>
          <w:trHeight w:val="339"/>
        </w:trPr>
        <w:tc>
          <w:tcPr>
            <w:tcW w:w="1839" w:type="dxa"/>
          </w:tcPr>
          <w:p w14:paraId="6B9A37D0" w14:textId="77777777" w:rsidR="00E06296" w:rsidRPr="00AB2DB4" w:rsidRDefault="00E06296" w:rsidP="00E06296">
            <w:pPr>
              <w:pStyle w:val="TableParagraph"/>
              <w:rPr>
                <w:sz w:val="18"/>
                <w:szCs w:val="18"/>
              </w:rPr>
            </w:pPr>
            <w:r w:rsidRPr="00AB2DB4">
              <w:rPr>
                <w:sz w:val="18"/>
                <w:szCs w:val="18"/>
              </w:rPr>
              <w:t>July 2017</w:t>
            </w:r>
          </w:p>
        </w:tc>
        <w:tc>
          <w:tcPr>
            <w:tcW w:w="1702" w:type="dxa"/>
          </w:tcPr>
          <w:p w14:paraId="165C07F9" w14:textId="77777777" w:rsidR="00E06296" w:rsidRPr="00AB2DB4" w:rsidRDefault="00E06296" w:rsidP="00E06296">
            <w:pPr>
              <w:pStyle w:val="TableParagraph"/>
              <w:ind w:left="44"/>
              <w:rPr>
                <w:sz w:val="18"/>
                <w:szCs w:val="18"/>
              </w:rPr>
            </w:pPr>
            <w:r w:rsidRPr="00AB2DB4">
              <w:rPr>
                <w:sz w:val="18"/>
                <w:szCs w:val="18"/>
              </w:rPr>
              <w:t>14</w:t>
            </w:r>
          </w:p>
        </w:tc>
        <w:tc>
          <w:tcPr>
            <w:tcW w:w="1986" w:type="dxa"/>
          </w:tcPr>
          <w:p w14:paraId="63AA9407" w14:textId="77777777" w:rsidR="00E06296" w:rsidRPr="00AB2DB4" w:rsidRDefault="00E06296" w:rsidP="00E06296">
            <w:pPr>
              <w:pStyle w:val="TableParagraph"/>
              <w:rPr>
                <w:sz w:val="18"/>
                <w:szCs w:val="18"/>
              </w:rPr>
            </w:pPr>
            <w:r w:rsidRPr="00AB2DB4">
              <w:rPr>
                <w:sz w:val="18"/>
                <w:szCs w:val="18"/>
              </w:rPr>
              <w:t>December 2018</w:t>
            </w:r>
          </w:p>
        </w:tc>
        <w:tc>
          <w:tcPr>
            <w:tcW w:w="1843" w:type="dxa"/>
          </w:tcPr>
          <w:p w14:paraId="21FDAFB4" w14:textId="77777777" w:rsidR="00E06296" w:rsidRPr="00AB2DB4" w:rsidRDefault="00E06296" w:rsidP="00E06296">
            <w:pPr>
              <w:pStyle w:val="TableParagraph"/>
              <w:ind w:left="208"/>
              <w:rPr>
                <w:sz w:val="18"/>
                <w:szCs w:val="18"/>
              </w:rPr>
            </w:pPr>
            <w:r w:rsidRPr="00AB2DB4">
              <w:rPr>
                <w:sz w:val="18"/>
                <w:szCs w:val="18"/>
              </w:rPr>
              <w:t>490</w:t>
            </w:r>
          </w:p>
        </w:tc>
      </w:tr>
      <w:tr w:rsidR="00E06296" w:rsidRPr="00AB2DB4" w14:paraId="45FA00D3" w14:textId="77777777" w:rsidTr="00E06296">
        <w:trPr>
          <w:trHeight w:val="341"/>
        </w:trPr>
        <w:tc>
          <w:tcPr>
            <w:tcW w:w="1839" w:type="dxa"/>
          </w:tcPr>
          <w:p w14:paraId="6B6F0C0E" w14:textId="77777777" w:rsidR="00E06296" w:rsidRPr="00AB2DB4" w:rsidRDefault="00E06296" w:rsidP="00E06296">
            <w:pPr>
              <w:pStyle w:val="TableParagraph"/>
              <w:rPr>
                <w:sz w:val="18"/>
                <w:szCs w:val="18"/>
              </w:rPr>
            </w:pPr>
            <w:r w:rsidRPr="00AB2DB4">
              <w:rPr>
                <w:sz w:val="18"/>
                <w:szCs w:val="18"/>
              </w:rPr>
              <w:t>August 2017</w:t>
            </w:r>
          </w:p>
        </w:tc>
        <w:tc>
          <w:tcPr>
            <w:tcW w:w="1702" w:type="dxa"/>
          </w:tcPr>
          <w:p w14:paraId="1E2E5DEA" w14:textId="77777777" w:rsidR="00E06296" w:rsidRPr="00AB2DB4" w:rsidRDefault="00E06296" w:rsidP="00E06296">
            <w:pPr>
              <w:pStyle w:val="TableParagraph"/>
              <w:ind w:left="44"/>
              <w:rPr>
                <w:sz w:val="18"/>
                <w:szCs w:val="18"/>
              </w:rPr>
            </w:pPr>
            <w:r w:rsidRPr="00AB2DB4">
              <w:rPr>
                <w:sz w:val="18"/>
                <w:szCs w:val="18"/>
              </w:rPr>
              <w:t>28</w:t>
            </w:r>
          </w:p>
        </w:tc>
        <w:tc>
          <w:tcPr>
            <w:tcW w:w="1986" w:type="dxa"/>
          </w:tcPr>
          <w:p w14:paraId="73D591FA" w14:textId="77777777" w:rsidR="00E06296" w:rsidRPr="00AB2DB4" w:rsidRDefault="00E06296" w:rsidP="00E06296">
            <w:pPr>
              <w:pStyle w:val="TableParagraph"/>
              <w:rPr>
                <w:sz w:val="18"/>
                <w:szCs w:val="18"/>
              </w:rPr>
            </w:pPr>
            <w:r w:rsidRPr="00AB2DB4">
              <w:rPr>
                <w:sz w:val="18"/>
                <w:szCs w:val="18"/>
              </w:rPr>
              <w:t>January 2019</w:t>
            </w:r>
          </w:p>
        </w:tc>
        <w:tc>
          <w:tcPr>
            <w:tcW w:w="1843" w:type="dxa"/>
          </w:tcPr>
          <w:p w14:paraId="634E17F5" w14:textId="77777777" w:rsidR="00E06296" w:rsidRPr="00AB2DB4" w:rsidRDefault="00E06296" w:rsidP="00E06296">
            <w:pPr>
              <w:pStyle w:val="TableParagraph"/>
              <w:ind w:left="208"/>
              <w:rPr>
                <w:sz w:val="18"/>
                <w:szCs w:val="18"/>
              </w:rPr>
            </w:pPr>
            <w:r w:rsidRPr="00AB2DB4">
              <w:rPr>
                <w:sz w:val="18"/>
                <w:szCs w:val="18"/>
              </w:rPr>
              <w:t>670</w:t>
            </w:r>
          </w:p>
        </w:tc>
      </w:tr>
      <w:tr w:rsidR="00E06296" w:rsidRPr="00AB2DB4" w14:paraId="039719C8" w14:textId="77777777" w:rsidTr="00E06296">
        <w:trPr>
          <w:trHeight w:val="341"/>
        </w:trPr>
        <w:tc>
          <w:tcPr>
            <w:tcW w:w="1839" w:type="dxa"/>
          </w:tcPr>
          <w:p w14:paraId="22FE6AEE" w14:textId="77777777" w:rsidR="00E06296" w:rsidRPr="00AB2DB4" w:rsidRDefault="00E06296" w:rsidP="00E06296">
            <w:pPr>
              <w:pStyle w:val="TableParagraph"/>
              <w:rPr>
                <w:sz w:val="18"/>
                <w:szCs w:val="18"/>
              </w:rPr>
            </w:pPr>
            <w:r w:rsidRPr="00AB2DB4">
              <w:rPr>
                <w:sz w:val="18"/>
                <w:szCs w:val="18"/>
              </w:rPr>
              <w:t>September 2017</w:t>
            </w:r>
          </w:p>
        </w:tc>
        <w:tc>
          <w:tcPr>
            <w:tcW w:w="1702" w:type="dxa"/>
          </w:tcPr>
          <w:p w14:paraId="155902DB" w14:textId="77777777" w:rsidR="00E06296" w:rsidRPr="00AB2DB4" w:rsidRDefault="00E06296" w:rsidP="00E06296">
            <w:pPr>
              <w:pStyle w:val="TableParagraph"/>
              <w:ind w:left="44"/>
              <w:rPr>
                <w:sz w:val="18"/>
                <w:szCs w:val="18"/>
              </w:rPr>
            </w:pPr>
            <w:r w:rsidRPr="00AB2DB4">
              <w:rPr>
                <w:sz w:val="18"/>
                <w:szCs w:val="18"/>
              </w:rPr>
              <w:t>31</w:t>
            </w:r>
          </w:p>
        </w:tc>
        <w:tc>
          <w:tcPr>
            <w:tcW w:w="1986" w:type="dxa"/>
          </w:tcPr>
          <w:p w14:paraId="12CF4F99" w14:textId="77777777" w:rsidR="00E06296" w:rsidRPr="00AB2DB4" w:rsidRDefault="00E06296" w:rsidP="00E06296">
            <w:pPr>
              <w:pStyle w:val="TableParagraph"/>
              <w:rPr>
                <w:sz w:val="18"/>
                <w:szCs w:val="18"/>
              </w:rPr>
            </w:pPr>
            <w:r w:rsidRPr="00AB2DB4">
              <w:rPr>
                <w:sz w:val="18"/>
                <w:szCs w:val="18"/>
              </w:rPr>
              <w:t>February 2019</w:t>
            </w:r>
          </w:p>
        </w:tc>
        <w:tc>
          <w:tcPr>
            <w:tcW w:w="1843" w:type="dxa"/>
          </w:tcPr>
          <w:p w14:paraId="362D515C" w14:textId="77777777" w:rsidR="00E06296" w:rsidRPr="00AB2DB4" w:rsidRDefault="00E06296" w:rsidP="00E06296">
            <w:pPr>
              <w:pStyle w:val="TableParagraph"/>
              <w:ind w:left="208"/>
              <w:rPr>
                <w:sz w:val="18"/>
                <w:szCs w:val="18"/>
              </w:rPr>
            </w:pPr>
            <w:r w:rsidRPr="00AB2DB4">
              <w:rPr>
                <w:sz w:val="18"/>
                <w:szCs w:val="18"/>
              </w:rPr>
              <w:t>738</w:t>
            </w:r>
          </w:p>
        </w:tc>
      </w:tr>
      <w:tr w:rsidR="00E06296" w:rsidRPr="00AB2DB4" w14:paraId="1B6C6827" w14:textId="77777777" w:rsidTr="00E06296">
        <w:trPr>
          <w:trHeight w:val="339"/>
        </w:trPr>
        <w:tc>
          <w:tcPr>
            <w:tcW w:w="1839" w:type="dxa"/>
          </w:tcPr>
          <w:p w14:paraId="56C4BB96" w14:textId="77777777" w:rsidR="00E06296" w:rsidRPr="00AB2DB4" w:rsidRDefault="00E06296" w:rsidP="00E06296">
            <w:pPr>
              <w:pStyle w:val="TableParagraph"/>
              <w:rPr>
                <w:sz w:val="18"/>
                <w:szCs w:val="18"/>
              </w:rPr>
            </w:pPr>
            <w:r w:rsidRPr="00AB2DB4">
              <w:rPr>
                <w:sz w:val="18"/>
                <w:szCs w:val="18"/>
              </w:rPr>
              <w:t>October 2017</w:t>
            </w:r>
          </w:p>
        </w:tc>
        <w:tc>
          <w:tcPr>
            <w:tcW w:w="1702" w:type="dxa"/>
          </w:tcPr>
          <w:p w14:paraId="545D5098" w14:textId="77777777" w:rsidR="00E06296" w:rsidRPr="00AB2DB4" w:rsidRDefault="00E06296" w:rsidP="00E06296">
            <w:pPr>
              <w:pStyle w:val="TableParagraph"/>
              <w:ind w:left="44"/>
              <w:rPr>
                <w:sz w:val="18"/>
                <w:szCs w:val="18"/>
              </w:rPr>
            </w:pPr>
            <w:r w:rsidRPr="00AB2DB4">
              <w:rPr>
                <w:sz w:val="18"/>
                <w:szCs w:val="18"/>
              </w:rPr>
              <w:t>31</w:t>
            </w:r>
          </w:p>
        </w:tc>
        <w:tc>
          <w:tcPr>
            <w:tcW w:w="1986" w:type="dxa"/>
          </w:tcPr>
          <w:p w14:paraId="1AE9AEAA" w14:textId="77777777" w:rsidR="00E06296" w:rsidRPr="00AB2DB4" w:rsidRDefault="00E06296" w:rsidP="00E06296">
            <w:pPr>
              <w:pStyle w:val="TableParagraph"/>
              <w:rPr>
                <w:sz w:val="18"/>
                <w:szCs w:val="18"/>
              </w:rPr>
            </w:pPr>
            <w:r w:rsidRPr="00AB2DB4">
              <w:rPr>
                <w:sz w:val="18"/>
                <w:szCs w:val="18"/>
              </w:rPr>
              <w:t>March 2019</w:t>
            </w:r>
          </w:p>
        </w:tc>
        <w:tc>
          <w:tcPr>
            <w:tcW w:w="1843" w:type="dxa"/>
          </w:tcPr>
          <w:p w14:paraId="11DE6243" w14:textId="77777777" w:rsidR="00E06296" w:rsidRPr="00AB2DB4" w:rsidRDefault="00E06296" w:rsidP="00E06296">
            <w:pPr>
              <w:pStyle w:val="TableParagraph"/>
              <w:ind w:left="208"/>
              <w:rPr>
                <w:sz w:val="18"/>
                <w:szCs w:val="18"/>
              </w:rPr>
            </w:pPr>
            <w:r w:rsidRPr="00AB2DB4">
              <w:rPr>
                <w:sz w:val="18"/>
                <w:szCs w:val="18"/>
              </w:rPr>
              <w:t>1040</w:t>
            </w:r>
          </w:p>
        </w:tc>
      </w:tr>
      <w:tr w:rsidR="00E06296" w:rsidRPr="00AB2DB4" w14:paraId="3949B719" w14:textId="77777777" w:rsidTr="00E06296">
        <w:trPr>
          <w:trHeight w:val="341"/>
        </w:trPr>
        <w:tc>
          <w:tcPr>
            <w:tcW w:w="1839" w:type="dxa"/>
          </w:tcPr>
          <w:p w14:paraId="28E46268" w14:textId="77777777" w:rsidR="00E06296" w:rsidRPr="00AB2DB4" w:rsidRDefault="00E06296" w:rsidP="00E06296">
            <w:pPr>
              <w:pStyle w:val="TableParagraph"/>
              <w:rPr>
                <w:sz w:val="18"/>
                <w:szCs w:val="18"/>
              </w:rPr>
            </w:pPr>
            <w:r w:rsidRPr="00AB2DB4">
              <w:rPr>
                <w:sz w:val="18"/>
                <w:szCs w:val="18"/>
              </w:rPr>
              <w:t>November 2017</w:t>
            </w:r>
          </w:p>
        </w:tc>
        <w:tc>
          <w:tcPr>
            <w:tcW w:w="1702" w:type="dxa"/>
          </w:tcPr>
          <w:p w14:paraId="5C9FF922" w14:textId="77777777" w:rsidR="00E06296" w:rsidRPr="00AB2DB4" w:rsidRDefault="00E06296" w:rsidP="00E06296">
            <w:pPr>
              <w:pStyle w:val="TableParagraph"/>
              <w:ind w:left="44"/>
              <w:rPr>
                <w:sz w:val="18"/>
                <w:szCs w:val="18"/>
              </w:rPr>
            </w:pPr>
            <w:r w:rsidRPr="00AB2DB4">
              <w:rPr>
                <w:sz w:val="18"/>
                <w:szCs w:val="18"/>
              </w:rPr>
              <w:t>22</w:t>
            </w:r>
          </w:p>
        </w:tc>
        <w:tc>
          <w:tcPr>
            <w:tcW w:w="1986" w:type="dxa"/>
          </w:tcPr>
          <w:p w14:paraId="002586E4" w14:textId="77777777" w:rsidR="00E06296" w:rsidRPr="00AB2DB4" w:rsidRDefault="00E06296" w:rsidP="00E06296">
            <w:pPr>
              <w:pStyle w:val="TableParagraph"/>
              <w:rPr>
                <w:sz w:val="18"/>
                <w:szCs w:val="18"/>
              </w:rPr>
            </w:pPr>
            <w:r w:rsidRPr="00AB2DB4">
              <w:rPr>
                <w:sz w:val="18"/>
                <w:szCs w:val="18"/>
              </w:rPr>
              <w:t>April 2019</w:t>
            </w:r>
          </w:p>
        </w:tc>
        <w:tc>
          <w:tcPr>
            <w:tcW w:w="1843" w:type="dxa"/>
          </w:tcPr>
          <w:p w14:paraId="3AB47DC5" w14:textId="77777777" w:rsidR="00E06296" w:rsidRPr="00AB2DB4" w:rsidRDefault="00E06296" w:rsidP="00E06296">
            <w:pPr>
              <w:pStyle w:val="TableParagraph"/>
              <w:ind w:left="208"/>
              <w:rPr>
                <w:sz w:val="18"/>
                <w:szCs w:val="18"/>
              </w:rPr>
            </w:pPr>
            <w:r w:rsidRPr="00AB2DB4">
              <w:rPr>
                <w:sz w:val="18"/>
                <w:szCs w:val="18"/>
              </w:rPr>
              <w:t>1109</w:t>
            </w:r>
          </w:p>
        </w:tc>
      </w:tr>
      <w:tr w:rsidR="00E06296" w:rsidRPr="00AB2DB4" w14:paraId="58E204BE" w14:textId="77777777" w:rsidTr="00E06296">
        <w:trPr>
          <w:trHeight w:val="341"/>
        </w:trPr>
        <w:tc>
          <w:tcPr>
            <w:tcW w:w="1839" w:type="dxa"/>
          </w:tcPr>
          <w:p w14:paraId="5C021BB6" w14:textId="77777777" w:rsidR="00E06296" w:rsidRPr="00AB2DB4" w:rsidRDefault="00E06296" w:rsidP="00E06296">
            <w:pPr>
              <w:pStyle w:val="TableParagraph"/>
              <w:rPr>
                <w:sz w:val="18"/>
                <w:szCs w:val="18"/>
              </w:rPr>
            </w:pPr>
            <w:r w:rsidRPr="00AB2DB4">
              <w:rPr>
                <w:sz w:val="18"/>
                <w:szCs w:val="18"/>
              </w:rPr>
              <w:t>December 2017</w:t>
            </w:r>
          </w:p>
        </w:tc>
        <w:tc>
          <w:tcPr>
            <w:tcW w:w="1702" w:type="dxa"/>
          </w:tcPr>
          <w:p w14:paraId="57EE08F5" w14:textId="77777777" w:rsidR="00E06296" w:rsidRPr="00AB2DB4" w:rsidRDefault="00E06296" w:rsidP="00E06296">
            <w:pPr>
              <w:pStyle w:val="TableParagraph"/>
              <w:ind w:left="44"/>
              <w:rPr>
                <w:sz w:val="18"/>
                <w:szCs w:val="18"/>
              </w:rPr>
            </w:pPr>
            <w:r w:rsidRPr="00AB2DB4">
              <w:rPr>
                <w:sz w:val="18"/>
                <w:szCs w:val="18"/>
              </w:rPr>
              <w:t>35</w:t>
            </w:r>
          </w:p>
        </w:tc>
        <w:tc>
          <w:tcPr>
            <w:tcW w:w="1986" w:type="dxa"/>
          </w:tcPr>
          <w:p w14:paraId="61DA71CC" w14:textId="77777777" w:rsidR="00E06296" w:rsidRPr="00AB2DB4" w:rsidRDefault="00E06296" w:rsidP="00E06296">
            <w:pPr>
              <w:pStyle w:val="TableParagraph"/>
              <w:rPr>
                <w:sz w:val="18"/>
                <w:szCs w:val="18"/>
              </w:rPr>
            </w:pPr>
            <w:r w:rsidRPr="00AB2DB4">
              <w:rPr>
                <w:sz w:val="18"/>
                <w:szCs w:val="18"/>
              </w:rPr>
              <w:t>May 2019</w:t>
            </w:r>
          </w:p>
        </w:tc>
        <w:tc>
          <w:tcPr>
            <w:tcW w:w="1843" w:type="dxa"/>
          </w:tcPr>
          <w:p w14:paraId="144C944D" w14:textId="77777777" w:rsidR="00E06296" w:rsidRPr="00AB2DB4" w:rsidRDefault="00E06296" w:rsidP="00E06296">
            <w:pPr>
              <w:pStyle w:val="TableParagraph"/>
              <w:ind w:left="208"/>
              <w:rPr>
                <w:sz w:val="18"/>
                <w:szCs w:val="18"/>
              </w:rPr>
            </w:pPr>
            <w:r w:rsidRPr="00AB2DB4">
              <w:rPr>
                <w:sz w:val="18"/>
                <w:szCs w:val="18"/>
              </w:rPr>
              <w:t>1370</w:t>
            </w:r>
          </w:p>
        </w:tc>
      </w:tr>
      <w:tr w:rsidR="00E06296" w:rsidRPr="00AB2DB4" w14:paraId="2EABAA3F" w14:textId="77777777" w:rsidTr="00E06296">
        <w:trPr>
          <w:trHeight w:val="339"/>
        </w:trPr>
        <w:tc>
          <w:tcPr>
            <w:tcW w:w="1839" w:type="dxa"/>
          </w:tcPr>
          <w:p w14:paraId="71DCE4C2" w14:textId="77777777" w:rsidR="00E06296" w:rsidRPr="00AB2DB4" w:rsidRDefault="00E06296" w:rsidP="00E06296">
            <w:pPr>
              <w:pStyle w:val="TableParagraph"/>
              <w:rPr>
                <w:sz w:val="18"/>
                <w:szCs w:val="18"/>
              </w:rPr>
            </w:pPr>
            <w:r w:rsidRPr="00AB2DB4">
              <w:rPr>
                <w:sz w:val="18"/>
                <w:szCs w:val="18"/>
              </w:rPr>
              <w:t>January 2018</w:t>
            </w:r>
          </w:p>
        </w:tc>
        <w:tc>
          <w:tcPr>
            <w:tcW w:w="1702" w:type="dxa"/>
          </w:tcPr>
          <w:p w14:paraId="4240CA5B" w14:textId="77777777" w:rsidR="00E06296" w:rsidRPr="00AB2DB4" w:rsidRDefault="00E06296" w:rsidP="00E06296">
            <w:pPr>
              <w:pStyle w:val="TableParagraph"/>
              <w:ind w:left="44"/>
              <w:rPr>
                <w:sz w:val="18"/>
                <w:szCs w:val="18"/>
              </w:rPr>
            </w:pPr>
            <w:r w:rsidRPr="00AB2DB4">
              <w:rPr>
                <w:sz w:val="18"/>
                <w:szCs w:val="18"/>
              </w:rPr>
              <w:t>60</w:t>
            </w:r>
          </w:p>
        </w:tc>
        <w:tc>
          <w:tcPr>
            <w:tcW w:w="1986" w:type="dxa"/>
          </w:tcPr>
          <w:p w14:paraId="4A9FE3D8" w14:textId="77777777" w:rsidR="00E06296" w:rsidRPr="00AB2DB4" w:rsidRDefault="00E06296" w:rsidP="00E06296">
            <w:pPr>
              <w:pStyle w:val="TableParagraph"/>
              <w:rPr>
                <w:sz w:val="18"/>
                <w:szCs w:val="18"/>
              </w:rPr>
            </w:pPr>
            <w:r w:rsidRPr="00AB2DB4">
              <w:rPr>
                <w:sz w:val="18"/>
                <w:szCs w:val="18"/>
              </w:rPr>
              <w:t>June 2019</w:t>
            </w:r>
          </w:p>
        </w:tc>
        <w:tc>
          <w:tcPr>
            <w:tcW w:w="1843" w:type="dxa"/>
          </w:tcPr>
          <w:p w14:paraId="72F4A6B0" w14:textId="77777777" w:rsidR="00E06296" w:rsidRPr="00AB2DB4" w:rsidRDefault="00E06296" w:rsidP="00E06296">
            <w:pPr>
              <w:pStyle w:val="TableParagraph"/>
              <w:ind w:left="208"/>
              <w:rPr>
                <w:sz w:val="18"/>
                <w:szCs w:val="18"/>
              </w:rPr>
            </w:pPr>
            <w:r w:rsidRPr="00AB2DB4">
              <w:rPr>
                <w:sz w:val="18"/>
                <w:szCs w:val="18"/>
              </w:rPr>
              <w:t>1566</w:t>
            </w:r>
          </w:p>
        </w:tc>
      </w:tr>
      <w:tr w:rsidR="00E06296" w:rsidRPr="00AB2DB4" w14:paraId="7884BC6F" w14:textId="77777777" w:rsidTr="00E06296">
        <w:trPr>
          <w:trHeight w:val="339"/>
        </w:trPr>
        <w:tc>
          <w:tcPr>
            <w:tcW w:w="1839" w:type="dxa"/>
          </w:tcPr>
          <w:p w14:paraId="0AAEF38E" w14:textId="77777777" w:rsidR="00E06296" w:rsidRPr="00AB2DB4" w:rsidRDefault="00E06296" w:rsidP="00E06296">
            <w:pPr>
              <w:pStyle w:val="TableParagraph"/>
              <w:rPr>
                <w:sz w:val="18"/>
                <w:szCs w:val="18"/>
              </w:rPr>
            </w:pPr>
            <w:r w:rsidRPr="00AB2DB4">
              <w:rPr>
                <w:sz w:val="18"/>
                <w:szCs w:val="18"/>
              </w:rPr>
              <w:t>February 2018</w:t>
            </w:r>
          </w:p>
        </w:tc>
        <w:tc>
          <w:tcPr>
            <w:tcW w:w="1702" w:type="dxa"/>
          </w:tcPr>
          <w:p w14:paraId="74C238B1" w14:textId="77777777" w:rsidR="00E06296" w:rsidRPr="00AB2DB4" w:rsidRDefault="00E06296" w:rsidP="00E06296">
            <w:pPr>
              <w:pStyle w:val="TableParagraph"/>
              <w:ind w:left="44"/>
              <w:rPr>
                <w:sz w:val="18"/>
                <w:szCs w:val="18"/>
              </w:rPr>
            </w:pPr>
            <w:r w:rsidRPr="00AB2DB4">
              <w:rPr>
                <w:sz w:val="18"/>
                <w:szCs w:val="18"/>
              </w:rPr>
              <w:t>37</w:t>
            </w:r>
          </w:p>
        </w:tc>
        <w:tc>
          <w:tcPr>
            <w:tcW w:w="1986" w:type="dxa"/>
          </w:tcPr>
          <w:p w14:paraId="5A05E1A6" w14:textId="77777777" w:rsidR="00E06296" w:rsidRPr="00AB2DB4" w:rsidRDefault="00E06296" w:rsidP="00E06296">
            <w:pPr>
              <w:pStyle w:val="TableParagraph"/>
              <w:rPr>
                <w:sz w:val="18"/>
                <w:szCs w:val="18"/>
              </w:rPr>
            </w:pPr>
            <w:r w:rsidRPr="00AB2DB4">
              <w:rPr>
                <w:sz w:val="18"/>
                <w:szCs w:val="18"/>
              </w:rPr>
              <w:t>July 2019</w:t>
            </w:r>
          </w:p>
        </w:tc>
        <w:tc>
          <w:tcPr>
            <w:tcW w:w="1843" w:type="dxa"/>
          </w:tcPr>
          <w:p w14:paraId="2EAE872E" w14:textId="77777777" w:rsidR="00E06296" w:rsidRPr="00AB2DB4" w:rsidRDefault="00E06296" w:rsidP="00E06296">
            <w:pPr>
              <w:pStyle w:val="TableParagraph"/>
              <w:ind w:left="208"/>
              <w:rPr>
                <w:sz w:val="18"/>
                <w:szCs w:val="18"/>
              </w:rPr>
            </w:pPr>
            <w:r w:rsidRPr="00AB2DB4">
              <w:rPr>
                <w:sz w:val="18"/>
                <w:szCs w:val="18"/>
              </w:rPr>
              <w:t>2207</w:t>
            </w:r>
          </w:p>
        </w:tc>
      </w:tr>
      <w:tr w:rsidR="00E06296" w:rsidRPr="00AB2DB4" w14:paraId="4488AC1E" w14:textId="77777777" w:rsidTr="00E06296">
        <w:trPr>
          <w:trHeight w:val="339"/>
        </w:trPr>
        <w:tc>
          <w:tcPr>
            <w:tcW w:w="1839" w:type="dxa"/>
          </w:tcPr>
          <w:p w14:paraId="173DEE88" w14:textId="77777777" w:rsidR="00E06296" w:rsidRPr="00AB2DB4" w:rsidRDefault="00E06296" w:rsidP="00E06296">
            <w:pPr>
              <w:pStyle w:val="TableParagraph"/>
              <w:ind w:left="0"/>
              <w:rPr>
                <w:sz w:val="18"/>
                <w:szCs w:val="18"/>
              </w:rPr>
            </w:pPr>
            <w:r w:rsidRPr="00AB2DB4">
              <w:rPr>
                <w:sz w:val="18"/>
                <w:szCs w:val="18"/>
              </w:rPr>
              <w:t>March 2018</w:t>
            </w:r>
          </w:p>
        </w:tc>
        <w:tc>
          <w:tcPr>
            <w:tcW w:w="1702" w:type="dxa"/>
          </w:tcPr>
          <w:p w14:paraId="3DF482CA" w14:textId="77777777" w:rsidR="00E06296" w:rsidRPr="00AB2DB4" w:rsidRDefault="00E06296" w:rsidP="00E06296">
            <w:pPr>
              <w:pStyle w:val="TableParagraph"/>
              <w:ind w:left="44"/>
              <w:rPr>
                <w:sz w:val="18"/>
                <w:szCs w:val="18"/>
              </w:rPr>
            </w:pPr>
            <w:r w:rsidRPr="00AB2DB4">
              <w:rPr>
                <w:sz w:val="18"/>
                <w:szCs w:val="18"/>
              </w:rPr>
              <w:t>54</w:t>
            </w:r>
          </w:p>
        </w:tc>
        <w:tc>
          <w:tcPr>
            <w:tcW w:w="1986" w:type="dxa"/>
          </w:tcPr>
          <w:p w14:paraId="684A5FBD" w14:textId="77777777" w:rsidR="00E06296" w:rsidRPr="00AB2DB4" w:rsidRDefault="00E06296" w:rsidP="00E06296">
            <w:pPr>
              <w:pStyle w:val="TableParagraph"/>
              <w:rPr>
                <w:sz w:val="18"/>
                <w:szCs w:val="18"/>
              </w:rPr>
            </w:pPr>
            <w:r w:rsidRPr="00AB2DB4">
              <w:rPr>
                <w:sz w:val="18"/>
                <w:szCs w:val="18"/>
              </w:rPr>
              <w:t>August 2019</w:t>
            </w:r>
          </w:p>
        </w:tc>
        <w:tc>
          <w:tcPr>
            <w:tcW w:w="1843" w:type="dxa"/>
          </w:tcPr>
          <w:p w14:paraId="0847C622" w14:textId="77777777" w:rsidR="00E06296" w:rsidRPr="00AB2DB4" w:rsidRDefault="00E06296" w:rsidP="00E06296">
            <w:pPr>
              <w:pStyle w:val="TableParagraph"/>
              <w:ind w:left="208"/>
              <w:rPr>
                <w:sz w:val="18"/>
                <w:szCs w:val="18"/>
              </w:rPr>
            </w:pPr>
            <w:r w:rsidRPr="00AB2DB4">
              <w:rPr>
                <w:sz w:val="18"/>
                <w:szCs w:val="18"/>
              </w:rPr>
              <w:t>2887</w:t>
            </w:r>
          </w:p>
        </w:tc>
      </w:tr>
      <w:tr w:rsidR="00E06296" w:rsidRPr="00AB2DB4" w14:paraId="1965DA65" w14:textId="77777777" w:rsidTr="00E06296">
        <w:trPr>
          <w:trHeight w:val="339"/>
        </w:trPr>
        <w:tc>
          <w:tcPr>
            <w:tcW w:w="1839" w:type="dxa"/>
          </w:tcPr>
          <w:p w14:paraId="4A3FC35B" w14:textId="77777777" w:rsidR="00E06296" w:rsidRPr="00AB2DB4" w:rsidRDefault="00E06296" w:rsidP="00E06296">
            <w:pPr>
              <w:pStyle w:val="TableParagraph"/>
              <w:ind w:left="0"/>
              <w:rPr>
                <w:sz w:val="18"/>
                <w:szCs w:val="18"/>
              </w:rPr>
            </w:pPr>
            <w:r w:rsidRPr="00AB2DB4">
              <w:rPr>
                <w:sz w:val="18"/>
                <w:szCs w:val="18"/>
              </w:rPr>
              <w:t>April 2018</w:t>
            </w:r>
          </w:p>
        </w:tc>
        <w:tc>
          <w:tcPr>
            <w:tcW w:w="1702" w:type="dxa"/>
          </w:tcPr>
          <w:p w14:paraId="0B364657" w14:textId="77777777" w:rsidR="00E06296" w:rsidRPr="00AB2DB4" w:rsidRDefault="00E06296" w:rsidP="00E06296">
            <w:pPr>
              <w:pStyle w:val="TableParagraph"/>
              <w:ind w:left="44"/>
              <w:rPr>
                <w:sz w:val="18"/>
                <w:szCs w:val="18"/>
              </w:rPr>
            </w:pPr>
            <w:r w:rsidRPr="00AB2DB4">
              <w:rPr>
                <w:sz w:val="18"/>
                <w:szCs w:val="18"/>
              </w:rPr>
              <w:t>89</w:t>
            </w:r>
          </w:p>
        </w:tc>
        <w:tc>
          <w:tcPr>
            <w:tcW w:w="1986" w:type="dxa"/>
          </w:tcPr>
          <w:p w14:paraId="3C3527A3" w14:textId="77777777" w:rsidR="00E06296" w:rsidRPr="00AB2DB4" w:rsidRDefault="00E06296" w:rsidP="00E06296">
            <w:pPr>
              <w:pStyle w:val="TableParagraph"/>
              <w:rPr>
                <w:sz w:val="18"/>
                <w:szCs w:val="18"/>
              </w:rPr>
            </w:pPr>
            <w:r w:rsidRPr="00AB2DB4">
              <w:rPr>
                <w:sz w:val="18"/>
                <w:szCs w:val="18"/>
              </w:rPr>
              <w:t>September 2019</w:t>
            </w:r>
          </w:p>
        </w:tc>
        <w:tc>
          <w:tcPr>
            <w:tcW w:w="1843" w:type="dxa"/>
          </w:tcPr>
          <w:p w14:paraId="5E3E5C40" w14:textId="77777777" w:rsidR="00E06296" w:rsidRPr="00AB2DB4" w:rsidRDefault="00E06296" w:rsidP="00E06296">
            <w:pPr>
              <w:pStyle w:val="TableParagraph"/>
              <w:ind w:left="208"/>
              <w:rPr>
                <w:sz w:val="18"/>
                <w:szCs w:val="18"/>
              </w:rPr>
            </w:pPr>
            <w:r w:rsidRPr="00AB2DB4">
              <w:rPr>
                <w:sz w:val="18"/>
                <w:szCs w:val="18"/>
              </w:rPr>
              <w:t>2913</w:t>
            </w:r>
          </w:p>
        </w:tc>
      </w:tr>
      <w:tr w:rsidR="00E06296" w:rsidRPr="00AB2DB4" w14:paraId="0B8D888F" w14:textId="77777777" w:rsidTr="00E06296">
        <w:trPr>
          <w:trHeight w:val="339"/>
        </w:trPr>
        <w:tc>
          <w:tcPr>
            <w:tcW w:w="1839" w:type="dxa"/>
          </w:tcPr>
          <w:p w14:paraId="737811AE" w14:textId="77777777" w:rsidR="00E06296" w:rsidRPr="00AB2DB4" w:rsidRDefault="00E06296" w:rsidP="00E06296">
            <w:pPr>
              <w:pStyle w:val="TableParagraph"/>
              <w:ind w:left="0"/>
              <w:rPr>
                <w:sz w:val="18"/>
                <w:szCs w:val="18"/>
              </w:rPr>
            </w:pPr>
            <w:r w:rsidRPr="00AB2DB4">
              <w:rPr>
                <w:sz w:val="18"/>
                <w:szCs w:val="18"/>
              </w:rPr>
              <w:t>May 2018</w:t>
            </w:r>
          </w:p>
        </w:tc>
        <w:tc>
          <w:tcPr>
            <w:tcW w:w="1702" w:type="dxa"/>
          </w:tcPr>
          <w:p w14:paraId="604B3ADE" w14:textId="77777777" w:rsidR="00E06296" w:rsidRPr="00AB2DB4" w:rsidRDefault="00E06296" w:rsidP="00E06296">
            <w:pPr>
              <w:pStyle w:val="TableParagraph"/>
              <w:ind w:left="44"/>
              <w:rPr>
                <w:sz w:val="18"/>
                <w:szCs w:val="18"/>
              </w:rPr>
            </w:pPr>
            <w:r w:rsidRPr="00AB2DB4">
              <w:rPr>
                <w:sz w:val="18"/>
                <w:szCs w:val="18"/>
              </w:rPr>
              <w:t>132</w:t>
            </w:r>
          </w:p>
        </w:tc>
        <w:tc>
          <w:tcPr>
            <w:tcW w:w="1986" w:type="dxa"/>
          </w:tcPr>
          <w:p w14:paraId="411E3DD3" w14:textId="77777777" w:rsidR="00E06296" w:rsidRPr="00AB2DB4" w:rsidRDefault="00E06296" w:rsidP="00E06296">
            <w:pPr>
              <w:pStyle w:val="TableParagraph"/>
              <w:rPr>
                <w:sz w:val="18"/>
                <w:szCs w:val="18"/>
              </w:rPr>
            </w:pPr>
            <w:r w:rsidRPr="00AB2DB4">
              <w:rPr>
                <w:sz w:val="18"/>
                <w:szCs w:val="18"/>
              </w:rPr>
              <w:t>October 2019</w:t>
            </w:r>
          </w:p>
        </w:tc>
        <w:tc>
          <w:tcPr>
            <w:tcW w:w="1843" w:type="dxa"/>
          </w:tcPr>
          <w:p w14:paraId="4036A610" w14:textId="77777777" w:rsidR="00E06296" w:rsidRPr="00AB2DB4" w:rsidRDefault="00E06296" w:rsidP="00E06296">
            <w:pPr>
              <w:pStyle w:val="TableParagraph"/>
              <w:ind w:left="208"/>
              <w:rPr>
                <w:sz w:val="18"/>
                <w:szCs w:val="18"/>
              </w:rPr>
            </w:pPr>
            <w:r w:rsidRPr="00AB2DB4">
              <w:rPr>
                <w:sz w:val="18"/>
                <w:szCs w:val="18"/>
              </w:rPr>
              <w:t>3594</w:t>
            </w:r>
          </w:p>
        </w:tc>
      </w:tr>
    </w:tbl>
    <w:p w14:paraId="7F16C71F" w14:textId="14D22BA9" w:rsidR="00750F3E" w:rsidRPr="005E67B1" w:rsidRDefault="00750F3E" w:rsidP="00750F3E">
      <w:pPr>
        <w:spacing w:before="168"/>
        <w:ind w:right="1361"/>
        <w:rPr>
          <w:sz w:val="17"/>
        </w:rPr>
      </w:pPr>
    </w:p>
    <w:p w14:paraId="67603770" w14:textId="1DD896AB" w:rsidR="00793562" w:rsidRDefault="00793562" w:rsidP="00A810D3">
      <w:pPr>
        <w:pStyle w:val="BodyText"/>
        <w:spacing w:before="168"/>
        <w:ind w:left="1242" w:right="1361"/>
        <w:rPr>
          <w:sz w:val="27"/>
        </w:rPr>
      </w:pPr>
    </w:p>
    <w:p w14:paraId="21A956E5" w14:textId="611655A6" w:rsidR="00AB2DB4" w:rsidRDefault="00AB2DB4" w:rsidP="00A810D3">
      <w:pPr>
        <w:pStyle w:val="BodyText"/>
        <w:spacing w:before="168"/>
        <w:ind w:left="1242" w:right="1361"/>
        <w:rPr>
          <w:sz w:val="27"/>
        </w:rPr>
      </w:pPr>
    </w:p>
    <w:p w14:paraId="124B2B8A" w14:textId="6A914440" w:rsidR="00AB2DB4" w:rsidRDefault="00AB2DB4" w:rsidP="00A810D3">
      <w:pPr>
        <w:pStyle w:val="BodyText"/>
        <w:spacing w:before="168"/>
        <w:ind w:left="1242" w:right="1361"/>
        <w:rPr>
          <w:sz w:val="27"/>
        </w:rPr>
      </w:pPr>
    </w:p>
    <w:p w14:paraId="5A20C158" w14:textId="77777777" w:rsidR="00AB2DB4" w:rsidRDefault="00AB2DB4" w:rsidP="00A810D3">
      <w:pPr>
        <w:pStyle w:val="BodyText"/>
        <w:spacing w:before="168"/>
        <w:ind w:left="1242" w:right="1361"/>
        <w:rPr>
          <w:sz w:val="27"/>
        </w:rPr>
      </w:pPr>
    </w:p>
    <w:p w14:paraId="44C0C720" w14:textId="670C30B1" w:rsidR="00AB2DB4" w:rsidRDefault="00AB2DB4" w:rsidP="00A810D3">
      <w:pPr>
        <w:pStyle w:val="BodyText"/>
        <w:spacing w:before="168"/>
        <w:ind w:left="1242" w:right="1361"/>
        <w:rPr>
          <w:sz w:val="27"/>
        </w:rPr>
      </w:pPr>
    </w:p>
    <w:p w14:paraId="57EAC447" w14:textId="6478C590" w:rsidR="00AB2DB4" w:rsidRDefault="00AB2DB4" w:rsidP="00A810D3">
      <w:pPr>
        <w:pStyle w:val="BodyText"/>
        <w:spacing w:before="168"/>
        <w:ind w:left="1242" w:right="1361"/>
        <w:rPr>
          <w:sz w:val="27"/>
        </w:rPr>
      </w:pPr>
    </w:p>
    <w:p w14:paraId="08400320" w14:textId="77777777" w:rsidR="00AB2DB4" w:rsidRDefault="00AB2DB4" w:rsidP="00A810D3">
      <w:pPr>
        <w:pStyle w:val="BodyText"/>
        <w:spacing w:before="168"/>
        <w:ind w:left="1242" w:right="1361"/>
        <w:rPr>
          <w:sz w:val="27"/>
        </w:rPr>
      </w:pPr>
    </w:p>
    <w:p w14:paraId="052099B4" w14:textId="5DFA7E97" w:rsidR="00AB2DB4" w:rsidRDefault="00AB2DB4" w:rsidP="00A810D3">
      <w:pPr>
        <w:pStyle w:val="BodyText"/>
        <w:spacing w:before="168"/>
        <w:ind w:left="1242" w:right="1361"/>
        <w:rPr>
          <w:sz w:val="27"/>
        </w:rPr>
      </w:pPr>
    </w:p>
    <w:p w14:paraId="1BE8E519" w14:textId="50A9AA27" w:rsidR="00AB2DB4" w:rsidRDefault="00AB2DB4" w:rsidP="00A810D3">
      <w:pPr>
        <w:pStyle w:val="BodyText"/>
        <w:spacing w:before="168"/>
        <w:ind w:left="1242" w:right="1361"/>
        <w:rPr>
          <w:sz w:val="27"/>
        </w:rPr>
      </w:pPr>
    </w:p>
    <w:p w14:paraId="17F16B3E" w14:textId="23ABF188" w:rsidR="00AB2DB4" w:rsidRDefault="00AB2DB4" w:rsidP="00A810D3">
      <w:pPr>
        <w:pStyle w:val="BodyText"/>
        <w:spacing w:before="168"/>
        <w:ind w:left="1242" w:right="1361"/>
        <w:rPr>
          <w:sz w:val="27"/>
        </w:rPr>
      </w:pPr>
    </w:p>
    <w:p w14:paraId="165DB73D" w14:textId="244B67EB" w:rsidR="00AB2DB4" w:rsidRDefault="00AB2DB4" w:rsidP="00A810D3">
      <w:pPr>
        <w:pStyle w:val="BodyText"/>
        <w:spacing w:before="168"/>
        <w:ind w:left="1242" w:right="1361"/>
        <w:rPr>
          <w:sz w:val="27"/>
        </w:rPr>
      </w:pPr>
    </w:p>
    <w:p w14:paraId="7BDE6428" w14:textId="1DB53ECE" w:rsidR="00AB2DB4" w:rsidRDefault="00AB2DB4" w:rsidP="00A810D3">
      <w:pPr>
        <w:pStyle w:val="BodyText"/>
        <w:spacing w:before="168"/>
        <w:ind w:left="1242" w:right="1361"/>
        <w:rPr>
          <w:sz w:val="27"/>
        </w:rPr>
      </w:pPr>
    </w:p>
    <w:p w14:paraId="4D372A72" w14:textId="58642770" w:rsidR="00AB2DB4" w:rsidRDefault="00AB2DB4" w:rsidP="00A810D3">
      <w:pPr>
        <w:pStyle w:val="BodyText"/>
        <w:spacing w:before="168"/>
        <w:ind w:left="1242" w:right="1361"/>
        <w:rPr>
          <w:sz w:val="27"/>
        </w:rPr>
      </w:pPr>
    </w:p>
    <w:p w14:paraId="1549CD3B" w14:textId="77777777" w:rsidR="00AB2DB4" w:rsidRDefault="00AB2DB4" w:rsidP="00A810D3">
      <w:pPr>
        <w:pStyle w:val="BodyText"/>
        <w:spacing w:before="168"/>
        <w:ind w:left="1242" w:right="1361"/>
        <w:rPr>
          <w:sz w:val="27"/>
        </w:rPr>
      </w:pPr>
    </w:p>
    <w:p w14:paraId="19F414BD" w14:textId="77777777" w:rsidR="00793562" w:rsidRPr="005E67B1" w:rsidRDefault="00793562" w:rsidP="00793562">
      <w:pPr>
        <w:pStyle w:val="BodyText"/>
        <w:spacing w:before="9"/>
        <w:rPr>
          <w:sz w:val="15"/>
        </w:rPr>
      </w:pPr>
    </w:p>
    <w:p w14:paraId="43CC6110" w14:textId="77777777" w:rsidR="00793562" w:rsidRPr="005E67B1" w:rsidRDefault="00793562" w:rsidP="00793562">
      <w:pPr>
        <w:pStyle w:val="BodyText"/>
        <w:spacing w:line="264" w:lineRule="auto"/>
        <w:ind w:left="1240" w:right="2106"/>
      </w:pPr>
      <w:r w:rsidRPr="005E67B1">
        <w:t>Comparatively, the other two pathways have relatively fewer recorded prescriptions across Australia, due largely to difficulty in patients accessing these pathways.</w:t>
      </w:r>
    </w:p>
    <w:p w14:paraId="12B48AD1" w14:textId="77777777" w:rsidR="00793562" w:rsidRPr="005E67B1" w:rsidRDefault="00793562" w:rsidP="00793562">
      <w:pPr>
        <w:pStyle w:val="BodyText"/>
        <w:spacing w:before="169" w:line="264" w:lineRule="auto"/>
        <w:ind w:left="1240" w:right="1530"/>
        <w:rPr>
          <w:sz w:val="12"/>
        </w:rPr>
      </w:pPr>
      <w:r w:rsidRPr="005E67B1">
        <w:t>The APS allows doctors to freely prescribe a specific medicine to a class of patients directly under their care.</w:t>
      </w:r>
      <w:r w:rsidRPr="005E67B1">
        <w:rPr>
          <w:position w:val="6"/>
          <w:sz w:val="12"/>
        </w:rPr>
        <w:t xml:space="preserve">3 </w:t>
      </w:r>
      <w:r w:rsidRPr="005E67B1">
        <w:t xml:space="preserve">At present, approximately 60 Australian doctors have been granted </w:t>
      </w:r>
      <w:proofErr w:type="spellStart"/>
      <w:r w:rsidRPr="005E67B1">
        <w:t>Authorised</w:t>
      </w:r>
      <w:proofErr w:type="spellEnd"/>
      <w:r w:rsidRPr="005E67B1">
        <w:t xml:space="preserve"> Prescriber status for medicinal cannabis, but this status is often not known by patients.</w:t>
      </w:r>
      <w:r w:rsidRPr="005E67B1">
        <w:rPr>
          <w:position w:val="6"/>
          <w:sz w:val="12"/>
        </w:rPr>
        <w:t>4</w:t>
      </w:r>
    </w:p>
    <w:p w14:paraId="333E2BE6" w14:textId="77777777" w:rsidR="00793562" w:rsidRPr="005E67B1" w:rsidRDefault="00793562" w:rsidP="00793562">
      <w:pPr>
        <w:pStyle w:val="BodyText"/>
        <w:spacing w:before="169" w:line="264" w:lineRule="auto"/>
        <w:ind w:left="1240" w:right="1344"/>
      </w:pPr>
      <w:r w:rsidRPr="005E67B1">
        <w:t>Clinical trials, if approved under the clinical trials exemptions, can mean participants in the trial are allowed access to medicinal cannabis. However, clinical trials typically have low patient numbers and target a specific condition, limiting the number of patients accessing medicinal cannabis in this way.</w:t>
      </w:r>
    </w:p>
    <w:p w14:paraId="7326E454" w14:textId="77777777" w:rsidR="00793562" w:rsidRPr="005E67B1" w:rsidRDefault="00793562" w:rsidP="00793562">
      <w:pPr>
        <w:pStyle w:val="BodyText"/>
        <w:spacing w:before="168" w:line="264" w:lineRule="auto"/>
        <w:ind w:left="1240" w:right="1524"/>
        <w:rPr>
          <w:sz w:val="12"/>
        </w:rPr>
      </w:pPr>
      <w:r w:rsidRPr="005E67B1">
        <w:t>Industry stakeholders consulted as part of this research also highlighted that a lack of knowledge and understanding of medical cannabis, particularly in relation to different indications</w:t>
      </w:r>
      <w:r w:rsidRPr="005E67B1">
        <w:rPr>
          <w:position w:val="6"/>
          <w:sz w:val="12"/>
        </w:rPr>
        <w:t>5</w:t>
      </w:r>
      <w:r w:rsidRPr="005E67B1">
        <w:t>, can limit demand.</w:t>
      </w:r>
      <w:r w:rsidRPr="005E67B1">
        <w:rPr>
          <w:position w:val="6"/>
          <w:sz w:val="12"/>
        </w:rPr>
        <w:t>6</w:t>
      </w:r>
    </w:p>
    <w:p w14:paraId="36125930" w14:textId="77777777" w:rsidR="00793562" w:rsidRPr="005E67B1" w:rsidRDefault="00793562" w:rsidP="00793562">
      <w:pPr>
        <w:pStyle w:val="BodyText"/>
        <w:spacing w:before="5"/>
        <w:rPr>
          <w:sz w:val="19"/>
        </w:rPr>
      </w:pPr>
    </w:p>
    <w:p w14:paraId="78F444DA" w14:textId="77777777" w:rsidR="00793562" w:rsidRPr="00FB461D" w:rsidRDefault="00793562" w:rsidP="00793562">
      <w:pPr>
        <w:pStyle w:val="Heading6"/>
        <w:keepNext w:val="0"/>
        <w:keepLines w:val="0"/>
        <w:numPr>
          <w:ilvl w:val="3"/>
          <w:numId w:val="22"/>
        </w:numPr>
        <w:tabs>
          <w:tab w:val="left" w:pos="1960"/>
          <w:tab w:val="left" w:pos="1961"/>
        </w:tabs>
        <w:spacing w:before="0"/>
        <w:ind w:hanging="721"/>
        <w:rPr>
          <w:rFonts w:ascii="Verdana" w:hAnsi="Verdana"/>
          <w:b/>
          <w:bCs/>
          <w:color w:val="auto"/>
          <w:sz w:val="20"/>
          <w:szCs w:val="20"/>
        </w:rPr>
      </w:pPr>
      <w:r w:rsidRPr="00FB461D">
        <w:rPr>
          <w:rFonts w:ascii="Verdana" w:hAnsi="Verdana"/>
          <w:b/>
          <w:bCs/>
          <w:color w:val="auto"/>
          <w:sz w:val="20"/>
          <w:szCs w:val="20"/>
        </w:rPr>
        <w:t>Price of medicinal</w:t>
      </w:r>
      <w:r w:rsidRPr="00FB461D">
        <w:rPr>
          <w:rFonts w:ascii="Verdana" w:hAnsi="Verdana"/>
          <w:b/>
          <w:bCs/>
          <w:color w:val="auto"/>
          <w:spacing w:val="-1"/>
          <w:sz w:val="20"/>
          <w:szCs w:val="20"/>
        </w:rPr>
        <w:t xml:space="preserve"> </w:t>
      </w:r>
      <w:r w:rsidRPr="00FB461D">
        <w:rPr>
          <w:rFonts w:ascii="Verdana" w:hAnsi="Verdana"/>
          <w:b/>
          <w:bCs/>
          <w:color w:val="auto"/>
          <w:sz w:val="20"/>
          <w:szCs w:val="20"/>
        </w:rPr>
        <w:t>cannabis</w:t>
      </w:r>
    </w:p>
    <w:p w14:paraId="1594EAC7" w14:textId="0029377B" w:rsidR="00793562" w:rsidRPr="007A7A1B" w:rsidRDefault="00793562" w:rsidP="007A7A1B">
      <w:pPr>
        <w:pStyle w:val="BodyText"/>
        <w:spacing w:before="84" w:line="264" w:lineRule="auto"/>
        <w:ind w:left="1240" w:right="1385"/>
      </w:pPr>
      <w:r w:rsidRPr="005E67B1">
        <w:t>Price continues to be a main barrier to patients demanding medicinal cannabis. Estimates provided by industry stakeholders during consultation suggest the price to fill a single prescription of medicinal cannabis can amount to several hundred dollars.</w:t>
      </w:r>
    </w:p>
    <w:p w14:paraId="0CFF909D" w14:textId="61284AD9" w:rsidR="00793562" w:rsidRPr="005E67B1" w:rsidRDefault="00793562" w:rsidP="00793562">
      <w:pPr>
        <w:pStyle w:val="BodyText"/>
        <w:spacing w:before="5"/>
        <w:rPr>
          <w:sz w:val="23"/>
        </w:rPr>
      </w:pPr>
      <w:r w:rsidRPr="005E67B1">
        <w:rPr>
          <w:noProof/>
        </w:rPr>
        <mc:AlternateContent>
          <mc:Choice Requires="wps">
            <w:drawing>
              <wp:anchor distT="0" distB="0" distL="0" distR="0" simplePos="0" relativeHeight="251702272" behindDoc="1" locked="0" layoutInCell="1" allowOverlap="1" wp14:anchorId="12F0EBEC" wp14:editId="0B156461">
                <wp:simplePos x="0" y="0"/>
                <wp:positionH relativeFrom="page">
                  <wp:posOffset>914400</wp:posOffset>
                </wp:positionH>
                <wp:positionV relativeFrom="paragraph">
                  <wp:posOffset>205740</wp:posOffset>
                </wp:positionV>
                <wp:extent cx="1828800" cy="6350"/>
                <wp:effectExtent l="0" t="3810" r="0" b="0"/>
                <wp:wrapTopAndBottom/>
                <wp:docPr id="240" name="Rectangle 2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75C17" id="Rectangle 240" o:spid="_x0000_s1026" style="position:absolute;margin-left:1in;margin-top:16.2pt;width:2in;height:.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" fillcolor="black" stroked="f">
                <w10:wrap type="topAndBottom" anchorx="page"/>
              </v:rect>
            </w:pict>
          </mc:Fallback>
        </mc:AlternateContent>
      </w:r>
    </w:p>
    <w:p w14:paraId="435B92FA" w14:textId="77777777" w:rsidR="00793562" w:rsidRPr="005E67B1" w:rsidRDefault="00793562" w:rsidP="00793562">
      <w:pPr>
        <w:pStyle w:val="BodyText"/>
        <w:spacing w:before="7"/>
        <w:rPr>
          <w:sz w:val="15"/>
        </w:rPr>
      </w:pPr>
    </w:p>
    <w:p w14:paraId="2B2266A6" w14:textId="77777777" w:rsidR="00793562" w:rsidRPr="005E67B1" w:rsidRDefault="00793562" w:rsidP="00793562">
      <w:pPr>
        <w:spacing w:before="101"/>
        <w:ind w:left="1240" w:right="1754"/>
        <w:rPr>
          <w:sz w:val="16"/>
        </w:rPr>
      </w:pPr>
      <w:r w:rsidRPr="005E67B1">
        <w:rPr>
          <w:sz w:val="16"/>
          <w:vertAlign w:val="superscript"/>
        </w:rPr>
        <w:t>3</w:t>
      </w:r>
      <w:r w:rsidRPr="005E67B1">
        <w:rPr>
          <w:sz w:val="16"/>
        </w:rPr>
        <w:t xml:space="preserve"> The APS allows doctors to prescribe the specific medicinal cannabis product they have been approved to prescribe, for example if they were approved to prescribe </w:t>
      </w:r>
      <w:proofErr w:type="spellStart"/>
      <w:r w:rsidRPr="005E67B1">
        <w:rPr>
          <w:sz w:val="16"/>
        </w:rPr>
        <w:t>Tilray</w:t>
      </w:r>
      <w:proofErr w:type="spellEnd"/>
      <w:r w:rsidRPr="005E67B1">
        <w:rPr>
          <w:sz w:val="16"/>
        </w:rPr>
        <w:t xml:space="preserve"> CBD Max, they would not be </w:t>
      </w:r>
      <w:proofErr w:type="spellStart"/>
      <w:r w:rsidRPr="005E67B1">
        <w:rPr>
          <w:sz w:val="16"/>
        </w:rPr>
        <w:t>authorised</w:t>
      </w:r>
      <w:proofErr w:type="spellEnd"/>
      <w:r w:rsidRPr="005E67B1">
        <w:rPr>
          <w:sz w:val="16"/>
        </w:rPr>
        <w:t xml:space="preserve"> to prescribe </w:t>
      </w:r>
      <w:proofErr w:type="spellStart"/>
      <w:r w:rsidRPr="005E67B1">
        <w:rPr>
          <w:sz w:val="16"/>
        </w:rPr>
        <w:t>Tilray</w:t>
      </w:r>
      <w:proofErr w:type="spellEnd"/>
      <w:r w:rsidRPr="005E67B1">
        <w:rPr>
          <w:sz w:val="16"/>
        </w:rPr>
        <w:t xml:space="preserve"> 10:10.</w:t>
      </w:r>
    </w:p>
    <w:p w14:paraId="61C8C25F" w14:textId="77777777" w:rsidR="00793562" w:rsidRPr="005E67B1" w:rsidRDefault="00793562" w:rsidP="00793562">
      <w:pPr>
        <w:spacing w:before="59"/>
        <w:ind w:left="1240"/>
        <w:rPr>
          <w:sz w:val="16"/>
        </w:rPr>
      </w:pPr>
      <w:r w:rsidRPr="005E67B1">
        <w:rPr>
          <w:sz w:val="16"/>
          <w:vertAlign w:val="superscript"/>
        </w:rPr>
        <w:t>4</w:t>
      </w:r>
      <w:r w:rsidRPr="005E67B1">
        <w:rPr>
          <w:sz w:val="16"/>
        </w:rPr>
        <w:t xml:space="preserve"> Lambert Initiative for Cannabinoid Therapeutics.</w:t>
      </w:r>
    </w:p>
    <w:p w14:paraId="6DD5AF12" w14:textId="77777777" w:rsidR="00793562" w:rsidRPr="005E67B1" w:rsidRDefault="00793562" w:rsidP="00793562">
      <w:pPr>
        <w:spacing w:before="61"/>
        <w:ind w:left="1240" w:right="1899"/>
        <w:rPr>
          <w:sz w:val="16"/>
        </w:rPr>
      </w:pPr>
      <w:r w:rsidRPr="005E67B1">
        <w:rPr>
          <w:sz w:val="16"/>
          <w:vertAlign w:val="superscript"/>
        </w:rPr>
        <w:t>5</w:t>
      </w:r>
      <w:r w:rsidRPr="005E67B1">
        <w:rPr>
          <w:sz w:val="16"/>
        </w:rPr>
        <w:t xml:space="preserve"> In medical terminology, an "indication" for a drug refers to the use of that drug for treating a </w:t>
      </w:r>
      <w:proofErr w:type="gramStart"/>
      <w:r w:rsidRPr="005E67B1">
        <w:rPr>
          <w:sz w:val="16"/>
        </w:rPr>
        <w:t>particular disease</w:t>
      </w:r>
      <w:proofErr w:type="gramEnd"/>
      <w:r w:rsidRPr="005E67B1">
        <w:rPr>
          <w:sz w:val="16"/>
        </w:rPr>
        <w:t>.</w:t>
      </w:r>
    </w:p>
    <w:p w14:paraId="5000ECB6" w14:textId="4FBC9A22" w:rsidR="00793562" w:rsidRPr="005E67B1" w:rsidRDefault="00793562" w:rsidP="00E06296">
      <w:pPr>
        <w:spacing w:before="60"/>
        <w:ind w:left="1240" w:right="1839"/>
        <w:rPr>
          <w:sz w:val="16"/>
        </w:rPr>
        <w:sectPr w:rsidR="00793562" w:rsidRPr="005E67B1">
          <w:pgSz w:w="11910" w:h="16840"/>
          <w:pgMar w:top="840" w:right="82" w:bottom="860" w:left="200" w:header="650" w:footer="679" w:gutter="0"/>
          <w:cols w:space="720"/>
        </w:sectPr>
      </w:pPr>
      <w:r w:rsidRPr="005E67B1">
        <w:rPr>
          <w:sz w:val="16"/>
          <w:vertAlign w:val="superscript"/>
        </w:rPr>
        <w:t>6</w:t>
      </w:r>
      <w:r w:rsidRPr="005E67B1">
        <w:rPr>
          <w:sz w:val="16"/>
        </w:rPr>
        <w:t xml:space="preserve"> There is no list of indications that are permitted to access medicinal cannabis as a form of treatment, as patient access under the most common scheme, SAS-B, is determined on a case by case basis.</w:t>
      </w:r>
    </w:p>
    <w:p w14:paraId="121BBD44" w14:textId="77777777" w:rsidR="00793562" w:rsidRPr="005E67B1" w:rsidRDefault="00793562" w:rsidP="00793562">
      <w:pPr>
        <w:pStyle w:val="BodyText"/>
        <w:spacing w:before="2"/>
        <w:rPr>
          <w:sz w:val="22"/>
        </w:rPr>
      </w:pPr>
    </w:p>
    <w:p w14:paraId="4D388623" w14:textId="77777777" w:rsidR="00793562" w:rsidRPr="005E67B1" w:rsidRDefault="00793562" w:rsidP="00793562">
      <w:pPr>
        <w:pStyle w:val="BodyText"/>
        <w:spacing w:line="264" w:lineRule="auto"/>
        <w:ind w:left="1240" w:right="1360"/>
      </w:pPr>
      <w:r w:rsidRPr="005E67B1">
        <w:t>A key challenge for patients and clinicians is the lack of price transparency for medicinal cannabis products and lack of transparency around the types of products available. This is because suppliers and manufacturers are prohibited from advertising directly to patients, which includes disclosing the costs and range of their products on their website or via other channels.</w:t>
      </w:r>
    </w:p>
    <w:p w14:paraId="0C7EBB8B" w14:textId="77777777" w:rsidR="00793562" w:rsidRPr="005E67B1" w:rsidRDefault="00793562" w:rsidP="00793562">
      <w:pPr>
        <w:pStyle w:val="BodyText"/>
        <w:spacing w:before="168" w:line="264" w:lineRule="auto"/>
        <w:ind w:left="1240" w:right="1547"/>
      </w:pPr>
      <w:r w:rsidRPr="005E67B1">
        <w:t>Moreover, there is high variability in price depending on the dosage required, meaning patients with different indications face different costs and so cannot easily estimate the likely cost of their treatment. The annual cost of accessing medicinal cannabis legally is estimated to range from</w:t>
      </w:r>
    </w:p>
    <w:p w14:paraId="74ED7A44" w14:textId="77777777" w:rsidR="00793562" w:rsidRPr="005E67B1" w:rsidRDefault="00793562" w:rsidP="00793562">
      <w:pPr>
        <w:pStyle w:val="BodyText"/>
        <w:spacing w:line="264" w:lineRule="auto"/>
        <w:ind w:left="1240" w:right="1578"/>
      </w:pPr>
      <w:r w:rsidRPr="005E67B1">
        <w:t xml:space="preserve">$20,000 (a leading </w:t>
      </w:r>
      <w:proofErr w:type="spellStart"/>
      <w:r w:rsidRPr="005E67B1">
        <w:t>paediatric</w:t>
      </w:r>
      <w:proofErr w:type="spellEnd"/>
      <w:r w:rsidRPr="005E67B1">
        <w:t xml:space="preserve"> neurologist), to between $30,000 and $40,000 (The Office of Drug Control (ODC)).</w:t>
      </w:r>
    </w:p>
    <w:p w14:paraId="55787A70" w14:textId="77777777" w:rsidR="00793562" w:rsidRPr="005E67B1" w:rsidRDefault="00793562" w:rsidP="00793562">
      <w:pPr>
        <w:pStyle w:val="BodyText"/>
        <w:spacing w:before="165" w:line="264" w:lineRule="auto"/>
        <w:ind w:left="1240" w:right="1457"/>
        <w:rPr>
          <w:sz w:val="12"/>
        </w:rPr>
      </w:pPr>
      <w:r w:rsidRPr="005E67B1">
        <w:t xml:space="preserve">Currently patients must cover the entire cost of their prescription as there is no </w:t>
      </w:r>
      <w:proofErr w:type="spellStart"/>
      <w:r w:rsidRPr="005E67B1">
        <w:t>standardised</w:t>
      </w:r>
      <w:proofErr w:type="spellEnd"/>
      <w:r w:rsidRPr="005E67B1">
        <w:t xml:space="preserve"> subsidy available for medicinal cannabis.</w:t>
      </w:r>
      <w:r w:rsidRPr="005E67B1">
        <w:rPr>
          <w:position w:val="6"/>
          <w:sz w:val="12"/>
        </w:rPr>
        <w:t xml:space="preserve">7 </w:t>
      </w:r>
      <w:r w:rsidRPr="005E67B1">
        <w:t>Consultations with industry have also indicated it is unlikely that medicinal cannabis will be listed on the Pharmaceutical Benefits Scheme (PBS) in the near future, meaning the price is likely to remain relatively unaffordable for many patients compared to alternative treatments for an indication that are listed on the PBS.</w:t>
      </w:r>
      <w:r w:rsidRPr="005E67B1">
        <w:rPr>
          <w:position w:val="6"/>
          <w:sz w:val="12"/>
        </w:rPr>
        <w:t>8</w:t>
      </w:r>
    </w:p>
    <w:p w14:paraId="09FDFEB8" w14:textId="77777777" w:rsidR="00793562" w:rsidRPr="005E67B1" w:rsidRDefault="00793562" w:rsidP="00793562">
      <w:pPr>
        <w:pStyle w:val="BodyText"/>
        <w:spacing w:before="6"/>
        <w:rPr>
          <w:sz w:val="19"/>
        </w:rPr>
      </w:pPr>
    </w:p>
    <w:p w14:paraId="70219F20" w14:textId="77777777" w:rsidR="00793562" w:rsidRPr="00FB461D" w:rsidRDefault="00793562" w:rsidP="00793562">
      <w:pPr>
        <w:pStyle w:val="Heading6"/>
        <w:keepNext w:val="0"/>
        <w:keepLines w:val="0"/>
        <w:numPr>
          <w:ilvl w:val="2"/>
          <w:numId w:val="22"/>
        </w:numPr>
        <w:tabs>
          <w:tab w:val="left" w:pos="1816"/>
          <w:tab w:val="left" w:pos="1817"/>
        </w:tabs>
        <w:spacing w:before="0"/>
        <w:ind w:hanging="577"/>
        <w:rPr>
          <w:rFonts w:ascii="Verdana" w:hAnsi="Verdana"/>
          <w:b/>
          <w:bCs/>
          <w:color w:val="auto"/>
          <w:sz w:val="20"/>
          <w:szCs w:val="20"/>
        </w:rPr>
      </w:pPr>
      <w:r w:rsidRPr="00FB461D">
        <w:rPr>
          <w:rFonts w:ascii="Verdana" w:hAnsi="Verdana"/>
          <w:b/>
          <w:bCs/>
          <w:color w:val="auto"/>
          <w:sz w:val="20"/>
          <w:szCs w:val="20"/>
        </w:rPr>
        <w:t>Export</w:t>
      </w:r>
      <w:r w:rsidRPr="00FB461D">
        <w:rPr>
          <w:rFonts w:ascii="Verdana" w:hAnsi="Verdana"/>
          <w:b/>
          <w:bCs/>
          <w:color w:val="auto"/>
          <w:spacing w:val="-1"/>
          <w:sz w:val="20"/>
          <w:szCs w:val="20"/>
        </w:rPr>
        <w:t xml:space="preserve"> </w:t>
      </w:r>
      <w:r w:rsidRPr="00FB461D">
        <w:rPr>
          <w:rFonts w:ascii="Verdana" w:hAnsi="Verdana"/>
          <w:b/>
          <w:bCs/>
          <w:color w:val="auto"/>
          <w:sz w:val="20"/>
          <w:szCs w:val="20"/>
        </w:rPr>
        <w:t>demand</w:t>
      </w:r>
    </w:p>
    <w:p w14:paraId="54E27700" w14:textId="77777777" w:rsidR="00793562" w:rsidRPr="005E67B1" w:rsidRDefault="00793562" w:rsidP="00793562">
      <w:pPr>
        <w:pStyle w:val="BodyText"/>
        <w:spacing w:before="82" w:line="264" w:lineRule="auto"/>
        <w:ind w:left="1240" w:right="1471"/>
      </w:pPr>
      <w:r w:rsidRPr="005E67B1">
        <w:t xml:space="preserve">The export of medicinal cannabis products was federally </w:t>
      </w:r>
      <w:proofErr w:type="spellStart"/>
      <w:r w:rsidRPr="005E67B1">
        <w:t>legalised</w:t>
      </w:r>
      <w:proofErr w:type="spellEnd"/>
      <w:r w:rsidRPr="005E67B1">
        <w:t xml:space="preserve"> in February 2018 through the Narcotic Drugs Amendment (Cannabis) Regulations 2018. Industry regarded this as a critical change to ensure sustainability of the industry by allowing the development of economies of scale in production, however current exports remain small.</w:t>
      </w:r>
    </w:p>
    <w:p w14:paraId="0EFC15E4" w14:textId="77777777" w:rsidR="00793562" w:rsidRPr="005E67B1" w:rsidRDefault="00793562" w:rsidP="00793562">
      <w:pPr>
        <w:pStyle w:val="BodyText"/>
        <w:spacing w:before="168" w:line="264" w:lineRule="auto"/>
        <w:ind w:left="1240" w:right="1756"/>
      </w:pPr>
      <w:r w:rsidRPr="005E67B1">
        <w:t>The potential size of future export opportunities also remains uncertain. Current high-demand- high-consumption countries already have relatively well-established local medicinal cannabis production. Given this, in the short-term, Victorian producers appear unlikely to establish a significant presence in the North American and Israeli markets.</w:t>
      </w:r>
    </w:p>
    <w:p w14:paraId="77E08BF7" w14:textId="77777777" w:rsidR="00793562" w:rsidRPr="005E67B1" w:rsidRDefault="00793562" w:rsidP="00793562">
      <w:pPr>
        <w:pStyle w:val="BodyText"/>
        <w:spacing w:before="168" w:line="264" w:lineRule="auto"/>
        <w:ind w:left="1240" w:right="1513"/>
      </w:pPr>
      <w:r w:rsidRPr="005E67B1">
        <w:t>Elsewhere in the world, the market for medicinal cannabis is developing. The largest opportunity for Australian exporters of medicinal cannabis is Europe – an opportunity that did not exist when Victoria first investigated the opportunity in 2017. Export to Germany, Italy, Luxembourg, France and the United Kingdom are all viewed as highly likely. The ODC estimates that 3,500 kilograms, or approximately half of Australia’s current production of dried plant material, will be exported to Germany by the end of 2019.</w:t>
      </w:r>
    </w:p>
    <w:p w14:paraId="7C666F26" w14:textId="77777777" w:rsidR="00793562" w:rsidRPr="005E67B1" w:rsidRDefault="00793562" w:rsidP="00793562">
      <w:pPr>
        <w:pStyle w:val="BodyText"/>
        <w:spacing w:before="166" w:line="264" w:lineRule="auto"/>
        <w:ind w:left="1240" w:right="1417"/>
      </w:pPr>
      <w:r w:rsidRPr="005E67B1">
        <w:t>In terms of potential market demand for medicinal cannabis, these five European countries have a combined population over ten times Australia’s, indicating that the opportunity offered by the European market may be significant for Victorian producers. However, it is also important to note that there will be significant competition in these markets from other exporting countries such as Canada and Israel, which are already supplying product to some European countries. Therefore, the potential size of this export opportunity remains uncertain.</w:t>
      </w:r>
    </w:p>
    <w:p w14:paraId="00C2FEB8" w14:textId="77777777" w:rsidR="00793562" w:rsidRPr="005E67B1" w:rsidRDefault="00793562" w:rsidP="00793562">
      <w:pPr>
        <w:pStyle w:val="BodyText"/>
        <w:spacing w:before="168" w:line="264" w:lineRule="auto"/>
        <w:ind w:left="1240" w:right="1411"/>
      </w:pPr>
      <w:r w:rsidRPr="005E67B1">
        <w:t xml:space="preserve">Closer to home, in 2017 there were no countries in the Asia-Pacific region with </w:t>
      </w:r>
      <w:proofErr w:type="spellStart"/>
      <w:r w:rsidRPr="005E67B1">
        <w:t>legalised</w:t>
      </w:r>
      <w:proofErr w:type="spellEnd"/>
      <w:r w:rsidRPr="005E67B1">
        <w:t xml:space="preserve"> medicinal cannabis. But since then five countries have </w:t>
      </w:r>
      <w:proofErr w:type="spellStart"/>
      <w:r w:rsidRPr="005E67B1">
        <w:t>legalised</w:t>
      </w:r>
      <w:proofErr w:type="spellEnd"/>
      <w:r w:rsidRPr="005E67B1">
        <w:t xml:space="preserve">, or taken steps towards </w:t>
      </w:r>
      <w:proofErr w:type="spellStart"/>
      <w:r w:rsidRPr="005E67B1">
        <w:t>legalising</w:t>
      </w:r>
      <w:proofErr w:type="spellEnd"/>
      <w:r w:rsidRPr="005E67B1">
        <w:t xml:space="preserve">, medicinal cannabis (New Zealand, Thailand, South Korea, the Philippines and Malaysia). This reflects a shift in global attitudes, meaning many of the industry stakeholders consulted by Deloitte Access Economics now expect other countries in the Asia-Pacific region will move to </w:t>
      </w:r>
      <w:proofErr w:type="spellStart"/>
      <w:r w:rsidRPr="005E67B1">
        <w:t>legalise</w:t>
      </w:r>
      <w:proofErr w:type="spellEnd"/>
      <w:r w:rsidRPr="005E67B1">
        <w:t xml:space="preserve"> medicinal cannabis, though this region is still viewed as being a number of years away from offering the export opportunity currently presented by Europe.</w:t>
      </w:r>
    </w:p>
    <w:p w14:paraId="53B27A56" w14:textId="77777777" w:rsidR="00793562" w:rsidRPr="005E67B1" w:rsidRDefault="00793562" w:rsidP="00793562">
      <w:pPr>
        <w:pStyle w:val="BodyText"/>
        <w:rPr>
          <w:sz w:val="20"/>
        </w:rPr>
      </w:pPr>
    </w:p>
    <w:p w14:paraId="010C1681" w14:textId="77777777" w:rsidR="00793562" w:rsidRPr="005E67B1" w:rsidRDefault="00793562" w:rsidP="00793562">
      <w:pPr>
        <w:pStyle w:val="BodyText"/>
        <w:rPr>
          <w:sz w:val="20"/>
        </w:rPr>
      </w:pPr>
    </w:p>
    <w:p w14:paraId="47C808F6" w14:textId="77777777" w:rsidR="00793562" w:rsidRPr="005E67B1" w:rsidRDefault="00793562" w:rsidP="00793562">
      <w:pPr>
        <w:pStyle w:val="BodyText"/>
        <w:rPr>
          <w:sz w:val="20"/>
        </w:rPr>
      </w:pPr>
    </w:p>
    <w:p w14:paraId="600CA4C0" w14:textId="59BDC93A" w:rsidR="00793562" w:rsidRPr="005E67B1" w:rsidRDefault="00793562" w:rsidP="00793562">
      <w:pPr>
        <w:pStyle w:val="BodyText"/>
        <w:spacing w:before="3"/>
        <w:rPr>
          <w:sz w:val="13"/>
        </w:rPr>
      </w:pPr>
      <w:r w:rsidRPr="005E67B1">
        <w:rPr>
          <w:noProof/>
        </w:rPr>
        <mc:AlternateContent>
          <mc:Choice Requires="wps">
            <w:drawing>
              <wp:anchor distT="0" distB="0" distL="0" distR="0" simplePos="0" relativeHeight="251703296" behindDoc="1" locked="0" layoutInCell="1" allowOverlap="1" wp14:anchorId="3F976CFD" wp14:editId="25AC7FC4">
                <wp:simplePos x="0" y="0"/>
                <wp:positionH relativeFrom="page">
                  <wp:posOffset>914400</wp:posOffset>
                </wp:positionH>
                <wp:positionV relativeFrom="paragraph">
                  <wp:posOffset>127635</wp:posOffset>
                </wp:positionV>
                <wp:extent cx="1828800" cy="6350"/>
                <wp:effectExtent l="0" t="2540" r="0" b="635"/>
                <wp:wrapTopAndBottom/>
                <wp:docPr id="239" name="Rectangle 2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3F66B" id="Rectangle 239" o:spid="_x0000_s1026" style="position:absolute;margin-left:1in;margin-top:10.05pt;width:2in;height:.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" fillcolor="black" stroked="f">
                <w10:wrap type="topAndBottom" anchorx="page"/>
              </v:rect>
            </w:pict>
          </mc:Fallback>
        </mc:AlternateContent>
      </w:r>
    </w:p>
    <w:p w14:paraId="601947D1" w14:textId="77777777" w:rsidR="00793562" w:rsidRPr="005E67B1" w:rsidRDefault="00793562" w:rsidP="00793562">
      <w:pPr>
        <w:pStyle w:val="BodyText"/>
        <w:spacing w:before="7"/>
        <w:rPr>
          <w:sz w:val="15"/>
        </w:rPr>
      </w:pPr>
    </w:p>
    <w:p w14:paraId="44E5169C" w14:textId="77777777" w:rsidR="00793562" w:rsidRPr="005E67B1" w:rsidRDefault="00793562" w:rsidP="00793562">
      <w:pPr>
        <w:spacing w:before="101"/>
        <w:ind w:left="1240"/>
        <w:rPr>
          <w:sz w:val="16"/>
        </w:rPr>
      </w:pPr>
      <w:r w:rsidRPr="005E67B1">
        <w:rPr>
          <w:sz w:val="16"/>
          <w:vertAlign w:val="superscript"/>
        </w:rPr>
        <w:t>7</w:t>
      </w:r>
      <w:r w:rsidRPr="005E67B1">
        <w:rPr>
          <w:sz w:val="16"/>
        </w:rPr>
        <w:t xml:space="preserve"> There is a highly targeted subsidy in the form of Victoria’s Compassionate Access Scheme for children with</w:t>
      </w:r>
    </w:p>
    <w:p w14:paraId="23A137EA" w14:textId="77777777" w:rsidR="00793562" w:rsidRPr="005E67B1" w:rsidRDefault="00793562" w:rsidP="00793562">
      <w:pPr>
        <w:ind w:left="1240"/>
        <w:rPr>
          <w:sz w:val="16"/>
        </w:rPr>
      </w:pPr>
      <w:r w:rsidRPr="005E67B1">
        <w:rPr>
          <w:sz w:val="16"/>
        </w:rPr>
        <w:t>intractable epilepsy.</w:t>
      </w:r>
    </w:p>
    <w:p w14:paraId="1CAC539B" w14:textId="02137D3C" w:rsidR="00793562" w:rsidRPr="005E67B1" w:rsidRDefault="00793562" w:rsidP="00AB2DB4">
      <w:pPr>
        <w:spacing w:before="60"/>
        <w:ind w:left="1240"/>
        <w:rPr>
          <w:sz w:val="16"/>
        </w:rPr>
        <w:sectPr w:rsidR="00793562" w:rsidRPr="005E67B1">
          <w:pgSz w:w="11910" w:h="16840"/>
          <w:pgMar w:top="840" w:right="82" w:bottom="860" w:left="200" w:header="650" w:footer="679" w:gutter="0"/>
          <w:cols w:space="720"/>
        </w:sectPr>
      </w:pPr>
      <w:r w:rsidRPr="005E67B1">
        <w:rPr>
          <w:sz w:val="16"/>
          <w:vertAlign w:val="superscript"/>
        </w:rPr>
        <w:t>8</w:t>
      </w:r>
      <w:r w:rsidRPr="005E67B1">
        <w:rPr>
          <w:sz w:val="16"/>
        </w:rPr>
        <w:t xml:space="preserve"> Limited patient access schemes for children with epilepsy are available in some states.</w:t>
      </w:r>
    </w:p>
    <w:p w14:paraId="163BCCED" w14:textId="77777777" w:rsidR="00793562" w:rsidRPr="005E67B1" w:rsidRDefault="00793562" w:rsidP="00793562">
      <w:pPr>
        <w:pStyle w:val="BodyText"/>
        <w:rPr>
          <w:sz w:val="20"/>
        </w:rPr>
      </w:pPr>
    </w:p>
    <w:p w14:paraId="71408D01" w14:textId="7343440F" w:rsidR="00793562" w:rsidRPr="002366C9" w:rsidRDefault="00793562" w:rsidP="002366C9">
      <w:pPr>
        <w:pStyle w:val="Heading1"/>
        <w:numPr>
          <w:ilvl w:val="0"/>
          <w:numId w:val="41"/>
        </w:numPr>
        <w:rPr>
          <w:rFonts w:ascii="Verdana" w:hAnsi="Verdana"/>
          <w:b/>
          <w:bCs/>
          <w:color w:val="auto"/>
        </w:rPr>
      </w:pPr>
      <w:bookmarkStart w:id="4" w:name="_TOC_250003"/>
      <w:r w:rsidRPr="002366C9">
        <w:rPr>
          <w:rFonts w:ascii="Verdana" w:hAnsi="Verdana"/>
          <w:b/>
          <w:bCs/>
          <w:color w:val="auto"/>
        </w:rPr>
        <w:t>Current</w:t>
      </w:r>
      <w:r w:rsidRPr="002366C9">
        <w:rPr>
          <w:rFonts w:ascii="Verdana" w:hAnsi="Verdana"/>
          <w:b/>
          <w:bCs/>
          <w:color w:val="auto"/>
          <w:spacing w:val="2"/>
        </w:rPr>
        <w:t xml:space="preserve"> </w:t>
      </w:r>
      <w:bookmarkEnd w:id="4"/>
      <w:r w:rsidRPr="002366C9">
        <w:rPr>
          <w:rFonts w:ascii="Verdana" w:hAnsi="Verdana"/>
          <w:b/>
          <w:bCs/>
          <w:color w:val="auto"/>
        </w:rPr>
        <w:t>supply</w:t>
      </w:r>
    </w:p>
    <w:p w14:paraId="546E5539" w14:textId="77777777" w:rsidR="00793562" w:rsidRPr="005E67B1" w:rsidRDefault="00793562" w:rsidP="00793562">
      <w:pPr>
        <w:pStyle w:val="BodyText"/>
        <w:spacing w:before="259" w:line="264" w:lineRule="auto"/>
        <w:ind w:left="1240" w:right="1654"/>
      </w:pPr>
      <w:r w:rsidRPr="005E67B1">
        <w:t xml:space="preserve">Medicinal cannabis cultivated or manufactured in Australia requires a </w:t>
      </w:r>
      <w:proofErr w:type="spellStart"/>
      <w:r w:rsidRPr="005E67B1">
        <w:t>licence</w:t>
      </w:r>
      <w:proofErr w:type="spellEnd"/>
      <w:r w:rsidRPr="005E67B1">
        <w:t xml:space="preserve"> and permit. This chapter provides an overview of the current number of </w:t>
      </w:r>
      <w:proofErr w:type="spellStart"/>
      <w:r w:rsidRPr="005E67B1">
        <w:t>licences</w:t>
      </w:r>
      <w:proofErr w:type="spellEnd"/>
      <w:r w:rsidRPr="005E67B1">
        <w:t xml:space="preserve"> and permits Australia-wide, and volume of Victorian production.</w:t>
      </w:r>
    </w:p>
    <w:p w14:paraId="27C86145" w14:textId="77777777" w:rsidR="00793562" w:rsidRPr="005E67B1" w:rsidRDefault="00793562" w:rsidP="00793562">
      <w:pPr>
        <w:pStyle w:val="BodyText"/>
        <w:spacing w:before="5"/>
        <w:rPr>
          <w:sz w:val="19"/>
        </w:rPr>
      </w:pPr>
    </w:p>
    <w:p w14:paraId="4D486DAE" w14:textId="77777777" w:rsidR="00793562" w:rsidRPr="00FB461D" w:rsidRDefault="00793562" w:rsidP="00793562">
      <w:pPr>
        <w:pStyle w:val="Heading6"/>
        <w:keepNext w:val="0"/>
        <w:keepLines w:val="0"/>
        <w:numPr>
          <w:ilvl w:val="2"/>
          <w:numId w:val="22"/>
        </w:numPr>
        <w:tabs>
          <w:tab w:val="left" w:pos="1816"/>
          <w:tab w:val="left" w:pos="1817"/>
        </w:tabs>
        <w:spacing w:before="0"/>
        <w:ind w:hanging="577"/>
        <w:rPr>
          <w:rFonts w:ascii="Verdana" w:hAnsi="Verdana"/>
          <w:b/>
          <w:bCs/>
          <w:color w:val="auto"/>
          <w:sz w:val="20"/>
          <w:szCs w:val="20"/>
        </w:rPr>
      </w:pPr>
      <w:proofErr w:type="spellStart"/>
      <w:r w:rsidRPr="00FB461D">
        <w:rPr>
          <w:rFonts w:ascii="Verdana" w:hAnsi="Verdana"/>
          <w:b/>
          <w:bCs/>
          <w:color w:val="auto"/>
          <w:sz w:val="20"/>
          <w:szCs w:val="20"/>
        </w:rPr>
        <w:t>Licence</w:t>
      </w:r>
      <w:proofErr w:type="spellEnd"/>
      <w:r w:rsidRPr="00FB461D">
        <w:rPr>
          <w:rFonts w:ascii="Verdana" w:hAnsi="Verdana"/>
          <w:b/>
          <w:bCs/>
          <w:color w:val="auto"/>
          <w:sz w:val="20"/>
          <w:szCs w:val="20"/>
        </w:rPr>
        <w:t xml:space="preserve"> and permit</w:t>
      </w:r>
      <w:r w:rsidRPr="00FB461D">
        <w:rPr>
          <w:rFonts w:ascii="Verdana" w:hAnsi="Verdana"/>
          <w:b/>
          <w:bCs/>
          <w:color w:val="auto"/>
          <w:spacing w:val="-1"/>
          <w:sz w:val="20"/>
          <w:szCs w:val="20"/>
        </w:rPr>
        <w:t xml:space="preserve"> </w:t>
      </w:r>
      <w:r w:rsidRPr="00FB461D">
        <w:rPr>
          <w:rFonts w:ascii="Verdana" w:hAnsi="Verdana"/>
          <w:b/>
          <w:bCs/>
          <w:color w:val="auto"/>
          <w:sz w:val="20"/>
          <w:szCs w:val="20"/>
        </w:rPr>
        <w:t>approvals</w:t>
      </w:r>
    </w:p>
    <w:p w14:paraId="6EA48F57" w14:textId="77777777" w:rsidR="00793562" w:rsidRPr="005E67B1" w:rsidRDefault="00793562" w:rsidP="00793562">
      <w:pPr>
        <w:pStyle w:val="BodyText"/>
        <w:spacing w:before="83" w:line="264" w:lineRule="auto"/>
        <w:ind w:left="1240" w:right="1408"/>
      </w:pPr>
      <w:r w:rsidRPr="005E67B1">
        <w:t xml:space="preserve">Interest nationally in the medicinal cannabis industry from all parts of the supply chain (including cultivators, producers, manufacturers and exporters) has grown rapidly since the industry was </w:t>
      </w:r>
      <w:proofErr w:type="spellStart"/>
      <w:r w:rsidRPr="005E67B1">
        <w:t>legalised</w:t>
      </w:r>
      <w:proofErr w:type="spellEnd"/>
      <w:r w:rsidRPr="005E67B1">
        <w:t xml:space="preserve"> in 2016. The ODC has granted </w:t>
      </w:r>
      <w:proofErr w:type="spellStart"/>
      <w:r w:rsidRPr="005E67B1">
        <w:t>licences</w:t>
      </w:r>
      <w:proofErr w:type="spellEnd"/>
      <w:r w:rsidRPr="005E67B1">
        <w:t xml:space="preserve"> to 45 firms and </w:t>
      </w:r>
      <w:proofErr w:type="spellStart"/>
      <w:r w:rsidRPr="005E67B1">
        <w:t>organisations</w:t>
      </w:r>
      <w:proofErr w:type="spellEnd"/>
      <w:r w:rsidRPr="005E67B1">
        <w:t xml:space="preserve"> across Australia, up from just one in 2017. Of these </w:t>
      </w:r>
      <w:proofErr w:type="spellStart"/>
      <w:r w:rsidRPr="005E67B1">
        <w:t>licenced</w:t>
      </w:r>
      <w:proofErr w:type="spellEnd"/>
      <w:r w:rsidRPr="005E67B1">
        <w:t xml:space="preserve"> producers, 13 have been granted a permit to cultivate, manufacture and research medicinal cannabis products, which is the regulatory precursor for a producer to develop product for the market.</w:t>
      </w:r>
    </w:p>
    <w:p w14:paraId="3A1BE25C" w14:textId="77777777" w:rsidR="00793562" w:rsidRPr="005E67B1" w:rsidRDefault="00793562" w:rsidP="00793562">
      <w:pPr>
        <w:pStyle w:val="BodyText"/>
        <w:spacing w:before="165" w:line="264" w:lineRule="auto"/>
        <w:ind w:left="1240" w:right="1994"/>
      </w:pPr>
      <w:r w:rsidRPr="005E67B1">
        <w:t xml:space="preserve">Victoria has seen a similar surge in interest in </w:t>
      </w:r>
      <w:proofErr w:type="spellStart"/>
      <w:r w:rsidRPr="005E67B1">
        <w:t>licences</w:t>
      </w:r>
      <w:proofErr w:type="spellEnd"/>
      <w:r w:rsidRPr="005E67B1">
        <w:t xml:space="preserve"> and permits since 2016. Consultation undertaken with the ODC in September 2019 revealed that Victorian firms or </w:t>
      </w:r>
      <w:proofErr w:type="spellStart"/>
      <w:r w:rsidRPr="005E67B1">
        <w:t>organisations</w:t>
      </w:r>
      <w:proofErr w:type="spellEnd"/>
      <w:r w:rsidRPr="005E67B1">
        <w:t xml:space="preserve"> account for almost half of the permits held nationally.</w:t>
      </w:r>
    </w:p>
    <w:p w14:paraId="5AC7B0AC" w14:textId="77777777" w:rsidR="00793562" w:rsidRPr="005E67B1" w:rsidRDefault="00793562" w:rsidP="00793562">
      <w:pPr>
        <w:pStyle w:val="BodyText"/>
        <w:spacing w:before="169" w:line="264" w:lineRule="auto"/>
        <w:ind w:left="1240" w:right="1467"/>
      </w:pPr>
      <w:r w:rsidRPr="005E67B1">
        <w:t xml:space="preserve">The increase in </w:t>
      </w:r>
      <w:proofErr w:type="spellStart"/>
      <w:r w:rsidRPr="005E67B1">
        <w:t>licence</w:t>
      </w:r>
      <w:proofErr w:type="spellEnd"/>
      <w:r w:rsidRPr="005E67B1">
        <w:t xml:space="preserve"> applications and approvals has been influenced by </w:t>
      </w:r>
      <w:proofErr w:type="gramStart"/>
      <w:r w:rsidRPr="005E67B1">
        <w:t>a number of</w:t>
      </w:r>
      <w:proofErr w:type="gramEnd"/>
      <w:r w:rsidRPr="005E67B1">
        <w:t xml:space="preserve"> regulatory changes to the industry in recent years. The removal of restrictions on the export of medicinal cannabis products from Australia in January 2018 had an immediate impact on the structure and number of producers in Australia. Not only did existing </w:t>
      </w:r>
      <w:proofErr w:type="spellStart"/>
      <w:r w:rsidRPr="005E67B1">
        <w:t>licence</w:t>
      </w:r>
      <w:proofErr w:type="spellEnd"/>
      <w:r w:rsidRPr="005E67B1">
        <w:t xml:space="preserve"> holders increase the scale of their planned operations to service both the domestic and international market, but there was almost a doubling (86 per cent increase) in the number of </w:t>
      </w:r>
      <w:proofErr w:type="spellStart"/>
      <w:r w:rsidRPr="005E67B1">
        <w:t>licence</w:t>
      </w:r>
      <w:proofErr w:type="spellEnd"/>
      <w:r w:rsidRPr="005E67B1">
        <w:t xml:space="preserve"> applications in the year following the legislative change.</w:t>
      </w:r>
    </w:p>
    <w:p w14:paraId="39D19ABD" w14:textId="77777777" w:rsidR="00793562" w:rsidRPr="005E67B1" w:rsidRDefault="00793562" w:rsidP="00793562">
      <w:pPr>
        <w:pStyle w:val="BodyText"/>
        <w:spacing w:before="166" w:line="264" w:lineRule="auto"/>
        <w:ind w:left="1240" w:right="1471"/>
      </w:pPr>
      <w:r w:rsidRPr="005E67B1">
        <w:t xml:space="preserve">More recently, the Commonwealth Government’s streamlining of the </w:t>
      </w:r>
      <w:proofErr w:type="spellStart"/>
      <w:r w:rsidRPr="005E67B1">
        <w:t>licence</w:t>
      </w:r>
      <w:proofErr w:type="spellEnd"/>
      <w:r w:rsidRPr="005E67B1">
        <w:t xml:space="preserve"> process has seen some medicinal cannabis projects eligible to apply for Major Project Status from September 2019. The scheme, managed by the Department of Industry, Innovation and Science, gives priority access to medicinal cannabis </w:t>
      </w:r>
      <w:proofErr w:type="spellStart"/>
      <w:r w:rsidRPr="005E67B1">
        <w:t>licences</w:t>
      </w:r>
      <w:proofErr w:type="spellEnd"/>
      <w:r w:rsidRPr="005E67B1">
        <w:t xml:space="preserve"> that meet AU$50 million in investment and contribute substantially to exports, jobs and industry development (particularly in regional areas).</w:t>
      </w:r>
    </w:p>
    <w:p w14:paraId="392A1FD9" w14:textId="77777777" w:rsidR="00793562" w:rsidRPr="005E67B1" w:rsidRDefault="00793562" w:rsidP="00793562">
      <w:pPr>
        <w:pStyle w:val="BodyText"/>
        <w:spacing w:before="167" w:line="264" w:lineRule="auto"/>
        <w:ind w:left="1240" w:right="1405"/>
      </w:pPr>
      <w:r w:rsidRPr="005E67B1">
        <w:t xml:space="preserve">On top of this, the regulatory system continues to be streamlined. The Commonwealth Government recently announced it will work towards a single </w:t>
      </w:r>
      <w:proofErr w:type="spellStart"/>
      <w:r w:rsidRPr="005E67B1">
        <w:t>licence</w:t>
      </w:r>
      <w:proofErr w:type="spellEnd"/>
      <w:r w:rsidRPr="005E67B1">
        <w:t xml:space="preserve"> model, following a review of the Narcotic Drugs Act 1967. The final report from the review contains 26 recommendations to improve the regulatory framework and was tabled to Parliament in September 2019. All 26 recommendations have been accepted by Government and have led to a two-stage reform process, though the details and timeline for this have not yet been announced (as of March 2020).</w:t>
      </w:r>
    </w:p>
    <w:p w14:paraId="2014A3D9" w14:textId="77777777" w:rsidR="00793562" w:rsidRPr="005E67B1" w:rsidRDefault="00793562" w:rsidP="00793562">
      <w:pPr>
        <w:pStyle w:val="BodyText"/>
        <w:spacing w:before="6"/>
        <w:rPr>
          <w:sz w:val="19"/>
        </w:rPr>
      </w:pPr>
    </w:p>
    <w:p w14:paraId="52DE7168" w14:textId="77777777" w:rsidR="00793562" w:rsidRPr="00FB461D" w:rsidRDefault="00793562" w:rsidP="00793562">
      <w:pPr>
        <w:pStyle w:val="Heading6"/>
        <w:keepNext w:val="0"/>
        <w:keepLines w:val="0"/>
        <w:numPr>
          <w:ilvl w:val="2"/>
          <w:numId w:val="22"/>
        </w:numPr>
        <w:tabs>
          <w:tab w:val="left" w:pos="1816"/>
          <w:tab w:val="left" w:pos="1817"/>
        </w:tabs>
        <w:spacing w:before="0"/>
        <w:ind w:hanging="577"/>
        <w:rPr>
          <w:rFonts w:ascii="Verdana" w:hAnsi="Verdana"/>
          <w:b/>
          <w:bCs/>
          <w:color w:val="auto"/>
          <w:sz w:val="20"/>
          <w:szCs w:val="20"/>
        </w:rPr>
      </w:pPr>
      <w:r w:rsidRPr="00FB461D">
        <w:rPr>
          <w:rFonts w:ascii="Verdana" w:hAnsi="Verdana"/>
          <w:b/>
          <w:bCs/>
          <w:color w:val="auto"/>
          <w:sz w:val="20"/>
          <w:szCs w:val="20"/>
        </w:rPr>
        <w:t>Production</w:t>
      </w:r>
      <w:r w:rsidRPr="00FB461D">
        <w:rPr>
          <w:rFonts w:ascii="Verdana" w:hAnsi="Verdana"/>
          <w:b/>
          <w:bCs/>
          <w:color w:val="auto"/>
          <w:spacing w:val="-2"/>
          <w:sz w:val="20"/>
          <w:szCs w:val="20"/>
        </w:rPr>
        <w:t xml:space="preserve"> </w:t>
      </w:r>
      <w:r w:rsidRPr="00FB461D">
        <w:rPr>
          <w:rFonts w:ascii="Verdana" w:hAnsi="Verdana"/>
          <w:b/>
          <w:bCs/>
          <w:color w:val="auto"/>
          <w:sz w:val="20"/>
          <w:szCs w:val="20"/>
        </w:rPr>
        <w:t>capacity</w:t>
      </w:r>
    </w:p>
    <w:p w14:paraId="3AB177C0" w14:textId="77777777" w:rsidR="00793562" w:rsidRPr="005E67B1" w:rsidRDefault="00793562" w:rsidP="00793562">
      <w:pPr>
        <w:pStyle w:val="BodyText"/>
        <w:spacing w:before="81"/>
        <w:ind w:left="1240"/>
      </w:pPr>
      <w:r w:rsidRPr="005E67B1">
        <w:t xml:space="preserve">Despite the flurry of </w:t>
      </w:r>
      <w:proofErr w:type="spellStart"/>
      <w:r w:rsidRPr="005E67B1">
        <w:t>licence</w:t>
      </w:r>
      <w:proofErr w:type="spellEnd"/>
      <w:r w:rsidRPr="005E67B1">
        <w:t xml:space="preserve"> and permit applications, across Australia current production of</w:t>
      </w:r>
    </w:p>
    <w:p w14:paraId="454BD9D7" w14:textId="77777777" w:rsidR="00793562" w:rsidRPr="005E67B1" w:rsidRDefault="00793562" w:rsidP="00793562">
      <w:pPr>
        <w:pStyle w:val="BodyText"/>
        <w:spacing w:before="22" w:line="264" w:lineRule="auto"/>
        <w:ind w:left="1240" w:right="1394"/>
      </w:pPr>
      <w:r w:rsidRPr="005E67B1">
        <w:t xml:space="preserve">medicinal cannabis products </w:t>
      </w:r>
      <w:proofErr w:type="gramStart"/>
      <w:r w:rsidRPr="005E67B1">
        <w:t>is</w:t>
      </w:r>
      <w:proofErr w:type="gramEnd"/>
      <w:r w:rsidRPr="005E67B1">
        <w:t xml:space="preserve"> still low relative to planned capacity. Australia’s current permit holders have an estimated production capacity of 7,000 kilograms of dried plant matter per year as at mid-2019, with plans to at least double this over the remainder of 2019 as more facilities are completed or modules are brought</w:t>
      </w:r>
      <w:r w:rsidRPr="005E67B1">
        <w:rPr>
          <w:spacing w:val="-9"/>
        </w:rPr>
        <w:t xml:space="preserve"> </w:t>
      </w:r>
      <w:r w:rsidRPr="005E67B1">
        <w:t>online.</w:t>
      </w:r>
    </w:p>
    <w:p w14:paraId="79AD8586" w14:textId="0284DC6D" w:rsidR="00793562" w:rsidRPr="005E67B1" w:rsidRDefault="00793562" w:rsidP="00210816">
      <w:pPr>
        <w:pStyle w:val="BodyText"/>
        <w:spacing w:before="168" w:line="264" w:lineRule="auto"/>
        <w:ind w:left="1240" w:right="1796"/>
        <w:sectPr w:rsidR="00793562" w:rsidRPr="005E67B1">
          <w:pgSz w:w="11910" w:h="16840"/>
          <w:pgMar w:top="840" w:right="82" w:bottom="860" w:left="200" w:header="650" w:footer="679" w:gutter="0"/>
          <w:cols w:space="720"/>
        </w:sectPr>
      </w:pPr>
      <w:r w:rsidRPr="005E67B1">
        <w:t xml:space="preserve">Australian supply is not yet </w:t>
      </w:r>
      <w:proofErr w:type="gramStart"/>
      <w:r w:rsidRPr="005E67B1">
        <w:t>sufficient</w:t>
      </w:r>
      <w:proofErr w:type="gramEnd"/>
      <w:r w:rsidRPr="005E67B1">
        <w:t xml:space="preserve"> to meet domestic demand. </w:t>
      </w:r>
      <w:proofErr w:type="gramStart"/>
      <w:r w:rsidRPr="005E67B1">
        <w:t>The majority of</w:t>
      </w:r>
      <w:proofErr w:type="gramEnd"/>
      <w:r w:rsidRPr="005E67B1">
        <w:t xml:space="preserve"> medicinal cannabis products currently prescribed in Australia are imported. Imports are viewed by many stakeholders consulted with as a short-term solution to develop a domestic patient base, until Australia’s production capacity can wholly supply the domestic market.</w:t>
      </w:r>
    </w:p>
    <w:p w14:paraId="041993F9" w14:textId="1184CA7F" w:rsidR="00793562" w:rsidRPr="002366C9" w:rsidRDefault="00793562" w:rsidP="002366C9">
      <w:pPr>
        <w:pStyle w:val="Heading1"/>
        <w:numPr>
          <w:ilvl w:val="0"/>
          <w:numId w:val="41"/>
        </w:numPr>
        <w:rPr>
          <w:rFonts w:ascii="Verdana" w:hAnsi="Verdana"/>
          <w:b/>
          <w:bCs/>
          <w:color w:val="auto"/>
        </w:rPr>
      </w:pPr>
      <w:bookmarkStart w:id="5" w:name="_TOC_250002"/>
      <w:r w:rsidRPr="002366C9">
        <w:rPr>
          <w:rFonts w:ascii="Verdana" w:hAnsi="Verdana"/>
          <w:b/>
          <w:bCs/>
          <w:color w:val="auto"/>
        </w:rPr>
        <w:lastRenderedPageBreak/>
        <w:t xml:space="preserve">Future </w:t>
      </w:r>
      <w:r w:rsidRPr="002366C9">
        <w:rPr>
          <w:rFonts w:ascii="Verdana" w:hAnsi="Verdana"/>
          <w:b/>
          <w:bCs/>
          <w:color w:val="auto"/>
          <w:spacing w:val="-3"/>
        </w:rPr>
        <w:t xml:space="preserve">industry </w:t>
      </w:r>
      <w:r w:rsidRPr="002366C9">
        <w:rPr>
          <w:rFonts w:ascii="Verdana" w:hAnsi="Verdana"/>
          <w:b/>
          <w:bCs/>
          <w:color w:val="auto"/>
        </w:rPr>
        <w:t>development</w:t>
      </w:r>
      <w:r w:rsidRPr="002366C9">
        <w:rPr>
          <w:rFonts w:ascii="Verdana" w:hAnsi="Verdana"/>
          <w:b/>
          <w:bCs/>
          <w:color w:val="auto"/>
          <w:spacing w:val="-5"/>
        </w:rPr>
        <w:t xml:space="preserve"> </w:t>
      </w:r>
      <w:bookmarkEnd w:id="5"/>
      <w:r w:rsidRPr="002366C9">
        <w:rPr>
          <w:rFonts w:ascii="Verdana" w:hAnsi="Verdana"/>
          <w:b/>
          <w:bCs/>
          <w:color w:val="auto"/>
        </w:rPr>
        <w:t>scenarios</w:t>
      </w:r>
    </w:p>
    <w:p w14:paraId="644E5A26" w14:textId="77777777" w:rsidR="00793562" w:rsidRPr="005E67B1" w:rsidRDefault="00793562" w:rsidP="00793562">
      <w:pPr>
        <w:pStyle w:val="BodyText"/>
        <w:spacing w:before="257" w:line="264" w:lineRule="auto"/>
        <w:ind w:left="1240" w:right="2172"/>
      </w:pPr>
      <w:r w:rsidRPr="005E67B1">
        <w:t>This chapter provides an overview of the estimated patient demand in Australia by 2028 and the possible volume of domestic production, and revenue, in response to this demand and supply to export markets.</w:t>
      </w:r>
    </w:p>
    <w:p w14:paraId="2CE54177" w14:textId="77777777" w:rsidR="00793562" w:rsidRPr="005E67B1" w:rsidRDefault="00793562" w:rsidP="00793562">
      <w:pPr>
        <w:pStyle w:val="BodyText"/>
        <w:spacing w:before="8"/>
        <w:rPr>
          <w:sz w:val="19"/>
        </w:rPr>
      </w:pPr>
    </w:p>
    <w:p w14:paraId="720D4E04" w14:textId="77777777" w:rsidR="00793562" w:rsidRPr="00FB461D" w:rsidRDefault="00793562" w:rsidP="00793562">
      <w:pPr>
        <w:pStyle w:val="Heading6"/>
        <w:keepNext w:val="0"/>
        <w:keepLines w:val="0"/>
        <w:numPr>
          <w:ilvl w:val="2"/>
          <w:numId w:val="22"/>
        </w:numPr>
        <w:tabs>
          <w:tab w:val="left" w:pos="1816"/>
          <w:tab w:val="left" w:pos="1817"/>
        </w:tabs>
        <w:spacing w:before="0"/>
        <w:ind w:hanging="577"/>
        <w:rPr>
          <w:rFonts w:ascii="Verdana" w:hAnsi="Verdana"/>
          <w:b/>
          <w:bCs/>
          <w:color w:val="auto"/>
          <w:sz w:val="20"/>
          <w:szCs w:val="20"/>
        </w:rPr>
      </w:pPr>
      <w:r w:rsidRPr="00FB461D">
        <w:rPr>
          <w:rFonts w:ascii="Verdana" w:hAnsi="Verdana"/>
          <w:b/>
          <w:bCs/>
          <w:color w:val="auto"/>
          <w:sz w:val="20"/>
          <w:szCs w:val="20"/>
        </w:rPr>
        <w:t>Future patient demand in</w:t>
      </w:r>
      <w:r w:rsidRPr="00FB461D">
        <w:rPr>
          <w:rFonts w:ascii="Verdana" w:hAnsi="Verdana"/>
          <w:b/>
          <w:bCs/>
          <w:color w:val="auto"/>
          <w:spacing w:val="-3"/>
          <w:sz w:val="20"/>
          <w:szCs w:val="20"/>
        </w:rPr>
        <w:t xml:space="preserve"> </w:t>
      </w:r>
      <w:r w:rsidRPr="00FB461D">
        <w:rPr>
          <w:rFonts w:ascii="Verdana" w:hAnsi="Verdana"/>
          <w:b/>
          <w:bCs/>
          <w:color w:val="auto"/>
          <w:sz w:val="20"/>
          <w:szCs w:val="20"/>
        </w:rPr>
        <w:t>Australia</w:t>
      </w:r>
    </w:p>
    <w:p w14:paraId="0376DCDA" w14:textId="77777777" w:rsidR="00793562" w:rsidRPr="005E67B1" w:rsidRDefault="00793562" w:rsidP="00793562">
      <w:pPr>
        <w:pStyle w:val="BodyText"/>
        <w:spacing w:before="81" w:line="264" w:lineRule="auto"/>
        <w:ind w:left="1240" w:right="2227"/>
      </w:pPr>
      <w:r w:rsidRPr="005E67B1">
        <w:t>This section estimates future Australian patient demand for medicinal cannabis, reflecting new information on likely use of medicinal cannabis as a suitable treatment.</w:t>
      </w:r>
    </w:p>
    <w:p w14:paraId="0203522B" w14:textId="77777777" w:rsidR="00793562" w:rsidRPr="00FB461D" w:rsidRDefault="00793562" w:rsidP="00793562">
      <w:pPr>
        <w:pStyle w:val="BodyText"/>
        <w:spacing w:before="8"/>
        <w:rPr>
          <w:b/>
          <w:bCs/>
          <w:sz w:val="20"/>
          <w:szCs w:val="20"/>
        </w:rPr>
      </w:pPr>
    </w:p>
    <w:p w14:paraId="5473ED39" w14:textId="77777777" w:rsidR="00793562" w:rsidRPr="00FB461D" w:rsidRDefault="00793562" w:rsidP="00793562">
      <w:pPr>
        <w:pStyle w:val="Heading6"/>
        <w:keepNext w:val="0"/>
        <w:keepLines w:val="0"/>
        <w:numPr>
          <w:ilvl w:val="3"/>
          <w:numId w:val="22"/>
        </w:numPr>
        <w:tabs>
          <w:tab w:val="left" w:pos="1960"/>
          <w:tab w:val="left" w:pos="1961"/>
        </w:tabs>
        <w:spacing w:before="0"/>
        <w:ind w:hanging="721"/>
        <w:rPr>
          <w:rFonts w:ascii="Verdana" w:hAnsi="Verdana"/>
          <w:b/>
          <w:bCs/>
          <w:color w:val="auto"/>
          <w:sz w:val="20"/>
          <w:szCs w:val="20"/>
        </w:rPr>
      </w:pPr>
      <w:r w:rsidRPr="00FB461D">
        <w:rPr>
          <w:rFonts w:ascii="Verdana" w:hAnsi="Verdana"/>
          <w:b/>
          <w:bCs/>
          <w:color w:val="auto"/>
          <w:sz w:val="20"/>
          <w:szCs w:val="20"/>
        </w:rPr>
        <w:t>Methodology to estimate demand</w:t>
      </w:r>
    </w:p>
    <w:p w14:paraId="7E6086FC" w14:textId="77777777" w:rsidR="00793562" w:rsidRPr="005E67B1" w:rsidRDefault="00793562" w:rsidP="00793562">
      <w:pPr>
        <w:pStyle w:val="BodyText"/>
        <w:spacing w:before="81" w:line="264" w:lineRule="auto"/>
        <w:ind w:left="1240" w:right="2042"/>
      </w:pPr>
      <w:r w:rsidRPr="005E67B1">
        <w:t>Australian patient demand has been calculated using a bottom-up approach, meaning it considers a range of possible indications for which medicinal cannabis would be a suitable treatment, and the likely demand from each patient group for these indications. Over the past 18 months the TGA has approved numerous SAS-B applications for medicinal cannabis for 13 indications. Table 4.1 details the prevalence of each indication (presented as a percentage of the Australian population), the share of the cohort likely to access medicinal cannabis, and the resulting estimated patient numbers.</w:t>
      </w:r>
    </w:p>
    <w:p w14:paraId="58277C3D" w14:textId="77777777" w:rsidR="00793562" w:rsidRPr="005E67B1" w:rsidRDefault="00793562" w:rsidP="00793562">
      <w:pPr>
        <w:pStyle w:val="BodyText"/>
        <w:spacing w:before="5"/>
        <w:rPr>
          <w:sz w:val="20"/>
        </w:rPr>
      </w:pPr>
    </w:p>
    <w:p w14:paraId="7DD61263" w14:textId="77777777" w:rsidR="00793562" w:rsidRPr="005E67B1" w:rsidRDefault="00793562" w:rsidP="00793562">
      <w:pPr>
        <w:ind w:left="1240"/>
        <w:rPr>
          <w:sz w:val="17"/>
        </w:rPr>
      </w:pPr>
      <w:r w:rsidRPr="005E67B1">
        <w:rPr>
          <w:sz w:val="17"/>
        </w:rPr>
        <w:t>Table 4.1: Modelling assumptions for medicinal cannabis patient cohorts, Australia-wide</w:t>
      </w:r>
    </w:p>
    <w:tbl>
      <w:tblPr>
        <w:tblStyle w:val="TableGrid"/>
        <w:tblpPr w:leftFromText="180" w:rightFromText="180" w:vertAnchor="text" w:horzAnchor="page" w:tblpX="1231" w:tblpY="299"/>
        <w:tblW w:w="0" w:type="auto"/>
        <w:tblLayout w:type="fixed"/>
        <w:tblLook w:val="01E0" w:firstRow="1" w:lastRow="1" w:firstColumn="1" w:lastColumn="1" w:noHBand="0" w:noVBand="0"/>
      </w:tblPr>
      <w:tblGrid>
        <w:gridCol w:w="2380"/>
        <w:gridCol w:w="1721"/>
        <w:gridCol w:w="2071"/>
        <w:gridCol w:w="2184"/>
      </w:tblGrid>
      <w:tr w:rsidR="00D4162A" w:rsidRPr="005E67B1" w14:paraId="2DAB6ADB" w14:textId="77777777" w:rsidTr="002A74E1">
        <w:trPr>
          <w:trHeight w:val="1076"/>
        </w:trPr>
        <w:tc>
          <w:tcPr>
            <w:tcW w:w="2380" w:type="dxa"/>
          </w:tcPr>
          <w:p w14:paraId="50E8B7DB" w14:textId="77777777" w:rsidR="002A74E1" w:rsidRPr="005E67B1" w:rsidRDefault="002A74E1" w:rsidP="002A74E1">
            <w:pPr>
              <w:pStyle w:val="TableParagraph"/>
              <w:spacing w:before="79"/>
              <w:rPr>
                <w:b/>
                <w:sz w:val="18"/>
              </w:rPr>
            </w:pPr>
            <w:bookmarkStart w:id="6" w:name="_Hlk57734745"/>
            <w:r w:rsidRPr="005E67B1">
              <w:rPr>
                <w:b/>
                <w:sz w:val="18"/>
              </w:rPr>
              <w:t>Indication</w:t>
            </w:r>
          </w:p>
        </w:tc>
        <w:tc>
          <w:tcPr>
            <w:tcW w:w="1721" w:type="dxa"/>
          </w:tcPr>
          <w:p w14:paraId="0AE23DC7" w14:textId="77777777" w:rsidR="002A74E1" w:rsidRPr="005E67B1" w:rsidRDefault="002A74E1" w:rsidP="002A74E1">
            <w:pPr>
              <w:pStyle w:val="TableParagraph"/>
              <w:spacing w:before="79" w:line="264" w:lineRule="auto"/>
              <w:ind w:left="44" w:right="283"/>
              <w:rPr>
                <w:b/>
                <w:sz w:val="18"/>
              </w:rPr>
            </w:pPr>
            <w:r w:rsidRPr="005E67B1">
              <w:rPr>
                <w:b/>
                <w:sz w:val="18"/>
              </w:rPr>
              <w:t>Prevalence of indication in Australia</w:t>
            </w:r>
          </w:p>
        </w:tc>
        <w:tc>
          <w:tcPr>
            <w:tcW w:w="2071" w:type="dxa"/>
          </w:tcPr>
          <w:p w14:paraId="2468C061" w14:textId="77777777" w:rsidR="002A74E1" w:rsidRPr="005E67B1" w:rsidRDefault="002A74E1" w:rsidP="002A74E1">
            <w:pPr>
              <w:pStyle w:val="TableParagraph"/>
              <w:spacing w:before="79" w:line="264" w:lineRule="auto"/>
              <w:ind w:left="301" w:right="189"/>
              <w:rPr>
                <w:b/>
                <w:sz w:val="12"/>
              </w:rPr>
            </w:pPr>
            <w:r w:rsidRPr="005E67B1">
              <w:rPr>
                <w:b/>
                <w:sz w:val="18"/>
              </w:rPr>
              <w:t>Share of cohort likely to access medicinal cannabis</w:t>
            </w:r>
            <w:r w:rsidRPr="005E67B1">
              <w:rPr>
                <w:b/>
                <w:position w:val="6"/>
                <w:sz w:val="12"/>
              </w:rPr>
              <w:t>b</w:t>
            </w:r>
          </w:p>
        </w:tc>
        <w:tc>
          <w:tcPr>
            <w:tcW w:w="2184" w:type="dxa"/>
          </w:tcPr>
          <w:p w14:paraId="61A90ED8" w14:textId="77777777" w:rsidR="002A74E1" w:rsidRPr="005E67B1" w:rsidRDefault="002A74E1" w:rsidP="002A74E1">
            <w:pPr>
              <w:pStyle w:val="TableParagraph"/>
              <w:spacing w:before="79"/>
              <w:ind w:left="208"/>
              <w:rPr>
                <w:b/>
                <w:sz w:val="18"/>
              </w:rPr>
            </w:pPr>
            <w:r w:rsidRPr="005E67B1">
              <w:rPr>
                <w:b/>
                <w:sz w:val="18"/>
              </w:rPr>
              <w:t>Patient numbers</w:t>
            </w:r>
          </w:p>
        </w:tc>
      </w:tr>
      <w:tr w:rsidR="00D4162A" w:rsidRPr="005E67B1" w14:paraId="7B590B7E" w14:textId="77777777" w:rsidTr="002A74E1">
        <w:trPr>
          <w:trHeight w:val="352"/>
        </w:trPr>
        <w:tc>
          <w:tcPr>
            <w:tcW w:w="2380" w:type="dxa"/>
          </w:tcPr>
          <w:p w14:paraId="242F2D1A" w14:textId="77777777" w:rsidR="002A74E1" w:rsidRPr="005E67B1" w:rsidRDefault="002A74E1" w:rsidP="002A74E1">
            <w:pPr>
              <w:pStyle w:val="TableParagraph"/>
              <w:rPr>
                <w:sz w:val="18"/>
              </w:rPr>
            </w:pPr>
            <w:bookmarkStart w:id="7" w:name="_Hlk57759870"/>
            <w:r w:rsidRPr="005E67B1">
              <w:rPr>
                <w:sz w:val="18"/>
              </w:rPr>
              <w:t>Chronic pain</w:t>
            </w:r>
          </w:p>
        </w:tc>
        <w:tc>
          <w:tcPr>
            <w:tcW w:w="1721" w:type="dxa"/>
          </w:tcPr>
          <w:p w14:paraId="40E1F43E" w14:textId="77777777" w:rsidR="002A74E1" w:rsidRPr="005E67B1" w:rsidRDefault="002A74E1" w:rsidP="002A74E1">
            <w:pPr>
              <w:pStyle w:val="TableParagraph"/>
              <w:ind w:left="44"/>
              <w:rPr>
                <w:sz w:val="18"/>
              </w:rPr>
            </w:pPr>
            <w:r w:rsidRPr="005E67B1">
              <w:rPr>
                <w:sz w:val="18"/>
              </w:rPr>
              <w:t>16.00%</w:t>
            </w:r>
          </w:p>
        </w:tc>
        <w:tc>
          <w:tcPr>
            <w:tcW w:w="2071" w:type="dxa"/>
          </w:tcPr>
          <w:p w14:paraId="3763D866" w14:textId="77777777" w:rsidR="002A74E1" w:rsidRPr="005E67B1" w:rsidRDefault="002A74E1" w:rsidP="002A74E1">
            <w:pPr>
              <w:pStyle w:val="TableParagraph"/>
              <w:ind w:left="301"/>
              <w:rPr>
                <w:sz w:val="18"/>
              </w:rPr>
            </w:pPr>
            <w:r w:rsidRPr="005E67B1">
              <w:rPr>
                <w:sz w:val="18"/>
              </w:rPr>
              <w:t>5%</w:t>
            </w:r>
          </w:p>
        </w:tc>
        <w:tc>
          <w:tcPr>
            <w:tcW w:w="2184" w:type="dxa"/>
          </w:tcPr>
          <w:p w14:paraId="0C718DC9" w14:textId="77777777" w:rsidR="002A74E1" w:rsidRPr="005E67B1" w:rsidRDefault="002A74E1" w:rsidP="002A74E1">
            <w:pPr>
              <w:pStyle w:val="TableParagraph"/>
              <w:ind w:left="208"/>
              <w:rPr>
                <w:sz w:val="18"/>
              </w:rPr>
            </w:pPr>
            <w:r w:rsidRPr="005E67B1">
              <w:rPr>
                <w:sz w:val="18"/>
              </w:rPr>
              <w:t>109,229</w:t>
            </w:r>
          </w:p>
        </w:tc>
      </w:tr>
      <w:tr w:rsidR="00D4162A" w:rsidRPr="005E67B1" w14:paraId="092D3DBB" w14:textId="77777777" w:rsidTr="002A74E1">
        <w:trPr>
          <w:trHeight w:val="354"/>
        </w:trPr>
        <w:tc>
          <w:tcPr>
            <w:tcW w:w="2380" w:type="dxa"/>
          </w:tcPr>
          <w:p w14:paraId="221AD8D0" w14:textId="77777777" w:rsidR="002A74E1" w:rsidRPr="005E67B1" w:rsidRDefault="002A74E1" w:rsidP="002A74E1">
            <w:pPr>
              <w:pStyle w:val="TableParagraph"/>
              <w:rPr>
                <w:sz w:val="18"/>
              </w:rPr>
            </w:pPr>
            <w:r w:rsidRPr="005E67B1">
              <w:rPr>
                <w:sz w:val="18"/>
              </w:rPr>
              <w:t>Sleep disorders</w:t>
            </w:r>
          </w:p>
        </w:tc>
        <w:tc>
          <w:tcPr>
            <w:tcW w:w="1721" w:type="dxa"/>
          </w:tcPr>
          <w:p w14:paraId="7AFC56BC" w14:textId="77777777" w:rsidR="002A74E1" w:rsidRPr="005E67B1" w:rsidRDefault="002A74E1" w:rsidP="002A74E1">
            <w:pPr>
              <w:pStyle w:val="TableParagraph"/>
              <w:ind w:left="44"/>
              <w:rPr>
                <w:sz w:val="18"/>
              </w:rPr>
            </w:pPr>
            <w:r w:rsidRPr="005E67B1">
              <w:rPr>
                <w:sz w:val="18"/>
              </w:rPr>
              <w:t>22.40%</w:t>
            </w:r>
          </w:p>
        </w:tc>
        <w:tc>
          <w:tcPr>
            <w:tcW w:w="2071" w:type="dxa"/>
          </w:tcPr>
          <w:p w14:paraId="3D986CD3" w14:textId="77777777" w:rsidR="002A74E1" w:rsidRPr="005E67B1" w:rsidRDefault="002A74E1" w:rsidP="002A74E1">
            <w:pPr>
              <w:pStyle w:val="TableParagraph"/>
              <w:ind w:left="301"/>
              <w:rPr>
                <w:sz w:val="18"/>
              </w:rPr>
            </w:pPr>
            <w:r w:rsidRPr="005E67B1">
              <w:rPr>
                <w:sz w:val="18"/>
              </w:rPr>
              <w:t>3%</w:t>
            </w:r>
          </w:p>
        </w:tc>
        <w:tc>
          <w:tcPr>
            <w:tcW w:w="2184" w:type="dxa"/>
          </w:tcPr>
          <w:p w14:paraId="1B939E51" w14:textId="77777777" w:rsidR="002A74E1" w:rsidRPr="005E67B1" w:rsidRDefault="002A74E1" w:rsidP="002A74E1">
            <w:pPr>
              <w:pStyle w:val="TableParagraph"/>
              <w:ind w:left="208"/>
              <w:rPr>
                <w:sz w:val="18"/>
              </w:rPr>
            </w:pPr>
            <w:r w:rsidRPr="005E67B1">
              <w:rPr>
                <w:sz w:val="18"/>
              </w:rPr>
              <w:t>42,058</w:t>
            </w:r>
          </w:p>
        </w:tc>
      </w:tr>
      <w:tr w:rsidR="00D4162A" w:rsidRPr="005E67B1" w14:paraId="3D5DDAD5" w14:textId="77777777" w:rsidTr="002A74E1">
        <w:trPr>
          <w:trHeight w:val="354"/>
        </w:trPr>
        <w:tc>
          <w:tcPr>
            <w:tcW w:w="2380" w:type="dxa"/>
          </w:tcPr>
          <w:p w14:paraId="27A5DA2B" w14:textId="77777777" w:rsidR="002A74E1" w:rsidRPr="005E67B1" w:rsidRDefault="002A74E1" w:rsidP="002A74E1">
            <w:pPr>
              <w:pStyle w:val="TableParagraph"/>
              <w:rPr>
                <w:sz w:val="18"/>
              </w:rPr>
            </w:pPr>
            <w:r w:rsidRPr="005E67B1">
              <w:rPr>
                <w:sz w:val="18"/>
              </w:rPr>
              <w:t>Migraine</w:t>
            </w:r>
          </w:p>
        </w:tc>
        <w:tc>
          <w:tcPr>
            <w:tcW w:w="1721" w:type="dxa"/>
          </w:tcPr>
          <w:p w14:paraId="20AF760B" w14:textId="77777777" w:rsidR="002A74E1" w:rsidRPr="005E67B1" w:rsidRDefault="002A74E1" w:rsidP="002A74E1">
            <w:pPr>
              <w:pStyle w:val="TableParagraph"/>
              <w:ind w:left="44"/>
              <w:rPr>
                <w:sz w:val="18"/>
              </w:rPr>
            </w:pPr>
            <w:r w:rsidRPr="005E67B1">
              <w:rPr>
                <w:sz w:val="18"/>
              </w:rPr>
              <w:t>20.55%</w:t>
            </w:r>
          </w:p>
        </w:tc>
        <w:tc>
          <w:tcPr>
            <w:tcW w:w="2071" w:type="dxa"/>
          </w:tcPr>
          <w:p w14:paraId="06505659" w14:textId="77777777" w:rsidR="002A74E1" w:rsidRPr="005E67B1" w:rsidRDefault="002A74E1" w:rsidP="002A74E1">
            <w:pPr>
              <w:pStyle w:val="TableParagraph"/>
              <w:ind w:left="301"/>
              <w:rPr>
                <w:sz w:val="18"/>
              </w:rPr>
            </w:pPr>
            <w:r w:rsidRPr="005E67B1">
              <w:rPr>
                <w:sz w:val="18"/>
              </w:rPr>
              <w:t>3%</w:t>
            </w:r>
          </w:p>
        </w:tc>
        <w:tc>
          <w:tcPr>
            <w:tcW w:w="2184" w:type="dxa"/>
          </w:tcPr>
          <w:p w14:paraId="530D3959" w14:textId="77777777" w:rsidR="002A74E1" w:rsidRPr="005E67B1" w:rsidRDefault="002A74E1" w:rsidP="002A74E1">
            <w:pPr>
              <w:pStyle w:val="TableParagraph"/>
              <w:ind w:left="208"/>
              <w:rPr>
                <w:sz w:val="18"/>
              </w:rPr>
            </w:pPr>
            <w:r w:rsidRPr="005E67B1">
              <w:rPr>
                <w:sz w:val="18"/>
              </w:rPr>
              <w:t>38,585</w:t>
            </w:r>
          </w:p>
        </w:tc>
      </w:tr>
      <w:tr w:rsidR="00D4162A" w:rsidRPr="005E67B1" w14:paraId="0A5D5DA7" w14:textId="77777777" w:rsidTr="002A74E1">
        <w:trPr>
          <w:trHeight w:val="352"/>
        </w:trPr>
        <w:tc>
          <w:tcPr>
            <w:tcW w:w="2380" w:type="dxa"/>
          </w:tcPr>
          <w:p w14:paraId="54A0EC81" w14:textId="77777777" w:rsidR="002A74E1" w:rsidRPr="005E67B1" w:rsidRDefault="002A74E1" w:rsidP="002A74E1">
            <w:pPr>
              <w:pStyle w:val="TableParagraph"/>
              <w:rPr>
                <w:sz w:val="18"/>
              </w:rPr>
            </w:pPr>
            <w:r w:rsidRPr="005E67B1">
              <w:rPr>
                <w:sz w:val="18"/>
              </w:rPr>
              <w:t>Cancer</w:t>
            </w:r>
          </w:p>
        </w:tc>
        <w:tc>
          <w:tcPr>
            <w:tcW w:w="1721" w:type="dxa"/>
          </w:tcPr>
          <w:p w14:paraId="3C9DE382" w14:textId="77777777" w:rsidR="002A74E1" w:rsidRPr="005E67B1" w:rsidRDefault="002A74E1" w:rsidP="002A74E1">
            <w:pPr>
              <w:pStyle w:val="TableParagraph"/>
              <w:ind w:left="44"/>
              <w:rPr>
                <w:sz w:val="18"/>
              </w:rPr>
            </w:pPr>
            <w:r w:rsidRPr="005E67B1">
              <w:rPr>
                <w:sz w:val="18"/>
              </w:rPr>
              <w:t>4.60%</w:t>
            </w:r>
          </w:p>
        </w:tc>
        <w:tc>
          <w:tcPr>
            <w:tcW w:w="2071" w:type="dxa"/>
          </w:tcPr>
          <w:p w14:paraId="102DD97B" w14:textId="77777777" w:rsidR="002A74E1" w:rsidRPr="005E67B1" w:rsidRDefault="002A74E1" w:rsidP="002A74E1">
            <w:pPr>
              <w:pStyle w:val="TableParagraph"/>
              <w:ind w:left="301"/>
              <w:rPr>
                <w:sz w:val="18"/>
              </w:rPr>
            </w:pPr>
            <w:r w:rsidRPr="005E67B1">
              <w:rPr>
                <w:sz w:val="18"/>
              </w:rPr>
              <w:t>5%</w:t>
            </w:r>
          </w:p>
        </w:tc>
        <w:tc>
          <w:tcPr>
            <w:tcW w:w="2184" w:type="dxa"/>
          </w:tcPr>
          <w:p w14:paraId="49FD02B3" w14:textId="77777777" w:rsidR="002A74E1" w:rsidRPr="005E67B1" w:rsidRDefault="002A74E1" w:rsidP="002A74E1">
            <w:pPr>
              <w:pStyle w:val="TableParagraph"/>
              <w:ind w:left="208"/>
              <w:rPr>
                <w:sz w:val="18"/>
              </w:rPr>
            </w:pPr>
            <w:r w:rsidRPr="005E67B1">
              <w:rPr>
                <w:sz w:val="18"/>
              </w:rPr>
              <w:t>31,403</w:t>
            </w:r>
          </w:p>
        </w:tc>
      </w:tr>
      <w:tr w:rsidR="00D4162A" w:rsidRPr="005E67B1" w14:paraId="0D21130A" w14:textId="77777777" w:rsidTr="002A74E1">
        <w:trPr>
          <w:trHeight w:val="355"/>
        </w:trPr>
        <w:tc>
          <w:tcPr>
            <w:tcW w:w="2380" w:type="dxa"/>
          </w:tcPr>
          <w:p w14:paraId="3ADE943A" w14:textId="77777777" w:rsidR="002A74E1" w:rsidRPr="005E67B1" w:rsidRDefault="002A74E1" w:rsidP="002A74E1">
            <w:pPr>
              <w:pStyle w:val="TableParagraph"/>
              <w:rPr>
                <w:sz w:val="12"/>
              </w:rPr>
            </w:pPr>
            <w:r w:rsidRPr="005E67B1">
              <w:rPr>
                <w:sz w:val="18"/>
              </w:rPr>
              <w:t xml:space="preserve">Anxiety (incl. </w:t>
            </w:r>
            <w:proofErr w:type="gramStart"/>
            <w:r w:rsidRPr="005E67B1">
              <w:rPr>
                <w:sz w:val="18"/>
              </w:rPr>
              <w:t>PTSD)</w:t>
            </w:r>
            <w:r w:rsidRPr="005E67B1">
              <w:rPr>
                <w:position w:val="6"/>
                <w:sz w:val="12"/>
              </w:rPr>
              <w:t>a</w:t>
            </w:r>
            <w:proofErr w:type="gramEnd"/>
          </w:p>
        </w:tc>
        <w:tc>
          <w:tcPr>
            <w:tcW w:w="1721" w:type="dxa"/>
          </w:tcPr>
          <w:p w14:paraId="07E956A1" w14:textId="77777777" w:rsidR="002A74E1" w:rsidRPr="005E67B1" w:rsidRDefault="002A74E1" w:rsidP="002A74E1">
            <w:pPr>
              <w:pStyle w:val="TableParagraph"/>
              <w:ind w:left="44"/>
              <w:rPr>
                <w:sz w:val="18"/>
              </w:rPr>
            </w:pPr>
            <w:r w:rsidRPr="005E67B1">
              <w:rPr>
                <w:sz w:val="18"/>
              </w:rPr>
              <w:t>6.57%</w:t>
            </w:r>
          </w:p>
        </w:tc>
        <w:tc>
          <w:tcPr>
            <w:tcW w:w="2071" w:type="dxa"/>
          </w:tcPr>
          <w:p w14:paraId="1DAD2500" w14:textId="77777777" w:rsidR="002A74E1" w:rsidRPr="005E67B1" w:rsidRDefault="002A74E1" w:rsidP="002A74E1">
            <w:pPr>
              <w:pStyle w:val="TableParagraph"/>
              <w:ind w:left="301"/>
              <w:rPr>
                <w:sz w:val="18"/>
              </w:rPr>
            </w:pPr>
            <w:r w:rsidRPr="005E67B1">
              <w:rPr>
                <w:sz w:val="18"/>
              </w:rPr>
              <w:t>3%</w:t>
            </w:r>
          </w:p>
        </w:tc>
        <w:tc>
          <w:tcPr>
            <w:tcW w:w="2184" w:type="dxa"/>
          </w:tcPr>
          <w:p w14:paraId="1671218E" w14:textId="77777777" w:rsidR="002A74E1" w:rsidRPr="005E67B1" w:rsidRDefault="002A74E1" w:rsidP="002A74E1">
            <w:pPr>
              <w:pStyle w:val="TableParagraph"/>
              <w:ind w:left="208"/>
              <w:rPr>
                <w:sz w:val="18"/>
              </w:rPr>
            </w:pPr>
            <w:r w:rsidRPr="005E67B1">
              <w:rPr>
                <w:sz w:val="18"/>
              </w:rPr>
              <w:t>12,336</w:t>
            </w:r>
          </w:p>
        </w:tc>
      </w:tr>
      <w:tr w:rsidR="00D4162A" w:rsidRPr="005E67B1" w14:paraId="35BB7223" w14:textId="77777777" w:rsidTr="002A74E1">
        <w:trPr>
          <w:trHeight w:val="354"/>
        </w:trPr>
        <w:tc>
          <w:tcPr>
            <w:tcW w:w="2380" w:type="dxa"/>
          </w:tcPr>
          <w:p w14:paraId="48E420ED" w14:textId="77777777" w:rsidR="002A74E1" w:rsidRPr="005E67B1" w:rsidRDefault="002A74E1" w:rsidP="002A74E1">
            <w:pPr>
              <w:pStyle w:val="TableParagraph"/>
              <w:rPr>
                <w:sz w:val="18"/>
              </w:rPr>
            </w:pPr>
            <w:r w:rsidRPr="005E67B1">
              <w:rPr>
                <w:sz w:val="18"/>
              </w:rPr>
              <w:t>Alzheimer’s Disease</w:t>
            </w:r>
          </w:p>
        </w:tc>
        <w:tc>
          <w:tcPr>
            <w:tcW w:w="1721" w:type="dxa"/>
          </w:tcPr>
          <w:p w14:paraId="72D00A13" w14:textId="77777777" w:rsidR="002A74E1" w:rsidRPr="005E67B1" w:rsidRDefault="002A74E1" w:rsidP="002A74E1">
            <w:pPr>
              <w:pStyle w:val="TableParagraph"/>
              <w:ind w:left="44"/>
              <w:rPr>
                <w:sz w:val="18"/>
              </w:rPr>
            </w:pPr>
            <w:r w:rsidRPr="005E67B1">
              <w:rPr>
                <w:sz w:val="18"/>
              </w:rPr>
              <w:t>1.10%</w:t>
            </w:r>
          </w:p>
        </w:tc>
        <w:tc>
          <w:tcPr>
            <w:tcW w:w="2071" w:type="dxa"/>
          </w:tcPr>
          <w:p w14:paraId="321F5CE9" w14:textId="77777777" w:rsidR="002A74E1" w:rsidRPr="005E67B1" w:rsidRDefault="002A74E1" w:rsidP="002A74E1">
            <w:pPr>
              <w:pStyle w:val="TableParagraph"/>
              <w:ind w:left="301"/>
              <w:rPr>
                <w:sz w:val="18"/>
              </w:rPr>
            </w:pPr>
            <w:r w:rsidRPr="005E67B1">
              <w:rPr>
                <w:sz w:val="18"/>
              </w:rPr>
              <w:t>3%</w:t>
            </w:r>
          </w:p>
        </w:tc>
        <w:tc>
          <w:tcPr>
            <w:tcW w:w="2184" w:type="dxa"/>
          </w:tcPr>
          <w:p w14:paraId="783C2098" w14:textId="77777777" w:rsidR="002A74E1" w:rsidRPr="005E67B1" w:rsidRDefault="002A74E1" w:rsidP="002A74E1">
            <w:pPr>
              <w:pStyle w:val="TableParagraph"/>
              <w:ind w:left="208"/>
              <w:rPr>
                <w:sz w:val="18"/>
              </w:rPr>
            </w:pPr>
            <w:r w:rsidRPr="005E67B1">
              <w:rPr>
                <w:sz w:val="18"/>
              </w:rPr>
              <w:t>2,065</w:t>
            </w:r>
          </w:p>
        </w:tc>
      </w:tr>
      <w:tr w:rsidR="00D4162A" w:rsidRPr="005E67B1" w14:paraId="4E23E621" w14:textId="77777777" w:rsidTr="002A74E1">
        <w:trPr>
          <w:trHeight w:val="352"/>
        </w:trPr>
        <w:tc>
          <w:tcPr>
            <w:tcW w:w="2380" w:type="dxa"/>
          </w:tcPr>
          <w:p w14:paraId="7316798F" w14:textId="77777777" w:rsidR="002A74E1" w:rsidRPr="005E67B1" w:rsidRDefault="002A74E1" w:rsidP="002A74E1">
            <w:pPr>
              <w:pStyle w:val="TableParagraph"/>
              <w:rPr>
                <w:sz w:val="18"/>
              </w:rPr>
            </w:pPr>
            <w:r w:rsidRPr="005E67B1">
              <w:rPr>
                <w:sz w:val="18"/>
              </w:rPr>
              <w:t>Epilepsy</w:t>
            </w:r>
          </w:p>
        </w:tc>
        <w:tc>
          <w:tcPr>
            <w:tcW w:w="1721" w:type="dxa"/>
          </w:tcPr>
          <w:p w14:paraId="404262C7" w14:textId="77777777" w:rsidR="002A74E1" w:rsidRPr="005E67B1" w:rsidRDefault="002A74E1" w:rsidP="002A74E1">
            <w:pPr>
              <w:pStyle w:val="TableParagraph"/>
              <w:ind w:left="44"/>
              <w:rPr>
                <w:sz w:val="18"/>
              </w:rPr>
            </w:pPr>
            <w:r w:rsidRPr="005E67B1">
              <w:rPr>
                <w:sz w:val="18"/>
              </w:rPr>
              <w:t>0.28%</w:t>
            </w:r>
          </w:p>
        </w:tc>
        <w:tc>
          <w:tcPr>
            <w:tcW w:w="2071" w:type="dxa"/>
          </w:tcPr>
          <w:p w14:paraId="4DD441A3" w14:textId="77777777" w:rsidR="002A74E1" w:rsidRPr="005E67B1" w:rsidRDefault="002A74E1" w:rsidP="002A74E1">
            <w:pPr>
              <w:pStyle w:val="TableParagraph"/>
              <w:ind w:left="301"/>
              <w:rPr>
                <w:sz w:val="18"/>
              </w:rPr>
            </w:pPr>
            <w:r w:rsidRPr="005E67B1">
              <w:rPr>
                <w:sz w:val="18"/>
              </w:rPr>
              <w:t>4%</w:t>
            </w:r>
          </w:p>
        </w:tc>
        <w:tc>
          <w:tcPr>
            <w:tcW w:w="2184" w:type="dxa"/>
          </w:tcPr>
          <w:p w14:paraId="62E6DFC8" w14:textId="77777777" w:rsidR="002A74E1" w:rsidRPr="005E67B1" w:rsidRDefault="002A74E1" w:rsidP="002A74E1">
            <w:pPr>
              <w:pStyle w:val="TableParagraph"/>
              <w:ind w:left="208"/>
              <w:rPr>
                <w:sz w:val="18"/>
              </w:rPr>
            </w:pPr>
            <w:r w:rsidRPr="005E67B1">
              <w:rPr>
                <w:sz w:val="18"/>
              </w:rPr>
              <w:t>1,529</w:t>
            </w:r>
          </w:p>
        </w:tc>
      </w:tr>
      <w:tr w:rsidR="00D4162A" w:rsidRPr="005E67B1" w14:paraId="2951E4CF" w14:textId="77777777" w:rsidTr="002A74E1">
        <w:trPr>
          <w:trHeight w:val="354"/>
        </w:trPr>
        <w:tc>
          <w:tcPr>
            <w:tcW w:w="2380" w:type="dxa"/>
          </w:tcPr>
          <w:p w14:paraId="52405E19" w14:textId="77777777" w:rsidR="002A74E1" w:rsidRPr="005E67B1" w:rsidRDefault="002A74E1" w:rsidP="002A74E1">
            <w:pPr>
              <w:pStyle w:val="TableParagraph"/>
              <w:rPr>
                <w:sz w:val="18"/>
              </w:rPr>
            </w:pPr>
            <w:r w:rsidRPr="005E67B1">
              <w:rPr>
                <w:sz w:val="18"/>
              </w:rPr>
              <w:t>Multiple sclerosis</w:t>
            </w:r>
          </w:p>
        </w:tc>
        <w:tc>
          <w:tcPr>
            <w:tcW w:w="1721" w:type="dxa"/>
          </w:tcPr>
          <w:p w14:paraId="0A66C452" w14:textId="77777777" w:rsidR="002A74E1" w:rsidRPr="005E67B1" w:rsidRDefault="002A74E1" w:rsidP="002A74E1">
            <w:pPr>
              <w:pStyle w:val="TableParagraph"/>
              <w:ind w:left="44"/>
              <w:rPr>
                <w:sz w:val="18"/>
              </w:rPr>
            </w:pPr>
            <w:r w:rsidRPr="005E67B1">
              <w:rPr>
                <w:sz w:val="18"/>
              </w:rPr>
              <w:t>0.07%</w:t>
            </w:r>
          </w:p>
        </w:tc>
        <w:tc>
          <w:tcPr>
            <w:tcW w:w="2071" w:type="dxa"/>
          </w:tcPr>
          <w:p w14:paraId="23862C19" w14:textId="77777777" w:rsidR="002A74E1" w:rsidRPr="005E67B1" w:rsidRDefault="002A74E1" w:rsidP="002A74E1">
            <w:pPr>
              <w:pStyle w:val="TableParagraph"/>
              <w:ind w:left="301"/>
              <w:rPr>
                <w:sz w:val="18"/>
              </w:rPr>
            </w:pPr>
            <w:r w:rsidRPr="005E67B1">
              <w:rPr>
                <w:sz w:val="18"/>
              </w:rPr>
              <w:t>15%</w:t>
            </w:r>
          </w:p>
        </w:tc>
        <w:tc>
          <w:tcPr>
            <w:tcW w:w="2184" w:type="dxa"/>
          </w:tcPr>
          <w:p w14:paraId="6D56784C" w14:textId="77777777" w:rsidR="002A74E1" w:rsidRPr="005E67B1" w:rsidRDefault="002A74E1" w:rsidP="002A74E1">
            <w:pPr>
              <w:pStyle w:val="TableParagraph"/>
              <w:ind w:left="208"/>
              <w:rPr>
                <w:sz w:val="18"/>
              </w:rPr>
            </w:pPr>
            <w:r w:rsidRPr="005E67B1">
              <w:rPr>
                <w:sz w:val="18"/>
              </w:rPr>
              <w:t>1,434</w:t>
            </w:r>
          </w:p>
        </w:tc>
      </w:tr>
      <w:tr w:rsidR="00D4162A" w:rsidRPr="005E67B1" w14:paraId="77EF7828" w14:textId="77777777" w:rsidTr="002A74E1">
        <w:trPr>
          <w:trHeight w:val="354"/>
        </w:trPr>
        <w:tc>
          <w:tcPr>
            <w:tcW w:w="2380" w:type="dxa"/>
          </w:tcPr>
          <w:p w14:paraId="45C3B3F0" w14:textId="77777777" w:rsidR="002A74E1" w:rsidRPr="005E67B1" w:rsidRDefault="002A74E1" w:rsidP="002A74E1">
            <w:pPr>
              <w:pStyle w:val="TableParagraph"/>
              <w:rPr>
                <w:sz w:val="18"/>
              </w:rPr>
            </w:pPr>
            <w:r w:rsidRPr="005E67B1">
              <w:rPr>
                <w:sz w:val="18"/>
              </w:rPr>
              <w:t>Tourette’s Syndrome</w:t>
            </w:r>
          </w:p>
        </w:tc>
        <w:tc>
          <w:tcPr>
            <w:tcW w:w="1721" w:type="dxa"/>
          </w:tcPr>
          <w:p w14:paraId="7FDAD6C0" w14:textId="77777777" w:rsidR="002A74E1" w:rsidRPr="005E67B1" w:rsidRDefault="002A74E1" w:rsidP="002A74E1">
            <w:pPr>
              <w:pStyle w:val="TableParagraph"/>
              <w:ind w:left="44"/>
              <w:rPr>
                <w:sz w:val="18"/>
              </w:rPr>
            </w:pPr>
            <w:r w:rsidRPr="005E67B1">
              <w:rPr>
                <w:sz w:val="18"/>
              </w:rPr>
              <w:t>0.5%</w:t>
            </w:r>
          </w:p>
        </w:tc>
        <w:tc>
          <w:tcPr>
            <w:tcW w:w="2071" w:type="dxa"/>
          </w:tcPr>
          <w:p w14:paraId="096D786B" w14:textId="77777777" w:rsidR="002A74E1" w:rsidRPr="005E67B1" w:rsidRDefault="002A74E1" w:rsidP="002A74E1">
            <w:pPr>
              <w:pStyle w:val="TableParagraph"/>
              <w:ind w:left="301"/>
              <w:rPr>
                <w:sz w:val="18"/>
              </w:rPr>
            </w:pPr>
            <w:r w:rsidRPr="005E67B1">
              <w:rPr>
                <w:sz w:val="18"/>
              </w:rPr>
              <w:t>3%</w:t>
            </w:r>
          </w:p>
        </w:tc>
        <w:tc>
          <w:tcPr>
            <w:tcW w:w="2184" w:type="dxa"/>
          </w:tcPr>
          <w:p w14:paraId="47B14D4E" w14:textId="77777777" w:rsidR="002A74E1" w:rsidRPr="005E67B1" w:rsidRDefault="002A74E1" w:rsidP="002A74E1">
            <w:pPr>
              <w:pStyle w:val="TableParagraph"/>
              <w:ind w:left="208"/>
              <w:rPr>
                <w:sz w:val="18"/>
              </w:rPr>
            </w:pPr>
            <w:r w:rsidRPr="005E67B1">
              <w:rPr>
                <w:sz w:val="18"/>
              </w:rPr>
              <w:t>939</w:t>
            </w:r>
          </w:p>
        </w:tc>
      </w:tr>
      <w:tr w:rsidR="00D4162A" w:rsidRPr="005E67B1" w14:paraId="5097569F" w14:textId="77777777" w:rsidTr="002A74E1">
        <w:trPr>
          <w:trHeight w:val="352"/>
        </w:trPr>
        <w:tc>
          <w:tcPr>
            <w:tcW w:w="2380" w:type="dxa"/>
          </w:tcPr>
          <w:p w14:paraId="38E19A08" w14:textId="77777777" w:rsidR="002A74E1" w:rsidRPr="005E67B1" w:rsidRDefault="002A74E1" w:rsidP="002A74E1">
            <w:pPr>
              <w:pStyle w:val="TableParagraph"/>
              <w:rPr>
                <w:sz w:val="18"/>
              </w:rPr>
            </w:pPr>
            <w:r w:rsidRPr="005E67B1">
              <w:rPr>
                <w:sz w:val="18"/>
              </w:rPr>
              <w:t>HIV/AIDS</w:t>
            </w:r>
          </w:p>
        </w:tc>
        <w:tc>
          <w:tcPr>
            <w:tcW w:w="1721" w:type="dxa"/>
          </w:tcPr>
          <w:p w14:paraId="41DEF65B" w14:textId="77777777" w:rsidR="002A74E1" w:rsidRPr="005E67B1" w:rsidRDefault="002A74E1" w:rsidP="002A74E1">
            <w:pPr>
              <w:pStyle w:val="TableParagraph"/>
              <w:ind w:left="44"/>
              <w:rPr>
                <w:sz w:val="18"/>
              </w:rPr>
            </w:pPr>
            <w:r w:rsidRPr="005E67B1">
              <w:rPr>
                <w:sz w:val="18"/>
              </w:rPr>
              <w:t>0.07%</w:t>
            </w:r>
          </w:p>
        </w:tc>
        <w:tc>
          <w:tcPr>
            <w:tcW w:w="2071" w:type="dxa"/>
          </w:tcPr>
          <w:p w14:paraId="219DC58C" w14:textId="77777777" w:rsidR="002A74E1" w:rsidRPr="005E67B1" w:rsidRDefault="002A74E1" w:rsidP="002A74E1">
            <w:pPr>
              <w:pStyle w:val="TableParagraph"/>
              <w:ind w:left="301"/>
              <w:rPr>
                <w:sz w:val="18"/>
              </w:rPr>
            </w:pPr>
            <w:r w:rsidRPr="005E67B1">
              <w:rPr>
                <w:sz w:val="18"/>
              </w:rPr>
              <w:t>10%</w:t>
            </w:r>
          </w:p>
        </w:tc>
        <w:tc>
          <w:tcPr>
            <w:tcW w:w="2184" w:type="dxa"/>
          </w:tcPr>
          <w:p w14:paraId="3CB04016" w14:textId="77777777" w:rsidR="002A74E1" w:rsidRPr="005E67B1" w:rsidRDefault="002A74E1" w:rsidP="002A74E1">
            <w:pPr>
              <w:pStyle w:val="TableParagraph"/>
              <w:ind w:left="208"/>
              <w:rPr>
                <w:sz w:val="18"/>
              </w:rPr>
            </w:pPr>
            <w:r w:rsidRPr="005E67B1">
              <w:rPr>
                <w:sz w:val="18"/>
              </w:rPr>
              <w:t>956</w:t>
            </w:r>
          </w:p>
        </w:tc>
      </w:tr>
      <w:tr w:rsidR="00D4162A" w:rsidRPr="005E67B1" w14:paraId="0AFC9931" w14:textId="77777777" w:rsidTr="002A74E1">
        <w:trPr>
          <w:trHeight w:val="354"/>
        </w:trPr>
        <w:tc>
          <w:tcPr>
            <w:tcW w:w="2380" w:type="dxa"/>
          </w:tcPr>
          <w:p w14:paraId="58E2E84D" w14:textId="77777777" w:rsidR="002A74E1" w:rsidRPr="005E67B1" w:rsidRDefault="002A74E1" w:rsidP="002A74E1">
            <w:pPr>
              <w:pStyle w:val="TableParagraph"/>
              <w:rPr>
                <w:sz w:val="18"/>
              </w:rPr>
            </w:pPr>
            <w:r w:rsidRPr="005E67B1">
              <w:rPr>
                <w:sz w:val="18"/>
              </w:rPr>
              <w:t>Gastrointestinal disorders</w:t>
            </w:r>
          </w:p>
        </w:tc>
        <w:tc>
          <w:tcPr>
            <w:tcW w:w="1721" w:type="dxa"/>
          </w:tcPr>
          <w:p w14:paraId="13F6CA4F" w14:textId="77777777" w:rsidR="002A74E1" w:rsidRPr="005E67B1" w:rsidRDefault="002A74E1" w:rsidP="002A74E1">
            <w:pPr>
              <w:pStyle w:val="TableParagraph"/>
              <w:ind w:left="44"/>
              <w:rPr>
                <w:sz w:val="18"/>
              </w:rPr>
            </w:pPr>
            <w:r w:rsidRPr="005E67B1">
              <w:rPr>
                <w:sz w:val="18"/>
              </w:rPr>
              <w:t>0.40%</w:t>
            </w:r>
          </w:p>
        </w:tc>
        <w:tc>
          <w:tcPr>
            <w:tcW w:w="2071" w:type="dxa"/>
          </w:tcPr>
          <w:p w14:paraId="7DBC0798" w14:textId="77777777" w:rsidR="002A74E1" w:rsidRPr="005E67B1" w:rsidRDefault="002A74E1" w:rsidP="002A74E1">
            <w:pPr>
              <w:pStyle w:val="TableParagraph"/>
              <w:ind w:left="301"/>
              <w:rPr>
                <w:sz w:val="18"/>
              </w:rPr>
            </w:pPr>
            <w:r w:rsidRPr="005E67B1">
              <w:rPr>
                <w:sz w:val="18"/>
              </w:rPr>
              <w:t>3%</w:t>
            </w:r>
          </w:p>
        </w:tc>
        <w:tc>
          <w:tcPr>
            <w:tcW w:w="2184" w:type="dxa"/>
          </w:tcPr>
          <w:p w14:paraId="317C5CB0" w14:textId="77777777" w:rsidR="002A74E1" w:rsidRPr="005E67B1" w:rsidRDefault="002A74E1" w:rsidP="002A74E1">
            <w:pPr>
              <w:pStyle w:val="TableParagraph"/>
              <w:ind w:left="208"/>
              <w:rPr>
                <w:sz w:val="18"/>
              </w:rPr>
            </w:pPr>
            <w:r w:rsidRPr="005E67B1">
              <w:rPr>
                <w:sz w:val="18"/>
              </w:rPr>
              <w:t>751</w:t>
            </w:r>
          </w:p>
        </w:tc>
      </w:tr>
      <w:tr w:rsidR="00D4162A" w:rsidRPr="005E67B1" w14:paraId="4425A9F4" w14:textId="77777777" w:rsidTr="002A74E1">
        <w:trPr>
          <w:trHeight w:val="354"/>
        </w:trPr>
        <w:tc>
          <w:tcPr>
            <w:tcW w:w="2380" w:type="dxa"/>
          </w:tcPr>
          <w:p w14:paraId="178DAAB2" w14:textId="77777777" w:rsidR="002A74E1" w:rsidRPr="005E67B1" w:rsidRDefault="002A74E1" w:rsidP="002A74E1">
            <w:pPr>
              <w:pStyle w:val="TableParagraph"/>
              <w:rPr>
                <w:sz w:val="18"/>
              </w:rPr>
            </w:pPr>
            <w:r w:rsidRPr="005E67B1">
              <w:rPr>
                <w:sz w:val="18"/>
              </w:rPr>
              <w:t>Parkinson’s Disease</w:t>
            </w:r>
          </w:p>
        </w:tc>
        <w:tc>
          <w:tcPr>
            <w:tcW w:w="1721" w:type="dxa"/>
          </w:tcPr>
          <w:p w14:paraId="30DA237D" w14:textId="77777777" w:rsidR="002A74E1" w:rsidRPr="005E67B1" w:rsidRDefault="002A74E1" w:rsidP="002A74E1">
            <w:pPr>
              <w:pStyle w:val="TableParagraph"/>
              <w:ind w:left="44"/>
              <w:rPr>
                <w:sz w:val="18"/>
              </w:rPr>
            </w:pPr>
            <w:r w:rsidRPr="005E67B1">
              <w:rPr>
                <w:sz w:val="18"/>
              </w:rPr>
              <w:t>0.21%</w:t>
            </w:r>
          </w:p>
        </w:tc>
        <w:tc>
          <w:tcPr>
            <w:tcW w:w="2071" w:type="dxa"/>
          </w:tcPr>
          <w:p w14:paraId="3B904E6C" w14:textId="77777777" w:rsidR="002A74E1" w:rsidRPr="005E67B1" w:rsidRDefault="002A74E1" w:rsidP="002A74E1">
            <w:pPr>
              <w:pStyle w:val="TableParagraph"/>
              <w:ind w:left="301"/>
              <w:rPr>
                <w:sz w:val="18"/>
              </w:rPr>
            </w:pPr>
            <w:r w:rsidRPr="005E67B1">
              <w:rPr>
                <w:sz w:val="18"/>
              </w:rPr>
              <w:t>3%</w:t>
            </w:r>
          </w:p>
        </w:tc>
        <w:tc>
          <w:tcPr>
            <w:tcW w:w="2184" w:type="dxa"/>
          </w:tcPr>
          <w:p w14:paraId="2A1D612C" w14:textId="77777777" w:rsidR="002A74E1" w:rsidRPr="005E67B1" w:rsidRDefault="002A74E1" w:rsidP="002A74E1">
            <w:pPr>
              <w:pStyle w:val="TableParagraph"/>
              <w:ind w:left="208"/>
              <w:rPr>
                <w:sz w:val="18"/>
              </w:rPr>
            </w:pPr>
            <w:r w:rsidRPr="005E67B1">
              <w:rPr>
                <w:sz w:val="18"/>
              </w:rPr>
              <w:t>394</w:t>
            </w:r>
          </w:p>
        </w:tc>
      </w:tr>
      <w:tr w:rsidR="00D4162A" w:rsidRPr="005E67B1" w14:paraId="2514C56E" w14:textId="77777777" w:rsidTr="002A74E1">
        <w:trPr>
          <w:trHeight w:val="352"/>
        </w:trPr>
        <w:tc>
          <w:tcPr>
            <w:tcW w:w="2380" w:type="dxa"/>
          </w:tcPr>
          <w:p w14:paraId="73F5CEBA" w14:textId="77777777" w:rsidR="002A74E1" w:rsidRPr="005E67B1" w:rsidRDefault="002A74E1" w:rsidP="002A74E1">
            <w:pPr>
              <w:pStyle w:val="TableParagraph"/>
              <w:rPr>
                <w:sz w:val="18"/>
              </w:rPr>
            </w:pPr>
            <w:r w:rsidRPr="005E67B1">
              <w:rPr>
                <w:sz w:val="18"/>
              </w:rPr>
              <w:t>Eating disorders</w:t>
            </w:r>
          </w:p>
        </w:tc>
        <w:tc>
          <w:tcPr>
            <w:tcW w:w="1721" w:type="dxa"/>
          </w:tcPr>
          <w:p w14:paraId="3808B4A6" w14:textId="77777777" w:rsidR="002A74E1" w:rsidRPr="005E67B1" w:rsidRDefault="002A74E1" w:rsidP="002A74E1">
            <w:pPr>
              <w:pStyle w:val="TableParagraph"/>
              <w:ind w:left="44"/>
              <w:rPr>
                <w:sz w:val="18"/>
              </w:rPr>
            </w:pPr>
            <w:r w:rsidRPr="005E67B1">
              <w:rPr>
                <w:sz w:val="18"/>
              </w:rPr>
              <w:t>0.11%</w:t>
            </w:r>
          </w:p>
        </w:tc>
        <w:tc>
          <w:tcPr>
            <w:tcW w:w="2071" w:type="dxa"/>
          </w:tcPr>
          <w:p w14:paraId="4107208B" w14:textId="77777777" w:rsidR="002A74E1" w:rsidRPr="005E67B1" w:rsidRDefault="002A74E1" w:rsidP="002A74E1">
            <w:pPr>
              <w:pStyle w:val="TableParagraph"/>
              <w:ind w:left="301"/>
              <w:rPr>
                <w:sz w:val="18"/>
              </w:rPr>
            </w:pPr>
            <w:r w:rsidRPr="005E67B1">
              <w:rPr>
                <w:sz w:val="18"/>
              </w:rPr>
              <w:t>3%</w:t>
            </w:r>
          </w:p>
        </w:tc>
        <w:tc>
          <w:tcPr>
            <w:tcW w:w="2184" w:type="dxa"/>
          </w:tcPr>
          <w:p w14:paraId="49783EF9" w14:textId="77777777" w:rsidR="002A74E1" w:rsidRPr="005E67B1" w:rsidRDefault="002A74E1" w:rsidP="002A74E1">
            <w:pPr>
              <w:pStyle w:val="TableParagraph"/>
              <w:ind w:left="208"/>
              <w:rPr>
                <w:sz w:val="18"/>
              </w:rPr>
            </w:pPr>
            <w:r w:rsidRPr="005E67B1">
              <w:rPr>
                <w:sz w:val="18"/>
              </w:rPr>
              <w:t>207</w:t>
            </w:r>
          </w:p>
        </w:tc>
      </w:tr>
      <w:bookmarkEnd w:id="6"/>
      <w:bookmarkEnd w:id="7"/>
    </w:tbl>
    <w:p w14:paraId="188C6531" w14:textId="77777777" w:rsidR="00793562" w:rsidRPr="005E67B1" w:rsidRDefault="00793562" w:rsidP="00793562">
      <w:pPr>
        <w:pStyle w:val="BodyText"/>
        <w:spacing w:before="10"/>
        <w:rPr>
          <w:sz w:val="19"/>
        </w:rPr>
      </w:pPr>
    </w:p>
    <w:p w14:paraId="1580B28A" w14:textId="77777777" w:rsidR="00793562" w:rsidRPr="005E67B1" w:rsidRDefault="00793562" w:rsidP="00793562">
      <w:pPr>
        <w:spacing w:before="105" w:line="297" w:lineRule="auto"/>
        <w:ind w:left="1240" w:right="2396"/>
        <w:jc w:val="both"/>
        <w:rPr>
          <w:sz w:val="16"/>
        </w:rPr>
      </w:pPr>
      <w:r w:rsidRPr="005E67B1">
        <w:rPr>
          <w:sz w:val="16"/>
        </w:rPr>
        <w:t>Notes: (a) Post Traumatic Stress Disorder (PTSD) (b) Due to limited available evidence, the cohort adoption rate is based on assumptions adopted in the 2017 forecasts for the industry development plan, and for those indications not included, a conservative estimate of 3 per cent was adopted.</w:t>
      </w:r>
    </w:p>
    <w:p w14:paraId="1D45BB2D" w14:textId="12C280A2" w:rsidR="00793562" w:rsidRPr="005E67B1" w:rsidRDefault="00793562" w:rsidP="00210816">
      <w:pPr>
        <w:spacing w:line="191" w:lineRule="exact"/>
        <w:ind w:left="1240"/>
        <w:jc w:val="both"/>
        <w:rPr>
          <w:sz w:val="16"/>
        </w:rPr>
        <w:sectPr w:rsidR="00793562" w:rsidRPr="005E67B1">
          <w:pgSz w:w="11910" w:h="16840"/>
          <w:pgMar w:top="840" w:right="82" w:bottom="860" w:left="200" w:header="650" w:footer="679" w:gutter="0"/>
          <w:cols w:space="720"/>
        </w:sectPr>
      </w:pPr>
      <w:r w:rsidRPr="005E67B1">
        <w:rPr>
          <w:sz w:val="16"/>
        </w:rPr>
        <w:t>Source: Deloitte Access Economics analysis</w:t>
      </w:r>
      <w:r w:rsidR="00210816">
        <w:rPr>
          <w:sz w:val="16"/>
        </w:rPr>
        <w:t>.</w:t>
      </w:r>
    </w:p>
    <w:p w14:paraId="67C3DEBD" w14:textId="77777777" w:rsidR="00793562" w:rsidRPr="005E67B1" w:rsidRDefault="00793562" w:rsidP="00793562">
      <w:pPr>
        <w:pStyle w:val="BodyText"/>
        <w:spacing w:before="2"/>
        <w:rPr>
          <w:sz w:val="22"/>
        </w:rPr>
      </w:pPr>
    </w:p>
    <w:p w14:paraId="6044EF0C" w14:textId="77777777" w:rsidR="00793562" w:rsidRPr="005E67B1" w:rsidRDefault="00793562" w:rsidP="00793562">
      <w:pPr>
        <w:pStyle w:val="BodyText"/>
        <w:spacing w:line="264" w:lineRule="auto"/>
        <w:ind w:left="1240" w:right="2241"/>
      </w:pPr>
      <w:r w:rsidRPr="005E67B1">
        <w:t>Notably, this list is not exhaustive and there are other indications that have received TGA approval, however they have not been included due to one or both of the following:</w:t>
      </w:r>
    </w:p>
    <w:p w14:paraId="4F9378E6" w14:textId="77777777" w:rsidR="00793562" w:rsidRPr="005E67B1" w:rsidRDefault="00793562" w:rsidP="00793562">
      <w:pPr>
        <w:pStyle w:val="ListParagraph"/>
        <w:numPr>
          <w:ilvl w:val="1"/>
          <w:numId w:val="21"/>
        </w:numPr>
        <w:tabs>
          <w:tab w:val="left" w:pos="1581"/>
          <w:tab w:val="left" w:pos="1582"/>
        </w:tabs>
        <w:spacing w:before="169" w:line="261" w:lineRule="auto"/>
        <w:ind w:right="2149"/>
        <w:rPr>
          <w:sz w:val="18"/>
        </w:rPr>
      </w:pPr>
      <w:r w:rsidRPr="005E67B1">
        <w:rPr>
          <w:sz w:val="18"/>
        </w:rPr>
        <w:t>The indications are uncommon, meaning that their inclusion would have limited impact on the modelling</w:t>
      </w:r>
      <w:r w:rsidRPr="005E67B1">
        <w:rPr>
          <w:spacing w:val="-3"/>
          <w:sz w:val="18"/>
        </w:rPr>
        <w:t xml:space="preserve"> </w:t>
      </w:r>
      <w:r w:rsidRPr="005E67B1">
        <w:rPr>
          <w:sz w:val="18"/>
        </w:rPr>
        <w:t>results.</w:t>
      </w:r>
    </w:p>
    <w:p w14:paraId="6791EBB7" w14:textId="77777777" w:rsidR="00793562" w:rsidRPr="005E67B1" w:rsidRDefault="00793562" w:rsidP="00793562">
      <w:pPr>
        <w:pStyle w:val="ListParagraph"/>
        <w:numPr>
          <w:ilvl w:val="1"/>
          <w:numId w:val="21"/>
        </w:numPr>
        <w:tabs>
          <w:tab w:val="left" w:pos="1581"/>
          <w:tab w:val="left" w:pos="1582"/>
        </w:tabs>
        <w:spacing w:before="2" w:line="261" w:lineRule="auto"/>
        <w:ind w:right="2343"/>
        <w:rPr>
          <w:sz w:val="18"/>
        </w:rPr>
      </w:pPr>
      <w:r w:rsidRPr="005E67B1">
        <w:rPr>
          <w:sz w:val="18"/>
        </w:rPr>
        <w:t>There has been a low number of SAS-B approvals for the indication, suggesting that the indication is either rare, lacks evidence that medicinal cannabis is a suitable treatment, and/or there is a lack of willingness for medical professionals to prescribe medicinal cannabis for this</w:t>
      </w:r>
      <w:r w:rsidRPr="005E67B1">
        <w:rPr>
          <w:spacing w:val="-7"/>
          <w:sz w:val="18"/>
        </w:rPr>
        <w:t xml:space="preserve"> </w:t>
      </w:r>
      <w:r w:rsidRPr="005E67B1">
        <w:rPr>
          <w:sz w:val="18"/>
        </w:rPr>
        <w:t>indication.</w:t>
      </w:r>
    </w:p>
    <w:p w14:paraId="640CB55A" w14:textId="77777777" w:rsidR="00793562" w:rsidRPr="005E67B1" w:rsidRDefault="00793562" w:rsidP="00793562">
      <w:pPr>
        <w:pStyle w:val="BodyText"/>
        <w:spacing w:before="172" w:line="264" w:lineRule="auto"/>
        <w:ind w:left="1240" w:right="2346"/>
        <w:rPr>
          <w:sz w:val="12"/>
        </w:rPr>
      </w:pPr>
      <w:r w:rsidRPr="005E67B1">
        <w:t>To calculate the prevalence of each indication, prevalence estimates were obtained from the Global Health Data Exchange, which contains estimates of prevalence for multiple indications across numerous jurisdictions.</w:t>
      </w:r>
      <w:r w:rsidRPr="005E67B1">
        <w:rPr>
          <w:position w:val="6"/>
          <w:sz w:val="12"/>
        </w:rPr>
        <w:t>9,10</w:t>
      </w:r>
    </w:p>
    <w:p w14:paraId="569630C9" w14:textId="77777777" w:rsidR="00793562" w:rsidRPr="005E67B1" w:rsidRDefault="00793562" w:rsidP="00793562">
      <w:pPr>
        <w:pStyle w:val="BodyText"/>
        <w:spacing w:before="169" w:line="264" w:lineRule="auto"/>
        <w:ind w:left="1240" w:right="2356"/>
      </w:pPr>
      <w:r w:rsidRPr="005E67B1">
        <w:t>Adoption rates were then applied to each of these indications. This factored in the likelihood that patients who receive a SAS-B approval and subsequent prescription for medicinal cannabis may not fill their prescription (assumed to be 20 per cent of patients who receive a prescription).</w:t>
      </w:r>
    </w:p>
    <w:p w14:paraId="5ADA68DB" w14:textId="77777777" w:rsidR="00793562" w:rsidRPr="005E67B1" w:rsidRDefault="00793562" w:rsidP="00793562">
      <w:pPr>
        <w:pStyle w:val="BodyText"/>
        <w:spacing w:before="168" w:line="264" w:lineRule="auto"/>
        <w:ind w:left="1240" w:right="2198"/>
      </w:pPr>
      <w:r w:rsidRPr="005E67B1">
        <w:t>An adoption model was then used to estimate the uptake of medicinal cannabis over time.</w:t>
      </w:r>
      <w:r w:rsidRPr="005E67B1">
        <w:rPr>
          <w:position w:val="6"/>
          <w:sz w:val="12"/>
        </w:rPr>
        <w:t xml:space="preserve">11 </w:t>
      </w:r>
      <w:r w:rsidRPr="005E67B1">
        <w:t xml:space="preserve">The adoption model reflects </w:t>
      </w:r>
      <w:proofErr w:type="gramStart"/>
      <w:r w:rsidRPr="005E67B1">
        <w:t>a number of</w:t>
      </w:r>
      <w:proofErr w:type="gramEnd"/>
      <w:r w:rsidRPr="005E67B1">
        <w:t xml:space="preserve"> factors that could influence the length of time for full adoption of medicinal cannabis by applicable patients. These factors include a patient’s willingness to adopt medicinal cannabis, prescriber willingness to prescribe medicinal cannabis and an evolving understanding of the effectiveness of medicinal cannabis as a treatment for each indication.</w:t>
      </w:r>
    </w:p>
    <w:p w14:paraId="07F59199" w14:textId="77777777" w:rsidR="00793562" w:rsidRPr="00FB461D" w:rsidRDefault="00793562" w:rsidP="00793562">
      <w:pPr>
        <w:pStyle w:val="BodyText"/>
        <w:spacing w:before="5"/>
        <w:rPr>
          <w:b/>
          <w:bCs/>
          <w:sz w:val="20"/>
          <w:szCs w:val="20"/>
        </w:rPr>
      </w:pPr>
    </w:p>
    <w:p w14:paraId="72DF4D9B" w14:textId="77777777" w:rsidR="00793562" w:rsidRPr="00FB461D" w:rsidRDefault="00793562" w:rsidP="00793562">
      <w:pPr>
        <w:pStyle w:val="Heading6"/>
        <w:keepNext w:val="0"/>
        <w:keepLines w:val="0"/>
        <w:numPr>
          <w:ilvl w:val="3"/>
          <w:numId w:val="22"/>
        </w:numPr>
        <w:tabs>
          <w:tab w:val="left" w:pos="2022"/>
          <w:tab w:val="left" w:pos="2023"/>
        </w:tabs>
        <w:spacing w:before="0"/>
        <w:ind w:left="2022" w:hanging="783"/>
        <w:rPr>
          <w:rFonts w:ascii="Verdana" w:hAnsi="Verdana"/>
          <w:b/>
          <w:bCs/>
          <w:color w:val="auto"/>
          <w:sz w:val="20"/>
          <w:szCs w:val="20"/>
        </w:rPr>
      </w:pPr>
      <w:r w:rsidRPr="00FB461D">
        <w:rPr>
          <w:rFonts w:ascii="Verdana" w:hAnsi="Verdana"/>
          <w:b/>
          <w:bCs/>
          <w:color w:val="auto"/>
          <w:sz w:val="20"/>
          <w:szCs w:val="20"/>
        </w:rPr>
        <w:t>Estimated demand in</w:t>
      </w:r>
      <w:r w:rsidRPr="00FB461D">
        <w:rPr>
          <w:rFonts w:ascii="Verdana" w:hAnsi="Verdana"/>
          <w:b/>
          <w:bCs/>
          <w:color w:val="auto"/>
          <w:spacing w:val="-4"/>
          <w:sz w:val="20"/>
          <w:szCs w:val="20"/>
        </w:rPr>
        <w:t xml:space="preserve"> </w:t>
      </w:r>
      <w:r w:rsidRPr="00FB461D">
        <w:rPr>
          <w:rFonts w:ascii="Verdana" w:hAnsi="Verdana"/>
          <w:b/>
          <w:bCs/>
          <w:color w:val="auto"/>
          <w:sz w:val="20"/>
          <w:szCs w:val="20"/>
        </w:rPr>
        <w:t>2028</w:t>
      </w:r>
    </w:p>
    <w:p w14:paraId="7BB127E5" w14:textId="77777777" w:rsidR="00793562" w:rsidRPr="005E67B1" w:rsidRDefault="00793562" w:rsidP="00793562">
      <w:pPr>
        <w:pStyle w:val="BodyText"/>
        <w:spacing w:before="82" w:line="264" w:lineRule="auto"/>
        <w:ind w:left="1240" w:right="2171"/>
      </w:pPr>
      <w:r w:rsidRPr="005E67B1">
        <w:t>Our analysis indicates that patient demand in Australia is likely to comprise approximately 242,000 patients in 2028, across 13 different indications. Patients suffering from chronic pain, sleep disorders, migraine, cancer and anxiety will make up the most significant portion of the nearly 242,000 domestic patients. It is assumed that Victorian medicinal cannabis products will service some, but not all, of this estimated demand. The remaining share is expected to be met by products from other Australian States or through international imports. Chart 4.1 below displays the expected growth in Australian patient numbers through to 2028 for medicinal cannabis.</w:t>
      </w:r>
    </w:p>
    <w:p w14:paraId="56546E4E" w14:textId="77777777" w:rsidR="00793562" w:rsidRPr="005E67B1" w:rsidRDefault="00793562" w:rsidP="00793562">
      <w:pPr>
        <w:pStyle w:val="BodyText"/>
        <w:rPr>
          <w:sz w:val="20"/>
        </w:rPr>
      </w:pPr>
    </w:p>
    <w:p w14:paraId="001898C1" w14:textId="45C63EBF" w:rsidR="00793562" w:rsidRPr="005E67B1" w:rsidRDefault="00793562" w:rsidP="00793562">
      <w:pPr>
        <w:pStyle w:val="BodyText"/>
        <w:spacing w:before="5"/>
        <w:rPr>
          <w:sz w:val="20"/>
        </w:rPr>
      </w:pPr>
      <w:r w:rsidRPr="005E67B1">
        <w:rPr>
          <w:noProof/>
        </w:rPr>
        <mc:AlternateContent>
          <mc:Choice Requires="wps">
            <w:drawing>
              <wp:anchor distT="0" distB="0" distL="0" distR="0" simplePos="0" relativeHeight="251704320" behindDoc="1" locked="0" layoutInCell="1" allowOverlap="1" wp14:anchorId="2F3CFEDA" wp14:editId="420313A4">
                <wp:simplePos x="0" y="0"/>
                <wp:positionH relativeFrom="page">
                  <wp:posOffset>914400</wp:posOffset>
                </wp:positionH>
                <wp:positionV relativeFrom="paragraph">
                  <wp:posOffset>182880</wp:posOffset>
                </wp:positionV>
                <wp:extent cx="1828800" cy="6350"/>
                <wp:effectExtent l="0" t="3810" r="0" b="0"/>
                <wp:wrapTopAndBottom/>
                <wp:docPr id="238" name="Rectangle 2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564A1" id="Rectangle 238" o:spid="_x0000_s1026" style="position:absolute;margin-left:1in;margin-top:14.4pt;width:2in;height:.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" fillcolor="black" stroked="f">
                <w10:wrap type="topAndBottom" anchorx="page"/>
              </v:rect>
            </w:pict>
          </mc:Fallback>
        </mc:AlternateContent>
      </w:r>
    </w:p>
    <w:p w14:paraId="4AA8E59A" w14:textId="77777777" w:rsidR="00793562" w:rsidRPr="005E67B1" w:rsidRDefault="00793562" w:rsidP="00793562">
      <w:pPr>
        <w:pStyle w:val="BodyText"/>
        <w:spacing w:before="4"/>
        <w:rPr>
          <w:sz w:val="15"/>
        </w:rPr>
      </w:pPr>
    </w:p>
    <w:p w14:paraId="4C7D1558" w14:textId="77777777" w:rsidR="00793562" w:rsidRPr="005E67B1" w:rsidRDefault="00793562" w:rsidP="00793562">
      <w:pPr>
        <w:spacing w:before="101"/>
        <w:ind w:left="1240"/>
        <w:rPr>
          <w:sz w:val="16"/>
        </w:rPr>
      </w:pPr>
      <w:r w:rsidRPr="005E67B1">
        <w:rPr>
          <w:sz w:val="16"/>
          <w:vertAlign w:val="superscript"/>
        </w:rPr>
        <w:t>9</w:t>
      </w:r>
      <w:r w:rsidRPr="005E67B1">
        <w:rPr>
          <w:sz w:val="16"/>
        </w:rPr>
        <w:t xml:space="preserve"> Global Health Data Exchange &lt;</w:t>
      </w:r>
      <w:hyperlink r:id="rId16">
        <w:r w:rsidRPr="005E67B1">
          <w:rPr>
            <w:sz w:val="16"/>
          </w:rPr>
          <w:t>http://ghdx.healthdata.org/</w:t>
        </w:r>
      </w:hyperlink>
      <w:r w:rsidRPr="005E67B1">
        <w:rPr>
          <w:sz w:val="16"/>
        </w:rPr>
        <w:t>&gt;.</w:t>
      </w:r>
    </w:p>
    <w:p w14:paraId="75A8B49F" w14:textId="77777777" w:rsidR="00793562" w:rsidRPr="005E67B1" w:rsidRDefault="00793562" w:rsidP="00793562">
      <w:pPr>
        <w:spacing w:before="61"/>
        <w:ind w:left="1240" w:right="2056"/>
        <w:rPr>
          <w:sz w:val="16"/>
        </w:rPr>
      </w:pPr>
      <w:r w:rsidRPr="005E67B1">
        <w:rPr>
          <w:sz w:val="16"/>
          <w:vertAlign w:val="superscript"/>
        </w:rPr>
        <w:t>10</w:t>
      </w:r>
      <w:r w:rsidRPr="005E67B1">
        <w:rPr>
          <w:sz w:val="16"/>
        </w:rPr>
        <w:t xml:space="preserve"> Estimates for chronic sleep conditions, Tourette Syndrome, Inflammatory Bowel Disease and chronic pain were obtained from the following sources:</w:t>
      </w:r>
    </w:p>
    <w:p w14:paraId="642627ED" w14:textId="77777777" w:rsidR="00793562" w:rsidRPr="005E67B1" w:rsidRDefault="00793562" w:rsidP="00793562">
      <w:pPr>
        <w:ind w:left="1240" w:right="2365"/>
        <w:rPr>
          <w:sz w:val="16"/>
        </w:rPr>
      </w:pPr>
      <w:r w:rsidRPr="005E67B1">
        <w:rPr>
          <w:sz w:val="16"/>
        </w:rPr>
        <w:t>Deloitte Access Economics, Asleep on the job: Costs of inadequate sleep in Australia (2017) Report commissioned by Sleep Health Foundation</w:t>
      </w:r>
    </w:p>
    <w:p w14:paraId="26D6AC28" w14:textId="77777777" w:rsidR="00793562" w:rsidRPr="005E67B1" w:rsidRDefault="00793562" w:rsidP="00793562">
      <w:pPr>
        <w:spacing w:line="242" w:lineRule="auto"/>
        <w:ind w:left="1240" w:right="2071"/>
        <w:rPr>
          <w:sz w:val="16"/>
        </w:rPr>
      </w:pPr>
      <w:r w:rsidRPr="005E67B1">
        <w:rPr>
          <w:sz w:val="16"/>
        </w:rPr>
        <w:t>&lt;https:/</w:t>
      </w:r>
      <w:hyperlink r:id="rId17">
        <w:r w:rsidRPr="005E67B1">
          <w:rPr>
            <w:sz w:val="16"/>
          </w:rPr>
          <w:t>/www.sleephealthfoundation.org.au/files/Asleep_on_the_job/Asleep_on_the_Job_SHF_report-</w:t>
        </w:r>
      </w:hyperlink>
      <w:r w:rsidRPr="005E67B1">
        <w:rPr>
          <w:sz w:val="16"/>
        </w:rPr>
        <w:t xml:space="preserve"> WEB_small.pdf&gt;.</w:t>
      </w:r>
    </w:p>
    <w:p w14:paraId="14973414" w14:textId="77777777" w:rsidR="00793562" w:rsidRPr="005E67B1" w:rsidRDefault="00793562" w:rsidP="00793562">
      <w:pPr>
        <w:spacing w:line="193" w:lineRule="exact"/>
        <w:ind w:left="1240"/>
        <w:rPr>
          <w:sz w:val="16"/>
        </w:rPr>
      </w:pPr>
      <w:r w:rsidRPr="005E67B1">
        <w:rPr>
          <w:sz w:val="16"/>
        </w:rPr>
        <w:t xml:space="preserve">Tourette Syndrome Association of Australia Inc., </w:t>
      </w:r>
      <w:proofErr w:type="gramStart"/>
      <w:r w:rsidRPr="005E67B1">
        <w:rPr>
          <w:sz w:val="16"/>
        </w:rPr>
        <w:t>What</w:t>
      </w:r>
      <w:proofErr w:type="gramEnd"/>
      <w:r w:rsidRPr="005E67B1">
        <w:rPr>
          <w:sz w:val="16"/>
        </w:rPr>
        <w:t xml:space="preserve"> is Tourette Syndrome?</w:t>
      </w:r>
    </w:p>
    <w:p w14:paraId="07B5A9ED" w14:textId="77777777" w:rsidR="00793562" w:rsidRPr="005E67B1" w:rsidRDefault="000821C4" w:rsidP="00793562">
      <w:pPr>
        <w:ind w:left="1240" w:right="2305"/>
        <w:rPr>
          <w:sz w:val="16"/>
        </w:rPr>
      </w:pPr>
      <w:hyperlink r:id="rId18">
        <w:r w:rsidR="00793562" w:rsidRPr="005E67B1">
          <w:rPr>
            <w:sz w:val="16"/>
          </w:rPr>
          <w:t>&lt;http://www.mhcs.health.nsw.gov.au/publicationsandresources/pdf/publication-pdfs/diseases-and-</w:t>
        </w:r>
      </w:hyperlink>
      <w:r w:rsidR="00793562" w:rsidRPr="005E67B1">
        <w:rPr>
          <w:sz w:val="16"/>
        </w:rPr>
        <w:t xml:space="preserve"> conditions/8410/oth-8410-eng.pdf&gt;.</w:t>
      </w:r>
    </w:p>
    <w:p w14:paraId="5F44A796" w14:textId="77777777" w:rsidR="00793562" w:rsidRPr="005E67B1" w:rsidRDefault="00793562" w:rsidP="00793562">
      <w:pPr>
        <w:ind w:left="1240" w:right="2237"/>
        <w:rPr>
          <w:sz w:val="16"/>
        </w:rPr>
      </w:pPr>
      <w:r w:rsidRPr="005E67B1">
        <w:rPr>
          <w:sz w:val="16"/>
        </w:rPr>
        <w:t>PWC, Improving Inflammatory Bowel Disease care across Australia (Commissioned by Crohn’s and Colitis Australia, 2013) &lt;https://</w:t>
      </w:r>
      <w:hyperlink r:id="rId19">
        <w:r w:rsidRPr="005E67B1">
          <w:rPr>
            <w:sz w:val="16"/>
          </w:rPr>
          <w:t>www.crohnsandcolitis.com.au/site/wp-content/uploads/PwC-report-</w:t>
        </w:r>
      </w:hyperlink>
      <w:r w:rsidRPr="005E67B1">
        <w:rPr>
          <w:sz w:val="16"/>
        </w:rPr>
        <w:t xml:space="preserve"> 2013.pdf&gt;.</w:t>
      </w:r>
    </w:p>
    <w:p w14:paraId="67DE1210" w14:textId="77777777" w:rsidR="00793562" w:rsidRPr="005E67B1" w:rsidRDefault="00793562" w:rsidP="00793562">
      <w:pPr>
        <w:spacing w:before="59"/>
        <w:ind w:left="1240"/>
        <w:rPr>
          <w:sz w:val="16"/>
        </w:rPr>
      </w:pPr>
      <w:r w:rsidRPr="005E67B1">
        <w:rPr>
          <w:sz w:val="16"/>
        </w:rPr>
        <w:t xml:space="preserve">Deloitte Access Economics, </w:t>
      </w:r>
      <w:proofErr w:type="gramStart"/>
      <w:r w:rsidRPr="005E67B1">
        <w:rPr>
          <w:sz w:val="16"/>
        </w:rPr>
        <w:t>The</w:t>
      </w:r>
      <w:proofErr w:type="gramEnd"/>
      <w:r w:rsidRPr="005E67B1">
        <w:rPr>
          <w:sz w:val="16"/>
        </w:rPr>
        <w:t xml:space="preserve"> cost of pain in Australia (Commissioned by </w:t>
      </w:r>
      <w:proofErr w:type="spellStart"/>
      <w:r w:rsidRPr="005E67B1">
        <w:rPr>
          <w:sz w:val="16"/>
        </w:rPr>
        <w:t>Painaustralia</w:t>
      </w:r>
      <w:proofErr w:type="spellEnd"/>
      <w:r w:rsidRPr="005E67B1">
        <w:rPr>
          <w:sz w:val="16"/>
        </w:rPr>
        <w:t>, 2019)</w:t>
      </w:r>
    </w:p>
    <w:p w14:paraId="4D67D138" w14:textId="77777777" w:rsidR="00793562" w:rsidRPr="005E67B1" w:rsidRDefault="00793562" w:rsidP="00793562">
      <w:pPr>
        <w:ind w:left="1240" w:right="2554"/>
        <w:rPr>
          <w:sz w:val="16"/>
        </w:rPr>
      </w:pPr>
      <w:r w:rsidRPr="005E67B1">
        <w:rPr>
          <w:sz w:val="16"/>
        </w:rPr>
        <w:t>&lt;https:/</w:t>
      </w:r>
      <w:hyperlink r:id="rId20">
        <w:r w:rsidRPr="005E67B1">
          <w:rPr>
            <w:sz w:val="16"/>
          </w:rPr>
          <w:t>/www.painaustralia.org.au/static/uploads/files/the-cost-of-pain-in-australia-final-report-</w:t>
        </w:r>
      </w:hyperlink>
      <w:r w:rsidRPr="005E67B1">
        <w:rPr>
          <w:sz w:val="16"/>
        </w:rPr>
        <w:t xml:space="preserve"> 12mar-wfxbrfyboams.pdf&gt;.</w:t>
      </w:r>
    </w:p>
    <w:p w14:paraId="22D23048" w14:textId="77777777" w:rsidR="00793562" w:rsidRPr="005E67B1" w:rsidRDefault="00793562" w:rsidP="00793562">
      <w:pPr>
        <w:spacing w:before="60"/>
        <w:ind w:left="1240" w:right="2122"/>
        <w:rPr>
          <w:sz w:val="16"/>
        </w:rPr>
      </w:pPr>
      <w:r w:rsidRPr="005E67B1">
        <w:rPr>
          <w:sz w:val="16"/>
          <w:vertAlign w:val="superscript"/>
        </w:rPr>
        <w:t>11</w:t>
      </w:r>
      <w:r w:rsidRPr="005E67B1">
        <w:rPr>
          <w:sz w:val="16"/>
        </w:rPr>
        <w:t xml:space="preserve"> The Bass adoption model was used, which considers the coefficient of innovation and the coefficient of imitation. An application of the Bass adoption model can be found in the following article:</w:t>
      </w:r>
    </w:p>
    <w:p w14:paraId="7492F2F3" w14:textId="77777777" w:rsidR="00793562" w:rsidRPr="005E67B1" w:rsidRDefault="00793562" w:rsidP="00793562">
      <w:pPr>
        <w:ind w:left="1240" w:right="2183"/>
        <w:rPr>
          <w:sz w:val="16"/>
        </w:rPr>
      </w:pPr>
      <w:r w:rsidRPr="005E67B1">
        <w:rPr>
          <w:sz w:val="16"/>
        </w:rPr>
        <w:t xml:space="preserve">Dunn AG, Braithwaite J, Gallego B, Day RO, Runciman W, </w:t>
      </w:r>
      <w:proofErr w:type="spellStart"/>
      <w:r w:rsidRPr="005E67B1">
        <w:rPr>
          <w:sz w:val="16"/>
        </w:rPr>
        <w:t>Coiera</w:t>
      </w:r>
      <w:proofErr w:type="spellEnd"/>
      <w:r w:rsidRPr="005E67B1">
        <w:rPr>
          <w:sz w:val="16"/>
        </w:rPr>
        <w:t xml:space="preserve"> E. Nation-scale adoption of new medicines by doctors: an application of the Bass diffusion model. BMC Health Serv Res. </w:t>
      </w:r>
      <w:proofErr w:type="gramStart"/>
      <w:r w:rsidRPr="005E67B1">
        <w:rPr>
          <w:sz w:val="16"/>
        </w:rPr>
        <w:t>2012;12:248</w:t>
      </w:r>
      <w:proofErr w:type="gramEnd"/>
    </w:p>
    <w:p w14:paraId="62071961" w14:textId="4ACD9227" w:rsidR="00793562" w:rsidRPr="005E67B1" w:rsidRDefault="00793562" w:rsidP="00210816">
      <w:pPr>
        <w:ind w:left="1240"/>
        <w:rPr>
          <w:sz w:val="16"/>
        </w:rPr>
        <w:sectPr w:rsidR="00793562" w:rsidRPr="005E67B1">
          <w:pgSz w:w="11910" w:h="16840"/>
          <w:pgMar w:top="840" w:right="82" w:bottom="860" w:left="200" w:header="650" w:footer="679" w:gutter="0"/>
          <w:cols w:space="720"/>
        </w:sectPr>
      </w:pPr>
      <w:r w:rsidRPr="005E67B1">
        <w:rPr>
          <w:sz w:val="16"/>
        </w:rPr>
        <w:t>&lt;https:/</w:t>
      </w:r>
      <w:hyperlink r:id="rId21">
        <w:r w:rsidRPr="005E67B1">
          <w:rPr>
            <w:sz w:val="16"/>
          </w:rPr>
          <w:t>/www.ncbi.nlm.nih.gov/pmc/articles/PMC3441328/</w:t>
        </w:r>
      </w:hyperlink>
      <w:r w:rsidRPr="005E67B1">
        <w:rPr>
          <w:sz w:val="16"/>
        </w:rPr>
        <w:t>&gt;.</w:t>
      </w:r>
    </w:p>
    <w:p w14:paraId="1E11E238" w14:textId="77777777" w:rsidR="00793562" w:rsidRPr="005E67B1" w:rsidRDefault="00793562" w:rsidP="00210816">
      <w:pPr>
        <w:pStyle w:val="BodyText"/>
        <w:spacing w:before="11"/>
        <w:rPr>
          <w:sz w:val="14"/>
        </w:rPr>
      </w:pPr>
    </w:p>
    <w:p w14:paraId="2F2042FB" w14:textId="77777777" w:rsidR="00793562" w:rsidRPr="005E67B1" w:rsidRDefault="00793562" w:rsidP="005D7236">
      <w:pPr>
        <w:spacing w:before="168" w:line="278" w:lineRule="auto"/>
        <w:ind w:left="1242" w:right="1361"/>
        <w:rPr>
          <w:sz w:val="17"/>
        </w:rPr>
      </w:pPr>
      <w:r w:rsidRPr="005E67B1">
        <w:rPr>
          <w:sz w:val="17"/>
        </w:rPr>
        <w:t>Chart 4.1: Projected patient demand for medicinal cannabis (number of Australian patients), 2028</w:t>
      </w:r>
    </w:p>
    <w:p w14:paraId="03B65959" w14:textId="77777777" w:rsidR="00793562" w:rsidRPr="005E67B1" w:rsidRDefault="00793562" w:rsidP="005D7236">
      <w:pPr>
        <w:spacing w:before="168" w:line="278" w:lineRule="auto"/>
        <w:ind w:left="1242" w:right="1361"/>
        <w:rPr>
          <w:sz w:val="17"/>
        </w:rPr>
        <w:sectPr w:rsidR="00793562" w:rsidRPr="005E67B1">
          <w:pgSz w:w="11910" w:h="16840"/>
          <w:pgMar w:top="840" w:right="82" w:bottom="860" w:left="200" w:header="650" w:footer="679" w:gutter="0"/>
          <w:cols w:space="720"/>
        </w:sectPr>
      </w:pPr>
    </w:p>
    <w:p w14:paraId="61F92564" w14:textId="0B275F35" w:rsidR="001F0AFF" w:rsidRPr="00FB461D" w:rsidRDefault="001F0AFF" w:rsidP="005D7236">
      <w:pPr>
        <w:pStyle w:val="BodyText"/>
        <w:spacing w:before="168"/>
        <w:ind w:left="1242" w:right="1361"/>
        <w:rPr>
          <w:b/>
          <w:bCs/>
          <w:sz w:val="20"/>
          <w:szCs w:val="20"/>
        </w:rPr>
      </w:pPr>
      <w:r>
        <w:rPr>
          <w:noProof/>
        </w:rPr>
        <w:drawing>
          <wp:inline distT="0" distB="0" distL="0" distR="0" wp14:anchorId="42B3BFF5" wp14:editId="1F3325BC">
            <wp:extent cx="5694680" cy="1878965"/>
            <wp:effectExtent l="0" t="0" r="1270" b="6985"/>
            <wp:docPr id="246" name="Picture 246" descr="Projected patient demand for medicinal cannabis (number of Australian patients):&#10;2019= 13,164&#10;2020= 26,328&#10;2021= 38,413&#10;2022= 50,497&#10;2023= 66,260&#10;2024=101,362&#10;2025= 137,220&#10;2026= 171,491&#10;2027= 203,986&#10;2028= 241,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694680" cy="1878965"/>
                    </a:xfrm>
                    <a:prstGeom prst="rect">
                      <a:avLst/>
                    </a:prstGeom>
                  </pic:spPr>
                </pic:pic>
              </a:graphicData>
            </a:graphic>
          </wp:inline>
        </w:drawing>
      </w:r>
    </w:p>
    <w:p w14:paraId="0359789A" w14:textId="77777777" w:rsidR="00793562" w:rsidRPr="00FB461D" w:rsidRDefault="00793562" w:rsidP="005D7236">
      <w:pPr>
        <w:pStyle w:val="Heading6"/>
        <w:keepNext w:val="0"/>
        <w:keepLines w:val="0"/>
        <w:numPr>
          <w:ilvl w:val="2"/>
          <w:numId w:val="22"/>
        </w:numPr>
        <w:tabs>
          <w:tab w:val="left" w:pos="1816"/>
          <w:tab w:val="left" w:pos="1817"/>
        </w:tabs>
        <w:spacing w:before="168"/>
        <w:ind w:left="1242" w:right="1361" w:hanging="577"/>
        <w:rPr>
          <w:rFonts w:ascii="Verdana" w:hAnsi="Verdana"/>
          <w:b/>
          <w:bCs/>
          <w:color w:val="auto"/>
          <w:sz w:val="20"/>
          <w:szCs w:val="20"/>
        </w:rPr>
      </w:pPr>
      <w:r w:rsidRPr="00FB461D">
        <w:rPr>
          <w:rFonts w:ascii="Verdana" w:hAnsi="Verdana"/>
          <w:b/>
          <w:bCs/>
          <w:color w:val="auto"/>
          <w:sz w:val="20"/>
          <w:szCs w:val="20"/>
        </w:rPr>
        <w:t>Future supply in Victoria</w:t>
      </w:r>
    </w:p>
    <w:p w14:paraId="1A746365" w14:textId="77777777" w:rsidR="00793562" w:rsidRPr="005E67B1" w:rsidRDefault="00793562" w:rsidP="005D7236">
      <w:pPr>
        <w:pStyle w:val="BodyText"/>
        <w:spacing w:before="168" w:line="264" w:lineRule="auto"/>
        <w:ind w:left="1242" w:right="1361"/>
      </w:pPr>
      <w:r w:rsidRPr="005E67B1">
        <w:t>The two key areas of uncertainty for supply from Victorian producers are the share of the Australian medicinal cannabis market (patient demand) that they will capture over the long run, and the likely demand for Victorian products in international export markets.</w:t>
      </w:r>
    </w:p>
    <w:p w14:paraId="7E15DD0C" w14:textId="77777777" w:rsidR="00793562" w:rsidRPr="005E67B1" w:rsidRDefault="00793562" w:rsidP="005D7236">
      <w:pPr>
        <w:pStyle w:val="BodyText"/>
        <w:spacing w:before="168" w:line="264" w:lineRule="auto"/>
        <w:ind w:left="1242" w:right="1361"/>
        <w:jc w:val="both"/>
      </w:pPr>
      <w:r w:rsidRPr="005E67B1">
        <w:t>Reflecting this uncertainty, three supply scenarios are considered that reflect the potential range of supply to the domestic and international market by Victorian producers – a lower bound scenario, a medium scenario, and an upper limit scenario.</w:t>
      </w:r>
    </w:p>
    <w:p w14:paraId="27CE20E1" w14:textId="77777777" w:rsidR="00793562" w:rsidRPr="005E67B1" w:rsidRDefault="00793562" w:rsidP="00793562">
      <w:pPr>
        <w:pStyle w:val="BodyText"/>
        <w:spacing w:before="166" w:line="264" w:lineRule="auto"/>
        <w:ind w:left="1240" w:right="2029"/>
      </w:pPr>
      <w:r w:rsidRPr="005E67B1">
        <w:t>The development of these scenarios follows consultations with Victorian medicinal cannabis producers, who provided estimates of future (maximum) production capacity. It is assumed that producers will gradually increase production to their maximum capacity in response to the gradual increase in demand.</w:t>
      </w:r>
    </w:p>
    <w:p w14:paraId="29D0139C" w14:textId="77777777" w:rsidR="00793562" w:rsidRPr="005E67B1" w:rsidRDefault="00793562" w:rsidP="00793562">
      <w:pPr>
        <w:pStyle w:val="BodyText"/>
        <w:spacing w:before="169" w:line="264" w:lineRule="auto"/>
        <w:ind w:left="1240" w:right="2054"/>
      </w:pPr>
      <w:r w:rsidRPr="005E67B1">
        <w:t xml:space="preserve">Of these three scenarios, Deloitte Access Economics believes that the medium scenario is the most realistic future path for the industry in Victoria. This assessment reflects the likely competitiveness of the Victorian industry based on employment and export </w:t>
      </w:r>
      <w:proofErr w:type="gramStart"/>
      <w:r w:rsidRPr="005E67B1">
        <w:t>benchmarks, and</w:t>
      </w:r>
      <w:proofErr w:type="gramEnd"/>
      <w:r w:rsidRPr="005E67B1">
        <w:t xml:space="preserve"> represents the general consensus of the literature and consultations undertaken with key stakeholders.</w:t>
      </w:r>
    </w:p>
    <w:p w14:paraId="2E8D002B" w14:textId="77777777" w:rsidR="00793562" w:rsidRPr="005E67B1" w:rsidRDefault="00793562" w:rsidP="00793562">
      <w:pPr>
        <w:pStyle w:val="BodyText"/>
        <w:spacing w:before="167" w:line="264" w:lineRule="auto"/>
        <w:ind w:left="1240" w:right="2662"/>
      </w:pPr>
      <w:r w:rsidRPr="005E67B1">
        <w:t>Each scenario is described below, along with the estimated revenue generated in the scenario.</w:t>
      </w:r>
    </w:p>
    <w:p w14:paraId="724C49CF" w14:textId="77777777" w:rsidR="00793562" w:rsidRPr="005E67B1" w:rsidRDefault="00793562" w:rsidP="00793562">
      <w:pPr>
        <w:pStyle w:val="BodyText"/>
        <w:spacing w:before="8"/>
        <w:rPr>
          <w:sz w:val="19"/>
        </w:rPr>
      </w:pPr>
    </w:p>
    <w:p w14:paraId="73B88262" w14:textId="77777777" w:rsidR="00793562" w:rsidRPr="00FB461D" w:rsidRDefault="00793562" w:rsidP="00793562">
      <w:pPr>
        <w:pStyle w:val="Heading6"/>
        <w:keepNext w:val="0"/>
        <w:keepLines w:val="0"/>
        <w:numPr>
          <w:ilvl w:val="3"/>
          <w:numId w:val="22"/>
        </w:numPr>
        <w:tabs>
          <w:tab w:val="left" w:pos="1960"/>
          <w:tab w:val="left" w:pos="1961"/>
        </w:tabs>
        <w:spacing w:before="0"/>
        <w:ind w:hanging="721"/>
        <w:rPr>
          <w:rFonts w:ascii="Verdana" w:hAnsi="Verdana"/>
          <w:b/>
          <w:bCs/>
          <w:color w:val="auto"/>
          <w:sz w:val="20"/>
          <w:szCs w:val="20"/>
        </w:rPr>
      </w:pPr>
      <w:r w:rsidRPr="00FB461D">
        <w:rPr>
          <w:rFonts w:ascii="Verdana" w:hAnsi="Verdana"/>
          <w:b/>
          <w:bCs/>
          <w:color w:val="auto"/>
          <w:sz w:val="20"/>
          <w:szCs w:val="20"/>
        </w:rPr>
        <w:t>Upper limit</w:t>
      </w:r>
      <w:r w:rsidRPr="00FB461D">
        <w:rPr>
          <w:rFonts w:ascii="Verdana" w:hAnsi="Verdana"/>
          <w:b/>
          <w:bCs/>
          <w:color w:val="auto"/>
          <w:spacing w:val="-1"/>
          <w:sz w:val="20"/>
          <w:szCs w:val="20"/>
        </w:rPr>
        <w:t xml:space="preserve"> </w:t>
      </w:r>
      <w:r w:rsidRPr="00FB461D">
        <w:rPr>
          <w:rFonts w:ascii="Verdana" w:hAnsi="Verdana"/>
          <w:b/>
          <w:bCs/>
          <w:color w:val="auto"/>
          <w:sz w:val="20"/>
          <w:szCs w:val="20"/>
        </w:rPr>
        <w:t>scenario</w:t>
      </w:r>
    </w:p>
    <w:p w14:paraId="086ED0EE" w14:textId="77777777" w:rsidR="00793562" w:rsidRPr="005E67B1" w:rsidRDefault="00793562" w:rsidP="00793562">
      <w:pPr>
        <w:pStyle w:val="BodyText"/>
        <w:spacing w:before="82" w:line="264" w:lineRule="auto"/>
        <w:ind w:left="1240" w:right="2135"/>
      </w:pPr>
      <w:r w:rsidRPr="005E67B1">
        <w:t xml:space="preserve">Under the upper limit scenario, Victorian medicinal cannabis production is estimated to total 881,250 </w:t>
      </w:r>
      <w:proofErr w:type="spellStart"/>
      <w:r w:rsidRPr="005E67B1">
        <w:t>litres</w:t>
      </w:r>
      <w:proofErr w:type="spellEnd"/>
      <w:r w:rsidRPr="005E67B1">
        <w:t xml:space="preserve"> of oil annually by 2028 (equivalent to 293,750 kilograms of dried plant matter). This is </w:t>
      </w:r>
      <w:proofErr w:type="gramStart"/>
      <w:r w:rsidRPr="005E67B1">
        <w:t>sufficient</w:t>
      </w:r>
      <w:proofErr w:type="gramEnd"/>
      <w:r w:rsidRPr="005E67B1">
        <w:t xml:space="preserve"> oil to supply approximately 1.2 million patients per year.</w:t>
      </w:r>
    </w:p>
    <w:p w14:paraId="1E520085" w14:textId="77777777" w:rsidR="00793562" w:rsidRPr="005E67B1" w:rsidRDefault="00793562" w:rsidP="00793562">
      <w:pPr>
        <w:pStyle w:val="BodyText"/>
        <w:spacing w:before="168" w:line="264" w:lineRule="auto"/>
        <w:ind w:left="1240" w:right="2151"/>
        <w:jc w:val="both"/>
      </w:pPr>
      <w:r w:rsidRPr="005E67B1">
        <w:t>This volume of production represents approximately 80 per cent of the maximum capacity of all known major medicinal cannabis companies operating in Victoria.</w:t>
      </w:r>
      <w:r w:rsidRPr="005E67B1">
        <w:rPr>
          <w:position w:val="6"/>
          <w:sz w:val="12"/>
        </w:rPr>
        <w:t xml:space="preserve">12 </w:t>
      </w:r>
      <w:r w:rsidRPr="005E67B1">
        <w:t>These production estimates were provided by stakeholders during consultation.</w:t>
      </w:r>
    </w:p>
    <w:p w14:paraId="4AEAC1C9" w14:textId="77777777" w:rsidR="00793562" w:rsidRPr="005E67B1" w:rsidRDefault="00793562" w:rsidP="00793562">
      <w:pPr>
        <w:pStyle w:val="BodyText"/>
        <w:spacing w:before="166" w:line="264" w:lineRule="auto"/>
        <w:ind w:left="1240" w:right="2614"/>
      </w:pPr>
      <w:r w:rsidRPr="005E67B1">
        <w:t xml:space="preserve">In this scenario, Victorian producers capture 50 per cent of the domestic demand for medicinal cannabis (90,957 </w:t>
      </w:r>
      <w:proofErr w:type="spellStart"/>
      <w:r w:rsidRPr="005E67B1">
        <w:t>litres</w:t>
      </w:r>
      <w:proofErr w:type="spellEnd"/>
      <w:r w:rsidRPr="005E67B1">
        <w:t xml:space="preserve"> of oil) in 2028 and export the rest of their expected</w:t>
      </w:r>
    </w:p>
    <w:p w14:paraId="2B192333" w14:textId="77777777" w:rsidR="00793562" w:rsidRPr="005E67B1" w:rsidRDefault="00793562" w:rsidP="00793562">
      <w:pPr>
        <w:pStyle w:val="BodyText"/>
        <w:rPr>
          <w:sz w:val="20"/>
        </w:rPr>
      </w:pPr>
    </w:p>
    <w:p w14:paraId="7E681392" w14:textId="03C411BE" w:rsidR="00793562" w:rsidRPr="005E67B1" w:rsidRDefault="00793562" w:rsidP="00793562">
      <w:pPr>
        <w:pStyle w:val="BodyText"/>
        <w:spacing w:before="6"/>
        <w:rPr>
          <w:sz w:val="13"/>
        </w:rPr>
      </w:pPr>
      <w:r w:rsidRPr="005E67B1">
        <w:rPr>
          <w:noProof/>
        </w:rPr>
        <mc:AlternateContent>
          <mc:Choice Requires="wps">
            <w:drawing>
              <wp:anchor distT="0" distB="0" distL="0" distR="0" simplePos="0" relativeHeight="251705344" behindDoc="1" locked="0" layoutInCell="1" allowOverlap="1" wp14:anchorId="0DD877EC" wp14:editId="4EB8A2FF">
                <wp:simplePos x="0" y="0"/>
                <wp:positionH relativeFrom="page">
                  <wp:posOffset>914400</wp:posOffset>
                </wp:positionH>
                <wp:positionV relativeFrom="paragraph">
                  <wp:posOffset>128905</wp:posOffset>
                </wp:positionV>
                <wp:extent cx="1828800" cy="6350"/>
                <wp:effectExtent l="0" t="0" r="0" b="4445"/>
                <wp:wrapTopAndBottom/>
                <wp:docPr id="211" name="Rectangle 2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C755E" id="Rectangle 211" o:spid="_x0000_s1026" style="position:absolute;margin-left:1in;margin-top:10.15pt;width:2in;height:.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" fillcolor="black" stroked="f">
                <w10:wrap type="topAndBottom" anchorx="page"/>
              </v:rect>
            </w:pict>
          </mc:Fallback>
        </mc:AlternateContent>
      </w:r>
    </w:p>
    <w:p w14:paraId="79C3C325" w14:textId="77777777" w:rsidR="00793562" w:rsidRPr="005E67B1" w:rsidRDefault="00793562" w:rsidP="00793562">
      <w:pPr>
        <w:pStyle w:val="BodyText"/>
        <w:spacing w:before="7"/>
        <w:rPr>
          <w:sz w:val="15"/>
        </w:rPr>
      </w:pPr>
    </w:p>
    <w:p w14:paraId="4CF34AEF" w14:textId="78FD1371" w:rsidR="00793562" w:rsidRPr="005E67B1" w:rsidRDefault="00793562" w:rsidP="00210816">
      <w:pPr>
        <w:spacing w:before="101"/>
        <w:ind w:left="1240" w:right="2154"/>
        <w:rPr>
          <w:sz w:val="16"/>
        </w:rPr>
        <w:sectPr w:rsidR="00793562" w:rsidRPr="005E67B1">
          <w:type w:val="continuous"/>
          <w:pgSz w:w="11910" w:h="16840"/>
          <w:pgMar w:top="720" w:right="82" w:bottom="280" w:left="200" w:header="720" w:footer="720" w:gutter="0"/>
          <w:cols w:space="720"/>
        </w:sectPr>
      </w:pPr>
      <w:r w:rsidRPr="005E67B1">
        <w:rPr>
          <w:sz w:val="16"/>
          <w:vertAlign w:val="superscript"/>
        </w:rPr>
        <w:t>12</w:t>
      </w:r>
      <w:r w:rsidRPr="005E67B1">
        <w:rPr>
          <w:sz w:val="16"/>
        </w:rPr>
        <w:t xml:space="preserve"> Producers are assumed to increase their production in a linear fashion such that by 2028 they are producing at 80 per cent of their total capacity (if they commenced production in 2020). While this linear approach is a simplified assumption, there is insufficient information available to apply an alternate ramp-up function. Despite this limitation, this approach considers the commencement dates of different production facilities, giving a single industry-wide production estimate for 2028.</w:t>
      </w:r>
    </w:p>
    <w:p w14:paraId="2C8E90C9" w14:textId="77777777" w:rsidR="00793562" w:rsidRPr="005E67B1" w:rsidRDefault="00793562" w:rsidP="00793562">
      <w:pPr>
        <w:pStyle w:val="BodyText"/>
        <w:rPr>
          <w:sz w:val="20"/>
        </w:rPr>
      </w:pPr>
    </w:p>
    <w:p w14:paraId="2025663E" w14:textId="77777777" w:rsidR="00793562" w:rsidRPr="005E67B1" w:rsidRDefault="00793562" w:rsidP="00793562">
      <w:pPr>
        <w:pStyle w:val="BodyText"/>
        <w:spacing w:line="264" w:lineRule="auto"/>
        <w:ind w:left="1240" w:right="2422"/>
      </w:pPr>
      <w:r w:rsidRPr="005E67B1">
        <w:t>production to international markets. This equates to producers exporting 90 per cent of their medicinal cannabis</w:t>
      </w:r>
      <w:r w:rsidRPr="005E67B1">
        <w:rPr>
          <w:spacing w:val="-3"/>
        </w:rPr>
        <w:t xml:space="preserve"> </w:t>
      </w:r>
      <w:r w:rsidRPr="005E67B1">
        <w:t>supply.</w:t>
      </w:r>
    </w:p>
    <w:p w14:paraId="55D02D57" w14:textId="77777777" w:rsidR="00793562" w:rsidRPr="005E67B1" w:rsidRDefault="00793562" w:rsidP="00E5319D">
      <w:pPr>
        <w:pStyle w:val="BodyText"/>
        <w:spacing w:before="169" w:line="264" w:lineRule="auto"/>
        <w:ind w:left="1242" w:right="2245"/>
      </w:pPr>
      <w:r w:rsidRPr="005E67B1">
        <w:t>Despite Victorian producers anticipating they will supply 50 per cent of the domestic market, given current production projections equate to Victorian producers exporting 90 per cent of their medicinal cannabis supply, it is likely that these current production projections represent a maximum level of output for the Victorian industry, rather than a most-likely central estimate. This upper limit scenario reflects a strong degree of investor optimism within a new</w:t>
      </w:r>
      <w:r w:rsidRPr="005E67B1">
        <w:rPr>
          <w:spacing w:val="-5"/>
        </w:rPr>
        <w:t xml:space="preserve"> </w:t>
      </w:r>
      <w:r w:rsidRPr="005E67B1">
        <w:t>industry.</w:t>
      </w:r>
    </w:p>
    <w:p w14:paraId="2E685420" w14:textId="16BC0E82" w:rsidR="00793562" w:rsidRPr="005E67B1" w:rsidRDefault="00793562" w:rsidP="00E5319D">
      <w:pPr>
        <w:pStyle w:val="BodyText"/>
        <w:spacing w:before="165" w:line="264" w:lineRule="auto"/>
        <w:ind w:left="1242" w:right="2813"/>
      </w:pPr>
      <w:r w:rsidRPr="005E67B1">
        <w:t>Chart 4.2: Comparison of annual Victorian supply and domestic demand (medicinal cannabis oil equivalent), 2028, upper limit of supply.</w:t>
      </w:r>
    </w:p>
    <w:p w14:paraId="73700A37" w14:textId="4F71E5C0" w:rsidR="00793562" w:rsidRPr="005E67B1" w:rsidRDefault="001F0AFF" w:rsidP="00E5319D">
      <w:pPr>
        <w:pStyle w:val="BodyText"/>
        <w:spacing w:before="5"/>
        <w:ind w:left="1242"/>
        <w:rPr>
          <w:sz w:val="12"/>
        </w:rPr>
      </w:pPr>
      <w:r>
        <w:rPr>
          <w:noProof/>
        </w:rPr>
        <w:drawing>
          <wp:inline distT="0" distB="0" distL="0" distR="0" wp14:anchorId="302BBF4F" wp14:editId="3FEDBD56">
            <wp:extent cx="5697855" cy="1497965"/>
            <wp:effectExtent l="0" t="0" r="0" b="6985"/>
            <wp:docPr id="247" name="Picture 247" descr="Comparison of annual Victorian supply and domestic demand (medicinal cannabis oil equivalent), 2028, upper limit of supply:&#10;Victorian supply= 881.3 in '000 litres.&#10;Potential demand for Australian patients= 91.0 in '000 litres.&#10;Potential demand for exports= 790.30 in '000 li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697855" cy="1497965"/>
                    </a:xfrm>
                    <a:prstGeom prst="rect">
                      <a:avLst/>
                    </a:prstGeom>
                  </pic:spPr>
                </pic:pic>
              </a:graphicData>
            </a:graphic>
          </wp:inline>
        </w:drawing>
      </w:r>
    </w:p>
    <w:p w14:paraId="66E5D675" w14:textId="3E9132E2" w:rsidR="00793562" w:rsidRPr="005E67B1" w:rsidRDefault="00793562" w:rsidP="00E5319D">
      <w:pPr>
        <w:pStyle w:val="BodyText"/>
        <w:tabs>
          <w:tab w:val="left" w:pos="5888"/>
          <w:tab w:val="left" w:pos="8022"/>
        </w:tabs>
        <w:spacing w:before="54" w:line="309" w:lineRule="auto"/>
        <w:ind w:left="1242" w:right="2915" w:firstLine="2396"/>
      </w:pPr>
      <w:r w:rsidRPr="005E67B1">
        <w:t>Source: Deloitte Access Economics</w:t>
      </w:r>
      <w:r w:rsidRPr="005E67B1">
        <w:rPr>
          <w:spacing w:val="-6"/>
        </w:rPr>
        <w:t xml:space="preserve"> </w:t>
      </w:r>
      <w:r w:rsidRPr="005E67B1">
        <w:t>analysis.</w:t>
      </w:r>
    </w:p>
    <w:p w14:paraId="1A612BE2" w14:textId="156499ED" w:rsidR="00793562" w:rsidRPr="005E67B1" w:rsidRDefault="00793562" w:rsidP="00E5319D">
      <w:pPr>
        <w:pStyle w:val="BodyText"/>
        <w:spacing w:before="5"/>
        <w:ind w:left="1242"/>
        <w:rPr>
          <w:sz w:val="16"/>
        </w:rPr>
      </w:pPr>
    </w:p>
    <w:p w14:paraId="1CDD4DBA" w14:textId="77777777" w:rsidR="00793562" w:rsidRPr="00FB461D" w:rsidRDefault="00793562" w:rsidP="00EE5237">
      <w:pPr>
        <w:pStyle w:val="Heading6"/>
        <w:keepNext w:val="0"/>
        <w:keepLines w:val="0"/>
        <w:numPr>
          <w:ilvl w:val="4"/>
          <w:numId w:val="22"/>
        </w:numPr>
        <w:tabs>
          <w:tab w:val="left" w:pos="1960"/>
          <w:tab w:val="left" w:pos="1961"/>
        </w:tabs>
        <w:spacing w:before="0"/>
        <w:rPr>
          <w:rFonts w:ascii="Verdana" w:hAnsi="Verdana"/>
          <w:b/>
          <w:bCs/>
          <w:color w:val="auto"/>
          <w:sz w:val="20"/>
          <w:szCs w:val="20"/>
        </w:rPr>
      </w:pPr>
      <w:r w:rsidRPr="00FB461D">
        <w:rPr>
          <w:rFonts w:ascii="Verdana" w:hAnsi="Verdana"/>
          <w:b/>
          <w:bCs/>
          <w:color w:val="auto"/>
          <w:sz w:val="20"/>
          <w:szCs w:val="20"/>
        </w:rPr>
        <w:t>Medium</w:t>
      </w:r>
      <w:r w:rsidRPr="00FB461D">
        <w:rPr>
          <w:rFonts w:ascii="Verdana" w:hAnsi="Verdana"/>
          <w:b/>
          <w:bCs/>
          <w:color w:val="auto"/>
          <w:spacing w:val="-2"/>
          <w:sz w:val="20"/>
          <w:szCs w:val="20"/>
        </w:rPr>
        <w:t xml:space="preserve"> </w:t>
      </w:r>
      <w:r w:rsidRPr="00FB461D">
        <w:rPr>
          <w:rFonts w:ascii="Verdana" w:hAnsi="Verdana"/>
          <w:b/>
          <w:bCs/>
          <w:color w:val="auto"/>
          <w:sz w:val="20"/>
          <w:szCs w:val="20"/>
        </w:rPr>
        <w:t>scenario</w:t>
      </w:r>
    </w:p>
    <w:p w14:paraId="70FB9D21" w14:textId="77777777" w:rsidR="00793562" w:rsidRPr="005E67B1" w:rsidRDefault="00793562" w:rsidP="00E5319D">
      <w:pPr>
        <w:pStyle w:val="BodyText"/>
        <w:spacing w:before="81" w:line="264" w:lineRule="auto"/>
        <w:ind w:left="1242" w:right="2131"/>
      </w:pPr>
      <w:r w:rsidRPr="005E67B1">
        <w:t>The medium scenario is based on current Victorian employment in the pharmaceutical and agricultural sectors, and export benchmarks for these industries. These industries are potential indicators of the medicinal cannabis sector’s competitiveness in the domestic and international market. As such, this scenario is viewed as the most likely, central estimate.</w:t>
      </w:r>
    </w:p>
    <w:p w14:paraId="7FC7DC8B" w14:textId="77777777" w:rsidR="00793562" w:rsidRPr="005E67B1" w:rsidRDefault="00793562" w:rsidP="00793562">
      <w:pPr>
        <w:pStyle w:val="BodyText"/>
        <w:spacing w:before="168" w:line="264" w:lineRule="auto"/>
        <w:ind w:left="1240" w:right="2235"/>
      </w:pPr>
      <w:r w:rsidRPr="005E67B1">
        <w:t>In this scenario Victorian producers are expected to supply 41 per cent of the Australian market for medicinal cannabis. This assumption is consistent with Victoria’s share of Australian employment in the Pharmaceutical and Medicinal Product Manufacturing sector in 2016.</w:t>
      </w:r>
    </w:p>
    <w:p w14:paraId="3164AD85" w14:textId="77777777" w:rsidR="00793562" w:rsidRPr="005E67B1" w:rsidRDefault="00793562" w:rsidP="00793562">
      <w:pPr>
        <w:pStyle w:val="BodyText"/>
        <w:spacing w:before="168" w:line="264" w:lineRule="auto"/>
        <w:ind w:left="1240" w:right="2249"/>
      </w:pPr>
      <w:r w:rsidRPr="005E67B1">
        <w:t xml:space="preserve">Under this assumption, Victorian medicinal cannabis products would service the demands of approximately 300,000 patients by providing 233,754 </w:t>
      </w:r>
      <w:proofErr w:type="spellStart"/>
      <w:r w:rsidRPr="005E67B1">
        <w:t>litres</w:t>
      </w:r>
      <w:proofErr w:type="spellEnd"/>
      <w:r w:rsidRPr="005E67B1">
        <w:t xml:space="preserve"> of medicinal cannabis oil (74,585 kilograms of dried plant matter). Of these patients, approximately 99,173 would be Australia patients, demanding 74,585 </w:t>
      </w:r>
      <w:proofErr w:type="spellStart"/>
      <w:r w:rsidRPr="005E67B1">
        <w:t>litres</w:t>
      </w:r>
      <w:proofErr w:type="spellEnd"/>
      <w:r w:rsidRPr="005E67B1">
        <w:t xml:space="preserve"> of oil.</w:t>
      </w:r>
    </w:p>
    <w:p w14:paraId="7E6185E1" w14:textId="77777777" w:rsidR="00793562" w:rsidRPr="005E67B1" w:rsidRDefault="00793562" w:rsidP="00793562">
      <w:pPr>
        <w:pStyle w:val="BodyText"/>
        <w:spacing w:before="168" w:line="264" w:lineRule="auto"/>
        <w:ind w:left="1240" w:right="2125"/>
        <w:rPr>
          <w:sz w:val="12"/>
        </w:rPr>
      </w:pPr>
      <w:r w:rsidRPr="005E67B1">
        <w:t>Exports also occur in this scenario and represent two-thirds</w:t>
      </w:r>
      <w:r w:rsidRPr="005E67B1">
        <w:rPr>
          <w:position w:val="6"/>
          <w:sz w:val="12"/>
        </w:rPr>
        <w:t xml:space="preserve">13 </w:t>
      </w:r>
      <w:r w:rsidRPr="005E67B1">
        <w:t>of Victorian production of medicinal cannabis, reflecting the current share of exports across agriculture more broadly in Australia.</w:t>
      </w:r>
      <w:r w:rsidRPr="005E67B1">
        <w:rPr>
          <w:position w:val="6"/>
          <w:sz w:val="12"/>
        </w:rPr>
        <w:t>14</w:t>
      </w:r>
    </w:p>
    <w:p w14:paraId="7E59FC46" w14:textId="77777777" w:rsidR="00793562" w:rsidRPr="005E67B1" w:rsidRDefault="00793562" w:rsidP="00793562">
      <w:pPr>
        <w:pStyle w:val="BodyText"/>
        <w:rPr>
          <w:sz w:val="20"/>
        </w:rPr>
      </w:pPr>
    </w:p>
    <w:p w14:paraId="5D300D3A" w14:textId="09DF288E" w:rsidR="00793562" w:rsidRPr="005E67B1" w:rsidRDefault="00793562" w:rsidP="00793562">
      <w:pPr>
        <w:pStyle w:val="BodyText"/>
        <w:spacing w:before="7"/>
        <w:rPr>
          <w:sz w:val="20"/>
        </w:rPr>
      </w:pPr>
      <w:r w:rsidRPr="005E67B1">
        <w:rPr>
          <w:noProof/>
        </w:rPr>
        <mc:AlternateContent>
          <mc:Choice Requires="wps">
            <w:drawing>
              <wp:anchor distT="0" distB="0" distL="0" distR="0" simplePos="0" relativeHeight="251710464" behindDoc="1" locked="0" layoutInCell="1" allowOverlap="1" wp14:anchorId="6A278626" wp14:editId="1C51EE99">
                <wp:simplePos x="0" y="0"/>
                <wp:positionH relativeFrom="page">
                  <wp:posOffset>914400</wp:posOffset>
                </wp:positionH>
                <wp:positionV relativeFrom="paragraph">
                  <wp:posOffset>183515</wp:posOffset>
                </wp:positionV>
                <wp:extent cx="1828800" cy="6350"/>
                <wp:effectExtent l="0" t="0" r="0" b="0"/>
                <wp:wrapTopAndBottom/>
                <wp:docPr id="63" name="Rectangl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95C6E" id="Rectangle 63" o:spid="_x0000_s1026" style="position:absolute;margin-left:1in;margin-top:14.45pt;width:2in;height:.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" fillcolor="black" stroked="f">
                <w10:wrap type="topAndBottom" anchorx="page"/>
              </v:rect>
            </w:pict>
          </mc:Fallback>
        </mc:AlternateContent>
      </w:r>
    </w:p>
    <w:p w14:paraId="17785765" w14:textId="77777777" w:rsidR="00793562" w:rsidRPr="005E67B1" w:rsidRDefault="00793562" w:rsidP="00793562">
      <w:pPr>
        <w:pStyle w:val="BodyText"/>
        <w:spacing w:before="7"/>
        <w:rPr>
          <w:sz w:val="15"/>
        </w:rPr>
      </w:pPr>
    </w:p>
    <w:p w14:paraId="7EBD71B0" w14:textId="77777777" w:rsidR="00793562" w:rsidRPr="005E67B1" w:rsidRDefault="00793562" w:rsidP="00793562">
      <w:pPr>
        <w:spacing w:before="101"/>
        <w:ind w:left="1240" w:right="2651"/>
        <w:rPr>
          <w:sz w:val="16"/>
        </w:rPr>
      </w:pPr>
      <w:r w:rsidRPr="005E67B1">
        <w:rPr>
          <w:sz w:val="16"/>
          <w:vertAlign w:val="superscript"/>
        </w:rPr>
        <w:t>13</w:t>
      </w:r>
      <w:r w:rsidRPr="005E67B1">
        <w:rPr>
          <w:sz w:val="16"/>
        </w:rPr>
        <w:t xml:space="preserve"> Australian Bureau of Agricultural and Resource Economics and Sciences 2018, Snapshot of Australian Agriculture </w:t>
      </w:r>
      <w:hyperlink r:id="rId24">
        <w:r w:rsidRPr="005E67B1">
          <w:rPr>
            <w:sz w:val="16"/>
          </w:rPr>
          <w:t>&lt;http://www.agriculture.gov.au/abares/Documents/snapshot-australian-</w:t>
        </w:r>
      </w:hyperlink>
      <w:r w:rsidRPr="005E67B1">
        <w:rPr>
          <w:sz w:val="16"/>
        </w:rPr>
        <w:t xml:space="preserve"> agriculture.pdf&gt;.</w:t>
      </w:r>
    </w:p>
    <w:p w14:paraId="44BF6F63" w14:textId="77777777" w:rsidR="00793562" w:rsidRPr="005E67B1" w:rsidRDefault="00793562" w:rsidP="00793562">
      <w:pPr>
        <w:spacing w:before="59"/>
        <w:ind w:left="1240" w:right="2085"/>
        <w:rPr>
          <w:sz w:val="16"/>
        </w:rPr>
      </w:pPr>
      <w:r w:rsidRPr="005E67B1">
        <w:rPr>
          <w:sz w:val="16"/>
          <w:vertAlign w:val="superscript"/>
        </w:rPr>
        <w:t>14</w:t>
      </w:r>
      <w:r w:rsidRPr="005E67B1">
        <w:rPr>
          <w:sz w:val="16"/>
        </w:rPr>
        <w:t xml:space="preserve"> Producers have indicated they intend to export mostly harvested agricultural products (not finished pharmaceutical products), as such the share of exports in Australian Agriculture is used rather than the Human Pharmaceuticals sector, which exports 50 per cent of production by sales revenue. </w:t>
      </w:r>
      <w:r w:rsidRPr="005E67B1">
        <w:rPr>
          <w:sz w:val="16"/>
          <w:u w:val="single"/>
        </w:rPr>
        <w:t>Source:</w:t>
      </w:r>
      <w:r w:rsidRPr="005E67B1">
        <w:rPr>
          <w:sz w:val="16"/>
        </w:rPr>
        <w:t xml:space="preserve"> IBISWorld 2019, Pharmaceutical product manufacturing in Australia, Industry report</w:t>
      </w:r>
      <w:r w:rsidRPr="005E67B1">
        <w:rPr>
          <w:spacing w:val="-12"/>
          <w:sz w:val="16"/>
        </w:rPr>
        <w:t xml:space="preserve"> </w:t>
      </w:r>
      <w:r w:rsidRPr="005E67B1">
        <w:rPr>
          <w:sz w:val="16"/>
        </w:rPr>
        <w:t>C1841</w:t>
      </w:r>
    </w:p>
    <w:p w14:paraId="7F210BF1" w14:textId="77777777" w:rsidR="00793562" w:rsidRPr="005E67B1" w:rsidRDefault="00793562" w:rsidP="00793562">
      <w:pPr>
        <w:spacing w:before="1"/>
        <w:ind w:left="1240" w:right="2648"/>
        <w:rPr>
          <w:sz w:val="16"/>
        </w:rPr>
      </w:pPr>
      <w:r w:rsidRPr="005E67B1">
        <w:rPr>
          <w:sz w:val="16"/>
        </w:rPr>
        <w:t>&lt;https:/</w:t>
      </w:r>
      <w:hyperlink r:id="rId25">
        <w:r w:rsidRPr="005E67B1">
          <w:rPr>
            <w:sz w:val="16"/>
          </w:rPr>
          <w:t>/www.ibisworld.com.au/industry-trends/market-research-reports/manufacturing/basic-</w:t>
        </w:r>
      </w:hyperlink>
      <w:r w:rsidRPr="005E67B1">
        <w:rPr>
          <w:sz w:val="16"/>
        </w:rPr>
        <w:t xml:space="preserve"> chemical-product/pharmaceutical-product-manufacturing.html&gt;.</w:t>
      </w:r>
    </w:p>
    <w:p w14:paraId="31D41ABB" w14:textId="77777777" w:rsidR="00793562" w:rsidRPr="005E67B1" w:rsidRDefault="00793562" w:rsidP="00793562">
      <w:pPr>
        <w:rPr>
          <w:sz w:val="16"/>
        </w:rPr>
        <w:sectPr w:rsidR="00793562" w:rsidRPr="005E67B1">
          <w:pgSz w:w="11910" w:h="16840"/>
          <w:pgMar w:top="840" w:right="82" w:bottom="860" w:left="200" w:header="650" w:footer="679" w:gutter="0"/>
          <w:cols w:space="720"/>
        </w:sectPr>
      </w:pPr>
    </w:p>
    <w:p w14:paraId="31124D47" w14:textId="77777777" w:rsidR="00793562" w:rsidRPr="005E67B1" w:rsidRDefault="00793562" w:rsidP="00793562">
      <w:pPr>
        <w:pStyle w:val="BodyText"/>
        <w:rPr>
          <w:sz w:val="20"/>
        </w:rPr>
      </w:pPr>
    </w:p>
    <w:p w14:paraId="262B725D" w14:textId="77777777" w:rsidR="00793562" w:rsidRPr="005E67B1" w:rsidRDefault="00793562" w:rsidP="00793562">
      <w:pPr>
        <w:pStyle w:val="BodyText"/>
        <w:rPr>
          <w:sz w:val="20"/>
        </w:rPr>
      </w:pPr>
    </w:p>
    <w:p w14:paraId="6BCF1DE5" w14:textId="77777777" w:rsidR="00793562" w:rsidRPr="005E67B1" w:rsidRDefault="00793562" w:rsidP="00793562">
      <w:pPr>
        <w:pStyle w:val="BodyText"/>
        <w:rPr>
          <w:sz w:val="20"/>
        </w:rPr>
      </w:pPr>
    </w:p>
    <w:p w14:paraId="03BAB84E" w14:textId="77777777" w:rsidR="00793562" w:rsidRPr="005E67B1" w:rsidRDefault="00793562" w:rsidP="00793562">
      <w:pPr>
        <w:pStyle w:val="BodyText"/>
        <w:rPr>
          <w:sz w:val="20"/>
        </w:rPr>
      </w:pPr>
    </w:p>
    <w:p w14:paraId="2D3D4135" w14:textId="1FDFD7C1" w:rsidR="00793562" w:rsidRDefault="00793562" w:rsidP="00793562">
      <w:pPr>
        <w:pStyle w:val="BodyText"/>
        <w:spacing w:before="11"/>
        <w:rPr>
          <w:sz w:val="14"/>
        </w:rPr>
      </w:pPr>
    </w:p>
    <w:p w14:paraId="6964CAC5" w14:textId="5AC3E897" w:rsidR="00210816" w:rsidRDefault="00210816" w:rsidP="00793562">
      <w:pPr>
        <w:pStyle w:val="BodyText"/>
        <w:spacing w:before="11"/>
        <w:rPr>
          <w:sz w:val="14"/>
        </w:rPr>
      </w:pPr>
    </w:p>
    <w:p w14:paraId="28BEE0D1" w14:textId="3DC38459" w:rsidR="00210816" w:rsidRDefault="00210816" w:rsidP="00793562">
      <w:pPr>
        <w:pStyle w:val="BodyText"/>
        <w:spacing w:before="11"/>
        <w:rPr>
          <w:sz w:val="14"/>
        </w:rPr>
      </w:pPr>
    </w:p>
    <w:p w14:paraId="10B91CAE" w14:textId="288E0A97" w:rsidR="00210816" w:rsidRDefault="00210816" w:rsidP="00793562">
      <w:pPr>
        <w:pStyle w:val="BodyText"/>
        <w:spacing w:before="11"/>
        <w:rPr>
          <w:sz w:val="14"/>
        </w:rPr>
      </w:pPr>
    </w:p>
    <w:p w14:paraId="6C39125A" w14:textId="6481FC2E" w:rsidR="00210816" w:rsidRDefault="00210816" w:rsidP="00793562">
      <w:pPr>
        <w:pStyle w:val="BodyText"/>
        <w:spacing w:before="11"/>
        <w:rPr>
          <w:sz w:val="14"/>
        </w:rPr>
      </w:pPr>
    </w:p>
    <w:p w14:paraId="69B469B8" w14:textId="77777777" w:rsidR="00210816" w:rsidRDefault="00210816" w:rsidP="00793562">
      <w:pPr>
        <w:pStyle w:val="BodyText"/>
        <w:spacing w:before="11"/>
        <w:rPr>
          <w:sz w:val="14"/>
        </w:rPr>
      </w:pPr>
    </w:p>
    <w:p w14:paraId="4CA9B7F1" w14:textId="77777777" w:rsidR="00A840CA" w:rsidRPr="005E67B1" w:rsidRDefault="00A840CA" w:rsidP="00793562">
      <w:pPr>
        <w:pStyle w:val="BodyText"/>
        <w:spacing w:before="11"/>
        <w:rPr>
          <w:sz w:val="14"/>
        </w:rPr>
      </w:pPr>
    </w:p>
    <w:p w14:paraId="21FB62ED" w14:textId="591C3F51" w:rsidR="00793562" w:rsidRPr="005E67B1" w:rsidRDefault="00793562" w:rsidP="00793562">
      <w:pPr>
        <w:spacing w:before="101" w:line="278" w:lineRule="auto"/>
        <w:ind w:left="1240" w:right="2168"/>
        <w:rPr>
          <w:sz w:val="17"/>
        </w:rPr>
      </w:pPr>
      <w:r w:rsidRPr="005E67B1">
        <w:rPr>
          <w:sz w:val="17"/>
        </w:rPr>
        <w:t>Chart 4.3: Comparison of annual Victorian supply and domestic demand (medicinal cannabis oil equivalent), 2028, medium scenario</w:t>
      </w:r>
    </w:p>
    <w:p w14:paraId="76491E41" w14:textId="23CBF14A" w:rsidR="001F0AFF" w:rsidRDefault="001F0AFF" w:rsidP="001F0AFF">
      <w:pPr>
        <w:spacing w:before="128"/>
        <w:ind w:left="1240"/>
        <w:rPr>
          <w:sz w:val="17"/>
        </w:rPr>
      </w:pPr>
      <w:r>
        <w:rPr>
          <w:noProof/>
        </w:rPr>
        <w:drawing>
          <wp:inline distT="0" distB="0" distL="0" distR="0" wp14:anchorId="2BCBA365" wp14:editId="3721B93C">
            <wp:extent cx="5240655" cy="1711280"/>
            <wp:effectExtent l="0" t="0" r="0" b="3810"/>
            <wp:docPr id="250" name="Picture 250" descr="Graph for Comparison of annual Victorian supply and domestic demand (medicinal cannabis oil equivalent), 2028, medium scenario:&#10;Victorian supply= 223.8 in '000 litres&#10;Potential demand for Australian patients= 74.6 in '000 litres&#10;Potential demand for exports= 149.2 in '000 li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257149" cy="1716666"/>
                    </a:xfrm>
                    <a:prstGeom prst="rect">
                      <a:avLst/>
                    </a:prstGeom>
                  </pic:spPr>
                </pic:pic>
              </a:graphicData>
            </a:graphic>
          </wp:inline>
        </w:drawing>
      </w:r>
    </w:p>
    <w:p w14:paraId="33F38960" w14:textId="3B819BF7" w:rsidR="00793562" w:rsidRPr="005E67B1" w:rsidRDefault="00793562" w:rsidP="00793562">
      <w:pPr>
        <w:spacing w:before="128"/>
        <w:ind w:left="1240"/>
        <w:rPr>
          <w:sz w:val="17"/>
        </w:rPr>
      </w:pPr>
      <w:r w:rsidRPr="005E67B1">
        <w:rPr>
          <w:sz w:val="17"/>
        </w:rPr>
        <w:t>Source: Deloitte Access Economics analysis.</w:t>
      </w:r>
    </w:p>
    <w:p w14:paraId="20E9F8CD" w14:textId="0D8B090F" w:rsidR="00793562" w:rsidRPr="00FB461D" w:rsidRDefault="00793562" w:rsidP="00793562">
      <w:pPr>
        <w:pStyle w:val="BodyText"/>
        <w:spacing w:before="3"/>
        <w:rPr>
          <w:b/>
          <w:bCs/>
          <w:sz w:val="20"/>
          <w:szCs w:val="20"/>
        </w:rPr>
      </w:pPr>
    </w:p>
    <w:p w14:paraId="4AFA8A8B" w14:textId="41FD798F" w:rsidR="00793562" w:rsidRPr="00FB461D" w:rsidRDefault="00793562" w:rsidP="00793562">
      <w:pPr>
        <w:pStyle w:val="Heading6"/>
        <w:keepNext w:val="0"/>
        <w:keepLines w:val="0"/>
        <w:numPr>
          <w:ilvl w:val="3"/>
          <w:numId w:val="22"/>
        </w:numPr>
        <w:tabs>
          <w:tab w:val="left" w:pos="1960"/>
          <w:tab w:val="left" w:pos="1961"/>
        </w:tabs>
        <w:spacing w:before="0"/>
        <w:ind w:hanging="721"/>
        <w:rPr>
          <w:rFonts w:ascii="Verdana" w:hAnsi="Verdana"/>
          <w:b/>
          <w:bCs/>
          <w:color w:val="auto"/>
          <w:sz w:val="20"/>
          <w:szCs w:val="20"/>
        </w:rPr>
      </w:pPr>
      <w:r w:rsidRPr="00FB461D">
        <w:rPr>
          <w:rFonts w:ascii="Verdana" w:hAnsi="Verdana"/>
          <w:b/>
          <w:bCs/>
          <w:color w:val="auto"/>
          <w:sz w:val="20"/>
          <w:szCs w:val="20"/>
        </w:rPr>
        <w:t>Lower bound of supply</w:t>
      </w:r>
      <w:r w:rsidRPr="00FB461D">
        <w:rPr>
          <w:rFonts w:ascii="Verdana" w:hAnsi="Verdana"/>
          <w:b/>
          <w:bCs/>
          <w:color w:val="auto"/>
          <w:spacing w:val="-4"/>
          <w:sz w:val="20"/>
          <w:szCs w:val="20"/>
        </w:rPr>
        <w:t xml:space="preserve"> </w:t>
      </w:r>
      <w:r w:rsidRPr="00FB461D">
        <w:rPr>
          <w:rFonts w:ascii="Verdana" w:hAnsi="Verdana"/>
          <w:b/>
          <w:bCs/>
          <w:color w:val="auto"/>
          <w:sz w:val="20"/>
          <w:szCs w:val="20"/>
        </w:rPr>
        <w:t>scenario</w:t>
      </w:r>
    </w:p>
    <w:p w14:paraId="08A1C792" w14:textId="5C1D5046" w:rsidR="00793562" w:rsidRPr="005E67B1" w:rsidRDefault="00793562" w:rsidP="00793562">
      <w:pPr>
        <w:pStyle w:val="BodyText"/>
        <w:spacing w:before="84" w:line="264" w:lineRule="auto"/>
        <w:ind w:left="1240" w:right="2069"/>
      </w:pPr>
      <w:r w:rsidRPr="005E67B1">
        <w:t xml:space="preserve">In the lower bound scenario Victorian producers are assumed to supply the equivalent of 30 per cent of the total Australian market for medicinal cannabis products. This assumption reflects the approximate share of current Australian medicinal cannabis </w:t>
      </w:r>
      <w:proofErr w:type="spellStart"/>
      <w:r w:rsidRPr="005E67B1">
        <w:t>licences</w:t>
      </w:r>
      <w:proofErr w:type="spellEnd"/>
      <w:r w:rsidRPr="005E67B1">
        <w:t xml:space="preserve"> issued for Victorian premises (in September</w:t>
      </w:r>
      <w:r w:rsidRPr="005E67B1">
        <w:rPr>
          <w:spacing w:val="-3"/>
        </w:rPr>
        <w:t xml:space="preserve"> </w:t>
      </w:r>
      <w:r w:rsidRPr="005E67B1">
        <w:t>2019).</w:t>
      </w:r>
    </w:p>
    <w:p w14:paraId="4171F40C" w14:textId="1C125CF5" w:rsidR="00793562" w:rsidRPr="005E67B1" w:rsidRDefault="00793562" w:rsidP="00793562">
      <w:pPr>
        <w:pStyle w:val="BodyText"/>
        <w:spacing w:before="166"/>
        <w:ind w:left="1240"/>
      </w:pPr>
      <w:r w:rsidRPr="005E67B1">
        <w:t>The lower bound scenario assumes that there is no export demand for Victorian product.</w:t>
      </w:r>
    </w:p>
    <w:p w14:paraId="4BAC3930" w14:textId="77777777" w:rsidR="00793562" w:rsidRPr="005E67B1" w:rsidRDefault="00793562" w:rsidP="00793562">
      <w:pPr>
        <w:pStyle w:val="BodyText"/>
        <w:spacing w:before="191" w:line="264" w:lineRule="auto"/>
        <w:ind w:left="1240" w:right="2073"/>
      </w:pPr>
      <w:r w:rsidRPr="005E67B1">
        <w:t xml:space="preserve">This share of the Australian market equates to 18,191 kilograms of dried plant matter, which would be enough dried material to make 54,574 </w:t>
      </w:r>
      <w:proofErr w:type="spellStart"/>
      <w:r w:rsidRPr="005E67B1">
        <w:t>litres</w:t>
      </w:r>
      <w:proofErr w:type="spellEnd"/>
      <w:r w:rsidRPr="005E67B1">
        <w:t xml:space="preserve"> of </w:t>
      </w:r>
      <w:proofErr w:type="gramStart"/>
      <w:r w:rsidRPr="005E67B1">
        <w:t>oil, or</w:t>
      </w:r>
      <w:proofErr w:type="gramEnd"/>
      <w:r w:rsidRPr="005E67B1">
        <w:t xml:space="preserve"> supply approximately 70,000 patients. Assuming Victoria’s share of the Australian population remains constant through to 2028</w:t>
      </w:r>
      <w:r w:rsidRPr="005E67B1">
        <w:rPr>
          <w:position w:val="6"/>
          <w:sz w:val="12"/>
        </w:rPr>
        <w:t>15</w:t>
      </w:r>
      <w:r w:rsidRPr="005E67B1">
        <w:t>, Victoria would have approximately 61,000 patients demanding medicinal cannabis so would likely not need to import under this production</w:t>
      </w:r>
      <w:r w:rsidRPr="005E67B1">
        <w:rPr>
          <w:spacing w:val="-20"/>
        </w:rPr>
        <w:t xml:space="preserve"> </w:t>
      </w:r>
      <w:r w:rsidRPr="005E67B1">
        <w:t>scenario.</w:t>
      </w:r>
    </w:p>
    <w:p w14:paraId="291AD58F" w14:textId="77777777" w:rsidR="00793562" w:rsidRPr="005E67B1" w:rsidRDefault="00793562" w:rsidP="00793562">
      <w:pPr>
        <w:pStyle w:val="BodyText"/>
        <w:spacing w:before="168" w:line="264" w:lineRule="auto"/>
        <w:ind w:left="1240" w:right="2172"/>
      </w:pPr>
      <w:r w:rsidRPr="005E67B1">
        <w:t>Further, in this scenario, Victorian producers are assumed to not export any material, which is consistent with the lower bound estimate in 2017 when Victoria first investigated the opportunity.</w:t>
      </w:r>
      <w:r w:rsidRPr="005E67B1">
        <w:rPr>
          <w:position w:val="6"/>
          <w:sz w:val="12"/>
        </w:rPr>
        <w:t xml:space="preserve">16 </w:t>
      </w:r>
      <w:r w:rsidRPr="005E67B1">
        <w:t>Given this, the lower bound scenario likely reflects the floor of Victorian production given most producers expect to export a portion of their products.</w:t>
      </w:r>
    </w:p>
    <w:p w14:paraId="057F90BD" w14:textId="77777777" w:rsidR="00793562" w:rsidRPr="005E67B1" w:rsidRDefault="00793562" w:rsidP="00793562">
      <w:pPr>
        <w:pStyle w:val="BodyText"/>
        <w:spacing w:before="6"/>
        <w:rPr>
          <w:sz w:val="20"/>
        </w:rPr>
      </w:pPr>
    </w:p>
    <w:p w14:paraId="09E06892" w14:textId="77777777" w:rsidR="00793562" w:rsidRPr="005E67B1" w:rsidRDefault="00793562" w:rsidP="00793562">
      <w:pPr>
        <w:spacing w:before="1" w:line="278" w:lineRule="auto"/>
        <w:ind w:left="1240" w:right="2168"/>
        <w:rPr>
          <w:sz w:val="17"/>
        </w:rPr>
      </w:pPr>
      <w:r w:rsidRPr="005E67B1">
        <w:rPr>
          <w:sz w:val="17"/>
        </w:rPr>
        <w:t>Chart 4.4: Comparison of annual Victorian supply and domestic demand (medicinal cannabis oil equivalent), 2028, lower bound scenario</w:t>
      </w:r>
    </w:p>
    <w:p w14:paraId="44F9E523" w14:textId="77777777" w:rsidR="00E66D37" w:rsidRDefault="00E66D37" w:rsidP="00793562">
      <w:pPr>
        <w:spacing w:before="111"/>
        <w:ind w:left="1240"/>
        <w:rPr>
          <w:sz w:val="17"/>
        </w:rPr>
      </w:pPr>
      <w:r>
        <w:rPr>
          <w:noProof/>
        </w:rPr>
        <w:drawing>
          <wp:inline distT="0" distB="0" distL="0" distR="0" wp14:anchorId="1C628D14" wp14:editId="2B851868">
            <wp:extent cx="5131117" cy="1522390"/>
            <wp:effectExtent l="0" t="0" r="0" b="1905"/>
            <wp:docPr id="252" name="Picture 252" descr="Graph for Comparison of annual Victorian supply and domestic demand (medicinal cannabis oil equivalent), 2028, lower bound scenario:&#10;Victorian supply and potential demand for Australian patients both 54.6 in '000 li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59188" cy="1530719"/>
                    </a:xfrm>
                    <a:prstGeom prst="rect">
                      <a:avLst/>
                    </a:prstGeom>
                  </pic:spPr>
                </pic:pic>
              </a:graphicData>
            </a:graphic>
          </wp:inline>
        </w:drawing>
      </w:r>
    </w:p>
    <w:p w14:paraId="75890EA5" w14:textId="2878FFCB" w:rsidR="00793562" w:rsidRPr="005E67B1" w:rsidRDefault="00793562" w:rsidP="00793562">
      <w:pPr>
        <w:spacing w:before="111"/>
        <w:ind w:left="1240"/>
        <w:rPr>
          <w:sz w:val="17"/>
        </w:rPr>
      </w:pPr>
      <w:r w:rsidRPr="005E67B1">
        <w:rPr>
          <w:sz w:val="17"/>
        </w:rPr>
        <w:t>Source: Deloitte Access Economics analysis.</w:t>
      </w:r>
    </w:p>
    <w:p w14:paraId="2603C5E2" w14:textId="53BA02AA" w:rsidR="00793562" w:rsidRPr="005E67B1" w:rsidRDefault="00793562" w:rsidP="00793562">
      <w:pPr>
        <w:pStyle w:val="BodyText"/>
        <w:spacing w:before="1"/>
        <w:rPr>
          <w:sz w:val="25"/>
        </w:rPr>
      </w:pPr>
      <w:r w:rsidRPr="005E67B1">
        <w:rPr>
          <w:noProof/>
        </w:rPr>
        <mc:AlternateContent>
          <mc:Choice Requires="wps">
            <w:drawing>
              <wp:anchor distT="0" distB="0" distL="0" distR="0" simplePos="0" relativeHeight="251711488" behindDoc="1" locked="0" layoutInCell="1" allowOverlap="1" wp14:anchorId="0BC588CF" wp14:editId="534CC6B3">
                <wp:simplePos x="0" y="0"/>
                <wp:positionH relativeFrom="page">
                  <wp:posOffset>914400</wp:posOffset>
                </wp:positionH>
                <wp:positionV relativeFrom="paragraph">
                  <wp:posOffset>218440</wp:posOffset>
                </wp:positionV>
                <wp:extent cx="1828800" cy="6350"/>
                <wp:effectExtent l="0" t="1905" r="0" b="1270"/>
                <wp:wrapTopAndBottom/>
                <wp:docPr id="10"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33A12" id="Rectangle 10" o:spid="_x0000_s1026" style="position:absolute;margin-left:1in;margin-top:17.2pt;width:2in;height:.5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" fillcolor="black" stroked="f">
                <w10:wrap type="topAndBottom" anchorx="page"/>
              </v:rect>
            </w:pict>
          </mc:Fallback>
        </mc:AlternateContent>
      </w:r>
    </w:p>
    <w:p w14:paraId="79CB2A5E" w14:textId="77777777" w:rsidR="00793562" w:rsidRPr="005E67B1" w:rsidRDefault="00793562" w:rsidP="00793562">
      <w:pPr>
        <w:pStyle w:val="BodyText"/>
        <w:spacing w:before="7"/>
        <w:rPr>
          <w:sz w:val="15"/>
        </w:rPr>
      </w:pPr>
    </w:p>
    <w:p w14:paraId="02254BFE" w14:textId="77777777" w:rsidR="00793562" w:rsidRPr="005E67B1" w:rsidRDefault="00793562" w:rsidP="00793562">
      <w:pPr>
        <w:spacing w:before="101"/>
        <w:ind w:left="1240"/>
        <w:rPr>
          <w:sz w:val="16"/>
        </w:rPr>
      </w:pPr>
      <w:r w:rsidRPr="005E67B1">
        <w:rPr>
          <w:sz w:val="16"/>
          <w:vertAlign w:val="superscript"/>
        </w:rPr>
        <w:t>15</w:t>
      </w:r>
      <w:r w:rsidRPr="005E67B1">
        <w:rPr>
          <w:sz w:val="16"/>
        </w:rPr>
        <w:t xml:space="preserve"> 25% at the 2016 Census</w:t>
      </w:r>
    </w:p>
    <w:p w14:paraId="6BE0FBDA" w14:textId="77777777" w:rsidR="00793562" w:rsidRPr="005E67B1" w:rsidRDefault="00793562" w:rsidP="00793562">
      <w:pPr>
        <w:spacing w:before="60"/>
        <w:ind w:left="1240" w:right="2221"/>
        <w:rPr>
          <w:sz w:val="16"/>
        </w:rPr>
      </w:pPr>
      <w:r w:rsidRPr="005E67B1">
        <w:rPr>
          <w:sz w:val="16"/>
          <w:vertAlign w:val="superscript"/>
        </w:rPr>
        <w:t>16</w:t>
      </w:r>
      <w:r w:rsidRPr="005E67B1">
        <w:rPr>
          <w:sz w:val="16"/>
        </w:rPr>
        <w:t xml:space="preserve"> In reality it is likely that exports would make up at least a small share of product sales even under the lowest production volumes given that exports are </w:t>
      </w:r>
      <w:proofErr w:type="gramStart"/>
      <w:r w:rsidRPr="005E67B1">
        <w:rPr>
          <w:sz w:val="16"/>
        </w:rPr>
        <w:t>legal</w:t>
      </w:r>
      <w:proofErr w:type="gramEnd"/>
      <w:r w:rsidRPr="005E67B1">
        <w:rPr>
          <w:sz w:val="16"/>
        </w:rPr>
        <w:t xml:space="preserve"> and many Victorian producers have an export focus</w:t>
      </w:r>
    </w:p>
    <w:p w14:paraId="312ADD53" w14:textId="77777777" w:rsidR="00793562" w:rsidRPr="005E67B1" w:rsidRDefault="00793562" w:rsidP="00793562">
      <w:pPr>
        <w:rPr>
          <w:sz w:val="16"/>
        </w:rPr>
        <w:sectPr w:rsidR="00793562" w:rsidRPr="005E67B1">
          <w:type w:val="continuous"/>
          <w:pgSz w:w="11910" w:h="16840"/>
          <w:pgMar w:top="720" w:right="82" w:bottom="280" w:left="200" w:header="720" w:footer="720" w:gutter="0"/>
          <w:cols w:space="720"/>
        </w:sectPr>
      </w:pPr>
    </w:p>
    <w:p w14:paraId="32D65C70" w14:textId="77777777" w:rsidR="00793562" w:rsidRPr="005E67B1" w:rsidRDefault="00793562" w:rsidP="00793562">
      <w:pPr>
        <w:pStyle w:val="BodyText"/>
        <w:spacing w:before="2"/>
        <w:rPr>
          <w:sz w:val="22"/>
        </w:rPr>
      </w:pPr>
    </w:p>
    <w:p w14:paraId="64A5016A" w14:textId="77777777" w:rsidR="00793562" w:rsidRPr="00FB461D" w:rsidRDefault="00793562" w:rsidP="00793562">
      <w:pPr>
        <w:pStyle w:val="Heading6"/>
        <w:keepNext w:val="0"/>
        <w:keepLines w:val="0"/>
        <w:numPr>
          <w:ilvl w:val="3"/>
          <w:numId w:val="22"/>
        </w:numPr>
        <w:tabs>
          <w:tab w:val="left" w:pos="1960"/>
          <w:tab w:val="left" w:pos="1961"/>
        </w:tabs>
        <w:spacing w:before="0"/>
        <w:ind w:hanging="721"/>
        <w:rPr>
          <w:rFonts w:ascii="Verdana" w:hAnsi="Verdana"/>
          <w:b/>
          <w:bCs/>
          <w:color w:val="auto"/>
          <w:sz w:val="20"/>
          <w:szCs w:val="20"/>
        </w:rPr>
      </w:pPr>
      <w:r w:rsidRPr="00FB461D">
        <w:rPr>
          <w:rFonts w:ascii="Verdana" w:hAnsi="Verdana"/>
          <w:b/>
          <w:bCs/>
          <w:color w:val="auto"/>
          <w:sz w:val="20"/>
          <w:szCs w:val="20"/>
        </w:rPr>
        <w:t>Industry revenue</w:t>
      </w:r>
    </w:p>
    <w:p w14:paraId="29341959" w14:textId="77777777" w:rsidR="00793562" w:rsidRPr="005E67B1" w:rsidRDefault="00793562" w:rsidP="00793562">
      <w:pPr>
        <w:pStyle w:val="BodyText"/>
        <w:spacing w:before="82" w:line="264" w:lineRule="auto"/>
        <w:ind w:left="1240" w:right="2038"/>
      </w:pPr>
      <w:r w:rsidRPr="005E67B1">
        <w:t>Revenue is a function of price, product type and the market supplied to. Victorian medicinal cannabis producers are assumed to be producing one of two products through to 2028 – dried plant matter and oil products, as follows:</w:t>
      </w:r>
    </w:p>
    <w:p w14:paraId="4EBD3D01" w14:textId="77777777" w:rsidR="00793562" w:rsidRPr="005E67B1" w:rsidRDefault="00793562" w:rsidP="00793562">
      <w:pPr>
        <w:pStyle w:val="ListParagraph"/>
        <w:numPr>
          <w:ilvl w:val="1"/>
          <w:numId w:val="21"/>
        </w:numPr>
        <w:tabs>
          <w:tab w:val="left" w:pos="1581"/>
          <w:tab w:val="left" w:pos="1582"/>
        </w:tabs>
        <w:spacing w:before="168" w:line="261" w:lineRule="auto"/>
        <w:ind w:right="2135"/>
        <w:rPr>
          <w:sz w:val="18"/>
        </w:rPr>
      </w:pPr>
      <w:r w:rsidRPr="005E67B1">
        <w:rPr>
          <w:b/>
          <w:sz w:val="18"/>
        </w:rPr>
        <w:t xml:space="preserve">Dried plant </w:t>
      </w:r>
      <w:proofErr w:type="gramStart"/>
      <w:r w:rsidRPr="005E67B1">
        <w:rPr>
          <w:b/>
          <w:sz w:val="18"/>
        </w:rPr>
        <w:t>matter:</w:t>
      </w:r>
      <w:proofErr w:type="gramEnd"/>
      <w:r w:rsidRPr="005E67B1">
        <w:rPr>
          <w:b/>
          <w:sz w:val="18"/>
        </w:rPr>
        <w:t xml:space="preserve"> </w:t>
      </w:r>
      <w:r w:rsidRPr="005E67B1">
        <w:rPr>
          <w:sz w:val="18"/>
        </w:rPr>
        <w:t>includes dried leaf and flower from the cannabis plant, which can then be used as an input into the production of oil, or</w:t>
      </w:r>
      <w:r w:rsidRPr="005E67B1">
        <w:rPr>
          <w:spacing w:val="-15"/>
          <w:sz w:val="18"/>
        </w:rPr>
        <w:t xml:space="preserve"> </w:t>
      </w:r>
      <w:r w:rsidRPr="005E67B1">
        <w:rPr>
          <w:sz w:val="18"/>
        </w:rPr>
        <w:t>exported.</w:t>
      </w:r>
    </w:p>
    <w:p w14:paraId="4CDA28C1" w14:textId="77777777" w:rsidR="00793562" w:rsidRPr="005E67B1" w:rsidRDefault="00793562" w:rsidP="00793562">
      <w:pPr>
        <w:pStyle w:val="ListParagraph"/>
        <w:numPr>
          <w:ilvl w:val="1"/>
          <w:numId w:val="21"/>
        </w:numPr>
        <w:tabs>
          <w:tab w:val="left" w:pos="1581"/>
          <w:tab w:val="left" w:pos="1582"/>
        </w:tabs>
        <w:spacing w:before="1" w:line="261" w:lineRule="auto"/>
        <w:ind w:right="2370"/>
        <w:rPr>
          <w:sz w:val="18"/>
        </w:rPr>
      </w:pPr>
      <w:r w:rsidRPr="005E67B1">
        <w:rPr>
          <w:b/>
          <w:sz w:val="18"/>
        </w:rPr>
        <w:t>Oil products</w:t>
      </w:r>
      <w:r w:rsidRPr="005E67B1">
        <w:rPr>
          <w:sz w:val="18"/>
        </w:rPr>
        <w:t>: Presently in Australia, oil products are typically prescribed to patients under SAS-B. While it is likely that medicinal cannabis products will take numerous forms by 2028, for this study it has been assumed that medicinal cannabis oil is the only product in the Australian market in</w:t>
      </w:r>
      <w:r w:rsidRPr="005E67B1">
        <w:rPr>
          <w:spacing w:val="-3"/>
          <w:sz w:val="18"/>
        </w:rPr>
        <w:t xml:space="preserve"> </w:t>
      </w:r>
      <w:r w:rsidRPr="005E67B1">
        <w:rPr>
          <w:sz w:val="18"/>
        </w:rPr>
        <w:t>2028.</w:t>
      </w:r>
    </w:p>
    <w:p w14:paraId="685A4256" w14:textId="77777777" w:rsidR="00793562" w:rsidRPr="005E67B1" w:rsidRDefault="00793562" w:rsidP="00793562">
      <w:pPr>
        <w:pStyle w:val="BodyText"/>
        <w:spacing w:before="173" w:line="264" w:lineRule="auto"/>
        <w:ind w:left="1240" w:right="2111"/>
      </w:pPr>
      <w:r w:rsidRPr="005E67B1">
        <w:t xml:space="preserve">Currently, the market price of medicinal cannabis oil (comprising both CBD and THC) is approximately $5,000 to $6,000 per </w:t>
      </w:r>
      <w:proofErr w:type="spellStart"/>
      <w:r w:rsidRPr="005E67B1">
        <w:t>litre</w:t>
      </w:r>
      <w:proofErr w:type="spellEnd"/>
      <w:r w:rsidRPr="005E67B1">
        <w:t>, with labelled 50ml tinctures of medicinal cannabis oil typically sold to pharmacies for $250-$300.</w:t>
      </w:r>
      <w:r w:rsidRPr="005E67B1">
        <w:rPr>
          <w:position w:val="6"/>
          <w:sz w:val="12"/>
        </w:rPr>
        <w:t xml:space="preserve">17 </w:t>
      </w:r>
      <w:r w:rsidRPr="005E67B1">
        <w:t xml:space="preserve">However, most industry stakeholders consulted by Deloitte Access Economics anticipate that this price will fall once the domestic industry becomes established and producers are operating with economies of scale. Reflecting this, it has been conservatively assumed that the price of each bottle of medicinal cannabis oil will fall to $150 by 2028, equating to $3,000 per </w:t>
      </w:r>
      <w:proofErr w:type="spellStart"/>
      <w:r w:rsidRPr="005E67B1">
        <w:t>litre</w:t>
      </w:r>
      <w:proofErr w:type="spellEnd"/>
      <w:r w:rsidRPr="005E67B1">
        <w:t xml:space="preserve"> in nominal terms.</w:t>
      </w:r>
    </w:p>
    <w:p w14:paraId="69AFCF5B" w14:textId="77777777" w:rsidR="00793562" w:rsidRPr="005E67B1" w:rsidRDefault="00793562" w:rsidP="00793562">
      <w:pPr>
        <w:pStyle w:val="BodyText"/>
        <w:spacing w:before="165" w:line="264" w:lineRule="auto"/>
        <w:ind w:left="1240" w:right="2132"/>
      </w:pPr>
      <w:r w:rsidRPr="005E67B1">
        <w:t>Stakeholders estimated that the price of dried plant product would settle somewhere between $3,000 to $5,000 per kilogram. Averaging this range, it was assumed that dried plant matter has a market value of $4,000 per kilogram (in nominal terms), and this holds to 2028.</w:t>
      </w:r>
    </w:p>
    <w:p w14:paraId="18B2C867" w14:textId="77777777" w:rsidR="00793562" w:rsidRPr="005E67B1" w:rsidRDefault="00793562" w:rsidP="00793562">
      <w:pPr>
        <w:pStyle w:val="BodyText"/>
        <w:spacing w:before="169" w:line="264" w:lineRule="auto"/>
        <w:ind w:left="1240" w:right="2089"/>
      </w:pPr>
      <w:r w:rsidRPr="005E67B1">
        <w:t xml:space="preserve">In terms of the share of oil and dried plant matter sold by each producer, consultation with industry has revealed that Victorian producers intend to supply oil to the domestic market, </w:t>
      </w:r>
      <w:proofErr w:type="gramStart"/>
      <w:r w:rsidRPr="005E67B1">
        <w:t>and also</w:t>
      </w:r>
      <w:proofErr w:type="gramEnd"/>
      <w:r w:rsidRPr="005E67B1">
        <w:t xml:space="preserve"> export some dried plant matter. Although this product split is unknown, for this analysis it is assumed that 75 per cent of dried plant matter cultivated in Victoria is sold locally as oil, while the remaining 25 per cent will leave the state as dried plant matter in an unprocessed form. One gram of medicinal cannabis dried product is assumed to be equivalent to three </w:t>
      </w:r>
      <w:proofErr w:type="spellStart"/>
      <w:r w:rsidRPr="005E67B1">
        <w:t>millilitres</w:t>
      </w:r>
      <w:proofErr w:type="spellEnd"/>
      <w:r w:rsidRPr="005E67B1">
        <w:t xml:space="preserve"> of finished medicinal cannabis oil product.</w:t>
      </w:r>
    </w:p>
    <w:p w14:paraId="1DBED1F0" w14:textId="77777777" w:rsidR="00793562" w:rsidRPr="005E67B1" w:rsidRDefault="00793562" w:rsidP="00793562">
      <w:pPr>
        <w:pStyle w:val="BodyText"/>
        <w:spacing w:before="166" w:line="264" w:lineRule="auto"/>
        <w:ind w:left="1240" w:right="2082"/>
      </w:pPr>
      <w:r w:rsidRPr="005E67B1">
        <w:t xml:space="preserve">Given this, under the upper limit scenario industry revenue is estimated to be $2.3 billion in 2028 if the price of medicinal cannabis is $3,000 per </w:t>
      </w:r>
      <w:proofErr w:type="spellStart"/>
      <w:r w:rsidRPr="005E67B1">
        <w:t>litre</w:t>
      </w:r>
      <w:proofErr w:type="spellEnd"/>
      <w:r w:rsidRPr="005E67B1">
        <w:t xml:space="preserve"> of oil, and $4,000 per kilogram of dried plant matter. Under the medium scenario it could be $609 million and under the lower bound scenario it could be $164 million (in nominal</w:t>
      </w:r>
      <w:r w:rsidRPr="005E67B1">
        <w:rPr>
          <w:spacing w:val="-6"/>
        </w:rPr>
        <w:t xml:space="preserve"> </w:t>
      </w:r>
      <w:r w:rsidRPr="005E67B1">
        <w:t>terms).</w:t>
      </w:r>
    </w:p>
    <w:p w14:paraId="3C88B8B5" w14:textId="77777777" w:rsidR="00793562" w:rsidRPr="005E67B1" w:rsidRDefault="00793562" w:rsidP="00793562">
      <w:pPr>
        <w:pStyle w:val="BodyText"/>
        <w:rPr>
          <w:sz w:val="20"/>
        </w:rPr>
      </w:pPr>
    </w:p>
    <w:p w14:paraId="6422CD65" w14:textId="77777777" w:rsidR="00793562" w:rsidRPr="005E67B1" w:rsidRDefault="00793562" w:rsidP="00793562">
      <w:pPr>
        <w:pStyle w:val="BodyText"/>
        <w:rPr>
          <w:sz w:val="20"/>
        </w:rPr>
      </w:pPr>
    </w:p>
    <w:p w14:paraId="262E8D22" w14:textId="77777777" w:rsidR="00793562" w:rsidRPr="005E67B1" w:rsidRDefault="00793562" w:rsidP="00793562">
      <w:pPr>
        <w:pStyle w:val="BodyText"/>
        <w:rPr>
          <w:sz w:val="20"/>
        </w:rPr>
      </w:pPr>
    </w:p>
    <w:p w14:paraId="62E92B57" w14:textId="77777777" w:rsidR="00793562" w:rsidRPr="005E67B1" w:rsidRDefault="00793562" w:rsidP="00793562">
      <w:pPr>
        <w:pStyle w:val="BodyText"/>
        <w:rPr>
          <w:sz w:val="20"/>
        </w:rPr>
      </w:pPr>
    </w:p>
    <w:p w14:paraId="26308837" w14:textId="77777777" w:rsidR="00793562" w:rsidRPr="005E67B1" w:rsidRDefault="00793562" w:rsidP="00793562">
      <w:pPr>
        <w:pStyle w:val="BodyText"/>
        <w:rPr>
          <w:sz w:val="20"/>
        </w:rPr>
      </w:pPr>
    </w:p>
    <w:p w14:paraId="2EE67721" w14:textId="77777777" w:rsidR="00793562" w:rsidRPr="005E67B1" w:rsidRDefault="00793562" w:rsidP="00793562">
      <w:pPr>
        <w:pStyle w:val="BodyText"/>
        <w:rPr>
          <w:sz w:val="20"/>
        </w:rPr>
      </w:pPr>
    </w:p>
    <w:p w14:paraId="5A74FBF6" w14:textId="77777777" w:rsidR="00793562" w:rsidRPr="005E67B1" w:rsidRDefault="00793562" w:rsidP="00793562">
      <w:pPr>
        <w:pStyle w:val="BodyText"/>
        <w:rPr>
          <w:sz w:val="20"/>
        </w:rPr>
      </w:pPr>
    </w:p>
    <w:p w14:paraId="54F2F770" w14:textId="77777777" w:rsidR="00793562" w:rsidRPr="005E67B1" w:rsidRDefault="00793562" w:rsidP="00793562">
      <w:pPr>
        <w:pStyle w:val="BodyText"/>
        <w:rPr>
          <w:sz w:val="20"/>
        </w:rPr>
      </w:pPr>
    </w:p>
    <w:p w14:paraId="080B732F" w14:textId="77777777" w:rsidR="00793562" w:rsidRPr="005E67B1" w:rsidRDefault="00793562" w:rsidP="00793562">
      <w:pPr>
        <w:pStyle w:val="BodyText"/>
        <w:rPr>
          <w:sz w:val="20"/>
        </w:rPr>
      </w:pPr>
    </w:p>
    <w:p w14:paraId="3A4E9057" w14:textId="77777777" w:rsidR="00793562" w:rsidRPr="005E67B1" w:rsidRDefault="00793562" w:rsidP="00793562">
      <w:pPr>
        <w:pStyle w:val="BodyText"/>
        <w:rPr>
          <w:sz w:val="20"/>
        </w:rPr>
      </w:pPr>
    </w:p>
    <w:p w14:paraId="73043145" w14:textId="77777777" w:rsidR="00793562" w:rsidRPr="005E67B1" w:rsidRDefault="00793562" w:rsidP="00793562">
      <w:pPr>
        <w:pStyle w:val="BodyText"/>
        <w:rPr>
          <w:sz w:val="20"/>
        </w:rPr>
      </w:pPr>
    </w:p>
    <w:p w14:paraId="02E311D7" w14:textId="77777777" w:rsidR="00793562" w:rsidRPr="005E67B1" w:rsidRDefault="00793562" w:rsidP="00793562">
      <w:pPr>
        <w:pStyle w:val="BodyText"/>
        <w:rPr>
          <w:sz w:val="20"/>
        </w:rPr>
      </w:pPr>
    </w:p>
    <w:p w14:paraId="5C301CA0" w14:textId="77777777" w:rsidR="00793562" w:rsidRPr="005E67B1" w:rsidRDefault="00793562" w:rsidP="00793562">
      <w:pPr>
        <w:pStyle w:val="BodyText"/>
        <w:rPr>
          <w:sz w:val="20"/>
        </w:rPr>
      </w:pPr>
    </w:p>
    <w:p w14:paraId="3CC716D2" w14:textId="77777777" w:rsidR="00793562" w:rsidRPr="005E67B1" w:rsidRDefault="00793562" w:rsidP="00793562">
      <w:pPr>
        <w:pStyle w:val="BodyText"/>
        <w:rPr>
          <w:sz w:val="20"/>
        </w:rPr>
      </w:pPr>
    </w:p>
    <w:p w14:paraId="3CC347F6" w14:textId="77777777" w:rsidR="00793562" w:rsidRPr="005E67B1" w:rsidRDefault="00793562" w:rsidP="00793562">
      <w:pPr>
        <w:pStyle w:val="BodyText"/>
        <w:rPr>
          <w:sz w:val="20"/>
        </w:rPr>
      </w:pPr>
    </w:p>
    <w:p w14:paraId="2AAC81C2" w14:textId="287BC194" w:rsidR="00793562" w:rsidRPr="005E67B1" w:rsidRDefault="00793562" w:rsidP="00793562">
      <w:pPr>
        <w:pStyle w:val="BodyText"/>
        <w:spacing w:before="11"/>
        <w:rPr>
          <w:sz w:val="21"/>
        </w:rPr>
      </w:pPr>
      <w:r w:rsidRPr="005E67B1">
        <w:rPr>
          <w:noProof/>
        </w:rPr>
        <mc:AlternateContent>
          <mc:Choice Requires="wps">
            <w:drawing>
              <wp:anchor distT="0" distB="0" distL="0" distR="0" simplePos="0" relativeHeight="251712512" behindDoc="1" locked="0" layoutInCell="1" allowOverlap="1" wp14:anchorId="341E32E2" wp14:editId="2C39FEB8">
                <wp:simplePos x="0" y="0"/>
                <wp:positionH relativeFrom="page">
                  <wp:posOffset>914400</wp:posOffset>
                </wp:positionH>
                <wp:positionV relativeFrom="paragraph">
                  <wp:posOffset>194310</wp:posOffset>
                </wp:positionV>
                <wp:extent cx="1828800" cy="6350"/>
                <wp:effectExtent l="0" t="0" r="0" b="0"/>
                <wp:wrapTopAndBottom/>
                <wp:docPr id="8"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292A9" id="Rectangle 8" o:spid="_x0000_s1026" style="position:absolute;margin-left:1in;margin-top:15.3pt;width:2in;height:.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" fillcolor="black" stroked="f">
                <w10:wrap type="topAndBottom" anchorx="page"/>
              </v:rect>
            </w:pict>
          </mc:Fallback>
        </mc:AlternateContent>
      </w:r>
    </w:p>
    <w:p w14:paraId="36FABDB4" w14:textId="77777777" w:rsidR="00793562" w:rsidRPr="005E67B1" w:rsidRDefault="00793562" w:rsidP="00793562">
      <w:pPr>
        <w:pStyle w:val="BodyText"/>
        <w:spacing w:before="7"/>
        <w:rPr>
          <w:sz w:val="15"/>
        </w:rPr>
      </w:pPr>
    </w:p>
    <w:p w14:paraId="2B2A4D6C" w14:textId="49489F18" w:rsidR="00793562" w:rsidRPr="005E67B1" w:rsidRDefault="00793562" w:rsidP="00210816">
      <w:pPr>
        <w:spacing w:before="101"/>
        <w:ind w:left="1240"/>
        <w:rPr>
          <w:sz w:val="16"/>
        </w:rPr>
        <w:sectPr w:rsidR="00793562" w:rsidRPr="005E67B1" w:rsidSect="00EE5237">
          <w:pgSz w:w="11910" w:h="16840"/>
          <w:pgMar w:top="860" w:right="200" w:bottom="840" w:left="82" w:header="650" w:footer="679" w:gutter="0"/>
          <w:cols w:space="720"/>
          <w:docGrid w:linePitch="299"/>
        </w:sectPr>
      </w:pPr>
      <w:r w:rsidRPr="005E67B1">
        <w:rPr>
          <w:sz w:val="16"/>
          <w:vertAlign w:val="superscript"/>
        </w:rPr>
        <w:t>17</w:t>
      </w:r>
      <w:r w:rsidRPr="005E67B1">
        <w:rPr>
          <w:sz w:val="16"/>
        </w:rPr>
        <w:t xml:space="preserve"> Deloitte Access Economics consultations with industry.</w:t>
      </w:r>
    </w:p>
    <w:p w14:paraId="6FA4FD1E" w14:textId="3BCF52CE" w:rsidR="00793562" w:rsidRPr="002366C9" w:rsidRDefault="00793562" w:rsidP="002366C9">
      <w:pPr>
        <w:pStyle w:val="Heading1"/>
        <w:numPr>
          <w:ilvl w:val="0"/>
          <w:numId w:val="41"/>
        </w:numPr>
        <w:rPr>
          <w:rFonts w:ascii="Verdana" w:hAnsi="Verdana"/>
          <w:b/>
          <w:bCs/>
          <w:color w:val="auto"/>
        </w:rPr>
      </w:pPr>
      <w:bookmarkStart w:id="8" w:name="_TOC_250001"/>
      <w:r w:rsidRPr="002366C9">
        <w:rPr>
          <w:rFonts w:ascii="Verdana" w:hAnsi="Verdana"/>
          <w:b/>
          <w:bCs/>
          <w:color w:val="auto"/>
        </w:rPr>
        <w:lastRenderedPageBreak/>
        <w:t>Economic</w:t>
      </w:r>
      <w:r w:rsidRPr="002366C9">
        <w:rPr>
          <w:rFonts w:ascii="Verdana" w:hAnsi="Verdana"/>
          <w:b/>
          <w:bCs/>
          <w:color w:val="auto"/>
          <w:spacing w:val="-1"/>
        </w:rPr>
        <w:t xml:space="preserve"> </w:t>
      </w:r>
      <w:bookmarkEnd w:id="8"/>
      <w:r w:rsidRPr="002366C9">
        <w:rPr>
          <w:rFonts w:ascii="Verdana" w:hAnsi="Verdana"/>
          <w:b/>
          <w:bCs/>
          <w:color w:val="auto"/>
        </w:rPr>
        <w:t>contribution</w:t>
      </w:r>
    </w:p>
    <w:p w14:paraId="278F5585" w14:textId="77777777" w:rsidR="00793562" w:rsidRPr="000B4EDD" w:rsidRDefault="00793562" w:rsidP="00793562">
      <w:pPr>
        <w:pStyle w:val="Heading6"/>
        <w:keepNext w:val="0"/>
        <w:keepLines w:val="0"/>
        <w:numPr>
          <w:ilvl w:val="2"/>
          <w:numId w:val="22"/>
        </w:numPr>
        <w:tabs>
          <w:tab w:val="left" w:pos="1817"/>
        </w:tabs>
        <w:spacing w:before="259"/>
        <w:ind w:hanging="577"/>
        <w:jc w:val="both"/>
        <w:rPr>
          <w:rFonts w:ascii="Verdana" w:hAnsi="Verdana"/>
          <w:b/>
          <w:bCs/>
          <w:color w:val="auto"/>
          <w:sz w:val="20"/>
          <w:szCs w:val="20"/>
        </w:rPr>
      </w:pPr>
      <w:r w:rsidRPr="000B4EDD">
        <w:rPr>
          <w:rFonts w:ascii="Verdana" w:hAnsi="Verdana"/>
          <w:b/>
          <w:bCs/>
          <w:color w:val="auto"/>
          <w:sz w:val="20"/>
          <w:szCs w:val="20"/>
        </w:rPr>
        <w:t>Economic contribution to the Victorian</w:t>
      </w:r>
      <w:r w:rsidRPr="000B4EDD">
        <w:rPr>
          <w:rFonts w:ascii="Verdana" w:hAnsi="Verdana"/>
          <w:b/>
          <w:bCs/>
          <w:color w:val="auto"/>
          <w:spacing w:val="1"/>
          <w:sz w:val="20"/>
          <w:szCs w:val="20"/>
        </w:rPr>
        <w:t xml:space="preserve"> </w:t>
      </w:r>
      <w:r w:rsidRPr="000B4EDD">
        <w:rPr>
          <w:rFonts w:ascii="Verdana" w:hAnsi="Verdana"/>
          <w:b/>
          <w:bCs/>
          <w:color w:val="auto"/>
          <w:sz w:val="20"/>
          <w:szCs w:val="20"/>
        </w:rPr>
        <w:t>economy</w:t>
      </w:r>
    </w:p>
    <w:p w14:paraId="40D09F44" w14:textId="77777777" w:rsidR="00793562" w:rsidRPr="005E67B1" w:rsidRDefault="00793562" w:rsidP="00793562">
      <w:pPr>
        <w:pStyle w:val="BodyText"/>
        <w:spacing w:before="81" w:line="264" w:lineRule="auto"/>
        <w:ind w:left="1240" w:right="2322"/>
        <w:jc w:val="both"/>
      </w:pPr>
      <w:r w:rsidRPr="005E67B1">
        <w:t xml:space="preserve">This section </w:t>
      </w:r>
      <w:proofErr w:type="spellStart"/>
      <w:r w:rsidRPr="005E67B1">
        <w:t>summarises</w:t>
      </w:r>
      <w:proofErr w:type="spellEnd"/>
      <w:r w:rsidRPr="005E67B1">
        <w:t xml:space="preserve"> the economic contribution that the Victorian medicinal cannabis industry could make to growing the Victorian economy, based on the three development scenarios outlined in Chapter 4.</w:t>
      </w:r>
    </w:p>
    <w:p w14:paraId="1E7AC647" w14:textId="77777777" w:rsidR="00793562" w:rsidRPr="000B4EDD" w:rsidRDefault="00793562" w:rsidP="00793562">
      <w:pPr>
        <w:pStyle w:val="BodyText"/>
        <w:spacing w:before="5"/>
        <w:rPr>
          <w:b/>
          <w:bCs/>
          <w:sz w:val="20"/>
          <w:szCs w:val="20"/>
        </w:rPr>
      </w:pPr>
    </w:p>
    <w:p w14:paraId="67154BB6" w14:textId="77777777" w:rsidR="00793562" w:rsidRPr="000B4EDD" w:rsidRDefault="00793562" w:rsidP="00793562">
      <w:pPr>
        <w:pStyle w:val="Heading6"/>
        <w:keepNext w:val="0"/>
        <w:keepLines w:val="0"/>
        <w:numPr>
          <w:ilvl w:val="3"/>
          <w:numId w:val="22"/>
        </w:numPr>
        <w:tabs>
          <w:tab w:val="left" w:pos="1960"/>
          <w:tab w:val="left" w:pos="1961"/>
        </w:tabs>
        <w:spacing w:before="0"/>
        <w:ind w:hanging="721"/>
        <w:rPr>
          <w:rFonts w:ascii="Verdana" w:hAnsi="Verdana"/>
          <w:b/>
          <w:bCs/>
          <w:color w:val="auto"/>
          <w:sz w:val="20"/>
          <w:szCs w:val="20"/>
        </w:rPr>
      </w:pPr>
      <w:r w:rsidRPr="000B4EDD">
        <w:rPr>
          <w:rFonts w:ascii="Verdana" w:hAnsi="Verdana"/>
          <w:b/>
          <w:bCs/>
          <w:color w:val="auto"/>
          <w:sz w:val="20"/>
          <w:szCs w:val="20"/>
        </w:rPr>
        <w:t>Economic contribution modelling</w:t>
      </w:r>
    </w:p>
    <w:p w14:paraId="37066E9E" w14:textId="77777777" w:rsidR="00793562" w:rsidRPr="005E67B1" w:rsidRDefault="00793562" w:rsidP="00793562">
      <w:pPr>
        <w:pStyle w:val="BodyText"/>
        <w:spacing w:before="84" w:line="264" w:lineRule="auto"/>
        <w:ind w:left="1240" w:right="2032"/>
      </w:pPr>
      <w:r w:rsidRPr="005E67B1">
        <w:t>Economic contribution modelling takes industry revenue and estimates the contribution to the economy (here, in Gross State Product (GSP) terms) based on the activity undertaken to generate this revenue.</w:t>
      </w:r>
      <w:r w:rsidRPr="005E67B1">
        <w:rPr>
          <w:position w:val="6"/>
          <w:sz w:val="12"/>
        </w:rPr>
        <w:t xml:space="preserve">18 </w:t>
      </w:r>
      <w:r w:rsidRPr="005E67B1">
        <w:t xml:space="preserve">This measure can be split into two components – direct economic contribution within the industry, and indirect economic contribution outside of the industry. The latter </w:t>
      </w:r>
      <w:proofErr w:type="spellStart"/>
      <w:r w:rsidRPr="005E67B1">
        <w:t>recognises</w:t>
      </w:r>
      <w:proofErr w:type="spellEnd"/>
      <w:r w:rsidRPr="005E67B1">
        <w:t xml:space="preserve"> that the establishment of a Victorian medicinal cannabis sector will stimulate value added in other parts of the Victorian economy that supply inputs to the medicinal cannabis sector.</w:t>
      </w:r>
    </w:p>
    <w:p w14:paraId="0CCE73A6" w14:textId="77777777" w:rsidR="00793562" w:rsidRPr="005E67B1" w:rsidRDefault="00793562" w:rsidP="00793562">
      <w:pPr>
        <w:pStyle w:val="BodyText"/>
        <w:spacing w:before="164" w:line="264" w:lineRule="auto"/>
        <w:ind w:left="1240" w:right="2142"/>
        <w:rPr>
          <w:sz w:val="12"/>
        </w:rPr>
      </w:pPr>
      <w:r w:rsidRPr="005E67B1">
        <w:t>To quantify economic contribution, the Deloitte Access Economics’ regional Input Output (IO) tables for Victoria have been used (more detail on the approach is provided in the full report).</w:t>
      </w:r>
      <w:r w:rsidRPr="005E67B1">
        <w:rPr>
          <w:position w:val="6"/>
          <w:sz w:val="12"/>
        </w:rPr>
        <w:t xml:space="preserve">19 </w:t>
      </w:r>
      <w:r w:rsidRPr="005E67B1">
        <w:t>This model has been developed using the Australian Bureau of Statistics’ (ABS) Input Output (IO) tables.</w:t>
      </w:r>
      <w:r w:rsidRPr="005E67B1">
        <w:rPr>
          <w:position w:val="6"/>
          <w:sz w:val="12"/>
        </w:rPr>
        <w:t>20</w:t>
      </w:r>
    </w:p>
    <w:p w14:paraId="67376F62" w14:textId="77777777" w:rsidR="00793562" w:rsidRPr="005E67B1" w:rsidRDefault="00793562" w:rsidP="00793562">
      <w:pPr>
        <w:pStyle w:val="BodyText"/>
        <w:spacing w:before="6"/>
        <w:rPr>
          <w:sz w:val="19"/>
        </w:rPr>
      </w:pPr>
    </w:p>
    <w:p w14:paraId="54B8F8C3" w14:textId="751ECEF6" w:rsidR="00793562" w:rsidRPr="000B4EDD" w:rsidRDefault="00793562" w:rsidP="00793562">
      <w:pPr>
        <w:pStyle w:val="Heading6"/>
        <w:keepNext w:val="0"/>
        <w:keepLines w:val="0"/>
        <w:numPr>
          <w:ilvl w:val="3"/>
          <w:numId w:val="22"/>
        </w:numPr>
        <w:tabs>
          <w:tab w:val="left" w:pos="1960"/>
          <w:tab w:val="left" w:pos="1961"/>
        </w:tabs>
        <w:spacing w:before="0"/>
        <w:ind w:hanging="721"/>
        <w:rPr>
          <w:rFonts w:ascii="Verdana" w:hAnsi="Verdana"/>
          <w:b/>
          <w:bCs/>
          <w:color w:val="auto"/>
          <w:sz w:val="20"/>
          <w:szCs w:val="20"/>
        </w:rPr>
      </w:pPr>
      <w:r w:rsidRPr="000B4EDD">
        <w:rPr>
          <w:rFonts w:ascii="Verdana" w:hAnsi="Verdana"/>
          <w:b/>
          <w:bCs/>
          <w:color w:val="auto"/>
          <w:sz w:val="20"/>
          <w:szCs w:val="20"/>
        </w:rPr>
        <w:t>Results</w:t>
      </w:r>
    </w:p>
    <w:p w14:paraId="572C3BD6" w14:textId="77777777" w:rsidR="00793562" w:rsidRPr="005E67B1" w:rsidRDefault="00793562" w:rsidP="00793562">
      <w:pPr>
        <w:pStyle w:val="BodyText"/>
        <w:spacing w:before="82" w:line="264" w:lineRule="auto"/>
        <w:ind w:left="1240" w:right="2230"/>
      </w:pPr>
      <w:r w:rsidRPr="005E67B1">
        <w:t>In total, the medicinal cannabis sector could directly and indirectly contribute up to $1.39 billion each year to GSP by 2028. Meanwhile under the medium scenario this total contribution could be $365 million and $99 million under the lower bound scenario.</w:t>
      </w:r>
    </w:p>
    <w:p w14:paraId="57006944" w14:textId="77777777" w:rsidR="00793562" w:rsidRPr="000B4EDD" w:rsidRDefault="00793562" w:rsidP="00793562">
      <w:pPr>
        <w:pStyle w:val="Heading6"/>
        <w:keepNext w:val="0"/>
        <w:keepLines w:val="0"/>
        <w:numPr>
          <w:ilvl w:val="4"/>
          <w:numId w:val="22"/>
        </w:numPr>
        <w:tabs>
          <w:tab w:val="left" w:pos="2105"/>
        </w:tabs>
        <w:spacing w:before="169"/>
        <w:ind w:hanging="865"/>
        <w:rPr>
          <w:rFonts w:ascii="Verdana" w:hAnsi="Verdana"/>
          <w:b/>
          <w:bCs/>
          <w:color w:val="auto"/>
          <w:sz w:val="20"/>
          <w:szCs w:val="20"/>
        </w:rPr>
      </w:pPr>
      <w:r w:rsidRPr="000B4EDD">
        <w:rPr>
          <w:rFonts w:ascii="Verdana" w:hAnsi="Verdana"/>
          <w:b/>
          <w:bCs/>
          <w:color w:val="auto"/>
          <w:sz w:val="20"/>
          <w:szCs w:val="20"/>
        </w:rPr>
        <w:t>Direct economic</w:t>
      </w:r>
      <w:r w:rsidRPr="000B4EDD">
        <w:rPr>
          <w:rFonts w:ascii="Verdana" w:hAnsi="Verdana"/>
          <w:b/>
          <w:bCs/>
          <w:color w:val="auto"/>
          <w:spacing w:val="-1"/>
          <w:sz w:val="20"/>
          <w:szCs w:val="20"/>
        </w:rPr>
        <w:t xml:space="preserve"> </w:t>
      </w:r>
      <w:r w:rsidRPr="000B4EDD">
        <w:rPr>
          <w:rFonts w:ascii="Verdana" w:hAnsi="Verdana"/>
          <w:b/>
          <w:bCs/>
          <w:color w:val="auto"/>
          <w:sz w:val="20"/>
          <w:szCs w:val="20"/>
        </w:rPr>
        <w:t>contribution</w:t>
      </w:r>
    </w:p>
    <w:p w14:paraId="45D33E74" w14:textId="77777777" w:rsidR="00793562" w:rsidRPr="005E67B1" w:rsidRDefault="00793562" w:rsidP="00793562">
      <w:pPr>
        <w:pStyle w:val="BodyText"/>
        <w:spacing w:before="81" w:line="264" w:lineRule="auto"/>
        <w:ind w:left="1240" w:right="2204"/>
        <w:rPr>
          <w:sz w:val="12"/>
        </w:rPr>
      </w:pPr>
      <w:r w:rsidRPr="005E67B1">
        <w:t>If the Victorian industry was to generate $2.3 billion in revenue, as per the upper limit scenario, then it could directly contribute up to $884 million to GSP each year. In the medium scenario, the industry direct value added would be $233 million, and in the lower bound scenario it would be $63 million.</w:t>
      </w:r>
      <w:r w:rsidRPr="005E67B1">
        <w:rPr>
          <w:position w:val="6"/>
          <w:sz w:val="12"/>
        </w:rPr>
        <w:t>21</w:t>
      </w:r>
    </w:p>
    <w:p w14:paraId="540FBF6E" w14:textId="77777777" w:rsidR="00793562" w:rsidRPr="005E67B1" w:rsidRDefault="00793562" w:rsidP="00793562">
      <w:pPr>
        <w:pStyle w:val="BodyText"/>
        <w:spacing w:before="168" w:line="264" w:lineRule="auto"/>
        <w:ind w:left="1240" w:right="2347"/>
      </w:pPr>
      <w:r w:rsidRPr="005E67B1">
        <w:t>On average, Victorian firms in the pharmaceutical manufacturing sector contribute more value added to the state for each dollar of output than the industry average across</w:t>
      </w:r>
    </w:p>
    <w:p w14:paraId="7B2FD040" w14:textId="66254AB2" w:rsidR="00793562" w:rsidRPr="005E67B1" w:rsidRDefault="00793562" w:rsidP="00793562">
      <w:pPr>
        <w:pStyle w:val="BodyText"/>
        <w:spacing w:before="2"/>
        <w:rPr>
          <w:sz w:val="23"/>
        </w:rPr>
      </w:pPr>
      <w:r w:rsidRPr="005E67B1">
        <w:rPr>
          <w:noProof/>
        </w:rPr>
        <mc:AlternateContent>
          <mc:Choice Requires="wps">
            <w:drawing>
              <wp:anchor distT="0" distB="0" distL="0" distR="0" simplePos="0" relativeHeight="251713536" behindDoc="1" locked="0" layoutInCell="1" allowOverlap="1" wp14:anchorId="0592DF19" wp14:editId="5C49AF68">
                <wp:simplePos x="0" y="0"/>
                <wp:positionH relativeFrom="page">
                  <wp:posOffset>914400</wp:posOffset>
                </wp:positionH>
                <wp:positionV relativeFrom="paragraph">
                  <wp:posOffset>203835</wp:posOffset>
                </wp:positionV>
                <wp:extent cx="1828800" cy="6350"/>
                <wp:effectExtent l="0" t="0" r="0" b="3810"/>
                <wp:wrapTopAndBottom/>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2F8EB" id="Rectangle 6" o:spid="_x0000_s1026" style="position:absolute;margin-left:1in;margin-top:16.05pt;width:2in;height:.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" fillcolor="black" stroked="f">
                <w10:wrap type="topAndBottom" anchorx="page"/>
              </v:rect>
            </w:pict>
          </mc:Fallback>
        </mc:AlternateContent>
      </w:r>
    </w:p>
    <w:p w14:paraId="745519AA" w14:textId="77777777" w:rsidR="00793562" w:rsidRPr="005E67B1" w:rsidRDefault="00793562" w:rsidP="00793562">
      <w:pPr>
        <w:pStyle w:val="BodyText"/>
        <w:spacing w:before="7"/>
        <w:rPr>
          <w:sz w:val="15"/>
        </w:rPr>
      </w:pPr>
    </w:p>
    <w:p w14:paraId="7FC676AE" w14:textId="77777777" w:rsidR="00793562" w:rsidRPr="005E67B1" w:rsidRDefault="00793562" w:rsidP="00793562">
      <w:pPr>
        <w:spacing w:before="101"/>
        <w:ind w:left="1240" w:right="2167"/>
        <w:rPr>
          <w:sz w:val="16"/>
        </w:rPr>
      </w:pPr>
      <w:r w:rsidRPr="005E67B1">
        <w:rPr>
          <w:sz w:val="16"/>
          <w:vertAlign w:val="superscript"/>
        </w:rPr>
        <w:t>18</w:t>
      </w:r>
      <w:r w:rsidRPr="005E67B1">
        <w:rPr>
          <w:sz w:val="16"/>
        </w:rPr>
        <w:t xml:space="preserve"> Economic contribution – or value added - is the preferred measure of economic value over industry revenue, as revenue captures the cost of intermediate inputs supplied by </w:t>
      </w:r>
      <w:proofErr w:type="gramStart"/>
      <w:r w:rsidRPr="005E67B1">
        <w:rPr>
          <w:sz w:val="16"/>
        </w:rPr>
        <w:t>other</w:t>
      </w:r>
      <w:proofErr w:type="gramEnd"/>
      <w:r w:rsidRPr="005E67B1">
        <w:rPr>
          <w:sz w:val="16"/>
        </w:rPr>
        <w:t xml:space="preserve"> sector. As such, revenue over-estimates an industry’s contribution to the economy as it includes some of the value added of supplying sectors.</w:t>
      </w:r>
    </w:p>
    <w:p w14:paraId="7BC3EF03" w14:textId="77777777" w:rsidR="00793562" w:rsidRPr="005E67B1" w:rsidRDefault="00793562" w:rsidP="00793562">
      <w:pPr>
        <w:spacing w:before="60"/>
        <w:ind w:left="1240" w:right="2114"/>
        <w:rPr>
          <w:sz w:val="16"/>
        </w:rPr>
      </w:pPr>
      <w:r w:rsidRPr="005E67B1">
        <w:rPr>
          <w:sz w:val="16"/>
          <w:vertAlign w:val="superscript"/>
        </w:rPr>
        <w:t>19</w:t>
      </w:r>
      <w:r w:rsidRPr="005E67B1">
        <w:rPr>
          <w:sz w:val="16"/>
        </w:rPr>
        <w:t xml:space="preserve"> Deloitte Access Economics maintains a proprietary regional input-output model that captures the complexity of economic activities of a firm or an industry and the relationships with other industries in the economy. The model is built on well-established economic theories and has been effectively deployed for various projects.</w:t>
      </w:r>
    </w:p>
    <w:p w14:paraId="26B54565" w14:textId="77777777" w:rsidR="00793562" w:rsidRPr="005E67B1" w:rsidRDefault="00793562" w:rsidP="00793562">
      <w:pPr>
        <w:spacing w:before="60"/>
        <w:ind w:left="1240" w:right="2125"/>
        <w:rPr>
          <w:sz w:val="16"/>
        </w:rPr>
      </w:pPr>
      <w:r w:rsidRPr="005E67B1">
        <w:rPr>
          <w:sz w:val="16"/>
          <w:vertAlign w:val="superscript"/>
        </w:rPr>
        <w:t>20</w:t>
      </w:r>
      <w:r w:rsidRPr="005E67B1">
        <w:rPr>
          <w:sz w:val="16"/>
        </w:rPr>
        <w:t xml:space="preserve"> Currently the medicinal cannabis sector is not a formal industry </w:t>
      </w:r>
      <w:proofErr w:type="spellStart"/>
      <w:r w:rsidRPr="005E67B1">
        <w:rPr>
          <w:sz w:val="16"/>
        </w:rPr>
        <w:t>recognised</w:t>
      </w:r>
      <w:proofErr w:type="spellEnd"/>
      <w:r w:rsidRPr="005E67B1">
        <w:rPr>
          <w:sz w:val="16"/>
        </w:rPr>
        <w:t xml:space="preserve"> by the ABS in its reporting of industry purchasing and selling activity in IO tables. As such, we use the cost structure of a similar industry to do this modelling. Of the 114 sectors represented in the ABS IO tables, the Human Pharmaceutical and Medicinal Product Manufacturing sector most closely represents the cost structure of the medicinal cannabis sector given it is a pharmaceutical product.</w:t>
      </w:r>
    </w:p>
    <w:p w14:paraId="4CB905F1" w14:textId="260276E3" w:rsidR="00793562" w:rsidRPr="005E67B1" w:rsidRDefault="00793562" w:rsidP="00A840CA">
      <w:pPr>
        <w:spacing w:before="59"/>
        <w:ind w:left="1240" w:right="2958"/>
        <w:rPr>
          <w:sz w:val="16"/>
        </w:rPr>
        <w:sectPr w:rsidR="00793562" w:rsidRPr="005E67B1">
          <w:pgSz w:w="11910" w:h="16840"/>
          <w:pgMar w:top="840" w:right="82" w:bottom="860" w:left="200" w:header="650" w:footer="679" w:gutter="0"/>
          <w:cols w:space="720"/>
        </w:sectPr>
      </w:pPr>
      <w:r w:rsidRPr="005E67B1">
        <w:rPr>
          <w:sz w:val="16"/>
          <w:vertAlign w:val="superscript"/>
        </w:rPr>
        <w:t>21</w:t>
      </w:r>
      <w:r w:rsidRPr="005E67B1">
        <w:rPr>
          <w:sz w:val="16"/>
        </w:rPr>
        <w:t xml:space="preserve"> This is based on the current value added of Human Pharmaceutical and Medicinal Product Manufacturing industry within Victoria. See footnote 19 for further detail.</w:t>
      </w:r>
    </w:p>
    <w:p w14:paraId="090816A0" w14:textId="77777777" w:rsidR="00793562" w:rsidRPr="005E67B1" w:rsidRDefault="00793562" w:rsidP="00793562">
      <w:pPr>
        <w:pStyle w:val="BodyText"/>
        <w:rPr>
          <w:sz w:val="20"/>
        </w:rPr>
      </w:pPr>
    </w:p>
    <w:p w14:paraId="1658BBA3" w14:textId="77777777" w:rsidR="00793562" w:rsidRPr="005E67B1" w:rsidRDefault="00793562" w:rsidP="00793562">
      <w:pPr>
        <w:pStyle w:val="BodyText"/>
        <w:spacing w:before="2"/>
        <w:rPr>
          <w:sz w:val="22"/>
        </w:rPr>
      </w:pPr>
    </w:p>
    <w:p w14:paraId="652328F1" w14:textId="77777777" w:rsidR="00793562" w:rsidRPr="005E67B1" w:rsidRDefault="00793562" w:rsidP="00793562">
      <w:pPr>
        <w:pStyle w:val="BodyText"/>
        <w:spacing w:line="264" w:lineRule="auto"/>
        <w:ind w:left="1240" w:right="3001"/>
      </w:pPr>
      <w:r w:rsidRPr="005E67B1">
        <w:t>Australia</w:t>
      </w:r>
      <w:r w:rsidRPr="005E67B1">
        <w:rPr>
          <w:position w:val="6"/>
          <w:sz w:val="12"/>
        </w:rPr>
        <w:t>22</w:t>
      </w:r>
      <w:r w:rsidRPr="005E67B1">
        <w:t>. This difference likely reflects the high-value nature of pharmaceutical manufacturing activity located in Victoria.</w:t>
      </w:r>
    </w:p>
    <w:p w14:paraId="10E67F65" w14:textId="77777777" w:rsidR="00793562" w:rsidRPr="005E67B1" w:rsidRDefault="00793562" w:rsidP="00793562">
      <w:pPr>
        <w:pStyle w:val="BodyText"/>
        <w:spacing w:before="169" w:line="264" w:lineRule="auto"/>
        <w:ind w:left="1240" w:right="2140"/>
      </w:pPr>
      <w:r w:rsidRPr="005E67B1">
        <w:t>In the upper limit scenario, employment in the medicinal cannabis industry is estimated to comprise approximately 2,900 Full Time Equivalents (FTEs). In the medium scenario, industry employment is approximately 750 FTEs, while in the lower bound scenario it is 180 FTEs.</w:t>
      </w:r>
    </w:p>
    <w:p w14:paraId="75B1F0FF" w14:textId="77777777" w:rsidR="00793562" w:rsidRPr="005E67B1" w:rsidRDefault="00793562" w:rsidP="00793562">
      <w:pPr>
        <w:pStyle w:val="BodyText"/>
        <w:spacing w:before="166" w:line="264" w:lineRule="auto"/>
        <w:ind w:left="1240" w:right="2398"/>
      </w:pPr>
      <w:r w:rsidRPr="005E67B1">
        <w:t xml:space="preserve">Across all three scenarios, it is estimated that </w:t>
      </w:r>
      <w:proofErr w:type="gramStart"/>
      <w:r w:rsidRPr="005E67B1">
        <w:t>the majority of</w:t>
      </w:r>
      <w:proofErr w:type="gramEnd"/>
      <w:r w:rsidRPr="005E67B1">
        <w:t xml:space="preserve"> FTEs would be working as manufacturers, cultivators, and in technical roles.</w:t>
      </w:r>
    </w:p>
    <w:p w14:paraId="46776664" w14:textId="77777777" w:rsidR="00793562" w:rsidRPr="005E67B1" w:rsidRDefault="00793562" w:rsidP="00793562">
      <w:pPr>
        <w:pStyle w:val="BodyText"/>
        <w:spacing w:before="169" w:line="264" w:lineRule="auto"/>
        <w:ind w:left="1240" w:right="2033"/>
      </w:pPr>
      <w:r w:rsidRPr="005E67B1">
        <w:t>This estimate was informed by stakeholder consultations with current producers in the industry, but it is important to note that there is a high degree of variability associated with the estimates provided.</w:t>
      </w:r>
    </w:p>
    <w:p w14:paraId="6D9FD8A0" w14:textId="77777777" w:rsidR="00793562" w:rsidRPr="000B4EDD" w:rsidRDefault="00793562" w:rsidP="00793562">
      <w:pPr>
        <w:pStyle w:val="Heading6"/>
        <w:keepNext w:val="0"/>
        <w:keepLines w:val="0"/>
        <w:numPr>
          <w:ilvl w:val="4"/>
          <w:numId w:val="22"/>
        </w:numPr>
        <w:tabs>
          <w:tab w:val="left" w:pos="2105"/>
        </w:tabs>
        <w:spacing w:before="169"/>
        <w:ind w:hanging="865"/>
        <w:rPr>
          <w:rFonts w:ascii="Verdana" w:hAnsi="Verdana"/>
          <w:b/>
          <w:bCs/>
          <w:color w:val="auto"/>
          <w:sz w:val="20"/>
          <w:szCs w:val="20"/>
        </w:rPr>
      </w:pPr>
      <w:r w:rsidRPr="000B4EDD">
        <w:rPr>
          <w:rFonts w:ascii="Verdana" w:hAnsi="Verdana"/>
          <w:b/>
          <w:bCs/>
          <w:color w:val="auto"/>
          <w:sz w:val="20"/>
          <w:szCs w:val="20"/>
        </w:rPr>
        <w:t>Indirect Economic</w:t>
      </w:r>
      <w:r w:rsidRPr="000B4EDD">
        <w:rPr>
          <w:rFonts w:ascii="Verdana" w:hAnsi="Verdana"/>
          <w:b/>
          <w:bCs/>
          <w:color w:val="auto"/>
          <w:spacing w:val="-1"/>
          <w:sz w:val="20"/>
          <w:szCs w:val="20"/>
        </w:rPr>
        <w:t xml:space="preserve"> </w:t>
      </w:r>
      <w:r w:rsidRPr="000B4EDD">
        <w:rPr>
          <w:rFonts w:ascii="Verdana" w:hAnsi="Verdana"/>
          <w:b/>
          <w:bCs/>
          <w:color w:val="auto"/>
          <w:sz w:val="20"/>
          <w:szCs w:val="20"/>
        </w:rPr>
        <w:t>contribution</w:t>
      </w:r>
    </w:p>
    <w:p w14:paraId="28466B36" w14:textId="77777777" w:rsidR="00793562" w:rsidRPr="005E67B1" w:rsidRDefault="00793562" w:rsidP="00793562">
      <w:pPr>
        <w:pStyle w:val="BodyText"/>
        <w:spacing w:before="81"/>
        <w:ind w:left="1240"/>
      </w:pPr>
      <w:r w:rsidRPr="005E67B1">
        <w:t>The value added generated from the Victorian medicinal cannabis industry’s expenditure on</w:t>
      </w:r>
    </w:p>
    <w:p w14:paraId="308BBE7A" w14:textId="77777777" w:rsidR="00793562" w:rsidRPr="005E67B1" w:rsidRDefault="00793562" w:rsidP="00793562">
      <w:pPr>
        <w:pStyle w:val="BodyText"/>
        <w:spacing w:before="22" w:line="264" w:lineRule="auto"/>
        <w:ind w:left="1240" w:right="2291"/>
        <w:rPr>
          <w:sz w:val="12"/>
        </w:rPr>
      </w:pPr>
      <w:r w:rsidRPr="005E67B1">
        <w:t xml:space="preserve">intermediate inputs </w:t>
      </w:r>
      <w:proofErr w:type="gramStart"/>
      <w:r w:rsidRPr="005E67B1">
        <w:t>is</w:t>
      </w:r>
      <w:proofErr w:type="gramEnd"/>
      <w:r w:rsidRPr="005E67B1">
        <w:t xml:space="preserve"> estimated to be $505 million in 2028, in the upper limit scenario. Under the medium scenario, value added from Victorian sectors would be $132 million in 2028, while under the lower bound scenario this figure would be $36 million.</w:t>
      </w:r>
      <w:r w:rsidRPr="005E67B1">
        <w:rPr>
          <w:position w:val="6"/>
          <w:sz w:val="12"/>
        </w:rPr>
        <w:t>23</w:t>
      </w:r>
    </w:p>
    <w:p w14:paraId="7C170936" w14:textId="77777777" w:rsidR="00793562" w:rsidRPr="005E67B1" w:rsidRDefault="00793562" w:rsidP="00793562">
      <w:pPr>
        <w:pStyle w:val="BodyText"/>
        <w:spacing w:before="168" w:line="264" w:lineRule="auto"/>
        <w:ind w:left="1240" w:right="2101"/>
        <w:rPr>
          <w:sz w:val="12"/>
        </w:rPr>
      </w:pPr>
      <w:r w:rsidRPr="005E67B1">
        <w:t>In other words, for every dollar of value added generated in the medicinal cannabis sector, there is a further $0.57 in value added generated in the Victorian economy.</w:t>
      </w:r>
      <w:r w:rsidRPr="005E67B1">
        <w:rPr>
          <w:position w:val="6"/>
          <w:sz w:val="12"/>
        </w:rPr>
        <w:t>24</w:t>
      </w:r>
    </w:p>
    <w:p w14:paraId="1AC953FB" w14:textId="77777777" w:rsidR="00793562" w:rsidRPr="005E67B1" w:rsidRDefault="00793562" w:rsidP="00793562">
      <w:pPr>
        <w:pStyle w:val="BodyText"/>
        <w:spacing w:before="169" w:line="264" w:lineRule="auto"/>
        <w:ind w:left="1240" w:right="2852"/>
      </w:pPr>
      <w:r w:rsidRPr="005E67B1">
        <w:t xml:space="preserve">Table 5.1 below </w:t>
      </w:r>
      <w:proofErr w:type="spellStart"/>
      <w:r w:rsidRPr="005E67B1">
        <w:t>summarises</w:t>
      </w:r>
      <w:proofErr w:type="spellEnd"/>
      <w:r w:rsidRPr="005E67B1">
        <w:t xml:space="preserve"> the results of this modelling exercise across the three scenarios (lower bound, medium and upper limit).</w:t>
      </w:r>
    </w:p>
    <w:p w14:paraId="38A7854C" w14:textId="77777777" w:rsidR="00793562" w:rsidRPr="005E67B1" w:rsidRDefault="00793562" w:rsidP="00793562">
      <w:pPr>
        <w:pStyle w:val="BodyText"/>
        <w:spacing w:before="9"/>
        <w:rPr>
          <w:sz w:val="20"/>
        </w:rPr>
      </w:pPr>
    </w:p>
    <w:p w14:paraId="0DB18888" w14:textId="77777777" w:rsidR="00793562" w:rsidRPr="005E67B1" w:rsidRDefault="00793562" w:rsidP="00793562">
      <w:pPr>
        <w:spacing w:line="278" w:lineRule="auto"/>
        <w:ind w:left="1240" w:right="2063"/>
        <w:rPr>
          <w:sz w:val="17"/>
        </w:rPr>
      </w:pPr>
      <w:r w:rsidRPr="005E67B1">
        <w:rPr>
          <w:sz w:val="17"/>
        </w:rPr>
        <w:t>Table 5.1: Summary of economic contribution of the Victorian medicinal cannabis industry to the Victorian economy, 2028</w:t>
      </w:r>
    </w:p>
    <w:tbl>
      <w:tblPr>
        <w:tblStyle w:val="TableGrid"/>
        <w:tblpPr w:leftFromText="180" w:rightFromText="180" w:vertAnchor="text" w:horzAnchor="page" w:tblpX="1314" w:tblpY="100"/>
        <w:tblW w:w="0" w:type="auto"/>
        <w:tblLayout w:type="fixed"/>
        <w:tblLook w:val="01E0" w:firstRow="1" w:lastRow="1" w:firstColumn="1" w:lastColumn="1" w:noHBand="0" w:noVBand="0"/>
      </w:tblPr>
      <w:tblGrid>
        <w:gridCol w:w="2617"/>
        <w:gridCol w:w="1881"/>
        <w:gridCol w:w="1576"/>
        <w:gridCol w:w="2356"/>
      </w:tblGrid>
      <w:tr w:rsidR="00D4162A" w:rsidRPr="005E67B1" w14:paraId="34F5FA1E" w14:textId="77777777" w:rsidTr="002A74E1">
        <w:trPr>
          <w:trHeight w:val="620"/>
        </w:trPr>
        <w:tc>
          <w:tcPr>
            <w:tcW w:w="2617" w:type="dxa"/>
          </w:tcPr>
          <w:p w14:paraId="5D6A63B4" w14:textId="77777777" w:rsidR="002A74E1" w:rsidRPr="005E67B1" w:rsidRDefault="002A74E1" w:rsidP="002A74E1">
            <w:pPr>
              <w:pStyle w:val="TableParagraph"/>
              <w:spacing w:before="0"/>
              <w:ind w:left="0"/>
              <w:rPr>
                <w:sz w:val="16"/>
              </w:rPr>
            </w:pPr>
          </w:p>
        </w:tc>
        <w:tc>
          <w:tcPr>
            <w:tcW w:w="1881" w:type="dxa"/>
          </w:tcPr>
          <w:p w14:paraId="557FEA4C" w14:textId="77777777" w:rsidR="002A74E1" w:rsidRPr="005E67B1" w:rsidRDefault="002A74E1" w:rsidP="002A74E1">
            <w:pPr>
              <w:pStyle w:val="TableParagraph"/>
              <w:spacing w:before="5"/>
              <w:ind w:left="0"/>
              <w:rPr>
                <w:sz w:val="18"/>
              </w:rPr>
            </w:pPr>
          </w:p>
          <w:p w14:paraId="274C53C1" w14:textId="77777777" w:rsidR="002A74E1" w:rsidRPr="005E67B1" w:rsidRDefault="002A74E1" w:rsidP="002A74E1">
            <w:pPr>
              <w:pStyle w:val="TableParagraph"/>
              <w:spacing w:before="0"/>
              <w:ind w:left="347"/>
              <w:rPr>
                <w:b/>
                <w:sz w:val="17"/>
              </w:rPr>
            </w:pPr>
            <w:r w:rsidRPr="005E67B1">
              <w:rPr>
                <w:b/>
                <w:sz w:val="17"/>
              </w:rPr>
              <w:t>Lower bound</w:t>
            </w:r>
          </w:p>
        </w:tc>
        <w:tc>
          <w:tcPr>
            <w:tcW w:w="1576" w:type="dxa"/>
          </w:tcPr>
          <w:p w14:paraId="3635ED67" w14:textId="77777777" w:rsidR="002A74E1" w:rsidRPr="005E67B1" w:rsidRDefault="002A74E1" w:rsidP="002A74E1">
            <w:pPr>
              <w:pStyle w:val="TableParagraph"/>
              <w:spacing w:before="5"/>
              <w:ind w:left="0"/>
              <w:rPr>
                <w:sz w:val="18"/>
              </w:rPr>
            </w:pPr>
          </w:p>
          <w:p w14:paraId="4DE15D89" w14:textId="77777777" w:rsidR="002A74E1" w:rsidRPr="005E67B1" w:rsidRDefault="002A74E1" w:rsidP="002A74E1">
            <w:pPr>
              <w:pStyle w:val="TableParagraph"/>
              <w:spacing w:before="0"/>
              <w:ind w:left="288"/>
              <w:rPr>
                <w:b/>
                <w:sz w:val="17"/>
              </w:rPr>
            </w:pPr>
            <w:r w:rsidRPr="005E67B1">
              <w:rPr>
                <w:b/>
                <w:sz w:val="17"/>
              </w:rPr>
              <w:t>Medium</w:t>
            </w:r>
          </w:p>
        </w:tc>
        <w:tc>
          <w:tcPr>
            <w:tcW w:w="2356" w:type="dxa"/>
          </w:tcPr>
          <w:p w14:paraId="59CE37CB" w14:textId="77777777" w:rsidR="002A74E1" w:rsidRPr="005E67B1" w:rsidRDefault="002A74E1" w:rsidP="002A74E1">
            <w:pPr>
              <w:pStyle w:val="TableParagraph"/>
              <w:spacing w:before="5"/>
              <w:ind w:left="0"/>
              <w:rPr>
                <w:sz w:val="18"/>
              </w:rPr>
            </w:pPr>
          </w:p>
          <w:p w14:paraId="573F5D95" w14:textId="77777777" w:rsidR="002A74E1" w:rsidRPr="005E67B1" w:rsidRDefault="002A74E1" w:rsidP="002A74E1">
            <w:pPr>
              <w:pStyle w:val="TableParagraph"/>
              <w:spacing w:before="0"/>
              <w:ind w:left="531"/>
              <w:rPr>
                <w:b/>
                <w:sz w:val="17"/>
              </w:rPr>
            </w:pPr>
            <w:r w:rsidRPr="005E67B1">
              <w:rPr>
                <w:b/>
                <w:sz w:val="17"/>
              </w:rPr>
              <w:t>Upper limit</w:t>
            </w:r>
          </w:p>
        </w:tc>
      </w:tr>
      <w:tr w:rsidR="00D4162A" w:rsidRPr="005E67B1" w14:paraId="3BC6B2AB" w14:textId="77777777" w:rsidTr="002A74E1">
        <w:trPr>
          <w:trHeight w:val="354"/>
        </w:trPr>
        <w:tc>
          <w:tcPr>
            <w:tcW w:w="2617" w:type="dxa"/>
          </w:tcPr>
          <w:p w14:paraId="5B891455" w14:textId="77777777" w:rsidR="002A74E1" w:rsidRPr="005E67B1" w:rsidRDefault="002A74E1" w:rsidP="002A74E1">
            <w:pPr>
              <w:pStyle w:val="TableParagraph"/>
              <w:spacing w:before="90"/>
              <w:rPr>
                <w:sz w:val="17"/>
              </w:rPr>
            </w:pPr>
            <w:r w:rsidRPr="005E67B1">
              <w:rPr>
                <w:sz w:val="17"/>
              </w:rPr>
              <w:t>Total industry revenue ($)</w:t>
            </w:r>
          </w:p>
        </w:tc>
        <w:tc>
          <w:tcPr>
            <w:tcW w:w="1881" w:type="dxa"/>
          </w:tcPr>
          <w:p w14:paraId="34DDED00" w14:textId="77777777" w:rsidR="002A74E1" w:rsidRPr="005E67B1" w:rsidRDefault="002A74E1" w:rsidP="002A74E1">
            <w:pPr>
              <w:pStyle w:val="TableParagraph"/>
              <w:spacing w:before="90"/>
              <w:ind w:left="347"/>
              <w:rPr>
                <w:sz w:val="17"/>
              </w:rPr>
            </w:pPr>
            <w:r w:rsidRPr="005E67B1">
              <w:rPr>
                <w:sz w:val="17"/>
              </w:rPr>
              <w:t>$164m</w:t>
            </w:r>
          </w:p>
        </w:tc>
        <w:tc>
          <w:tcPr>
            <w:tcW w:w="1576" w:type="dxa"/>
          </w:tcPr>
          <w:p w14:paraId="40D9F6F6" w14:textId="77777777" w:rsidR="002A74E1" w:rsidRPr="005E67B1" w:rsidRDefault="002A74E1" w:rsidP="002A74E1">
            <w:pPr>
              <w:pStyle w:val="TableParagraph"/>
              <w:spacing w:before="90"/>
              <w:ind w:left="288"/>
              <w:rPr>
                <w:sz w:val="17"/>
              </w:rPr>
            </w:pPr>
            <w:r w:rsidRPr="005E67B1">
              <w:rPr>
                <w:sz w:val="17"/>
              </w:rPr>
              <w:t>$609m</w:t>
            </w:r>
          </w:p>
        </w:tc>
        <w:tc>
          <w:tcPr>
            <w:tcW w:w="2356" w:type="dxa"/>
          </w:tcPr>
          <w:p w14:paraId="04E40CAB" w14:textId="77777777" w:rsidR="002A74E1" w:rsidRPr="005E67B1" w:rsidRDefault="002A74E1" w:rsidP="002A74E1">
            <w:pPr>
              <w:pStyle w:val="TableParagraph"/>
              <w:spacing w:before="90"/>
              <w:ind w:left="531"/>
              <w:rPr>
                <w:sz w:val="17"/>
              </w:rPr>
            </w:pPr>
            <w:r w:rsidRPr="005E67B1">
              <w:rPr>
                <w:sz w:val="17"/>
              </w:rPr>
              <w:t>$2,314m</w:t>
            </w:r>
          </w:p>
        </w:tc>
      </w:tr>
      <w:tr w:rsidR="00D4162A" w:rsidRPr="005E67B1" w14:paraId="689F98D0" w14:textId="77777777" w:rsidTr="002A74E1">
        <w:trPr>
          <w:trHeight w:val="354"/>
        </w:trPr>
        <w:tc>
          <w:tcPr>
            <w:tcW w:w="2617" w:type="dxa"/>
          </w:tcPr>
          <w:p w14:paraId="50C12CF3" w14:textId="77777777" w:rsidR="002A74E1" w:rsidRPr="005E67B1" w:rsidRDefault="002A74E1" w:rsidP="002A74E1">
            <w:pPr>
              <w:pStyle w:val="TableParagraph"/>
              <w:spacing w:before="90"/>
              <w:rPr>
                <w:sz w:val="17"/>
              </w:rPr>
            </w:pPr>
            <w:r w:rsidRPr="005E67B1">
              <w:rPr>
                <w:sz w:val="17"/>
              </w:rPr>
              <w:t xml:space="preserve">Direct value </w:t>
            </w:r>
            <w:proofErr w:type="gramStart"/>
            <w:r w:rsidRPr="005E67B1">
              <w:rPr>
                <w:sz w:val="17"/>
              </w:rPr>
              <w:t>add</w:t>
            </w:r>
            <w:proofErr w:type="gramEnd"/>
            <w:r w:rsidRPr="005E67B1">
              <w:rPr>
                <w:sz w:val="17"/>
              </w:rPr>
              <w:t xml:space="preserve"> ($)</w:t>
            </w:r>
          </w:p>
        </w:tc>
        <w:tc>
          <w:tcPr>
            <w:tcW w:w="1881" w:type="dxa"/>
          </w:tcPr>
          <w:p w14:paraId="1DE65686" w14:textId="77777777" w:rsidR="002A74E1" w:rsidRPr="005E67B1" w:rsidRDefault="002A74E1" w:rsidP="002A74E1">
            <w:pPr>
              <w:pStyle w:val="TableParagraph"/>
              <w:spacing w:before="90"/>
              <w:ind w:left="347"/>
              <w:rPr>
                <w:sz w:val="17"/>
              </w:rPr>
            </w:pPr>
            <w:r w:rsidRPr="005E67B1">
              <w:rPr>
                <w:sz w:val="17"/>
              </w:rPr>
              <w:t>$63m</w:t>
            </w:r>
          </w:p>
        </w:tc>
        <w:tc>
          <w:tcPr>
            <w:tcW w:w="1576" w:type="dxa"/>
          </w:tcPr>
          <w:p w14:paraId="289209E7" w14:textId="77777777" w:rsidR="002A74E1" w:rsidRPr="005E67B1" w:rsidRDefault="002A74E1" w:rsidP="002A74E1">
            <w:pPr>
              <w:pStyle w:val="TableParagraph"/>
              <w:spacing w:before="90"/>
              <w:ind w:left="288"/>
              <w:rPr>
                <w:sz w:val="17"/>
              </w:rPr>
            </w:pPr>
            <w:r w:rsidRPr="005E67B1">
              <w:rPr>
                <w:sz w:val="17"/>
              </w:rPr>
              <w:t>$233m</w:t>
            </w:r>
          </w:p>
        </w:tc>
        <w:tc>
          <w:tcPr>
            <w:tcW w:w="2356" w:type="dxa"/>
          </w:tcPr>
          <w:p w14:paraId="0592B7BE" w14:textId="77777777" w:rsidR="002A74E1" w:rsidRPr="005E67B1" w:rsidRDefault="002A74E1" w:rsidP="002A74E1">
            <w:pPr>
              <w:pStyle w:val="TableParagraph"/>
              <w:spacing w:before="90"/>
              <w:ind w:left="531"/>
              <w:rPr>
                <w:sz w:val="17"/>
              </w:rPr>
            </w:pPr>
            <w:r w:rsidRPr="005E67B1">
              <w:rPr>
                <w:sz w:val="17"/>
              </w:rPr>
              <w:t>$884m</w:t>
            </w:r>
          </w:p>
        </w:tc>
      </w:tr>
      <w:tr w:rsidR="00D4162A" w:rsidRPr="005E67B1" w14:paraId="62E0CCD7" w14:textId="77777777" w:rsidTr="002A74E1">
        <w:trPr>
          <w:trHeight w:val="352"/>
        </w:trPr>
        <w:tc>
          <w:tcPr>
            <w:tcW w:w="2617" w:type="dxa"/>
          </w:tcPr>
          <w:p w14:paraId="4DB64485" w14:textId="77777777" w:rsidR="002A74E1" w:rsidRPr="005E67B1" w:rsidRDefault="002A74E1" w:rsidP="002A74E1">
            <w:pPr>
              <w:pStyle w:val="TableParagraph"/>
              <w:spacing w:before="88"/>
              <w:rPr>
                <w:sz w:val="17"/>
              </w:rPr>
            </w:pPr>
            <w:r w:rsidRPr="005E67B1">
              <w:rPr>
                <w:sz w:val="17"/>
              </w:rPr>
              <w:t xml:space="preserve">Indirect value </w:t>
            </w:r>
            <w:proofErr w:type="gramStart"/>
            <w:r w:rsidRPr="005E67B1">
              <w:rPr>
                <w:sz w:val="17"/>
              </w:rPr>
              <w:t>add</w:t>
            </w:r>
            <w:proofErr w:type="gramEnd"/>
            <w:r w:rsidRPr="005E67B1">
              <w:rPr>
                <w:sz w:val="17"/>
              </w:rPr>
              <w:t xml:space="preserve"> ($)</w:t>
            </w:r>
          </w:p>
        </w:tc>
        <w:tc>
          <w:tcPr>
            <w:tcW w:w="1881" w:type="dxa"/>
          </w:tcPr>
          <w:p w14:paraId="646F7DCD" w14:textId="77777777" w:rsidR="002A74E1" w:rsidRPr="005E67B1" w:rsidRDefault="002A74E1" w:rsidP="002A74E1">
            <w:pPr>
              <w:pStyle w:val="TableParagraph"/>
              <w:spacing w:before="88"/>
              <w:ind w:left="347"/>
              <w:rPr>
                <w:sz w:val="17"/>
              </w:rPr>
            </w:pPr>
            <w:r w:rsidRPr="005E67B1">
              <w:rPr>
                <w:sz w:val="17"/>
              </w:rPr>
              <w:t>$36m</w:t>
            </w:r>
          </w:p>
        </w:tc>
        <w:tc>
          <w:tcPr>
            <w:tcW w:w="1576" w:type="dxa"/>
          </w:tcPr>
          <w:p w14:paraId="243A195C" w14:textId="77777777" w:rsidR="002A74E1" w:rsidRPr="005E67B1" w:rsidRDefault="002A74E1" w:rsidP="002A74E1">
            <w:pPr>
              <w:pStyle w:val="TableParagraph"/>
              <w:spacing w:before="88"/>
              <w:ind w:left="288"/>
              <w:rPr>
                <w:sz w:val="17"/>
              </w:rPr>
            </w:pPr>
            <w:r w:rsidRPr="005E67B1">
              <w:rPr>
                <w:sz w:val="17"/>
              </w:rPr>
              <w:t>$132m</w:t>
            </w:r>
          </w:p>
        </w:tc>
        <w:tc>
          <w:tcPr>
            <w:tcW w:w="2356" w:type="dxa"/>
          </w:tcPr>
          <w:p w14:paraId="63EBA9DF" w14:textId="77777777" w:rsidR="002A74E1" w:rsidRPr="005E67B1" w:rsidRDefault="002A74E1" w:rsidP="002A74E1">
            <w:pPr>
              <w:pStyle w:val="TableParagraph"/>
              <w:spacing w:before="88"/>
              <w:ind w:left="531"/>
              <w:rPr>
                <w:sz w:val="17"/>
              </w:rPr>
            </w:pPr>
            <w:r w:rsidRPr="005E67B1">
              <w:rPr>
                <w:sz w:val="17"/>
              </w:rPr>
              <w:t>$505m</w:t>
            </w:r>
          </w:p>
        </w:tc>
      </w:tr>
      <w:tr w:rsidR="00D4162A" w:rsidRPr="005E67B1" w14:paraId="42D03901" w14:textId="77777777" w:rsidTr="002A74E1">
        <w:trPr>
          <w:trHeight w:val="354"/>
        </w:trPr>
        <w:tc>
          <w:tcPr>
            <w:tcW w:w="2617" w:type="dxa"/>
          </w:tcPr>
          <w:p w14:paraId="651F4578" w14:textId="77777777" w:rsidR="002A74E1" w:rsidRPr="005E67B1" w:rsidRDefault="002A74E1" w:rsidP="002A74E1">
            <w:pPr>
              <w:pStyle w:val="TableParagraph"/>
              <w:spacing w:before="90"/>
              <w:rPr>
                <w:sz w:val="11"/>
              </w:rPr>
            </w:pPr>
            <w:r w:rsidRPr="005E67B1">
              <w:rPr>
                <w:sz w:val="17"/>
              </w:rPr>
              <w:t>FTE (direct)</w:t>
            </w:r>
            <w:r w:rsidRPr="005E67B1">
              <w:rPr>
                <w:position w:val="6"/>
                <w:sz w:val="11"/>
              </w:rPr>
              <w:t>a</w:t>
            </w:r>
          </w:p>
        </w:tc>
        <w:tc>
          <w:tcPr>
            <w:tcW w:w="1881" w:type="dxa"/>
          </w:tcPr>
          <w:p w14:paraId="7BB905F9" w14:textId="77777777" w:rsidR="002A74E1" w:rsidRPr="005E67B1" w:rsidRDefault="002A74E1" w:rsidP="002A74E1">
            <w:pPr>
              <w:pStyle w:val="TableParagraph"/>
              <w:spacing w:before="90"/>
              <w:ind w:left="347"/>
              <w:rPr>
                <w:sz w:val="17"/>
              </w:rPr>
            </w:pPr>
            <w:r w:rsidRPr="005E67B1">
              <w:rPr>
                <w:sz w:val="17"/>
              </w:rPr>
              <w:t>180</w:t>
            </w:r>
          </w:p>
        </w:tc>
        <w:tc>
          <w:tcPr>
            <w:tcW w:w="1576" w:type="dxa"/>
          </w:tcPr>
          <w:p w14:paraId="04272B8E" w14:textId="77777777" w:rsidR="002A74E1" w:rsidRPr="005E67B1" w:rsidRDefault="002A74E1" w:rsidP="002A74E1">
            <w:pPr>
              <w:pStyle w:val="TableParagraph"/>
              <w:spacing w:before="90"/>
              <w:ind w:left="288"/>
              <w:rPr>
                <w:sz w:val="17"/>
              </w:rPr>
            </w:pPr>
            <w:r w:rsidRPr="005E67B1">
              <w:rPr>
                <w:sz w:val="17"/>
              </w:rPr>
              <w:t>750</w:t>
            </w:r>
          </w:p>
        </w:tc>
        <w:tc>
          <w:tcPr>
            <w:tcW w:w="2356" w:type="dxa"/>
          </w:tcPr>
          <w:p w14:paraId="6DBE9111" w14:textId="77777777" w:rsidR="002A74E1" w:rsidRPr="005E67B1" w:rsidRDefault="002A74E1" w:rsidP="002A74E1">
            <w:pPr>
              <w:pStyle w:val="TableParagraph"/>
              <w:spacing w:before="90"/>
              <w:ind w:left="531"/>
              <w:rPr>
                <w:sz w:val="17"/>
              </w:rPr>
            </w:pPr>
            <w:r w:rsidRPr="005E67B1">
              <w:rPr>
                <w:sz w:val="17"/>
              </w:rPr>
              <w:t>2,900</w:t>
            </w:r>
          </w:p>
        </w:tc>
      </w:tr>
    </w:tbl>
    <w:p w14:paraId="6ECF8DAA" w14:textId="77777777" w:rsidR="00793562" w:rsidRPr="005E67B1" w:rsidRDefault="00793562" w:rsidP="00793562">
      <w:pPr>
        <w:pStyle w:val="BodyText"/>
        <w:spacing w:after="1"/>
        <w:rPr>
          <w:sz w:val="17"/>
        </w:rPr>
      </w:pPr>
    </w:p>
    <w:p w14:paraId="566883A7" w14:textId="77777777" w:rsidR="00793562" w:rsidRPr="005E67B1" w:rsidRDefault="00793562" w:rsidP="00793562">
      <w:pPr>
        <w:spacing w:before="93" w:line="278" w:lineRule="auto"/>
        <w:ind w:left="1240" w:right="7263"/>
        <w:rPr>
          <w:sz w:val="17"/>
        </w:rPr>
      </w:pPr>
      <w:r w:rsidRPr="005E67B1">
        <w:rPr>
          <w:sz w:val="17"/>
        </w:rPr>
        <w:t>Note: (a) Full Time Equivalent (FTE) Source: Deloitte Access Economics.</w:t>
      </w:r>
    </w:p>
    <w:p w14:paraId="028F726A" w14:textId="77777777" w:rsidR="00793562" w:rsidRPr="005E67B1" w:rsidRDefault="00793562" w:rsidP="00793562">
      <w:pPr>
        <w:pStyle w:val="BodyText"/>
        <w:rPr>
          <w:sz w:val="20"/>
        </w:rPr>
      </w:pPr>
    </w:p>
    <w:p w14:paraId="542510B1" w14:textId="77777777" w:rsidR="00793562" w:rsidRPr="005E67B1" w:rsidRDefault="00793562" w:rsidP="00793562">
      <w:pPr>
        <w:pStyle w:val="BodyText"/>
        <w:rPr>
          <w:sz w:val="20"/>
        </w:rPr>
      </w:pPr>
    </w:p>
    <w:p w14:paraId="2CFE3B62" w14:textId="77777777" w:rsidR="00793562" w:rsidRPr="005E67B1" w:rsidRDefault="00793562" w:rsidP="00793562">
      <w:pPr>
        <w:pStyle w:val="BodyText"/>
        <w:rPr>
          <w:sz w:val="20"/>
        </w:rPr>
      </w:pPr>
    </w:p>
    <w:p w14:paraId="3038EA5B" w14:textId="77777777" w:rsidR="00793562" w:rsidRPr="005E67B1" w:rsidRDefault="00793562" w:rsidP="00793562">
      <w:pPr>
        <w:pStyle w:val="BodyText"/>
        <w:rPr>
          <w:sz w:val="20"/>
        </w:rPr>
      </w:pPr>
    </w:p>
    <w:p w14:paraId="1283710A" w14:textId="77777777" w:rsidR="00793562" w:rsidRPr="005E67B1" w:rsidRDefault="00793562" w:rsidP="00793562">
      <w:pPr>
        <w:pStyle w:val="BodyText"/>
        <w:rPr>
          <w:sz w:val="20"/>
        </w:rPr>
      </w:pPr>
    </w:p>
    <w:p w14:paraId="57944727" w14:textId="77CB802A" w:rsidR="00793562" w:rsidRPr="005E67B1" w:rsidRDefault="00793562" w:rsidP="00793562">
      <w:pPr>
        <w:pStyle w:val="BodyText"/>
        <w:spacing w:before="3"/>
        <w:rPr>
          <w:sz w:val="27"/>
        </w:rPr>
      </w:pPr>
      <w:r w:rsidRPr="005E67B1">
        <w:rPr>
          <w:noProof/>
        </w:rPr>
        <mc:AlternateContent>
          <mc:Choice Requires="wps">
            <w:drawing>
              <wp:anchor distT="0" distB="0" distL="0" distR="0" simplePos="0" relativeHeight="251714560" behindDoc="1" locked="0" layoutInCell="1" allowOverlap="1" wp14:anchorId="6E857122" wp14:editId="0EAE55E8">
                <wp:simplePos x="0" y="0"/>
                <wp:positionH relativeFrom="page">
                  <wp:posOffset>914400</wp:posOffset>
                </wp:positionH>
                <wp:positionV relativeFrom="paragraph">
                  <wp:posOffset>235585</wp:posOffset>
                </wp:positionV>
                <wp:extent cx="1828800" cy="6350"/>
                <wp:effectExtent l="0" t="2540" r="0" b="635"/>
                <wp:wrapTopAndBottom/>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B043C" id="Rectangle 4" o:spid="_x0000_s1026" style="position:absolute;margin-left:1in;margin-top:18.55pt;width:2in;height:.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" fillcolor="black" stroked="f">
                <w10:wrap type="topAndBottom" anchorx="page"/>
              </v:rect>
            </w:pict>
          </mc:Fallback>
        </mc:AlternateContent>
      </w:r>
    </w:p>
    <w:p w14:paraId="6E7A77AF" w14:textId="77777777" w:rsidR="00793562" w:rsidRPr="005E67B1" w:rsidRDefault="00793562" w:rsidP="00793562">
      <w:pPr>
        <w:pStyle w:val="BodyText"/>
        <w:spacing w:before="7"/>
        <w:rPr>
          <w:sz w:val="15"/>
        </w:rPr>
      </w:pPr>
    </w:p>
    <w:p w14:paraId="6B4E7094" w14:textId="77777777" w:rsidR="00793562" w:rsidRPr="005E67B1" w:rsidRDefault="00793562" w:rsidP="00793562">
      <w:pPr>
        <w:spacing w:before="101"/>
        <w:ind w:left="1240"/>
        <w:rPr>
          <w:sz w:val="16"/>
        </w:rPr>
      </w:pPr>
      <w:r w:rsidRPr="005E67B1">
        <w:rPr>
          <w:sz w:val="16"/>
          <w:vertAlign w:val="superscript"/>
        </w:rPr>
        <w:t>22</w:t>
      </w:r>
      <w:r w:rsidRPr="005E67B1">
        <w:rPr>
          <w:sz w:val="16"/>
        </w:rPr>
        <w:t xml:space="preserve"> Value add to output ratio of 0.38 compared to the national average 0.33</w:t>
      </w:r>
    </w:p>
    <w:p w14:paraId="3B41CF48" w14:textId="77777777" w:rsidR="00793562" w:rsidRPr="005E67B1" w:rsidRDefault="00793562" w:rsidP="00793562">
      <w:pPr>
        <w:spacing w:before="59"/>
        <w:ind w:left="1240" w:right="2071"/>
        <w:rPr>
          <w:sz w:val="16"/>
        </w:rPr>
      </w:pPr>
      <w:r w:rsidRPr="005E67B1">
        <w:rPr>
          <w:sz w:val="16"/>
          <w:vertAlign w:val="superscript"/>
        </w:rPr>
        <w:t>23</w:t>
      </w:r>
      <w:r w:rsidRPr="005E67B1">
        <w:rPr>
          <w:sz w:val="16"/>
        </w:rPr>
        <w:t xml:space="preserve"> Note: Type II multipliers, which capture the consumption induced effects of a given sector, have not been provided as these are no longer </w:t>
      </w:r>
      <w:proofErr w:type="spellStart"/>
      <w:r w:rsidRPr="005E67B1">
        <w:rPr>
          <w:sz w:val="16"/>
        </w:rPr>
        <w:t>recognised</w:t>
      </w:r>
      <w:proofErr w:type="spellEnd"/>
      <w:r w:rsidRPr="005E67B1">
        <w:rPr>
          <w:sz w:val="16"/>
        </w:rPr>
        <w:t xml:space="preserve"> as standard methodology – see this </w:t>
      </w:r>
      <w:hyperlink r:id="rId28">
        <w:r w:rsidRPr="005E67B1">
          <w:rPr>
            <w:sz w:val="16"/>
            <w:u w:val="single" w:color="00A2DF"/>
          </w:rPr>
          <w:t>publication</w:t>
        </w:r>
      </w:hyperlink>
      <w:r w:rsidRPr="005E67B1">
        <w:rPr>
          <w:sz w:val="16"/>
        </w:rPr>
        <w:t>: Australian Bureau of Statistics, Australian National Accounts: Input-Output Tables - Electronic Publication, Final release 2006-07 tables, Summary, cat no. 5209.0.55.001 (21/12/2010).</w:t>
      </w:r>
    </w:p>
    <w:p w14:paraId="038DB9E6" w14:textId="77A73B42" w:rsidR="00793562" w:rsidRPr="005E67B1" w:rsidRDefault="00793562" w:rsidP="000178DD">
      <w:pPr>
        <w:spacing w:before="61"/>
        <w:ind w:left="1240" w:right="2478"/>
        <w:rPr>
          <w:sz w:val="16"/>
        </w:rPr>
        <w:sectPr w:rsidR="00793562" w:rsidRPr="005E67B1">
          <w:pgSz w:w="11910" w:h="16840"/>
          <w:pgMar w:top="840" w:right="82" w:bottom="860" w:left="200" w:header="650" w:footer="679" w:gutter="0"/>
          <w:cols w:space="720"/>
        </w:sectPr>
      </w:pPr>
      <w:r w:rsidRPr="005E67B1">
        <w:rPr>
          <w:sz w:val="16"/>
          <w:vertAlign w:val="superscript"/>
        </w:rPr>
        <w:t>24</w:t>
      </w:r>
      <w:r w:rsidRPr="005E67B1">
        <w:rPr>
          <w:sz w:val="16"/>
        </w:rPr>
        <w:t xml:space="preserve"> For every dollar of direct value added generated in the Victorian Human Pharmaceutical and Medicinal Product Manufacturing sector, there is a further $0.57 in value added generated in the Victorian economy. This is the effective ratio to estimate the indirect economic contribution of the Victorian medicinal cannabis sector.</w:t>
      </w:r>
    </w:p>
    <w:p w14:paraId="40EE25D9" w14:textId="232394EB" w:rsidR="00793562" w:rsidRPr="002366C9" w:rsidRDefault="00793562" w:rsidP="002366C9">
      <w:pPr>
        <w:pStyle w:val="Heading1"/>
        <w:numPr>
          <w:ilvl w:val="0"/>
          <w:numId w:val="41"/>
        </w:numPr>
        <w:rPr>
          <w:rFonts w:ascii="Verdana" w:hAnsi="Verdana"/>
          <w:b/>
          <w:bCs/>
          <w:color w:val="auto"/>
        </w:rPr>
      </w:pPr>
      <w:bookmarkStart w:id="9" w:name="_TOC_250000"/>
      <w:r w:rsidRPr="002366C9">
        <w:rPr>
          <w:rFonts w:ascii="Verdana" w:hAnsi="Verdana"/>
          <w:b/>
          <w:bCs/>
          <w:color w:val="auto"/>
        </w:rPr>
        <w:lastRenderedPageBreak/>
        <w:t xml:space="preserve">Implications of </w:t>
      </w:r>
      <w:r w:rsidRPr="002366C9">
        <w:rPr>
          <w:rFonts w:ascii="Verdana" w:hAnsi="Verdana"/>
          <w:b/>
          <w:bCs/>
          <w:color w:val="auto"/>
          <w:spacing w:val="-4"/>
        </w:rPr>
        <w:t xml:space="preserve">this </w:t>
      </w:r>
      <w:bookmarkEnd w:id="9"/>
      <w:r w:rsidRPr="002366C9">
        <w:rPr>
          <w:rFonts w:ascii="Verdana" w:hAnsi="Verdana"/>
          <w:b/>
          <w:bCs/>
          <w:color w:val="auto"/>
        </w:rPr>
        <w:t>study</w:t>
      </w:r>
    </w:p>
    <w:p w14:paraId="7C4C236D" w14:textId="77777777" w:rsidR="00823FB8" w:rsidRDefault="00793562" w:rsidP="00823FB8">
      <w:pPr>
        <w:pStyle w:val="BodyText"/>
        <w:spacing w:before="257" w:line="264" w:lineRule="auto"/>
        <w:ind w:left="1240" w:right="2115"/>
      </w:pPr>
      <w:r w:rsidRPr="005E67B1">
        <w:t xml:space="preserve">The medicinal cannabis industry in Victoria can still be </w:t>
      </w:r>
      <w:proofErr w:type="spellStart"/>
      <w:r w:rsidRPr="005E67B1">
        <w:t>characterised</w:t>
      </w:r>
      <w:proofErr w:type="spellEnd"/>
      <w:r w:rsidRPr="005E67B1">
        <w:t xml:space="preserve"> as emerging. Drawing on the above analysis, this report identifies three focus areas and eight associated actions for the nascent medicinal cannabis industry to develop into a sustainable and viable industry. These three focus areas are:</w:t>
      </w:r>
    </w:p>
    <w:p w14:paraId="3BFDEF71" w14:textId="77777777" w:rsidR="00823FB8" w:rsidRDefault="00823FB8" w:rsidP="00823FB8">
      <w:pPr>
        <w:pStyle w:val="BodyText"/>
        <w:spacing w:before="257" w:line="264" w:lineRule="auto"/>
        <w:ind w:left="1480" w:right="2115"/>
      </w:pPr>
      <w:r>
        <w:t xml:space="preserve">1. </w:t>
      </w:r>
      <w:r w:rsidR="00793562" w:rsidRPr="00823FB8">
        <w:t xml:space="preserve">Secure Victoria’s competitive advantage. </w:t>
      </w:r>
      <w:proofErr w:type="spellStart"/>
      <w:r w:rsidRPr="00823FB8">
        <w:t>Realise</w:t>
      </w:r>
      <w:proofErr w:type="spellEnd"/>
      <w:r w:rsidRPr="00823FB8">
        <w:t xml:space="preserve"> full export potential.</w:t>
      </w:r>
    </w:p>
    <w:p w14:paraId="3A40341D" w14:textId="22E39038" w:rsidR="00823FB8" w:rsidRDefault="00823FB8" w:rsidP="00823FB8">
      <w:pPr>
        <w:pStyle w:val="BodyText"/>
        <w:spacing w:before="257" w:line="264" w:lineRule="auto"/>
        <w:ind w:left="1480" w:right="2115"/>
      </w:pPr>
      <w:r>
        <w:t xml:space="preserve">2. </w:t>
      </w:r>
      <w:proofErr w:type="spellStart"/>
      <w:r w:rsidR="00793562" w:rsidRPr="00823FB8">
        <w:t>Realise</w:t>
      </w:r>
      <w:proofErr w:type="spellEnd"/>
      <w:r w:rsidR="00793562" w:rsidRPr="00823FB8">
        <w:t xml:space="preserve"> full export potential.</w:t>
      </w:r>
    </w:p>
    <w:p w14:paraId="47530FFA" w14:textId="2CA7345A" w:rsidR="00793562" w:rsidRPr="005E67B1" w:rsidRDefault="00823FB8" w:rsidP="00823FB8">
      <w:pPr>
        <w:pStyle w:val="BodyText"/>
        <w:spacing w:before="257" w:line="264" w:lineRule="auto"/>
        <w:ind w:left="1480" w:right="2115"/>
      </w:pPr>
      <w:r>
        <w:t xml:space="preserve">3. </w:t>
      </w:r>
      <w:proofErr w:type="spellStart"/>
      <w:r w:rsidR="00793562" w:rsidRPr="00823FB8">
        <w:t>Realise</w:t>
      </w:r>
      <w:proofErr w:type="spellEnd"/>
      <w:r w:rsidR="00793562" w:rsidRPr="00823FB8">
        <w:t xml:space="preserve"> full domestic market potential for Victorian producers</w:t>
      </w:r>
      <w:r w:rsidR="00793562" w:rsidRPr="005E67B1">
        <w:t>.</w:t>
      </w:r>
    </w:p>
    <w:p w14:paraId="5898CA54" w14:textId="233CC093" w:rsidR="00793562" w:rsidRPr="005E67B1" w:rsidRDefault="00793562" w:rsidP="00793562">
      <w:pPr>
        <w:pStyle w:val="BodyText"/>
        <w:spacing w:before="142" w:line="264" w:lineRule="auto"/>
        <w:ind w:left="1240" w:right="2392"/>
      </w:pPr>
      <w:r w:rsidRPr="005E67B1">
        <w:t>These three focus areas and the recommended actions for each are discussed in further detail below.</w:t>
      </w:r>
    </w:p>
    <w:p w14:paraId="7896D08E" w14:textId="77777777" w:rsidR="00793562" w:rsidRPr="00772FC5" w:rsidRDefault="00793562" w:rsidP="00793562">
      <w:pPr>
        <w:pStyle w:val="Heading6"/>
        <w:spacing w:before="169"/>
        <w:ind w:left="1240"/>
        <w:rPr>
          <w:rFonts w:ascii="Verdana" w:hAnsi="Verdana"/>
          <w:b/>
          <w:bCs/>
          <w:color w:val="auto"/>
          <w:sz w:val="18"/>
          <w:szCs w:val="18"/>
        </w:rPr>
      </w:pPr>
      <w:r w:rsidRPr="00772FC5">
        <w:rPr>
          <w:rFonts w:ascii="Verdana" w:hAnsi="Verdana"/>
          <w:b/>
          <w:bCs/>
          <w:color w:val="auto"/>
          <w:sz w:val="18"/>
          <w:szCs w:val="18"/>
        </w:rPr>
        <w:t>1: Secure Victoria’s competitive advantage</w:t>
      </w:r>
    </w:p>
    <w:p w14:paraId="4CCBC1D5" w14:textId="77777777" w:rsidR="00793562" w:rsidRPr="00772FC5" w:rsidRDefault="00793562" w:rsidP="00793562">
      <w:pPr>
        <w:pStyle w:val="BodyText"/>
        <w:spacing w:before="141" w:line="264" w:lineRule="auto"/>
        <w:ind w:left="1240" w:right="2093"/>
      </w:pPr>
      <w:r w:rsidRPr="00772FC5">
        <w:t>Industry stakeholders consistently noted that Victoria has a competitive advantage in cultivating and manufacturing medicinal cannabis compared to other Australian states, and indeed much of the world, due to the combination of:</w:t>
      </w:r>
    </w:p>
    <w:p w14:paraId="3FD7F819" w14:textId="77777777" w:rsidR="00793562" w:rsidRPr="00772FC5" w:rsidRDefault="00793562" w:rsidP="00793562">
      <w:pPr>
        <w:pStyle w:val="ListParagraph"/>
        <w:numPr>
          <w:ilvl w:val="0"/>
          <w:numId w:val="20"/>
        </w:numPr>
        <w:tabs>
          <w:tab w:val="left" w:pos="2020"/>
          <w:tab w:val="left" w:pos="2021"/>
        </w:tabs>
        <w:spacing w:before="169" w:line="261" w:lineRule="auto"/>
        <w:ind w:right="3210"/>
        <w:rPr>
          <w:sz w:val="18"/>
          <w:szCs w:val="18"/>
        </w:rPr>
      </w:pPr>
      <w:r w:rsidRPr="00772FC5">
        <w:rPr>
          <w:sz w:val="18"/>
          <w:szCs w:val="18"/>
        </w:rPr>
        <w:t>Australia’s reputed high-quality standards across both agricultural and pharmaceutical</w:t>
      </w:r>
      <w:r w:rsidRPr="00772FC5">
        <w:rPr>
          <w:spacing w:val="-1"/>
          <w:sz w:val="18"/>
          <w:szCs w:val="18"/>
        </w:rPr>
        <w:t xml:space="preserve"> </w:t>
      </w:r>
      <w:r w:rsidRPr="00772FC5">
        <w:rPr>
          <w:sz w:val="18"/>
          <w:szCs w:val="18"/>
        </w:rPr>
        <w:t>products</w:t>
      </w:r>
    </w:p>
    <w:p w14:paraId="5B55AA40" w14:textId="77777777" w:rsidR="00793562" w:rsidRPr="00772FC5" w:rsidRDefault="00793562" w:rsidP="00793562">
      <w:pPr>
        <w:pStyle w:val="ListParagraph"/>
        <w:numPr>
          <w:ilvl w:val="0"/>
          <w:numId w:val="20"/>
        </w:numPr>
        <w:tabs>
          <w:tab w:val="left" w:pos="2020"/>
          <w:tab w:val="left" w:pos="2021"/>
        </w:tabs>
        <w:spacing w:before="1"/>
        <w:ind w:hanging="361"/>
        <w:rPr>
          <w:sz w:val="18"/>
          <w:szCs w:val="18"/>
        </w:rPr>
      </w:pPr>
      <w:r w:rsidRPr="00772FC5">
        <w:rPr>
          <w:sz w:val="18"/>
          <w:szCs w:val="18"/>
        </w:rPr>
        <w:t>Australia’s reputation for efficient agricultural</w:t>
      </w:r>
      <w:r w:rsidRPr="00772FC5">
        <w:rPr>
          <w:spacing w:val="-4"/>
          <w:sz w:val="18"/>
          <w:szCs w:val="18"/>
        </w:rPr>
        <w:t xml:space="preserve"> </w:t>
      </w:r>
      <w:r w:rsidRPr="00772FC5">
        <w:rPr>
          <w:sz w:val="18"/>
          <w:szCs w:val="18"/>
        </w:rPr>
        <w:t>production</w:t>
      </w:r>
    </w:p>
    <w:p w14:paraId="00714AEC" w14:textId="77777777" w:rsidR="00793562" w:rsidRPr="00772FC5" w:rsidRDefault="00793562" w:rsidP="00793562">
      <w:pPr>
        <w:pStyle w:val="ListParagraph"/>
        <w:numPr>
          <w:ilvl w:val="0"/>
          <w:numId w:val="20"/>
        </w:numPr>
        <w:tabs>
          <w:tab w:val="left" w:pos="2020"/>
          <w:tab w:val="left" w:pos="2021"/>
        </w:tabs>
        <w:spacing w:before="20"/>
        <w:ind w:hanging="361"/>
        <w:rPr>
          <w:sz w:val="18"/>
          <w:szCs w:val="18"/>
        </w:rPr>
      </w:pPr>
      <w:r w:rsidRPr="00772FC5">
        <w:rPr>
          <w:sz w:val="18"/>
          <w:szCs w:val="18"/>
        </w:rPr>
        <w:t>Victoria’s reputation for world-class clinical research</w:t>
      </w:r>
      <w:r w:rsidRPr="00772FC5">
        <w:rPr>
          <w:spacing w:val="-7"/>
          <w:sz w:val="18"/>
          <w:szCs w:val="18"/>
        </w:rPr>
        <w:t xml:space="preserve"> </w:t>
      </w:r>
      <w:r w:rsidRPr="00772FC5">
        <w:rPr>
          <w:sz w:val="18"/>
          <w:szCs w:val="18"/>
        </w:rPr>
        <w:t>trials.</w:t>
      </w:r>
      <w:r w:rsidRPr="00772FC5">
        <w:rPr>
          <w:position w:val="6"/>
          <w:sz w:val="18"/>
          <w:szCs w:val="18"/>
        </w:rPr>
        <w:t>25</w:t>
      </w:r>
    </w:p>
    <w:p w14:paraId="1553E1E8" w14:textId="77777777" w:rsidR="00793562" w:rsidRPr="00772FC5" w:rsidRDefault="00793562" w:rsidP="00793562">
      <w:pPr>
        <w:pStyle w:val="BodyText"/>
        <w:spacing w:before="190" w:line="264" w:lineRule="auto"/>
        <w:ind w:left="1240" w:right="2207"/>
      </w:pPr>
      <w:r w:rsidRPr="00772FC5">
        <w:t>It would be prudent for the Victorian industry to actively work to maintain and strengthen these advantages, to ensure the Victorian industry can continue to compete locally and globally.</w:t>
      </w:r>
    </w:p>
    <w:p w14:paraId="4E0E2E2A" w14:textId="77777777" w:rsidR="00793562" w:rsidRPr="00772FC5" w:rsidRDefault="00793562" w:rsidP="00793562">
      <w:pPr>
        <w:pStyle w:val="BodyText"/>
        <w:spacing w:before="168"/>
        <w:ind w:left="1240"/>
      </w:pPr>
      <w:r w:rsidRPr="00772FC5">
        <w:t>To secure Victoria’s competitive advantage, we recommend three actions for industry:</w:t>
      </w:r>
    </w:p>
    <w:p w14:paraId="110DDF09" w14:textId="77777777" w:rsidR="00793562" w:rsidRPr="00772FC5" w:rsidRDefault="00793562" w:rsidP="00793562">
      <w:pPr>
        <w:pStyle w:val="ListParagraph"/>
        <w:numPr>
          <w:ilvl w:val="0"/>
          <w:numId w:val="19"/>
        </w:numPr>
        <w:tabs>
          <w:tab w:val="left" w:pos="1920"/>
        </w:tabs>
        <w:spacing w:before="189" w:line="264" w:lineRule="auto"/>
        <w:ind w:right="2310"/>
        <w:rPr>
          <w:sz w:val="18"/>
          <w:szCs w:val="18"/>
        </w:rPr>
      </w:pPr>
      <w:r w:rsidRPr="00772FC5">
        <w:rPr>
          <w:sz w:val="18"/>
          <w:szCs w:val="18"/>
        </w:rPr>
        <w:t>Maintain quality standards: by innovating across the technological and regulatory environment and monitoring changes in other</w:t>
      </w:r>
      <w:r w:rsidRPr="00772FC5">
        <w:rPr>
          <w:spacing w:val="-10"/>
          <w:sz w:val="18"/>
          <w:szCs w:val="18"/>
        </w:rPr>
        <w:t xml:space="preserve"> </w:t>
      </w:r>
      <w:r w:rsidRPr="00772FC5">
        <w:rPr>
          <w:sz w:val="18"/>
          <w:szCs w:val="18"/>
        </w:rPr>
        <w:t>countries.</w:t>
      </w:r>
    </w:p>
    <w:p w14:paraId="5C3208ED" w14:textId="77777777" w:rsidR="00793562" w:rsidRPr="00772FC5" w:rsidRDefault="00793562" w:rsidP="00793562">
      <w:pPr>
        <w:pStyle w:val="ListParagraph"/>
        <w:numPr>
          <w:ilvl w:val="0"/>
          <w:numId w:val="19"/>
        </w:numPr>
        <w:tabs>
          <w:tab w:val="left" w:pos="1920"/>
        </w:tabs>
        <w:spacing w:line="264" w:lineRule="auto"/>
        <w:ind w:right="2711"/>
        <w:rPr>
          <w:sz w:val="18"/>
          <w:szCs w:val="18"/>
        </w:rPr>
      </w:pPr>
      <w:r w:rsidRPr="00772FC5">
        <w:rPr>
          <w:sz w:val="18"/>
          <w:szCs w:val="18"/>
        </w:rPr>
        <w:t>Focus on industry efficiency: by sharing knowledge and expertise and in turn working to reduce</w:t>
      </w:r>
      <w:r w:rsidRPr="00772FC5">
        <w:rPr>
          <w:spacing w:val="-2"/>
          <w:sz w:val="18"/>
          <w:szCs w:val="18"/>
        </w:rPr>
        <w:t xml:space="preserve"> </w:t>
      </w:r>
      <w:r w:rsidRPr="00772FC5">
        <w:rPr>
          <w:sz w:val="18"/>
          <w:szCs w:val="18"/>
        </w:rPr>
        <w:t>costs.</w:t>
      </w:r>
    </w:p>
    <w:p w14:paraId="068D4FD5" w14:textId="77777777" w:rsidR="00793562" w:rsidRPr="00772FC5" w:rsidRDefault="00793562" w:rsidP="00793562">
      <w:pPr>
        <w:pStyle w:val="ListParagraph"/>
        <w:numPr>
          <w:ilvl w:val="0"/>
          <w:numId w:val="19"/>
        </w:numPr>
        <w:tabs>
          <w:tab w:val="left" w:pos="1920"/>
        </w:tabs>
        <w:spacing w:line="264" w:lineRule="auto"/>
        <w:ind w:right="2384"/>
        <w:rPr>
          <w:sz w:val="18"/>
          <w:szCs w:val="18"/>
        </w:rPr>
      </w:pPr>
      <w:r w:rsidRPr="00772FC5">
        <w:rPr>
          <w:sz w:val="18"/>
          <w:szCs w:val="18"/>
        </w:rPr>
        <w:t>Support evidence collection through clinical trials: by collaborating with research institutions.</w:t>
      </w:r>
    </w:p>
    <w:p w14:paraId="763C48C9" w14:textId="7F8DF971" w:rsidR="00793562" w:rsidRPr="00772FC5" w:rsidRDefault="00772FC5" w:rsidP="00772FC5">
      <w:pPr>
        <w:pStyle w:val="Heading6"/>
        <w:spacing w:before="117"/>
        <w:ind w:left="520" w:firstLine="720"/>
        <w:rPr>
          <w:rFonts w:ascii="Verdana" w:hAnsi="Verdana"/>
          <w:b/>
          <w:bCs/>
          <w:color w:val="auto"/>
          <w:sz w:val="18"/>
          <w:szCs w:val="18"/>
        </w:rPr>
      </w:pPr>
      <w:r w:rsidRPr="00772FC5">
        <w:rPr>
          <w:rFonts w:ascii="Verdana" w:hAnsi="Verdana"/>
          <w:b/>
          <w:bCs/>
          <w:color w:val="auto"/>
          <w:sz w:val="18"/>
          <w:szCs w:val="18"/>
        </w:rPr>
        <w:t xml:space="preserve">2: </w:t>
      </w:r>
      <w:proofErr w:type="spellStart"/>
      <w:r w:rsidR="00793562" w:rsidRPr="00772FC5">
        <w:rPr>
          <w:rFonts w:ascii="Verdana" w:hAnsi="Verdana"/>
          <w:b/>
          <w:bCs/>
          <w:color w:val="auto"/>
          <w:sz w:val="18"/>
          <w:szCs w:val="18"/>
        </w:rPr>
        <w:t>Realise</w:t>
      </w:r>
      <w:proofErr w:type="spellEnd"/>
      <w:r w:rsidR="00793562" w:rsidRPr="00772FC5">
        <w:rPr>
          <w:rFonts w:ascii="Verdana" w:hAnsi="Verdana"/>
          <w:b/>
          <w:bCs/>
          <w:color w:val="auto"/>
          <w:sz w:val="18"/>
          <w:szCs w:val="18"/>
        </w:rPr>
        <w:t xml:space="preserve"> full export potential</w:t>
      </w:r>
    </w:p>
    <w:p w14:paraId="2B969985" w14:textId="164619D5" w:rsidR="00793562" w:rsidRPr="00210816" w:rsidRDefault="00793562" w:rsidP="00210816">
      <w:pPr>
        <w:pStyle w:val="BodyText"/>
        <w:spacing w:before="141" w:line="264" w:lineRule="auto"/>
        <w:ind w:left="1240" w:right="2126"/>
      </w:pPr>
      <w:r w:rsidRPr="005E67B1">
        <w:t xml:space="preserve">The opening up of export markets for Victorian producers has a material impact on the viability of local production. To </w:t>
      </w:r>
      <w:proofErr w:type="spellStart"/>
      <w:r w:rsidRPr="005E67B1">
        <w:t>realise</w:t>
      </w:r>
      <w:proofErr w:type="spellEnd"/>
      <w:r w:rsidRPr="005E67B1">
        <w:t xml:space="preserve"> Victoria’s full export potential, it is recommended that industry works closely with the Victorian Government to actively seek out export opportunities to supplement the industry’s supply to the domestic market, and that it does so strategically. There are two recommended actions to help the Victorian industry </w:t>
      </w:r>
      <w:proofErr w:type="spellStart"/>
      <w:r w:rsidRPr="005E67B1">
        <w:t>realise</w:t>
      </w:r>
      <w:proofErr w:type="spellEnd"/>
      <w:r w:rsidRPr="005E67B1">
        <w:t xml:space="preserve"> its full export potential:</w:t>
      </w:r>
      <w:r w:rsidRPr="005E67B1">
        <w:rPr>
          <w:noProof/>
        </w:rPr>
        <mc:AlternateContent>
          <mc:Choice Requires="wps">
            <w:drawing>
              <wp:anchor distT="0" distB="0" distL="0" distR="0" simplePos="0" relativeHeight="251715584" behindDoc="1" locked="0" layoutInCell="1" allowOverlap="1" wp14:anchorId="10522841" wp14:editId="349C30D8">
                <wp:simplePos x="0" y="0"/>
                <wp:positionH relativeFrom="page">
                  <wp:posOffset>914400</wp:posOffset>
                </wp:positionH>
                <wp:positionV relativeFrom="paragraph">
                  <wp:posOffset>193675</wp:posOffset>
                </wp:positionV>
                <wp:extent cx="1828800" cy="6350"/>
                <wp:effectExtent l="0" t="0" r="0" b="0"/>
                <wp:wrapTopAndBottom/>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F6123" id="Rectangle 2" o:spid="_x0000_s1026" style="position:absolute;margin-left:1in;margin-top:15.25pt;width:2in;height:.5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" fillcolor="black" stroked="f">
                <w10:wrap type="topAndBottom" anchorx="page"/>
              </v:rect>
            </w:pict>
          </mc:Fallback>
        </mc:AlternateContent>
      </w:r>
    </w:p>
    <w:p w14:paraId="4B8C4182" w14:textId="77777777" w:rsidR="00793562" w:rsidRPr="005E67B1" w:rsidRDefault="00793562" w:rsidP="00793562">
      <w:pPr>
        <w:pStyle w:val="BodyText"/>
        <w:spacing w:before="7"/>
        <w:rPr>
          <w:sz w:val="15"/>
        </w:rPr>
      </w:pPr>
    </w:p>
    <w:p w14:paraId="5EB9E8EC" w14:textId="77777777" w:rsidR="00793562" w:rsidRPr="005E67B1" w:rsidRDefault="00793562" w:rsidP="00793562">
      <w:pPr>
        <w:spacing w:before="101"/>
        <w:ind w:left="1240"/>
        <w:rPr>
          <w:sz w:val="16"/>
        </w:rPr>
      </w:pPr>
      <w:r w:rsidRPr="005E67B1">
        <w:rPr>
          <w:sz w:val="16"/>
          <w:vertAlign w:val="superscript"/>
        </w:rPr>
        <w:t>25</w:t>
      </w:r>
      <w:r w:rsidRPr="005E67B1">
        <w:rPr>
          <w:sz w:val="16"/>
        </w:rPr>
        <w:t xml:space="preserve"> Australian Trade and Investment Commission, Clinical Trials (2018)</w:t>
      </w:r>
    </w:p>
    <w:p w14:paraId="13D9F30D" w14:textId="77777777" w:rsidR="00793562" w:rsidRDefault="00793562" w:rsidP="00EB5F89">
      <w:pPr>
        <w:ind w:left="1240" w:right="2763"/>
        <w:rPr>
          <w:sz w:val="16"/>
        </w:rPr>
      </w:pPr>
      <w:r w:rsidRPr="005E67B1">
        <w:rPr>
          <w:sz w:val="16"/>
        </w:rPr>
        <w:t>&lt;https:/</w:t>
      </w:r>
      <w:hyperlink r:id="rId29">
        <w:r w:rsidRPr="005E67B1">
          <w:rPr>
            <w:sz w:val="16"/>
          </w:rPr>
          <w:t>/www.austrade.gov.au/International/Buy/Australian-industry-capabilities/Health-and-</w:t>
        </w:r>
      </w:hyperlink>
      <w:r w:rsidRPr="005E67B1">
        <w:rPr>
          <w:sz w:val="16"/>
        </w:rPr>
        <w:t xml:space="preserve"> wellbeing/Health-and-Wellbeing&gt; Accessed 13 November 2019</w:t>
      </w:r>
    </w:p>
    <w:p w14:paraId="5FAAB28F" w14:textId="45276852" w:rsidR="000178DD" w:rsidRPr="005E67B1" w:rsidRDefault="000178DD" w:rsidP="00210816">
      <w:pPr>
        <w:ind w:right="2763"/>
        <w:rPr>
          <w:sz w:val="16"/>
        </w:rPr>
        <w:sectPr w:rsidR="000178DD" w:rsidRPr="005E67B1">
          <w:pgSz w:w="11910" w:h="16840"/>
          <w:pgMar w:top="840" w:right="82" w:bottom="860" w:left="200" w:header="650" w:footer="679" w:gutter="0"/>
          <w:cols w:space="720"/>
        </w:sectPr>
      </w:pPr>
    </w:p>
    <w:p w14:paraId="7CEBEACB" w14:textId="77777777" w:rsidR="00793562" w:rsidRPr="005E67B1" w:rsidRDefault="00793562" w:rsidP="00793562">
      <w:pPr>
        <w:pStyle w:val="BodyText"/>
        <w:spacing w:before="2"/>
        <w:rPr>
          <w:sz w:val="22"/>
        </w:rPr>
      </w:pPr>
    </w:p>
    <w:p w14:paraId="56F4FBC3" w14:textId="0F6B5A55" w:rsidR="00772FC5" w:rsidRDefault="00793562" w:rsidP="00772FC5">
      <w:pPr>
        <w:pStyle w:val="ListParagraph"/>
        <w:numPr>
          <w:ilvl w:val="0"/>
          <w:numId w:val="39"/>
        </w:numPr>
        <w:spacing w:before="168" w:line="264" w:lineRule="auto"/>
        <w:ind w:left="1602" w:right="1361"/>
        <w:rPr>
          <w:sz w:val="18"/>
        </w:rPr>
      </w:pPr>
      <w:r w:rsidRPr="00772FC5">
        <w:rPr>
          <w:sz w:val="18"/>
        </w:rPr>
        <w:t>Promote export opportunities through the medicinal cannabis industry associations: to ensure industry is aware of all potential export opportunities and the requirements for each export market.</w:t>
      </w:r>
    </w:p>
    <w:p w14:paraId="54FF031F" w14:textId="389F6BBD" w:rsidR="006E662A" w:rsidRPr="00772FC5" w:rsidRDefault="00793562" w:rsidP="00772FC5">
      <w:pPr>
        <w:pStyle w:val="ListParagraph"/>
        <w:numPr>
          <w:ilvl w:val="0"/>
          <w:numId w:val="39"/>
        </w:numPr>
        <w:spacing w:before="168" w:line="264" w:lineRule="auto"/>
        <w:ind w:left="1602" w:right="1361"/>
        <w:rPr>
          <w:sz w:val="18"/>
        </w:rPr>
      </w:pPr>
      <w:r w:rsidRPr="00772FC5">
        <w:rPr>
          <w:sz w:val="18"/>
        </w:rPr>
        <w:t>Undertake more research and modelling of domestic and global markets: so that industry is aware of the markets its competitors are targeting and can therefore make strategic decisions concerning export market development.</w:t>
      </w:r>
    </w:p>
    <w:p w14:paraId="55CC1EFD" w14:textId="77777777" w:rsidR="005E67B1" w:rsidRPr="00772FC5" w:rsidRDefault="005E67B1" w:rsidP="005E67B1">
      <w:pPr>
        <w:spacing w:line="264" w:lineRule="auto"/>
        <w:ind w:right="2315"/>
        <w:rPr>
          <w:b/>
          <w:bCs/>
        </w:rPr>
      </w:pPr>
    </w:p>
    <w:p w14:paraId="6981DB7D" w14:textId="5B6CCC56" w:rsidR="00793562" w:rsidRPr="00772FC5" w:rsidRDefault="00772FC5" w:rsidP="00772FC5">
      <w:pPr>
        <w:spacing w:line="264" w:lineRule="auto"/>
        <w:ind w:left="522" w:right="2315" w:firstLine="720"/>
        <w:rPr>
          <w:b/>
          <w:bCs/>
          <w:sz w:val="18"/>
          <w:szCs w:val="18"/>
        </w:rPr>
      </w:pPr>
      <w:r w:rsidRPr="00772FC5">
        <w:rPr>
          <w:b/>
          <w:bCs/>
          <w:sz w:val="18"/>
          <w:szCs w:val="18"/>
        </w:rPr>
        <w:t xml:space="preserve">3: </w:t>
      </w:r>
      <w:proofErr w:type="spellStart"/>
      <w:r w:rsidR="00793562" w:rsidRPr="00772FC5">
        <w:rPr>
          <w:b/>
          <w:bCs/>
          <w:sz w:val="18"/>
          <w:szCs w:val="18"/>
        </w:rPr>
        <w:t>Realise</w:t>
      </w:r>
      <w:proofErr w:type="spellEnd"/>
      <w:r w:rsidR="00793562" w:rsidRPr="00772FC5">
        <w:rPr>
          <w:b/>
          <w:bCs/>
          <w:sz w:val="18"/>
          <w:szCs w:val="18"/>
        </w:rPr>
        <w:t xml:space="preserve"> full domestic market potential</w:t>
      </w:r>
    </w:p>
    <w:p w14:paraId="35CE33C3" w14:textId="77777777" w:rsidR="00793562" w:rsidRPr="005E67B1" w:rsidRDefault="00793562" w:rsidP="00672957">
      <w:pPr>
        <w:pStyle w:val="BodyText"/>
        <w:spacing w:before="168" w:line="264" w:lineRule="auto"/>
        <w:ind w:left="1242" w:right="1361"/>
      </w:pPr>
      <w:r w:rsidRPr="005E67B1">
        <w:t xml:space="preserve">Victoria, and Australia as a whole, currently imports a large portion of its medicinal cannabis product. This is because the domestic industry is yet to develop a significant production capacity. This is likely to change over the coming years, as the many producers that have approved medicinal cannabis manufacturing and cultivation </w:t>
      </w:r>
      <w:proofErr w:type="spellStart"/>
      <w:r w:rsidRPr="005E67B1">
        <w:t>licences</w:t>
      </w:r>
      <w:proofErr w:type="spellEnd"/>
      <w:r w:rsidRPr="005E67B1">
        <w:t xml:space="preserve"> finish planning and constructing their sites.</w:t>
      </w:r>
    </w:p>
    <w:p w14:paraId="42A48227" w14:textId="77777777" w:rsidR="00793562" w:rsidRPr="005E67B1" w:rsidRDefault="00793562" w:rsidP="00672957">
      <w:pPr>
        <w:pStyle w:val="BodyText"/>
        <w:spacing w:before="168" w:line="264" w:lineRule="auto"/>
        <w:ind w:left="1242" w:right="1361"/>
      </w:pPr>
      <w:r w:rsidRPr="005E67B1">
        <w:t>As more domestic products become available locally, Australian medical practitioners will have more choice when prescribing products to patients. However local product will not simply become the preferred choice for doctors and pharmacists. Rather, the local industry must work to ensure their products satisfy the medical community so that it feels comfortable recommending local products to patients and that local products are available in pharmacies.</w:t>
      </w:r>
    </w:p>
    <w:p w14:paraId="3C21E27E" w14:textId="77777777" w:rsidR="00793562" w:rsidRPr="005E67B1" w:rsidRDefault="00793562" w:rsidP="00672957">
      <w:pPr>
        <w:pStyle w:val="BodyText"/>
        <w:spacing w:before="168" w:line="264" w:lineRule="auto"/>
        <w:ind w:left="1242" w:right="1361"/>
      </w:pPr>
      <w:r w:rsidRPr="005E67B1">
        <w:t xml:space="preserve">There are three recommended actions for industry to </w:t>
      </w:r>
      <w:proofErr w:type="spellStart"/>
      <w:r w:rsidRPr="005E67B1">
        <w:t>realise</w:t>
      </w:r>
      <w:proofErr w:type="spellEnd"/>
      <w:r w:rsidRPr="005E67B1">
        <w:t xml:space="preserve"> its full domestic market potential:</w:t>
      </w:r>
    </w:p>
    <w:p w14:paraId="685E75D0" w14:textId="77777777" w:rsidR="00672957" w:rsidRPr="005E67B1" w:rsidRDefault="00793562" w:rsidP="00672957">
      <w:pPr>
        <w:pStyle w:val="ListParagraph"/>
        <w:numPr>
          <w:ilvl w:val="0"/>
          <w:numId w:val="31"/>
        </w:numPr>
        <w:spacing w:before="168" w:line="264" w:lineRule="auto"/>
        <w:ind w:right="1361"/>
        <w:jc w:val="both"/>
        <w:rPr>
          <w:sz w:val="18"/>
        </w:rPr>
      </w:pPr>
      <w:r w:rsidRPr="005E67B1">
        <w:rPr>
          <w:sz w:val="18"/>
        </w:rPr>
        <w:t>Simplify the process for the medical industry to become aware of the efficacy and price of local products: by working to share evidence from clinical trials and price information with medical industry associations.</w:t>
      </w:r>
    </w:p>
    <w:p w14:paraId="257D55B3" w14:textId="77777777" w:rsidR="00672957" w:rsidRPr="005E67B1" w:rsidRDefault="00793562" w:rsidP="00672957">
      <w:pPr>
        <w:pStyle w:val="ListParagraph"/>
        <w:numPr>
          <w:ilvl w:val="0"/>
          <w:numId w:val="31"/>
        </w:numPr>
        <w:spacing w:before="168" w:line="264" w:lineRule="auto"/>
        <w:ind w:right="1361"/>
        <w:jc w:val="both"/>
        <w:rPr>
          <w:sz w:val="18"/>
        </w:rPr>
      </w:pPr>
      <w:r w:rsidRPr="005E67B1">
        <w:rPr>
          <w:sz w:val="18"/>
        </w:rPr>
        <w:t>Ensure local products are price competitive: by working to reduce the cost of production.</w:t>
      </w:r>
    </w:p>
    <w:p w14:paraId="7E029E09" w14:textId="2B603927" w:rsidR="00793562" w:rsidRPr="005E67B1" w:rsidRDefault="00793562" w:rsidP="00672957">
      <w:pPr>
        <w:pStyle w:val="ListParagraph"/>
        <w:numPr>
          <w:ilvl w:val="0"/>
          <w:numId w:val="31"/>
        </w:numPr>
        <w:spacing w:before="168" w:line="264" w:lineRule="auto"/>
        <w:ind w:right="1361"/>
        <w:jc w:val="both"/>
        <w:rPr>
          <w:sz w:val="18"/>
        </w:rPr>
      </w:pPr>
      <w:r w:rsidRPr="005E67B1">
        <w:rPr>
          <w:sz w:val="18"/>
        </w:rPr>
        <w:t>Ensure local products can be supplied to pharmacies: by negotiating a supply agreement with an approved wholesaler of medicinal cannabis products.</w:t>
      </w:r>
    </w:p>
    <w:p w14:paraId="4575B236" w14:textId="77777777" w:rsidR="00793562" w:rsidRPr="005E67B1" w:rsidRDefault="00793562" w:rsidP="00672957">
      <w:pPr>
        <w:pStyle w:val="BodyText"/>
        <w:spacing w:before="168"/>
        <w:ind w:left="1242" w:right="1361"/>
        <w:rPr>
          <w:sz w:val="19"/>
        </w:rPr>
      </w:pPr>
    </w:p>
    <w:p w14:paraId="4F42A499" w14:textId="547A8A3D" w:rsidR="00793562" w:rsidRPr="000B4EDD" w:rsidRDefault="00793562" w:rsidP="00672957">
      <w:pPr>
        <w:pStyle w:val="Heading6"/>
        <w:keepNext w:val="0"/>
        <w:keepLines w:val="0"/>
        <w:numPr>
          <w:ilvl w:val="2"/>
          <w:numId w:val="22"/>
        </w:numPr>
        <w:tabs>
          <w:tab w:val="left" w:pos="1816"/>
          <w:tab w:val="left" w:pos="1817"/>
        </w:tabs>
        <w:spacing w:before="168"/>
        <w:ind w:left="1242" w:right="1361"/>
        <w:rPr>
          <w:rFonts w:ascii="Verdana" w:hAnsi="Verdana"/>
          <w:b/>
          <w:bCs/>
          <w:color w:val="auto"/>
          <w:sz w:val="20"/>
          <w:szCs w:val="20"/>
        </w:rPr>
      </w:pPr>
      <w:r w:rsidRPr="000B4EDD">
        <w:rPr>
          <w:rFonts w:ascii="Verdana" w:hAnsi="Verdana"/>
          <w:b/>
          <w:bCs/>
          <w:color w:val="auto"/>
          <w:sz w:val="20"/>
          <w:szCs w:val="20"/>
        </w:rPr>
        <w:t>Key actions for</w:t>
      </w:r>
      <w:r w:rsidRPr="000B4EDD">
        <w:rPr>
          <w:rFonts w:ascii="Verdana" w:hAnsi="Verdana"/>
          <w:b/>
          <w:bCs/>
          <w:color w:val="auto"/>
          <w:spacing w:val="-1"/>
          <w:sz w:val="20"/>
          <w:szCs w:val="20"/>
        </w:rPr>
        <w:t xml:space="preserve"> </w:t>
      </w:r>
      <w:r w:rsidRPr="000B4EDD">
        <w:rPr>
          <w:rFonts w:ascii="Verdana" w:hAnsi="Verdana"/>
          <w:b/>
          <w:bCs/>
          <w:color w:val="auto"/>
          <w:sz w:val="20"/>
          <w:szCs w:val="20"/>
        </w:rPr>
        <w:t>government</w:t>
      </w:r>
    </w:p>
    <w:p w14:paraId="4AB15966" w14:textId="77777777" w:rsidR="00793562" w:rsidRPr="005E67B1" w:rsidRDefault="00793562" w:rsidP="00672957">
      <w:pPr>
        <w:pStyle w:val="BodyText"/>
        <w:spacing w:before="168" w:line="264" w:lineRule="auto"/>
        <w:ind w:left="1242" w:right="1361"/>
      </w:pPr>
      <w:r w:rsidRPr="005E67B1">
        <w:t>To continue to support the emerging medicinal cannabis industry in Victoria, the Victorian Government could seek to lead two additional</w:t>
      </w:r>
      <w:r w:rsidRPr="005E67B1">
        <w:rPr>
          <w:spacing w:val="-5"/>
        </w:rPr>
        <w:t xml:space="preserve"> </w:t>
      </w:r>
      <w:r w:rsidRPr="005E67B1">
        <w:t>actions:</w:t>
      </w:r>
    </w:p>
    <w:p w14:paraId="7EB4AA37" w14:textId="77777777" w:rsidR="00CB6115" w:rsidRDefault="00793562" w:rsidP="00672957">
      <w:pPr>
        <w:pStyle w:val="BodyText"/>
        <w:numPr>
          <w:ilvl w:val="0"/>
          <w:numId w:val="32"/>
        </w:numPr>
        <w:spacing w:before="168" w:line="264" w:lineRule="auto"/>
        <w:ind w:right="1361"/>
      </w:pPr>
      <w:r w:rsidRPr="005E67B1">
        <w:t xml:space="preserve">Continue to research medicinal cannabis plant strains. </w:t>
      </w:r>
    </w:p>
    <w:p w14:paraId="10BF7367" w14:textId="271C2B44" w:rsidR="00793562" w:rsidRPr="005E67B1" w:rsidRDefault="00793562" w:rsidP="00672957">
      <w:pPr>
        <w:pStyle w:val="BodyText"/>
        <w:numPr>
          <w:ilvl w:val="0"/>
          <w:numId w:val="32"/>
        </w:numPr>
        <w:spacing w:before="168" w:line="264" w:lineRule="auto"/>
        <w:ind w:right="1361"/>
      </w:pPr>
      <w:r w:rsidRPr="005E67B1">
        <w:t>Strengthen the provision of advice to</w:t>
      </w:r>
      <w:r w:rsidRPr="005E67B1">
        <w:rPr>
          <w:spacing w:val="-7"/>
        </w:rPr>
        <w:t xml:space="preserve"> </w:t>
      </w:r>
      <w:r w:rsidRPr="005E67B1">
        <w:t>industry.</w:t>
      </w:r>
    </w:p>
    <w:p w14:paraId="7DA5B5E0" w14:textId="69FFCF96" w:rsidR="00793562" w:rsidRPr="005E67B1" w:rsidRDefault="00793562" w:rsidP="00672957">
      <w:pPr>
        <w:pStyle w:val="BodyText"/>
        <w:spacing w:before="168" w:line="264" w:lineRule="auto"/>
        <w:ind w:left="1242" w:right="1361"/>
      </w:pPr>
      <w:r w:rsidRPr="005E67B1">
        <w:t>These actions will work to improve the quality and yield of product and disseminate important and timely information t throughout the local industry.</w:t>
      </w:r>
    </w:p>
    <w:p w14:paraId="6E539BCD" w14:textId="36D164E0" w:rsidR="00D57398" w:rsidRPr="005E67B1" w:rsidRDefault="00D57398" w:rsidP="00793562">
      <w:pPr>
        <w:ind w:left="207"/>
      </w:pPr>
    </w:p>
    <w:p w14:paraId="1A17AC69" w14:textId="58894CC7" w:rsidR="00672957" w:rsidRPr="005E67B1" w:rsidRDefault="00672957" w:rsidP="00793562">
      <w:pPr>
        <w:ind w:left="207"/>
      </w:pPr>
    </w:p>
    <w:p w14:paraId="2653620F" w14:textId="70830BD2" w:rsidR="00672957" w:rsidRPr="005E67B1" w:rsidRDefault="00672957" w:rsidP="00793562">
      <w:pPr>
        <w:ind w:left="207"/>
      </w:pPr>
    </w:p>
    <w:p w14:paraId="6E69656E" w14:textId="5C652DC3" w:rsidR="00672957" w:rsidRPr="005E67B1" w:rsidRDefault="00672957" w:rsidP="00793562">
      <w:pPr>
        <w:ind w:left="207"/>
      </w:pPr>
    </w:p>
    <w:p w14:paraId="309974F9" w14:textId="0A2933DA" w:rsidR="00672957" w:rsidRPr="005E67B1" w:rsidRDefault="00672957" w:rsidP="00793562">
      <w:pPr>
        <w:ind w:left="207"/>
      </w:pPr>
    </w:p>
    <w:p w14:paraId="69B6D8EE" w14:textId="26AD1F25" w:rsidR="00672957" w:rsidRPr="005E67B1" w:rsidRDefault="00672957" w:rsidP="00793562">
      <w:pPr>
        <w:ind w:left="207"/>
      </w:pPr>
    </w:p>
    <w:p w14:paraId="5A908B82" w14:textId="7644D57C" w:rsidR="00672957" w:rsidRPr="005E67B1" w:rsidRDefault="00672957" w:rsidP="00793562">
      <w:pPr>
        <w:ind w:left="207"/>
      </w:pPr>
    </w:p>
    <w:p w14:paraId="49BEFF64" w14:textId="3F587738" w:rsidR="00672957" w:rsidRPr="005E67B1" w:rsidRDefault="00672957" w:rsidP="00793562">
      <w:pPr>
        <w:ind w:left="207"/>
      </w:pPr>
    </w:p>
    <w:p w14:paraId="3FE27BA8" w14:textId="6EAEAD7A" w:rsidR="00672957" w:rsidRPr="005E67B1" w:rsidRDefault="00672957" w:rsidP="00793562">
      <w:pPr>
        <w:ind w:left="207"/>
      </w:pPr>
    </w:p>
    <w:p w14:paraId="3E420C2B" w14:textId="06D9A85D" w:rsidR="00672957" w:rsidRPr="005E67B1" w:rsidRDefault="00672957" w:rsidP="00793562">
      <w:pPr>
        <w:ind w:left="207"/>
      </w:pPr>
    </w:p>
    <w:p w14:paraId="671CA9FC" w14:textId="51B21D36" w:rsidR="00672957" w:rsidRPr="005E67B1" w:rsidRDefault="00672957" w:rsidP="00793562">
      <w:pPr>
        <w:ind w:left="207"/>
      </w:pPr>
    </w:p>
    <w:p w14:paraId="39177357" w14:textId="77777777" w:rsidR="00672957" w:rsidRPr="005E67B1" w:rsidRDefault="00672957" w:rsidP="00793562">
      <w:pPr>
        <w:ind w:left="207"/>
      </w:pPr>
    </w:p>
    <w:p w14:paraId="700267BC" w14:textId="27529A6C" w:rsidR="00672957" w:rsidRPr="005E67B1" w:rsidRDefault="00672957" w:rsidP="00793562">
      <w:pPr>
        <w:ind w:left="207"/>
      </w:pPr>
    </w:p>
    <w:p w14:paraId="26FAF648" w14:textId="04C6E1DB" w:rsidR="00672957" w:rsidRPr="005E67B1" w:rsidRDefault="00672957" w:rsidP="00793562">
      <w:pPr>
        <w:ind w:left="207"/>
      </w:pPr>
    </w:p>
    <w:p w14:paraId="2ECFEDFF" w14:textId="77777777" w:rsidR="00672957" w:rsidRPr="005E67B1" w:rsidRDefault="00672957" w:rsidP="006E662A">
      <w:pPr>
        <w:spacing w:before="168"/>
        <w:ind w:left="1242" w:right="1361"/>
        <w:rPr>
          <w:sz w:val="60"/>
        </w:rPr>
      </w:pPr>
      <w:r w:rsidRPr="005E67B1">
        <w:rPr>
          <w:sz w:val="60"/>
        </w:rPr>
        <w:lastRenderedPageBreak/>
        <w:t>Limitation of use</w:t>
      </w:r>
    </w:p>
    <w:p w14:paraId="79EA1697" w14:textId="77777777" w:rsidR="00672957" w:rsidRPr="005E67B1" w:rsidRDefault="00672957" w:rsidP="006E662A">
      <w:pPr>
        <w:spacing w:before="168"/>
        <w:ind w:left="1242" w:right="1361"/>
        <w:rPr>
          <w:b/>
          <w:sz w:val="18"/>
        </w:rPr>
      </w:pPr>
      <w:r w:rsidRPr="005E67B1">
        <w:rPr>
          <w:b/>
          <w:sz w:val="18"/>
        </w:rPr>
        <w:t>General use restriction</w:t>
      </w:r>
    </w:p>
    <w:p w14:paraId="24719F96" w14:textId="77777777" w:rsidR="00672957" w:rsidRPr="005E67B1" w:rsidRDefault="00672957" w:rsidP="006E662A">
      <w:pPr>
        <w:pStyle w:val="BodyText"/>
        <w:spacing w:before="168" w:line="264" w:lineRule="auto"/>
        <w:ind w:left="1242" w:right="1361"/>
      </w:pPr>
      <w:r w:rsidRPr="005E67B1">
        <w:t>This report is prepared solely for use of the Department of Jobs, Precincts and Regions. This report is not intended to and should not be used or relied upon by anyone else and we accept no duty of care to any other person or entity. The report has been prepared for the purpose of set out in the engagement letter (PAS Order) dated 4 June 2019. You should not refer to or use our name or the advice for any other purpose.</w:t>
      </w:r>
    </w:p>
    <w:p w14:paraId="3603F35E" w14:textId="77777777" w:rsidR="00672957" w:rsidRPr="005E67B1" w:rsidRDefault="00672957" w:rsidP="006E662A">
      <w:pPr>
        <w:pStyle w:val="BodyText"/>
        <w:spacing w:before="168"/>
        <w:ind w:left="1242" w:right="1361"/>
        <w:rPr>
          <w:sz w:val="20"/>
        </w:rPr>
      </w:pPr>
    </w:p>
    <w:p w14:paraId="159AD708" w14:textId="77777777" w:rsidR="00672957" w:rsidRPr="005E67B1" w:rsidRDefault="00672957" w:rsidP="005E67B1">
      <w:pPr>
        <w:pStyle w:val="BodyText"/>
        <w:spacing w:before="168"/>
        <w:ind w:right="1361"/>
        <w:rPr>
          <w:sz w:val="20"/>
        </w:rPr>
      </w:pPr>
    </w:p>
    <w:p w14:paraId="33D86D64" w14:textId="4AD299CC" w:rsidR="00672957" w:rsidRPr="005E67B1" w:rsidRDefault="00672957" w:rsidP="00210816">
      <w:pPr>
        <w:spacing w:before="168"/>
        <w:ind w:left="1242" w:right="1361"/>
        <w:rPr>
          <w:sz w:val="18"/>
          <w:szCs w:val="18"/>
        </w:rPr>
      </w:pPr>
      <w:r w:rsidRPr="005E67B1">
        <w:rPr>
          <w:sz w:val="18"/>
          <w:szCs w:val="18"/>
        </w:rPr>
        <w:t xml:space="preserve">Deloitte Access Economics is Australia’s pre-eminent economics advisory practice and a member of Deloitte's global economics group. For more information, please visit our website: </w:t>
      </w:r>
      <w:hyperlink r:id="rId30">
        <w:r w:rsidRPr="005E67B1">
          <w:rPr>
            <w:rStyle w:val="Hyperlink"/>
            <w:sz w:val="18"/>
            <w:szCs w:val="18"/>
          </w:rPr>
          <w:t>www.deloitte.com/au/deloitte-access-economics</w:t>
        </w:r>
      </w:hyperlink>
    </w:p>
    <w:p w14:paraId="62CE3F28" w14:textId="0C62F410" w:rsidR="00672957" w:rsidRPr="005E67B1" w:rsidRDefault="00672957" w:rsidP="00210816">
      <w:pPr>
        <w:spacing w:before="168"/>
        <w:ind w:left="1242" w:right="1361"/>
        <w:rPr>
          <w:sz w:val="18"/>
          <w:szCs w:val="18"/>
        </w:rPr>
      </w:pPr>
      <w:r w:rsidRPr="005E67B1">
        <w:rPr>
          <w:sz w:val="18"/>
          <w:szCs w:val="18"/>
        </w:rPr>
        <w:t xml:space="preserve">Deloitte refers to one or more of Deloitte </w:t>
      </w:r>
      <w:proofErr w:type="spellStart"/>
      <w:r w:rsidRPr="005E67B1">
        <w:rPr>
          <w:sz w:val="18"/>
          <w:szCs w:val="18"/>
        </w:rPr>
        <w:t>Touche</w:t>
      </w:r>
      <w:proofErr w:type="spellEnd"/>
      <w:r w:rsidRPr="005E67B1">
        <w:rPr>
          <w:sz w:val="18"/>
          <w:szCs w:val="18"/>
        </w:rPr>
        <w:t xml:space="preserve"> Tohmatsu Limited (“DTTL”), its global network of member firms, and their related entities. DTTL (also referred to as “Deloitte Global”) and each of its member firms and their affiliated entities are legally separate and independent entities. DTTL does not provide services to clients. Please see </w:t>
      </w:r>
      <w:hyperlink r:id="rId31">
        <w:r w:rsidRPr="005E67B1">
          <w:rPr>
            <w:rStyle w:val="Hyperlink"/>
            <w:sz w:val="18"/>
            <w:szCs w:val="18"/>
          </w:rPr>
          <w:t xml:space="preserve">www.deloitte.com/about </w:t>
        </w:r>
      </w:hyperlink>
      <w:r w:rsidRPr="005E67B1">
        <w:rPr>
          <w:sz w:val="18"/>
          <w:szCs w:val="18"/>
        </w:rPr>
        <w:t>to learn more.</w:t>
      </w:r>
    </w:p>
    <w:p w14:paraId="1BD3FF5E" w14:textId="4B39D231" w:rsidR="00672957" w:rsidRPr="005E67B1" w:rsidRDefault="00672957" w:rsidP="00210816">
      <w:pPr>
        <w:spacing w:before="168"/>
        <w:ind w:left="1242" w:right="1361"/>
        <w:rPr>
          <w:sz w:val="18"/>
          <w:szCs w:val="18"/>
        </w:rPr>
      </w:pPr>
      <w:r w:rsidRPr="005E67B1">
        <w:rPr>
          <w:sz w:val="18"/>
          <w:szCs w:val="18"/>
        </w:rPr>
        <w:t xml:space="preserve">Deloitte is a leading global provider of audit and assurance, consulting, financial advisory, risk advisory, tax and related services. Our network of member firms in more than 150 countries and territories serves four out of five Fortune Global 500®companies. Learn how Deloitte’s approximately 286,000 people make an impact that matters at </w:t>
      </w:r>
      <w:hyperlink r:id="rId32">
        <w:r w:rsidRPr="005E67B1">
          <w:rPr>
            <w:rStyle w:val="Hyperlink"/>
            <w:sz w:val="18"/>
            <w:szCs w:val="18"/>
          </w:rPr>
          <w:t>www.deloitte.com.</w:t>
        </w:r>
      </w:hyperlink>
    </w:p>
    <w:p w14:paraId="2EF88534" w14:textId="77777777" w:rsidR="00672957" w:rsidRPr="005E67B1" w:rsidRDefault="00672957" w:rsidP="006E662A">
      <w:pPr>
        <w:spacing w:before="168"/>
        <w:ind w:left="1242" w:right="1361"/>
        <w:rPr>
          <w:sz w:val="18"/>
          <w:szCs w:val="18"/>
        </w:rPr>
      </w:pPr>
      <w:r w:rsidRPr="005E67B1">
        <w:rPr>
          <w:sz w:val="18"/>
          <w:szCs w:val="18"/>
        </w:rPr>
        <w:t>Deloitte Asia Pacific</w:t>
      </w:r>
    </w:p>
    <w:p w14:paraId="0F1ADD62" w14:textId="77777777" w:rsidR="00672957" w:rsidRPr="005E67B1" w:rsidRDefault="00672957" w:rsidP="006E662A">
      <w:pPr>
        <w:spacing w:before="168"/>
        <w:ind w:left="1242" w:right="1361"/>
        <w:rPr>
          <w:sz w:val="18"/>
          <w:szCs w:val="18"/>
        </w:rPr>
      </w:pPr>
      <w:r w:rsidRPr="005E67B1">
        <w:rPr>
          <w:sz w:val="18"/>
          <w:szCs w:val="18"/>
        </w:rPr>
        <w:t>Deloitte Asia Pacific Limited is a company limited by guarantee and a member firm of DTTL. Members of Deloitte Asia Pacific Limited and their related entities provide services in Australia, Brunei Darussalam, Cambodia, East Timor, Federated States of Micronesia, Guam, Indonesia, Japan, Laos, Malaysia, Mongolia, Myanmar, New Zealand, Palau, Papua New Guinea, Singapore, Thailand, The</w:t>
      </w:r>
    </w:p>
    <w:p w14:paraId="178B1D3C" w14:textId="04418D7A" w:rsidR="00672957" w:rsidRPr="005E67B1" w:rsidRDefault="00672957" w:rsidP="00210816">
      <w:pPr>
        <w:spacing w:before="168"/>
        <w:ind w:left="1242" w:right="1361"/>
        <w:rPr>
          <w:sz w:val="18"/>
          <w:szCs w:val="18"/>
        </w:rPr>
      </w:pPr>
      <w:r w:rsidRPr="005E67B1">
        <w:rPr>
          <w:sz w:val="18"/>
          <w:szCs w:val="18"/>
        </w:rPr>
        <w:t>Marshall Islands, The Northern Mariana Islands, The People’s Republic of China (incl. Hong Kong SAR and Macau SAR), The Philippines and Vietnam, in each of which operations are conducted by separate and independent legal entities.</w:t>
      </w:r>
    </w:p>
    <w:p w14:paraId="4EED4E5A" w14:textId="77777777" w:rsidR="00672957" w:rsidRPr="005E67B1" w:rsidRDefault="00672957" w:rsidP="006E662A">
      <w:pPr>
        <w:spacing w:before="168"/>
        <w:ind w:left="1242" w:right="1361"/>
        <w:rPr>
          <w:sz w:val="18"/>
          <w:szCs w:val="18"/>
        </w:rPr>
      </w:pPr>
      <w:r w:rsidRPr="005E67B1">
        <w:rPr>
          <w:sz w:val="18"/>
          <w:szCs w:val="18"/>
        </w:rPr>
        <w:t>Deloitte Australia</w:t>
      </w:r>
    </w:p>
    <w:p w14:paraId="00E3BE72" w14:textId="77777777" w:rsidR="00672957" w:rsidRPr="005E67B1" w:rsidRDefault="00672957" w:rsidP="006E662A">
      <w:pPr>
        <w:spacing w:before="168"/>
        <w:ind w:left="1242" w:right="1361"/>
        <w:rPr>
          <w:sz w:val="18"/>
          <w:szCs w:val="18"/>
        </w:rPr>
      </w:pPr>
      <w:r w:rsidRPr="005E67B1">
        <w:rPr>
          <w:sz w:val="18"/>
          <w:szCs w:val="18"/>
        </w:rPr>
        <w:t xml:space="preserve">In Australia, the Deloitte Network member is the Australian partnership of Deloitte </w:t>
      </w:r>
      <w:proofErr w:type="spellStart"/>
      <w:r w:rsidRPr="005E67B1">
        <w:rPr>
          <w:sz w:val="18"/>
          <w:szCs w:val="18"/>
        </w:rPr>
        <w:t>Touche</w:t>
      </w:r>
      <w:proofErr w:type="spellEnd"/>
      <w:r w:rsidRPr="005E67B1">
        <w:rPr>
          <w:sz w:val="18"/>
          <w:szCs w:val="18"/>
        </w:rPr>
        <w:t xml:space="preserve"> Tohmatsu. As one of Australia’s leading professional services firms. Deloitte </w:t>
      </w:r>
      <w:proofErr w:type="spellStart"/>
      <w:r w:rsidRPr="005E67B1">
        <w:rPr>
          <w:sz w:val="18"/>
          <w:szCs w:val="18"/>
        </w:rPr>
        <w:t>Touche</w:t>
      </w:r>
      <w:proofErr w:type="spellEnd"/>
      <w:r w:rsidRPr="005E67B1">
        <w:rPr>
          <w:sz w:val="18"/>
          <w:szCs w:val="18"/>
        </w:rPr>
        <w:t xml:space="preserve"> Tohmatsu and its affiliates provide audit, tax, consulting, and financial advisory services through approximately 8000 people across the country. Focused on the creation of value and </w:t>
      </w:r>
      <w:proofErr w:type="gramStart"/>
      <w:r w:rsidRPr="005E67B1">
        <w:rPr>
          <w:sz w:val="18"/>
          <w:szCs w:val="18"/>
        </w:rPr>
        <w:t>growth, and</w:t>
      </w:r>
      <w:proofErr w:type="gramEnd"/>
      <w:r w:rsidRPr="005E67B1">
        <w:rPr>
          <w:sz w:val="18"/>
          <w:szCs w:val="18"/>
        </w:rPr>
        <w:t xml:space="preserve"> known as an employer of choice for innovative human resources programs, we are dedicated to helping our clients and our people excel. For more information, please visit our web site at https://www2.deloitte.com/au/en.html.</w:t>
      </w:r>
    </w:p>
    <w:p w14:paraId="3C0DD688" w14:textId="77777777" w:rsidR="00672957" w:rsidRPr="005E67B1" w:rsidRDefault="00672957" w:rsidP="006E662A">
      <w:pPr>
        <w:spacing w:before="168"/>
        <w:ind w:left="1242" w:right="1361"/>
        <w:rPr>
          <w:sz w:val="18"/>
          <w:szCs w:val="18"/>
        </w:rPr>
      </w:pPr>
    </w:p>
    <w:p w14:paraId="6E948E33" w14:textId="61DD3578" w:rsidR="00672957" w:rsidRPr="005E67B1" w:rsidRDefault="00672957" w:rsidP="00210816">
      <w:pPr>
        <w:spacing w:before="168"/>
        <w:ind w:left="1242" w:right="1361"/>
        <w:rPr>
          <w:sz w:val="18"/>
          <w:szCs w:val="18"/>
        </w:rPr>
      </w:pPr>
      <w:r w:rsidRPr="005E67B1">
        <w:rPr>
          <w:sz w:val="18"/>
          <w:szCs w:val="18"/>
        </w:rPr>
        <w:t>Liability limited by a scheme approved under Professional Standards Legislation. Member of Deloitte Asia Pacific Limited and the Deloitte Network.</w:t>
      </w:r>
    </w:p>
    <w:p w14:paraId="542026F3" w14:textId="77777777" w:rsidR="00672957" w:rsidRPr="005E67B1" w:rsidRDefault="00672957" w:rsidP="006E662A">
      <w:pPr>
        <w:spacing w:before="168"/>
        <w:ind w:left="1242" w:right="1361"/>
        <w:rPr>
          <w:sz w:val="18"/>
          <w:szCs w:val="18"/>
        </w:rPr>
      </w:pPr>
      <w:r w:rsidRPr="005E67B1">
        <w:rPr>
          <w:sz w:val="18"/>
          <w:szCs w:val="18"/>
        </w:rPr>
        <w:t xml:space="preserve">©2020 Deloitte Access Economics. Deloitte </w:t>
      </w:r>
      <w:proofErr w:type="spellStart"/>
      <w:r w:rsidRPr="005E67B1">
        <w:rPr>
          <w:sz w:val="18"/>
          <w:szCs w:val="18"/>
        </w:rPr>
        <w:t>Touche</w:t>
      </w:r>
      <w:proofErr w:type="spellEnd"/>
      <w:r w:rsidRPr="005E67B1">
        <w:rPr>
          <w:sz w:val="18"/>
          <w:szCs w:val="18"/>
        </w:rPr>
        <w:t xml:space="preserve"> Tohmatsu</w:t>
      </w:r>
    </w:p>
    <w:p w14:paraId="5CD33CCA" w14:textId="77777777" w:rsidR="00672957" w:rsidRPr="005E67B1" w:rsidRDefault="00672957" w:rsidP="00793562">
      <w:pPr>
        <w:ind w:left="207"/>
      </w:pPr>
    </w:p>
    <w:sectPr w:rsidR="00672957" w:rsidRPr="005E67B1" w:rsidSect="00190D04">
      <w:pgSz w:w="11910" w:h="16840"/>
      <w:pgMar w:top="840" w:right="82" w:bottom="860" w:left="200" w:header="650" w:footer="6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28970" w14:textId="77777777" w:rsidR="000821C4" w:rsidRDefault="000821C4">
      <w:r>
        <w:separator/>
      </w:r>
    </w:p>
  </w:endnote>
  <w:endnote w:type="continuationSeparator" w:id="0">
    <w:p w14:paraId="2A3D8210" w14:textId="77777777" w:rsidR="000821C4" w:rsidRDefault="0008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780258"/>
      <w:docPartObj>
        <w:docPartGallery w:val="Page Numbers (Bottom of Page)"/>
        <w:docPartUnique/>
      </w:docPartObj>
    </w:sdtPr>
    <w:sdtEndPr>
      <w:rPr>
        <w:noProof/>
      </w:rPr>
    </w:sdtEndPr>
    <w:sdtContent>
      <w:p w14:paraId="2F71EEF5" w14:textId="4761F683" w:rsidR="00750F3E" w:rsidRDefault="00750F3E">
        <w:pPr>
          <w:pStyle w:val="Footer"/>
        </w:pPr>
        <w:r>
          <w:fldChar w:fldCharType="begin"/>
        </w:r>
        <w:r>
          <w:instrText xml:space="preserve"> PAGE   \* MERGEFORMAT </w:instrText>
        </w:r>
        <w:r>
          <w:fldChar w:fldCharType="separate"/>
        </w:r>
        <w:r>
          <w:rPr>
            <w:noProof/>
          </w:rPr>
          <w:t>2</w:t>
        </w:r>
        <w:r>
          <w:rPr>
            <w:noProof/>
          </w:rPr>
          <w:fldChar w:fldCharType="end"/>
        </w:r>
      </w:p>
    </w:sdtContent>
  </w:sdt>
  <w:p w14:paraId="56D13A71" w14:textId="007D5B54" w:rsidR="00750F3E" w:rsidRDefault="00750F3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B3954" w14:textId="77777777" w:rsidR="000821C4" w:rsidRDefault="000821C4">
      <w:r>
        <w:separator/>
      </w:r>
    </w:p>
  </w:footnote>
  <w:footnote w:type="continuationSeparator" w:id="0">
    <w:p w14:paraId="5B6B91B3" w14:textId="77777777" w:rsidR="000821C4" w:rsidRDefault="0008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4095D" w14:textId="77777777" w:rsidR="00750F3E" w:rsidRDefault="00750F3E">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989D7" w14:textId="4A50E3C1" w:rsidR="00750F3E" w:rsidRDefault="00750F3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7CA"/>
    <w:multiLevelType w:val="hybridMultilevel"/>
    <w:tmpl w:val="B4F83C3C"/>
    <w:lvl w:ilvl="0" w:tplc="0C090001">
      <w:start w:val="1"/>
      <w:numFmt w:val="bullet"/>
      <w:lvlText w:val=""/>
      <w:lvlJc w:val="left"/>
      <w:pPr>
        <w:ind w:left="1962" w:hanging="360"/>
      </w:pPr>
      <w:rPr>
        <w:rFonts w:ascii="Symbol" w:hAnsi="Symbol" w:hint="default"/>
      </w:rPr>
    </w:lvl>
    <w:lvl w:ilvl="1" w:tplc="0C090003" w:tentative="1">
      <w:start w:val="1"/>
      <w:numFmt w:val="bullet"/>
      <w:lvlText w:val="o"/>
      <w:lvlJc w:val="left"/>
      <w:pPr>
        <w:ind w:left="2682" w:hanging="360"/>
      </w:pPr>
      <w:rPr>
        <w:rFonts w:ascii="Courier New" w:hAnsi="Courier New" w:cs="Courier New" w:hint="default"/>
      </w:rPr>
    </w:lvl>
    <w:lvl w:ilvl="2" w:tplc="0C090005" w:tentative="1">
      <w:start w:val="1"/>
      <w:numFmt w:val="bullet"/>
      <w:lvlText w:val=""/>
      <w:lvlJc w:val="left"/>
      <w:pPr>
        <w:ind w:left="3402" w:hanging="360"/>
      </w:pPr>
      <w:rPr>
        <w:rFonts w:ascii="Wingdings" w:hAnsi="Wingdings" w:hint="default"/>
      </w:rPr>
    </w:lvl>
    <w:lvl w:ilvl="3" w:tplc="0C090001" w:tentative="1">
      <w:start w:val="1"/>
      <w:numFmt w:val="bullet"/>
      <w:lvlText w:val=""/>
      <w:lvlJc w:val="left"/>
      <w:pPr>
        <w:ind w:left="4122" w:hanging="360"/>
      </w:pPr>
      <w:rPr>
        <w:rFonts w:ascii="Symbol" w:hAnsi="Symbol" w:hint="default"/>
      </w:rPr>
    </w:lvl>
    <w:lvl w:ilvl="4" w:tplc="0C090003" w:tentative="1">
      <w:start w:val="1"/>
      <w:numFmt w:val="bullet"/>
      <w:lvlText w:val="o"/>
      <w:lvlJc w:val="left"/>
      <w:pPr>
        <w:ind w:left="4842" w:hanging="360"/>
      </w:pPr>
      <w:rPr>
        <w:rFonts w:ascii="Courier New" w:hAnsi="Courier New" w:cs="Courier New" w:hint="default"/>
      </w:rPr>
    </w:lvl>
    <w:lvl w:ilvl="5" w:tplc="0C090005" w:tentative="1">
      <w:start w:val="1"/>
      <w:numFmt w:val="bullet"/>
      <w:lvlText w:val=""/>
      <w:lvlJc w:val="left"/>
      <w:pPr>
        <w:ind w:left="5562" w:hanging="360"/>
      </w:pPr>
      <w:rPr>
        <w:rFonts w:ascii="Wingdings" w:hAnsi="Wingdings" w:hint="default"/>
      </w:rPr>
    </w:lvl>
    <w:lvl w:ilvl="6" w:tplc="0C090001" w:tentative="1">
      <w:start w:val="1"/>
      <w:numFmt w:val="bullet"/>
      <w:lvlText w:val=""/>
      <w:lvlJc w:val="left"/>
      <w:pPr>
        <w:ind w:left="6282" w:hanging="360"/>
      </w:pPr>
      <w:rPr>
        <w:rFonts w:ascii="Symbol" w:hAnsi="Symbol" w:hint="default"/>
      </w:rPr>
    </w:lvl>
    <w:lvl w:ilvl="7" w:tplc="0C090003" w:tentative="1">
      <w:start w:val="1"/>
      <w:numFmt w:val="bullet"/>
      <w:lvlText w:val="o"/>
      <w:lvlJc w:val="left"/>
      <w:pPr>
        <w:ind w:left="7002" w:hanging="360"/>
      </w:pPr>
      <w:rPr>
        <w:rFonts w:ascii="Courier New" w:hAnsi="Courier New" w:cs="Courier New" w:hint="default"/>
      </w:rPr>
    </w:lvl>
    <w:lvl w:ilvl="8" w:tplc="0C090005" w:tentative="1">
      <w:start w:val="1"/>
      <w:numFmt w:val="bullet"/>
      <w:lvlText w:val=""/>
      <w:lvlJc w:val="left"/>
      <w:pPr>
        <w:ind w:left="7722" w:hanging="360"/>
      </w:pPr>
      <w:rPr>
        <w:rFonts w:ascii="Wingdings" w:hAnsi="Wingdings" w:hint="default"/>
      </w:rPr>
    </w:lvl>
  </w:abstractNum>
  <w:abstractNum w:abstractNumId="1" w15:restartNumberingAfterBreak="0">
    <w:nsid w:val="013F076E"/>
    <w:multiLevelType w:val="hybridMultilevel"/>
    <w:tmpl w:val="77CAE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80B62"/>
    <w:multiLevelType w:val="hybridMultilevel"/>
    <w:tmpl w:val="C540A92E"/>
    <w:lvl w:ilvl="0" w:tplc="3D48409A">
      <w:start w:val="1"/>
      <w:numFmt w:val="decimal"/>
      <w:lvlText w:val="%1."/>
      <w:lvlJc w:val="left"/>
      <w:pPr>
        <w:ind w:left="2840" w:hanging="360"/>
      </w:pPr>
      <w:rPr>
        <w:rFonts w:hint="default"/>
      </w:rPr>
    </w:lvl>
    <w:lvl w:ilvl="1" w:tplc="0C090019">
      <w:start w:val="1"/>
      <w:numFmt w:val="lowerLetter"/>
      <w:lvlText w:val="%2."/>
      <w:lvlJc w:val="left"/>
      <w:pPr>
        <w:ind w:left="2680" w:hanging="360"/>
      </w:pPr>
    </w:lvl>
    <w:lvl w:ilvl="2" w:tplc="0C09001B" w:tentative="1">
      <w:start w:val="1"/>
      <w:numFmt w:val="lowerRoman"/>
      <w:lvlText w:val="%3."/>
      <w:lvlJc w:val="right"/>
      <w:pPr>
        <w:ind w:left="3400" w:hanging="180"/>
      </w:pPr>
    </w:lvl>
    <w:lvl w:ilvl="3" w:tplc="0C09000F" w:tentative="1">
      <w:start w:val="1"/>
      <w:numFmt w:val="decimal"/>
      <w:lvlText w:val="%4."/>
      <w:lvlJc w:val="left"/>
      <w:pPr>
        <w:ind w:left="4120" w:hanging="360"/>
      </w:pPr>
    </w:lvl>
    <w:lvl w:ilvl="4" w:tplc="0C090019" w:tentative="1">
      <w:start w:val="1"/>
      <w:numFmt w:val="lowerLetter"/>
      <w:lvlText w:val="%5."/>
      <w:lvlJc w:val="left"/>
      <w:pPr>
        <w:ind w:left="4840" w:hanging="360"/>
      </w:pPr>
    </w:lvl>
    <w:lvl w:ilvl="5" w:tplc="0C09001B" w:tentative="1">
      <w:start w:val="1"/>
      <w:numFmt w:val="lowerRoman"/>
      <w:lvlText w:val="%6."/>
      <w:lvlJc w:val="right"/>
      <w:pPr>
        <w:ind w:left="5560" w:hanging="180"/>
      </w:pPr>
    </w:lvl>
    <w:lvl w:ilvl="6" w:tplc="0C09000F" w:tentative="1">
      <w:start w:val="1"/>
      <w:numFmt w:val="decimal"/>
      <w:lvlText w:val="%7."/>
      <w:lvlJc w:val="left"/>
      <w:pPr>
        <w:ind w:left="6280" w:hanging="360"/>
      </w:pPr>
    </w:lvl>
    <w:lvl w:ilvl="7" w:tplc="0C090019" w:tentative="1">
      <w:start w:val="1"/>
      <w:numFmt w:val="lowerLetter"/>
      <w:lvlText w:val="%8."/>
      <w:lvlJc w:val="left"/>
      <w:pPr>
        <w:ind w:left="7000" w:hanging="360"/>
      </w:pPr>
    </w:lvl>
    <w:lvl w:ilvl="8" w:tplc="0C09001B" w:tentative="1">
      <w:start w:val="1"/>
      <w:numFmt w:val="lowerRoman"/>
      <w:lvlText w:val="%9."/>
      <w:lvlJc w:val="right"/>
      <w:pPr>
        <w:ind w:left="7720" w:hanging="180"/>
      </w:pPr>
    </w:lvl>
  </w:abstractNum>
  <w:abstractNum w:abstractNumId="3" w15:restartNumberingAfterBreak="0">
    <w:nsid w:val="08E439FF"/>
    <w:multiLevelType w:val="hybridMultilevel"/>
    <w:tmpl w:val="3AAC5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873E61"/>
    <w:multiLevelType w:val="hybridMultilevel"/>
    <w:tmpl w:val="923C927E"/>
    <w:lvl w:ilvl="0" w:tplc="E8F83286">
      <w:start w:val="1"/>
      <w:numFmt w:val="decimal"/>
      <w:lvlText w:val="%1."/>
      <w:lvlJc w:val="left"/>
      <w:pPr>
        <w:ind w:left="1602" w:hanging="360"/>
      </w:pPr>
      <w:rPr>
        <w:rFonts w:hint="default"/>
      </w:rPr>
    </w:lvl>
    <w:lvl w:ilvl="1" w:tplc="0C090019" w:tentative="1">
      <w:start w:val="1"/>
      <w:numFmt w:val="lowerLetter"/>
      <w:lvlText w:val="%2."/>
      <w:lvlJc w:val="left"/>
      <w:pPr>
        <w:ind w:left="2322" w:hanging="360"/>
      </w:pPr>
    </w:lvl>
    <w:lvl w:ilvl="2" w:tplc="0C09001B" w:tentative="1">
      <w:start w:val="1"/>
      <w:numFmt w:val="lowerRoman"/>
      <w:lvlText w:val="%3."/>
      <w:lvlJc w:val="right"/>
      <w:pPr>
        <w:ind w:left="3042" w:hanging="180"/>
      </w:pPr>
    </w:lvl>
    <w:lvl w:ilvl="3" w:tplc="0C09000F" w:tentative="1">
      <w:start w:val="1"/>
      <w:numFmt w:val="decimal"/>
      <w:lvlText w:val="%4."/>
      <w:lvlJc w:val="left"/>
      <w:pPr>
        <w:ind w:left="3762" w:hanging="360"/>
      </w:pPr>
    </w:lvl>
    <w:lvl w:ilvl="4" w:tplc="0C090019" w:tentative="1">
      <w:start w:val="1"/>
      <w:numFmt w:val="lowerLetter"/>
      <w:lvlText w:val="%5."/>
      <w:lvlJc w:val="left"/>
      <w:pPr>
        <w:ind w:left="4482" w:hanging="360"/>
      </w:pPr>
    </w:lvl>
    <w:lvl w:ilvl="5" w:tplc="0C09001B" w:tentative="1">
      <w:start w:val="1"/>
      <w:numFmt w:val="lowerRoman"/>
      <w:lvlText w:val="%6."/>
      <w:lvlJc w:val="right"/>
      <w:pPr>
        <w:ind w:left="5202" w:hanging="180"/>
      </w:pPr>
    </w:lvl>
    <w:lvl w:ilvl="6" w:tplc="0C09000F" w:tentative="1">
      <w:start w:val="1"/>
      <w:numFmt w:val="decimal"/>
      <w:lvlText w:val="%7."/>
      <w:lvlJc w:val="left"/>
      <w:pPr>
        <w:ind w:left="5922" w:hanging="360"/>
      </w:pPr>
    </w:lvl>
    <w:lvl w:ilvl="7" w:tplc="0C090019" w:tentative="1">
      <w:start w:val="1"/>
      <w:numFmt w:val="lowerLetter"/>
      <w:lvlText w:val="%8."/>
      <w:lvlJc w:val="left"/>
      <w:pPr>
        <w:ind w:left="6642" w:hanging="360"/>
      </w:pPr>
    </w:lvl>
    <w:lvl w:ilvl="8" w:tplc="0C09001B" w:tentative="1">
      <w:start w:val="1"/>
      <w:numFmt w:val="lowerRoman"/>
      <w:lvlText w:val="%9."/>
      <w:lvlJc w:val="right"/>
      <w:pPr>
        <w:ind w:left="7362" w:hanging="180"/>
      </w:pPr>
    </w:lvl>
  </w:abstractNum>
  <w:abstractNum w:abstractNumId="5" w15:restartNumberingAfterBreak="0">
    <w:nsid w:val="0E645217"/>
    <w:multiLevelType w:val="hybridMultilevel"/>
    <w:tmpl w:val="0A3E5E3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0E870451"/>
    <w:multiLevelType w:val="multilevel"/>
    <w:tmpl w:val="DAC0B77C"/>
    <w:lvl w:ilvl="0">
      <w:start w:val="1"/>
      <w:numFmt w:val="decimal"/>
      <w:lvlText w:val="%1"/>
      <w:lvlJc w:val="left"/>
      <w:pPr>
        <w:ind w:left="1513" w:hanging="361"/>
      </w:pPr>
      <w:rPr>
        <w:rFonts w:ascii="Verdana" w:eastAsia="Verdana" w:hAnsi="Verdana" w:cs="Verdana" w:hint="default"/>
        <w:w w:val="100"/>
        <w:sz w:val="22"/>
        <w:szCs w:val="22"/>
        <w:lang w:val="en-US" w:eastAsia="en-US" w:bidi="ar-SA"/>
      </w:rPr>
    </w:lvl>
    <w:lvl w:ilvl="1">
      <w:start w:val="1"/>
      <w:numFmt w:val="decimal"/>
      <w:lvlText w:val="%2"/>
      <w:lvlJc w:val="left"/>
      <w:pPr>
        <w:ind w:left="2171" w:hanging="932"/>
      </w:pPr>
      <w:rPr>
        <w:rFonts w:ascii="Verdana" w:eastAsia="Verdana" w:hAnsi="Verdana" w:cs="Verdana" w:hint="default"/>
        <w:spacing w:val="-3"/>
        <w:w w:val="100"/>
        <w:sz w:val="60"/>
        <w:szCs w:val="60"/>
        <w:lang w:val="en-US" w:eastAsia="en-US" w:bidi="ar-SA"/>
      </w:rPr>
    </w:lvl>
    <w:lvl w:ilvl="2">
      <w:start w:val="1"/>
      <w:numFmt w:val="decimal"/>
      <w:lvlText w:val="%2.%3"/>
      <w:lvlJc w:val="left"/>
      <w:pPr>
        <w:ind w:left="1852" w:hanging="576"/>
      </w:pPr>
      <w:rPr>
        <w:rFonts w:ascii="Verdana" w:eastAsia="Verdana" w:hAnsi="Verdana" w:cs="Verdana" w:hint="default"/>
        <w:b/>
        <w:bCs/>
        <w:color w:val="auto"/>
        <w:spacing w:val="-2"/>
        <w:w w:val="100"/>
        <w:sz w:val="18"/>
        <w:szCs w:val="18"/>
        <w:lang w:val="en-US" w:eastAsia="en-US" w:bidi="ar-SA"/>
      </w:rPr>
    </w:lvl>
    <w:lvl w:ilvl="3">
      <w:start w:val="1"/>
      <w:numFmt w:val="decimal"/>
      <w:lvlText w:val="%2.%3.%4"/>
      <w:lvlJc w:val="left"/>
      <w:pPr>
        <w:ind w:left="1960" w:hanging="720"/>
      </w:pPr>
      <w:rPr>
        <w:rFonts w:ascii="Verdana" w:eastAsia="Verdana" w:hAnsi="Verdana" w:cs="Verdana" w:hint="default"/>
        <w:b/>
        <w:bCs/>
        <w:spacing w:val="-1"/>
        <w:w w:val="100"/>
        <w:sz w:val="18"/>
        <w:szCs w:val="18"/>
        <w:lang w:val="en-US" w:eastAsia="en-US" w:bidi="ar-SA"/>
      </w:rPr>
    </w:lvl>
    <w:lvl w:ilvl="4">
      <w:start w:val="1"/>
      <w:numFmt w:val="decimal"/>
      <w:lvlText w:val="%2.%3.%4.%5"/>
      <w:lvlJc w:val="left"/>
      <w:pPr>
        <w:ind w:left="2104" w:hanging="864"/>
      </w:pPr>
      <w:rPr>
        <w:rFonts w:ascii="Verdana" w:eastAsia="Verdana" w:hAnsi="Verdana" w:cs="Verdana" w:hint="default"/>
        <w:b/>
        <w:bCs/>
        <w:color w:val="75787A"/>
        <w:spacing w:val="-27"/>
        <w:w w:val="100"/>
        <w:sz w:val="18"/>
        <w:szCs w:val="18"/>
        <w:lang w:val="en-US" w:eastAsia="en-US" w:bidi="ar-SA"/>
      </w:rPr>
    </w:lvl>
    <w:lvl w:ilvl="5">
      <w:numFmt w:val="bullet"/>
      <w:lvlText w:val="•"/>
      <w:lvlJc w:val="left"/>
      <w:pPr>
        <w:ind w:left="3754" w:hanging="864"/>
      </w:pPr>
      <w:rPr>
        <w:rFonts w:hint="default"/>
        <w:lang w:val="en-US" w:eastAsia="en-US" w:bidi="ar-SA"/>
      </w:rPr>
    </w:lvl>
    <w:lvl w:ilvl="6">
      <w:numFmt w:val="bullet"/>
      <w:lvlText w:val="•"/>
      <w:lvlJc w:val="left"/>
      <w:pPr>
        <w:ind w:left="5328" w:hanging="864"/>
      </w:pPr>
      <w:rPr>
        <w:rFonts w:hint="default"/>
        <w:lang w:val="en-US" w:eastAsia="en-US" w:bidi="ar-SA"/>
      </w:rPr>
    </w:lvl>
    <w:lvl w:ilvl="7">
      <w:numFmt w:val="bullet"/>
      <w:lvlText w:val="•"/>
      <w:lvlJc w:val="left"/>
      <w:pPr>
        <w:ind w:left="6902" w:hanging="864"/>
      </w:pPr>
      <w:rPr>
        <w:rFonts w:hint="default"/>
        <w:lang w:val="en-US" w:eastAsia="en-US" w:bidi="ar-SA"/>
      </w:rPr>
    </w:lvl>
    <w:lvl w:ilvl="8">
      <w:numFmt w:val="bullet"/>
      <w:lvlText w:val="•"/>
      <w:lvlJc w:val="left"/>
      <w:pPr>
        <w:ind w:left="8476" w:hanging="864"/>
      </w:pPr>
      <w:rPr>
        <w:rFonts w:hint="default"/>
        <w:lang w:val="en-US" w:eastAsia="en-US" w:bidi="ar-SA"/>
      </w:rPr>
    </w:lvl>
  </w:abstractNum>
  <w:abstractNum w:abstractNumId="7" w15:restartNumberingAfterBreak="0">
    <w:nsid w:val="0ECC5752"/>
    <w:multiLevelType w:val="hybridMultilevel"/>
    <w:tmpl w:val="6F848974"/>
    <w:lvl w:ilvl="0" w:tplc="0C090001">
      <w:start w:val="1"/>
      <w:numFmt w:val="bullet"/>
      <w:lvlText w:val=""/>
      <w:lvlJc w:val="left"/>
      <w:pPr>
        <w:ind w:left="1480" w:hanging="360"/>
      </w:pPr>
      <w:rPr>
        <w:rFonts w:ascii="Symbol" w:hAnsi="Symbol" w:hint="default"/>
      </w:rPr>
    </w:lvl>
    <w:lvl w:ilvl="1" w:tplc="0C090003" w:tentative="1">
      <w:start w:val="1"/>
      <w:numFmt w:val="bullet"/>
      <w:lvlText w:val="o"/>
      <w:lvlJc w:val="left"/>
      <w:pPr>
        <w:ind w:left="2200" w:hanging="360"/>
      </w:pPr>
      <w:rPr>
        <w:rFonts w:ascii="Courier New" w:hAnsi="Courier New" w:cs="Courier New" w:hint="default"/>
      </w:rPr>
    </w:lvl>
    <w:lvl w:ilvl="2" w:tplc="0C090005" w:tentative="1">
      <w:start w:val="1"/>
      <w:numFmt w:val="bullet"/>
      <w:lvlText w:val=""/>
      <w:lvlJc w:val="left"/>
      <w:pPr>
        <w:ind w:left="2920" w:hanging="360"/>
      </w:pPr>
      <w:rPr>
        <w:rFonts w:ascii="Wingdings" w:hAnsi="Wingdings" w:hint="default"/>
      </w:rPr>
    </w:lvl>
    <w:lvl w:ilvl="3" w:tplc="0C090001" w:tentative="1">
      <w:start w:val="1"/>
      <w:numFmt w:val="bullet"/>
      <w:lvlText w:val=""/>
      <w:lvlJc w:val="left"/>
      <w:pPr>
        <w:ind w:left="3640" w:hanging="360"/>
      </w:pPr>
      <w:rPr>
        <w:rFonts w:ascii="Symbol" w:hAnsi="Symbol" w:hint="default"/>
      </w:rPr>
    </w:lvl>
    <w:lvl w:ilvl="4" w:tplc="0C090003" w:tentative="1">
      <w:start w:val="1"/>
      <w:numFmt w:val="bullet"/>
      <w:lvlText w:val="o"/>
      <w:lvlJc w:val="left"/>
      <w:pPr>
        <w:ind w:left="4360" w:hanging="360"/>
      </w:pPr>
      <w:rPr>
        <w:rFonts w:ascii="Courier New" w:hAnsi="Courier New" w:cs="Courier New" w:hint="default"/>
      </w:rPr>
    </w:lvl>
    <w:lvl w:ilvl="5" w:tplc="0C090005" w:tentative="1">
      <w:start w:val="1"/>
      <w:numFmt w:val="bullet"/>
      <w:lvlText w:val=""/>
      <w:lvlJc w:val="left"/>
      <w:pPr>
        <w:ind w:left="5080" w:hanging="360"/>
      </w:pPr>
      <w:rPr>
        <w:rFonts w:ascii="Wingdings" w:hAnsi="Wingdings" w:hint="default"/>
      </w:rPr>
    </w:lvl>
    <w:lvl w:ilvl="6" w:tplc="0C090001" w:tentative="1">
      <w:start w:val="1"/>
      <w:numFmt w:val="bullet"/>
      <w:lvlText w:val=""/>
      <w:lvlJc w:val="left"/>
      <w:pPr>
        <w:ind w:left="5800" w:hanging="360"/>
      </w:pPr>
      <w:rPr>
        <w:rFonts w:ascii="Symbol" w:hAnsi="Symbol" w:hint="default"/>
      </w:rPr>
    </w:lvl>
    <w:lvl w:ilvl="7" w:tplc="0C090003" w:tentative="1">
      <w:start w:val="1"/>
      <w:numFmt w:val="bullet"/>
      <w:lvlText w:val="o"/>
      <w:lvlJc w:val="left"/>
      <w:pPr>
        <w:ind w:left="6520" w:hanging="360"/>
      </w:pPr>
      <w:rPr>
        <w:rFonts w:ascii="Courier New" w:hAnsi="Courier New" w:cs="Courier New" w:hint="default"/>
      </w:rPr>
    </w:lvl>
    <w:lvl w:ilvl="8" w:tplc="0C090005" w:tentative="1">
      <w:start w:val="1"/>
      <w:numFmt w:val="bullet"/>
      <w:lvlText w:val=""/>
      <w:lvlJc w:val="left"/>
      <w:pPr>
        <w:ind w:left="7240" w:hanging="360"/>
      </w:pPr>
      <w:rPr>
        <w:rFonts w:ascii="Wingdings" w:hAnsi="Wingdings" w:hint="default"/>
      </w:rPr>
    </w:lvl>
  </w:abstractNum>
  <w:abstractNum w:abstractNumId="8" w15:restartNumberingAfterBreak="0">
    <w:nsid w:val="0FEA3693"/>
    <w:multiLevelType w:val="hybridMultilevel"/>
    <w:tmpl w:val="B07E8868"/>
    <w:lvl w:ilvl="0" w:tplc="A1E2FF8A">
      <w:numFmt w:val="bullet"/>
      <w:lvlText w:val=""/>
      <w:lvlJc w:val="left"/>
      <w:pPr>
        <w:ind w:left="2020" w:hanging="360"/>
      </w:pPr>
      <w:rPr>
        <w:rFonts w:ascii="Symbol" w:eastAsia="Symbol" w:hAnsi="Symbol" w:cs="Symbol" w:hint="default"/>
        <w:w w:val="100"/>
        <w:sz w:val="18"/>
        <w:szCs w:val="18"/>
        <w:lang w:val="en-US" w:eastAsia="en-US" w:bidi="ar-SA"/>
      </w:rPr>
    </w:lvl>
    <w:lvl w:ilvl="1" w:tplc="03426802">
      <w:numFmt w:val="bullet"/>
      <w:lvlText w:val="•"/>
      <w:lvlJc w:val="left"/>
      <w:pPr>
        <w:ind w:left="2980" w:hanging="360"/>
      </w:pPr>
      <w:rPr>
        <w:rFonts w:hint="default"/>
        <w:lang w:val="en-US" w:eastAsia="en-US" w:bidi="ar-SA"/>
      </w:rPr>
    </w:lvl>
    <w:lvl w:ilvl="2" w:tplc="6D7CB94E">
      <w:numFmt w:val="bullet"/>
      <w:lvlText w:val="•"/>
      <w:lvlJc w:val="left"/>
      <w:pPr>
        <w:ind w:left="3940" w:hanging="360"/>
      </w:pPr>
      <w:rPr>
        <w:rFonts w:hint="default"/>
        <w:lang w:val="en-US" w:eastAsia="en-US" w:bidi="ar-SA"/>
      </w:rPr>
    </w:lvl>
    <w:lvl w:ilvl="3" w:tplc="9652628E">
      <w:numFmt w:val="bullet"/>
      <w:lvlText w:val="•"/>
      <w:lvlJc w:val="left"/>
      <w:pPr>
        <w:ind w:left="4901" w:hanging="360"/>
      </w:pPr>
      <w:rPr>
        <w:rFonts w:hint="default"/>
        <w:lang w:val="en-US" w:eastAsia="en-US" w:bidi="ar-SA"/>
      </w:rPr>
    </w:lvl>
    <w:lvl w:ilvl="4" w:tplc="5486F88E">
      <w:numFmt w:val="bullet"/>
      <w:lvlText w:val="•"/>
      <w:lvlJc w:val="left"/>
      <w:pPr>
        <w:ind w:left="5861" w:hanging="360"/>
      </w:pPr>
      <w:rPr>
        <w:rFonts w:hint="default"/>
        <w:lang w:val="en-US" w:eastAsia="en-US" w:bidi="ar-SA"/>
      </w:rPr>
    </w:lvl>
    <w:lvl w:ilvl="5" w:tplc="19D66F7E">
      <w:numFmt w:val="bullet"/>
      <w:lvlText w:val="•"/>
      <w:lvlJc w:val="left"/>
      <w:pPr>
        <w:ind w:left="6822" w:hanging="360"/>
      </w:pPr>
      <w:rPr>
        <w:rFonts w:hint="default"/>
        <w:lang w:val="en-US" w:eastAsia="en-US" w:bidi="ar-SA"/>
      </w:rPr>
    </w:lvl>
    <w:lvl w:ilvl="6" w:tplc="BFE2B0B6">
      <w:numFmt w:val="bullet"/>
      <w:lvlText w:val="•"/>
      <w:lvlJc w:val="left"/>
      <w:pPr>
        <w:ind w:left="7782" w:hanging="360"/>
      </w:pPr>
      <w:rPr>
        <w:rFonts w:hint="default"/>
        <w:lang w:val="en-US" w:eastAsia="en-US" w:bidi="ar-SA"/>
      </w:rPr>
    </w:lvl>
    <w:lvl w:ilvl="7" w:tplc="D6C832E2">
      <w:numFmt w:val="bullet"/>
      <w:lvlText w:val="•"/>
      <w:lvlJc w:val="left"/>
      <w:pPr>
        <w:ind w:left="8742" w:hanging="360"/>
      </w:pPr>
      <w:rPr>
        <w:rFonts w:hint="default"/>
        <w:lang w:val="en-US" w:eastAsia="en-US" w:bidi="ar-SA"/>
      </w:rPr>
    </w:lvl>
    <w:lvl w:ilvl="8" w:tplc="7E32D1B0">
      <w:numFmt w:val="bullet"/>
      <w:lvlText w:val="•"/>
      <w:lvlJc w:val="left"/>
      <w:pPr>
        <w:ind w:left="9703" w:hanging="360"/>
      </w:pPr>
      <w:rPr>
        <w:rFonts w:hint="default"/>
        <w:lang w:val="en-US" w:eastAsia="en-US" w:bidi="ar-SA"/>
      </w:rPr>
    </w:lvl>
  </w:abstractNum>
  <w:abstractNum w:abstractNumId="9" w15:restartNumberingAfterBreak="0">
    <w:nsid w:val="16642B20"/>
    <w:multiLevelType w:val="hybridMultilevel"/>
    <w:tmpl w:val="46524C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13212C"/>
    <w:multiLevelType w:val="hybridMultilevel"/>
    <w:tmpl w:val="BB785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7D1D59"/>
    <w:multiLevelType w:val="hybridMultilevel"/>
    <w:tmpl w:val="4B0C5F44"/>
    <w:lvl w:ilvl="0" w:tplc="3D48409A">
      <w:start w:val="1"/>
      <w:numFmt w:val="decimal"/>
      <w:lvlText w:val="%1."/>
      <w:lvlJc w:val="left"/>
      <w:pPr>
        <w:ind w:left="2520" w:hanging="360"/>
      </w:pPr>
      <w:rPr>
        <w:rFonts w:hint="default"/>
      </w:rPr>
    </w:lvl>
    <w:lvl w:ilvl="1" w:tplc="0C090019">
      <w:start w:val="1"/>
      <w:numFmt w:val="lowerLetter"/>
      <w:lvlText w:val="%2."/>
      <w:lvlJc w:val="left"/>
      <w:pPr>
        <w:ind w:left="2360" w:hanging="360"/>
      </w:pPr>
    </w:lvl>
    <w:lvl w:ilvl="2" w:tplc="0C09001B" w:tentative="1">
      <w:start w:val="1"/>
      <w:numFmt w:val="lowerRoman"/>
      <w:lvlText w:val="%3."/>
      <w:lvlJc w:val="right"/>
      <w:pPr>
        <w:ind w:left="3080" w:hanging="180"/>
      </w:pPr>
    </w:lvl>
    <w:lvl w:ilvl="3" w:tplc="0C09000F" w:tentative="1">
      <w:start w:val="1"/>
      <w:numFmt w:val="decimal"/>
      <w:lvlText w:val="%4."/>
      <w:lvlJc w:val="left"/>
      <w:pPr>
        <w:ind w:left="3800" w:hanging="360"/>
      </w:pPr>
    </w:lvl>
    <w:lvl w:ilvl="4" w:tplc="0C090019" w:tentative="1">
      <w:start w:val="1"/>
      <w:numFmt w:val="lowerLetter"/>
      <w:lvlText w:val="%5."/>
      <w:lvlJc w:val="left"/>
      <w:pPr>
        <w:ind w:left="4520" w:hanging="360"/>
      </w:pPr>
    </w:lvl>
    <w:lvl w:ilvl="5" w:tplc="0C09001B" w:tentative="1">
      <w:start w:val="1"/>
      <w:numFmt w:val="lowerRoman"/>
      <w:lvlText w:val="%6."/>
      <w:lvlJc w:val="right"/>
      <w:pPr>
        <w:ind w:left="5240" w:hanging="180"/>
      </w:pPr>
    </w:lvl>
    <w:lvl w:ilvl="6" w:tplc="0C09000F" w:tentative="1">
      <w:start w:val="1"/>
      <w:numFmt w:val="decimal"/>
      <w:lvlText w:val="%7."/>
      <w:lvlJc w:val="left"/>
      <w:pPr>
        <w:ind w:left="5960" w:hanging="360"/>
      </w:pPr>
    </w:lvl>
    <w:lvl w:ilvl="7" w:tplc="0C090019" w:tentative="1">
      <w:start w:val="1"/>
      <w:numFmt w:val="lowerLetter"/>
      <w:lvlText w:val="%8."/>
      <w:lvlJc w:val="left"/>
      <w:pPr>
        <w:ind w:left="6680" w:hanging="360"/>
      </w:pPr>
    </w:lvl>
    <w:lvl w:ilvl="8" w:tplc="0C09001B" w:tentative="1">
      <w:start w:val="1"/>
      <w:numFmt w:val="lowerRoman"/>
      <w:lvlText w:val="%9."/>
      <w:lvlJc w:val="right"/>
      <w:pPr>
        <w:ind w:left="7400" w:hanging="180"/>
      </w:pPr>
    </w:lvl>
  </w:abstractNum>
  <w:abstractNum w:abstractNumId="12" w15:restartNumberingAfterBreak="0">
    <w:nsid w:val="29EC70A1"/>
    <w:multiLevelType w:val="multilevel"/>
    <w:tmpl w:val="967C8EC2"/>
    <w:lvl w:ilvl="0">
      <w:start w:val="1"/>
      <w:numFmt w:val="decimal"/>
      <w:lvlText w:val="%1"/>
      <w:lvlJc w:val="left"/>
      <w:pPr>
        <w:ind w:left="1513" w:hanging="361"/>
      </w:pPr>
      <w:rPr>
        <w:rFonts w:ascii="Verdana" w:eastAsia="Verdana" w:hAnsi="Verdana" w:cs="Verdana" w:hint="default"/>
        <w:w w:val="100"/>
        <w:sz w:val="22"/>
        <w:szCs w:val="22"/>
        <w:lang w:val="en-US" w:eastAsia="en-US" w:bidi="ar-SA"/>
      </w:rPr>
    </w:lvl>
    <w:lvl w:ilvl="1">
      <w:start w:val="1"/>
      <w:numFmt w:val="decimal"/>
      <w:lvlText w:val="%2"/>
      <w:lvlJc w:val="left"/>
      <w:pPr>
        <w:ind w:left="2171" w:hanging="932"/>
      </w:pPr>
      <w:rPr>
        <w:rFonts w:ascii="Verdana" w:eastAsia="Verdana" w:hAnsi="Verdana" w:cs="Verdana" w:hint="default"/>
        <w:spacing w:val="-3"/>
        <w:w w:val="100"/>
        <w:sz w:val="60"/>
        <w:szCs w:val="60"/>
        <w:lang w:val="en-US" w:eastAsia="en-US" w:bidi="ar-SA"/>
      </w:rPr>
    </w:lvl>
    <w:lvl w:ilvl="2">
      <w:start w:val="1"/>
      <w:numFmt w:val="decimal"/>
      <w:lvlText w:val="%2.%3"/>
      <w:lvlJc w:val="left"/>
      <w:pPr>
        <w:ind w:left="1816" w:hanging="576"/>
      </w:pPr>
      <w:rPr>
        <w:rFonts w:ascii="Verdana" w:eastAsia="Verdana" w:hAnsi="Verdana" w:cs="Verdana" w:hint="default"/>
        <w:b/>
        <w:bCs/>
        <w:color w:val="auto"/>
        <w:spacing w:val="-2"/>
        <w:w w:val="100"/>
        <w:sz w:val="18"/>
        <w:szCs w:val="18"/>
        <w:lang w:val="en-US" w:eastAsia="en-US" w:bidi="ar-SA"/>
      </w:rPr>
    </w:lvl>
    <w:lvl w:ilvl="3">
      <w:start w:val="1"/>
      <w:numFmt w:val="decimal"/>
      <w:lvlText w:val="%2.%3.%4"/>
      <w:lvlJc w:val="left"/>
      <w:pPr>
        <w:ind w:left="1960" w:hanging="720"/>
      </w:pPr>
      <w:rPr>
        <w:rFonts w:ascii="Verdana" w:eastAsia="Verdana" w:hAnsi="Verdana" w:cs="Verdana" w:hint="default"/>
        <w:b/>
        <w:bCs/>
        <w:spacing w:val="-1"/>
        <w:w w:val="100"/>
        <w:sz w:val="18"/>
        <w:szCs w:val="18"/>
        <w:lang w:val="en-US" w:eastAsia="en-US" w:bidi="ar-SA"/>
      </w:rPr>
    </w:lvl>
    <w:lvl w:ilvl="4">
      <w:start w:val="1"/>
      <w:numFmt w:val="decimal"/>
      <w:lvlText w:val="%2.%3.%4.%5"/>
      <w:lvlJc w:val="left"/>
      <w:pPr>
        <w:ind w:left="2104" w:hanging="864"/>
      </w:pPr>
      <w:rPr>
        <w:rFonts w:ascii="Verdana" w:eastAsia="Verdana" w:hAnsi="Verdana" w:cs="Verdana" w:hint="default"/>
        <w:b/>
        <w:bCs/>
        <w:color w:val="auto"/>
        <w:spacing w:val="-27"/>
        <w:w w:val="100"/>
        <w:sz w:val="18"/>
        <w:szCs w:val="18"/>
        <w:lang w:val="en-US" w:eastAsia="en-US" w:bidi="ar-SA"/>
      </w:rPr>
    </w:lvl>
    <w:lvl w:ilvl="5">
      <w:numFmt w:val="bullet"/>
      <w:lvlText w:val="•"/>
      <w:lvlJc w:val="left"/>
      <w:pPr>
        <w:ind w:left="3754" w:hanging="864"/>
      </w:pPr>
      <w:rPr>
        <w:rFonts w:hint="default"/>
        <w:lang w:val="en-US" w:eastAsia="en-US" w:bidi="ar-SA"/>
      </w:rPr>
    </w:lvl>
    <w:lvl w:ilvl="6">
      <w:numFmt w:val="bullet"/>
      <w:lvlText w:val="•"/>
      <w:lvlJc w:val="left"/>
      <w:pPr>
        <w:ind w:left="5328" w:hanging="864"/>
      </w:pPr>
      <w:rPr>
        <w:rFonts w:hint="default"/>
        <w:lang w:val="en-US" w:eastAsia="en-US" w:bidi="ar-SA"/>
      </w:rPr>
    </w:lvl>
    <w:lvl w:ilvl="7">
      <w:numFmt w:val="bullet"/>
      <w:lvlText w:val="•"/>
      <w:lvlJc w:val="left"/>
      <w:pPr>
        <w:ind w:left="6902" w:hanging="864"/>
      </w:pPr>
      <w:rPr>
        <w:rFonts w:hint="default"/>
        <w:lang w:val="en-US" w:eastAsia="en-US" w:bidi="ar-SA"/>
      </w:rPr>
    </w:lvl>
    <w:lvl w:ilvl="8">
      <w:numFmt w:val="bullet"/>
      <w:lvlText w:val="•"/>
      <w:lvlJc w:val="left"/>
      <w:pPr>
        <w:ind w:left="8476" w:hanging="864"/>
      </w:pPr>
      <w:rPr>
        <w:rFonts w:hint="default"/>
        <w:lang w:val="en-US" w:eastAsia="en-US" w:bidi="ar-SA"/>
      </w:rPr>
    </w:lvl>
  </w:abstractNum>
  <w:abstractNum w:abstractNumId="13" w15:restartNumberingAfterBreak="0">
    <w:nsid w:val="2A8D2D93"/>
    <w:multiLevelType w:val="hybridMultilevel"/>
    <w:tmpl w:val="4E0EF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673ED4"/>
    <w:multiLevelType w:val="hybridMultilevel"/>
    <w:tmpl w:val="193A0796"/>
    <w:lvl w:ilvl="0" w:tplc="60BED9C2">
      <w:start w:val="1"/>
      <w:numFmt w:val="decimal"/>
      <w:lvlText w:val="%1."/>
      <w:lvlJc w:val="left"/>
      <w:pPr>
        <w:ind w:left="1919" w:hanging="339"/>
      </w:pPr>
      <w:rPr>
        <w:rFonts w:ascii="Verdana" w:eastAsia="Verdana" w:hAnsi="Verdana" w:cs="Verdana" w:hint="default"/>
        <w:spacing w:val="-3"/>
        <w:w w:val="100"/>
        <w:sz w:val="18"/>
        <w:szCs w:val="18"/>
        <w:lang w:val="en-US" w:eastAsia="en-US" w:bidi="ar-SA"/>
      </w:rPr>
    </w:lvl>
    <w:lvl w:ilvl="1" w:tplc="A9AA93B0">
      <w:numFmt w:val="bullet"/>
      <w:lvlText w:val="•"/>
      <w:lvlJc w:val="left"/>
      <w:pPr>
        <w:ind w:left="2890" w:hanging="339"/>
      </w:pPr>
      <w:rPr>
        <w:rFonts w:hint="default"/>
        <w:lang w:val="en-US" w:eastAsia="en-US" w:bidi="ar-SA"/>
      </w:rPr>
    </w:lvl>
    <w:lvl w:ilvl="2" w:tplc="31D2BDF0">
      <w:numFmt w:val="bullet"/>
      <w:lvlText w:val="•"/>
      <w:lvlJc w:val="left"/>
      <w:pPr>
        <w:ind w:left="3860" w:hanging="339"/>
      </w:pPr>
      <w:rPr>
        <w:rFonts w:hint="default"/>
        <w:lang w:val="en-US" w:eastAsia="en-US" w:bidi="ar-SA"/>
      </w:rPr>
    </w:lvl>
    <w:lvl w:ilvl="3" w:tplc="2FC620E4">
      <w:numFmt w:val="bullet"/>
      <w:lvlText w:val="•"/>
      <w:lvlJc w:val="left"/>
      <w:pPr>
        <w:ind w:left="4831" w:hanging="339"/>
      </w:pPr>
      <w:rPr>
        <w:rFonts w:hint="default"/>
        <w:lang w:val="en-US" w:eastAsia="en-US" w:bidi="ar-SA"/>
      </w:rPr>
    </w:lvl>
    <w:lvl w:ilvl="4" w:tplc="36B2A0A6">
      <w:numFmt w:val="bullet"/>
      <w:lvlText w:val="•"/>
      <w:lvlJc w:val="left"/>
      <w:pPr>
        <w:ind w:left="5801" w:hanging="339"/>
      </w:pPr>
      <w:rPr>
        <w:rFonts w:hint="default"/>
        <w:lang w:val="en-US" w:eastAsia="en-US" w:bidi="ar-SA"/>
      </w:rPr>
    </w:lvl>
    <w:lvl w:ilvl="5" w:tplc="80E2C61A">
      <w:numFmt w:val="bullet"/>
      <w:lvlText w:val="•"/>
      <w:lvlJc w:val="left"/>
      <w:pPr>
        <w:ind w:left="6772" w:hanging="339"/>
      </w:pPr>
      <w:rPr>
        <w:rFonts w:hint="default"/>
        <w:lang w:val="en-US" w:eastAsia="en-US" w:bidi="ar-SA"/>
      </w:rPr>
    </w:lvl>
    <w:lvl w:ilvl="6" w:tplc="8C1C9080">
      <w:numFmt w:val="bullet"/>
      <w:lvlText w:val="•"/>
      <w:lvlJc w:val="left"/>
      <w:pPr>
        <w:ind w:left="7742" w:hanging="339"/>
      </w:pPr>
      <w:rPr>
        <w:rFonts w:hint="default"/>
        <w:lang w:val="en-US" w:eastAsia="en-US" w:bidi="ar-SA"/>
      </w:rPr>
    </w:lvl>
    <w:lvl w:ilvl="7" w:tplc="FCA85ECC">
      <w:numFmt w:val="bullet"/>
      <w:lvlText w:val="•"/>
      <w:lvlJc w:val="left"/>
      <w:pPr>
        <w:ind w:left="8712" w:hanging="339"/>
      </w:pPr>
      <w:rPr>
        <w:rFonts w:hint="default"/>
        <w:lang w:val="en-US" w:eastAsia="en-US" w:bidi="ar-SA"/>
      </w:rPr>
    </w:lvl>
    <w:lvl w:ilvl="8" w:tplc="310A92BE">
      <w:numFmt w:val="bullet"/>
      <w:lvlText w:val="•"/>
      <w:lvlJc w:val="left"/>
      <w:pPr>
        <w:ind w:left="9683" w:hanging="339"/>
      </w:pPr>
      <w:rPr>
        <w:rFonts w:hint="default"/>
        <w:lang w:val="en-US" w:eastAsia="en-US" w:bidi="ar-SA"/>
      </w:rPr>
    </w:lvl>
  </w:abstractNum>
  <w:abstractNum w:abstractNumId="15" w15:restartNumberingAfterBreak="0">
    <w:nsid w:val="3B197F2B"/>
    <w:multiLevelType w:val="hybridMultilevel"/>
    <w:tmpl w:val="C8FAD546"/>
    <w:lvl w:ilvl="0" w:tplc="3D48409A">
      <w:start w:val="1"/>
      <w:numFmt w:val="decimal"/>
      <w:lvlText w:val="%1."/>
      <w:lvlJc w:val="left"/>
      <w:pPr>
        <w:ind w:left="1600" w:hanging="360"/>
      </w:pPr>
      <w:rPr>
        <w:rFonts w:hint="default"/>
      </w:rPr>
    </w:lvl>
    <w:lvl w:ilvl="1" w:tplc="0C090019" w:tentative="1">
      <w:start w:val="1"/>
      <w:numFmt w:val="lowerLetter"/>
      <w:lvlText w:val="%2."/>
      <w:lvlJc w:val="left"/>
      <w:pPr>
        <w:ind w:left="2320" w:hanging="360"/>
      </w:pPr>
    </w:lvl>
    <w:lvl w:ilvl="2" w:tplc="0C09001B" w:tentative="1">
      <w:start w:val="1"/>
      <w:numFmt w:val="lowerRoman"/>
      <w:lvlText w:val="%3."/>
      <w:lvlJc w:val="right"/>
      <w:pPr>
        <w:ind w:left="3040" w:hanging="180"/>
      </w:pPr>
    </w:lvl>
    <w:lvl w:ilvl="3" w:tplc="0C09000F" w:tentative="1">
      <w:start w:val="1"/>
      <w:numFmt w:val="decimal"/>
      <w:lvlText w:val="%4."/>
      <w:lvlJc w:val="left"/>
      <w:pPr>
        <w:ind w:left="3760" w:hanging="360"/>
      </w:pPr>
    </w:lvl>
    <w:lvl w:ilvl="4" w:tplc="0C090019" w:tentative="1">
      <w:start w:val="1"/>
      <w:numFmt w:val="lowerLetter"/>
      <w:lvlText w:val="%5."/>
      <w:lvlJc w:val="left"/>
      <w:pPr>
        <w:ind w:left="4480" w:hanging="360"/>
      </w:pPr>
    </w:lvl>
    <w:lvl w:ilvl="5" w:tplc="0C09001B" w:tentative="1">
      <w:start w:val="1"/>
      <w:numFmt w:val="lowerRoman"/>
      <w:lvlText w:val="%6."/>
      <w:lvlJc w:val="right"/>
      <w:pPr>
        <w:ind w:left="5200" w:hanging="180"/>
      </w:pPr>
    </w:lvl>
    <w:lvl w:ilvl="6" w:tplc="0C09000F" w:tentative="1">
      <w:start w:val="1"/>
      <w:numFmt w:val="decimal"/>
      <w:lvlText w:val="%7."/>
      <w:lvlJc w:val="left"/>
      <w:pPr>
        <w:ind w:left="5920" w:hanging="360"/>
      </w:pPr>
    </w:lvl>
    <w:lvl w:ilvl="7" w:tplc="0C090019" w:tentative="1">
      <w:start w:val="1"/>
      <w:numFmt w:val="lowerLetter"/>
      <w:lvlText w:val="%8."/>
      <w:lvlJc w:val="left"/>
      <w:pPr>
        <w:ind w:left="6640" w:hanging="360"/>
      </w:pPr>
    </w:lvl>
    <w:lvl w:ilvl="8" w:tplc="0C09001B" w:tentative="1">
      <w:start w:val="1"/>
      <w:numFmt w:val="lowerRoman"/>
      <w:lvlText w:val="%9."/>
      <w:lvlJc w:val="right"/>
      <w:pPr>
        <w:ind w:left="7360" w:hanging="180"/>
      </w:pPr>
    </w:lvl>
  </w:abstractNum>
  <w:abstractNum w:abstractNumId="16" w15:restartNumberingAfterBreak="0">
    <w:nsid w:val="3BF9098C"/>
    <w:multiLevelType w:val="hybridMultilevel"/>
    <w:tmpl w:val="0B3A34B2"/>
    <w:lvl w:ilvl="0" w:tplc="22A2EAB6">
      <w:start w:val="1"/>
      <w:numFmt w:val="decimal"/>
      <w:lvlText w:val="%1."/>
      <w:lvlJc w:val="left"/>
      <w:pPr>
        <w:ind w:left="1602" w:hanging="360"/>
      </w:pPr>
      <w:rPr>
        <w:rFonts w:hint="default"/>
      </w:rPr>
    </w:lvl>
    <w:lvl w:ilvl="1" w:tplc="0C090019" w:tentative="1">
      <w:start w:val="1"/>
      <w:numFmt w:val="lowerLetter"/>
      <w:lvlText w:val="%2."/>
      <w:lvlJc w:val="left"/>
      <w:pPr>
        <w:ind w:left="2322" w:hanging="360"/>
      </w:pPr>
    </w:lvl>
    <w:lvl w:ilvl="2" w:tplc="0C09001B" w:tentative="1">
      <w:start w:val="1"/>
      <w:numFmt w:val="lowerRoman"/>
      <w:lvlText w:val="%3."/>
      <w:lvlJc w:val="right"/>
      <w:pPr>
        <w:ind w:left="3042" w:hanging="180"/>
      </w:pPr>
    </w:lvl>
    <w:lvl w:ilvl="3" w:tplc="0C09000F" w:tentative="1">
      <w:start w:val="1"/>
      <w:numFmt w:val="decimal"/>
      <w:lvlText w:val="%4."/>
      <w:lvlJc w:val="left"/>
      <w:pPr>
        <w:ind w:left="3762" w:hanging="360"/>
      </w:pPr>
    </w:lvl>
    <w:lvl w:ilvl="4" w:tplc="0C090019" w:tentative="1">
      <w:start w:val="1"/>
      <w:numFmt w:val="lowerLetter"/>
      <w:lvlText w:val="%5."/>
      <w:lvlJc w:val="left"/>
      <w:pPr>
        <w:ind w:left="4482" w:hanging="360"/>
      </w:pPr>
    </w:lvl>
    <w:lvl w:ilvl="5" w:tplc="0C09001B" w:tentative="1">
      <w:start w:val="1"/>
      <w:numFmt w:val="lowerRoman"/>
      <w:lvlText w:val="%6."/>
      <w:lvlJc w:val="right"/>
      <w:pPr>
        <w:ind w:left="5202" w:hanging="180"/>
      </w:pPr>
    </w:lvl>
    <w:lvl w:ilvl="6" w:tplc="0C09000F" w:tentative="1">
      <w:start w:val="1"/>
      <w:numFmt w:val="decimal"/>
      <w:lvlText w:val="%7."/>
      <w:lvlJc w:val="left"/>
      <w:pPr>
        <w:ind w:left="5922" w:hanging="360"/>
      </w:pPr>
    </w:lvl>
    <w:lvl w:ilvl="7" w:tplc="0C090019" w:tentative="1">
      <w:start w:val="1"/>
      <w:numFmt w:val="lowerLetter"/>
      <w:lvlText w:val="%8."/>
      <w:lvlJc w:val="left"/>
      <w:pPr>
        <w:ind w:left="6642" w:hanging="360"/>
      </w:pPr>
    </w:lvl>
    <w:lvl w:ilvl="8" w:tplc="0C09001B" w:tentative="1">
      <w:start w:val="1"/>
      <w:numFmt w:val="lowerRoman"/>
      <w:lvlText w:val="%9."/>
      <w:lvlJc w:val="right"/>
      <w:pPr>
        <w:ind w:left="7362" w:hanging="180"/>
      </w:pPr>
    </w:lvl>
  </w:abstractNum>
  <w:abstractNum w:abstractNumId="17" w15:restartNumberingAfterBreak="0">
    <w:nsid w:val="3C1F41AB"/>
    <w:multiLevelType w:val="hybridMultilevel"/>
    <w:tmpl w:val="D5F0062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3F5E4525"/>
    <w:multiLevelType w:val="hybridMultilevel"/>
    <w:tmpl w:val="99C8FBC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A867E9"/>
    <w:multiLevelType w:val="hybridMultilevel"/>
    <w:tmpl w:val="DC90FFE2"/>
    <w:lvl w:ilvl="0" w:tplc="4080FFFA">
      <w:start w:val="1"/>
      <w:numFmt w:val="decimal"/>
      <w:lvlText w:val="%1."/>
      <w:lvlJc w:val="left"/>
      <w:pPr>
        <w:ind w:left="1600" w:hanging="360"/>
      </w:pPr>
      <w:rPr>
        <w:rFonts w:hint="default"/>
      </w:rPr>
    </w:lvl>
    <w:lvl w:ilvl="1" w:tplc="0C090019" w:tentative="1">
      <w:start w:val="1"/>
      <w:numFmt w:val="lowerLetter"/>
      <w:lvlText w:val="%2."/>
      <w:lvlJc w:val="left"/>
      <w:pPr>
        <w:ind w:left="2320" w:hanging="360"/>
      </w:pPr>
    </w:lvl>
    <w:lvl w:ilvl="2" w:tplc="0C09001B" w:tentative="1">
      <w:start w:val="1"/>
      <w:numFmt w:val="lowerRoman"/>
      <w:lvlText w:val="%3."/>
      <w:lvlJc w:val="right"/>
      <w:pPr>
        <w:ind w:left="3040" w:hanging="180"/>
      </w:pPr>
    </w:lvl>
    <w:lvl w:ilvl="3" w:tplc="0C09000F" w:tentative="1">
      <w:start w:val="1"/>
      <w:numFmt w:val="decimal"/>
      <w:lvlText w:val="%4."/>
      <w:lvlJc w:val="left"/>
      <w:pPr>
        <w:ind w:left="3760" w:hanging="360"/>
      </w:pPr>
    </w:lvl>
    <w:lvl w:ilvl="4" w:tplc="0C090019" w:tentative="1">
      <w:start w:val="1"/>
      <w:numFmt w:val="lowerLetter"/>
      <w:lvlText w:val="%5."/>
      <w:lvlJc w:val="left"/>
      <w:pPr>
        <w:ind w:left="4480" w:hanging="360"/>
      </w:pPr>
    </w:lvl>
    <w:lvl w:ilvl="5" w:tplc="0C09001B" w:tentative="1">
      <w:start w:val="1"/>
      <w:numFmt w:val="lowerRoman"/>
      <w:lvlText w:val="%6."/>
      <w:lvlJc w:val="right"/>
      <w:pPr>
        <w:ind w:left="5200" w:hanging="180"/>
      </w:pPr>
    </w:lvl>
    <w:lvl w:ilvl="6" w:tplc="0C09000F" w:tentative="1">
      <w:start w:val="1"/>
      <w:numFmt w:val="decimal"/>
      <w:lvlText w:val="%7."/>
      <w:lvlJc w:val="left"/>
      <w:pPr>
        <w:ind w:left="5920" w:hanging="360"/>
      </w:pPr>
    </w:lvl>
    <w:lvl w:ilvl="7" w:tplc="0C090019" w:tentative="1">
      <w:start w:val="1"/>
      <w:numFmt w:val="lowerLetter"/>
      <w:lvlText w:val="%8."/>
      <w:lvlJc w:val="left"/>
      <w:pPr>
        <w:ind w:left="6640" w:hanging="360"/>
      </w:pPr>
    </w:lvl>
    <w:lvl w:ilvl="8" w:tplc="0C09001B" w:tentative="1">
      <w:start w:val="1"/>
      <w:numFmt w:val="lowerRoman"/>
      <w:lvlText w:val="%9."/>
      <w:lvlJc w:val="right"/>
      <w:pPr>
        <w:ind w:left="7360" w:hanging="180"/>
      </w:pPr>
    </w:lvl>
  </w:abstractNum>
  <w:abstractNum w:abstractNumId="20" w15:restartNumberingAfterBreak="0">
    <w:nsid w:val="42E74836"/>
    <w:multiLevelType w:val="hybridMultilevel"/>
    <w:tmpl w:val="11809BF8"/>
    <w:lvl w:ilvl="0" w:tplc="95C8BA6A">
      <w:start w:val="1"/>
      <w:numFmt w:val="decimal"/>
      <w:lvlText w:val="%1."/>
      <w:lvlJc w:val="left"/>
      <w:pPr>
        <w:ind w:left="1959" w:hanging="720"/>
      </w:pPr>
      <w:rPr>
        <w:rFonts w:hint="default"/>
      </w:rPr>
    </w:lvl>
    <w:lvl w:ilvl="1" w:tplc="0C090019" w:tentative="1">
      <w:start w:val="1"/>
      <w:numFmt w:val="lowerLetter"/>
      <w:lvlText w:val="%2."/>
      <w:lvlJc w:val="left"/>
      <w:pPr>
        <w:ind w:left="2319" w:hanging="360"/>
      </w:pPr>
    </w:lvl>
    <w:lvl w:ilvl="2" w:tplc="0C09001B" w:tentative="1">
      <w:start w:val="1"/>
      <w:numFmt w:val="lowerRoman"/>
      <w:lvlText w:val="%3."/>
      <w:lvlJc w:val="right"/>
      <w:pPr>
        <w:ind w:left="3039" w:hanging="180"/>
      </w:pPr>
    </w:lvl>
    <w:lvl w:ilvl="3" w:tplc="0C09000F" w:tentative="1">
      <w:start w:val="1"/>
      <w:numFmt w:val="decimal"/>
      <w:lvlText w:val="%4."/>
      <w:lvlJc w:val="left"/>
      <w:pPr>
        <w:ind w:left="3759" w:hanging="360"/>
      </w:pPr>
    </w:lvl>
    <w:lvl w:ilvl="4" w:tplc="0C090019" w:tentative="1">
      <w:start w:val="1"/>
      <w:numFmt w:val="lowerLetter"/>
      <w:lvlText w:val="%5."/>
      <w:lvlJc w:val="left"/>
      <w:pPr>
        <w:ind w:left="4479" w:hanging="360"/>
      </w:pPr>
    </w:lvl>
    <w:lvl w:ilvl="5" w:tplc="0C09001B" w:tentative="1">
      <w:start w:val="1"/>
      <w:numFmt w:val="lowerRoman"/>
      <w:lvlText w:val="%6."/>
      <w:lvlJc w:val="right"/>
      <w:pPr>
        <w:ind w:left="5199" w:hanging="180"/>
      </w:pPr>
    </w:lvl>
    <w:lvl w:ilvl="6" w:tplc="0C09000F" w:tentative="1">
      <w:start w:val="1"/>
      <w:numFmt w:val="decimal"/>
      <w:lvlText w:val="%7."/>
      <w:lvlJc w:val="left"/>
      <w:pPr>
        <w:ind w:left="5919" w:hanging="360"/>
      </w:pPr>
    </w:lvl>
    <w:lvl w:ilvl="7" w:tplc="0C090019" w:tentative="1">
      <w:start w:val="1"/>
      <w:numFmt w:val="lowerLetter"/>
      <w:lvlText w:val="%8."/>
      <w:lvlJc w:val="left"/>
      <w:pPr>
        <w:ind w:left="6639" w:hanging="360"/>
      </w:pPr>
    </w:lvl>
    <w:lvl w:ilvl="8" w:tplc="0C09001B" w:tentative="1">
      <w:start w:val="1"/>
      <w:numFmt w:val="lowerRoman"/>
      <w:lvlText w:val="%9."/>
      <w:lvlJc w:val="right"/>
      <w:pPr>
        <w:ind w:left="7359" w:hanging="180"/>
      </w:pPr>
    </w:lvl>
  </w:abstractNum>
  <w:abstractNum w:abstractNumId="21" w15:restartNumberingAfterBreak="0">
    <w:nsid w:val="44053801"/>
    <w:multiLevelType w:val="hybridMultilevel"/>
    <w:tmpl w:val="5792F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8F53B9"/>
    <w:multiLevelType w:val="hybridMultilevel"/>
    <w:tmpl w:val="EAA08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7B1A0B"/>
    <w:multiLevelType w:val="hybridMultilevel"/>
    <w:tmpl w:val="70747298"/>
    <w:lvl w:ilvl="0" w:tplc="09C8B0B4">
      <w:start w:val="1"/>
      <w:numFmt w:val="decimal"/>
      <w:lvlText w:val="%1."/>
      <w:lvlJc w:val="left"/>
      <w:pPr>
        <w:ind w:left="1602" w:hanging="360"/>
      </w:pPr>
      <w:rPr>
        <w:rFonts w:hint="default"/>
      </w:rPr>
    </w:lvl>
    <w:lvl w:ilvl="1" w:tplc="0C090019" w:tentative="1">
      <w:start w:val="1"/>
      <w:numFmt w:val="lowerLetter"/>
      <w:lvlText w:val="%2."/>
      <w:lvlJc w:val="left"/>
      <w:pPr>
        <w:ind w:left="2322" w:hanging="360"/>
      </w:pPr>
    </w:lvl>
    <w:lvl w:ilvl="2" w:tplc="0C09001B" w:tentative="1">
      <w:start w:val="1"/>
      <w:numFmt w:val="lowerRoman"/>
      <w:lvlText w:val="%3."/>
      <w:lvlJc w:val="right"/>
      <w:pPr>
        <w:ind w:left="3042" w:hanging="180"/>
      </w:pPr>
    </w:lvl>
    <w:lvl w:ilvl="3" w:tplc="0C09000F" w:tentative="1">
      <w:start w:val="1"/>
      <w:numFmt w:val="decimal"/>
      <w:lvlText w:val="%4."/>
      <w:lvlJc w:val="left"/>
      <w:pPr>
        <w:ind w:left="3762" w:hanging="360"/>
      </w:pPr>
    </w:lvl>
    <w:lvl w:ilvl="4" w:tplc="0C090019" w:tentative="1">
      <w:start w:val="1"/>
      <w:numFmt w:val="lowerLetter"/>
      <w:lvlText w:val="%5."/>
      <w:lvlJc w:val="left"/>
      <w:pPr>
        <w:ind w:left="4482" w:hanging="360"/>
      </w:pPr>
    </w:lvl>
    <w:lvl w:ilvl="5" w:tplc="0C09001B" w:tentative="1">
      <w:start w:val="1"/>
      <w:numFmt w:val="lowerRoman"/>
      <w:lvlText w:val="%6."/>
      <w:lvlJc w:val="right"/>
      <w:pPr>
        <w:ind w:left="5202" w:hanging="180"/>
      </w:pPr>
    </w:lvl>
    <w:lvl w:ilvl="6" w:tplc="0C09000F" w:tentative="1">
      <w:start w:val="1"/>
      <w:numFmt w:val="decimal"/>
      <w:lvlText w:val="%7."/>
      <w:lvlJc w:val="left"/>
      <w:pPr>
        <w:ind w:left="5922" w:hanging="360"/>
      </w:pPr>
    </w:lvl>
    <w:lvl w:ilvl="7" w:tplc="0C090019" w:tentative="1">
      <w:start w:val="1"/>
      <w:numFmt w:val="lowerLetter"/>
      <w:lvlText w:val="%8."/>
      <w:lvlJc w:val="left"/>
      <w:pPr>
        <w:ind w:left="6642" w:hanging="360"/>
      </w:pPr>
    </w:lvl>
    <w:lvl w:ilvl="8" w:tplc="0C09001B" w:tentative="1">
      <w:start w:val="1"/>
      <w:numFmt w:val="lowerRoman"/>
      <w:lvlText w:val="%9."/>
      <w:lvlJc w:val="right"/>
      <w:pPr>
        <w:ind w:left="7362" w:hanging="180"/>
      </w:pPr>
    </w:lvl>
  </w:abstractNum>
  <w:abstractNum w:abstractNumId="24" w15:restartNumberingAfterBreak="0">
    <w:nsid w:val="47CC1221"/>
    <w:multiLevelType w:val="hybridMultilevel"/>
    <w:tmpl w:val="949EE0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831E0C"/>
    <w:multiLevelType w:val="hybridMultilevel"/>
    <w:tmpl w:val="E104F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C61063"/>
    <w:multiLevelType w:val="hybridMultilevel"/>
    <w:tmpl w:val="AE1A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810C50"/>
    <w:multiLevelType w:val="multilevel"/>
    <w:tmpl w:val="A956C5AC"/>
    <w:lvl w:ilvl="0">
      <w:start w:val="1"/>
      <w:numFmt w:val="decimal"/>
      <w:lvlText w:val="%1"/>
      <w:lvlJc w:val="left"/>
      <w:pPr>
        <w:ind w:left="1513" w:hanging="361"/>
      </w:pPr>
      <w:rPr>
        <w:rFonts w:ascii="Verdana" w:eastAsia="Verdana" w:hAnsi="Verdana" w:cs="Verdana" w:hint="default"/>
        <w:w w:val="100"/>
        <w:sz w:val="22"/>
        <w:szCs w:val="22"/>
        <w:lang w:val="en-US" w:eastAsia="en-US" w:bidi="ar-SA"/>
      </w:rPr>
    </w:lvl>
    <w:lvl w:ilvl="1">
      <w:start w:val="1"/>
      <w:numFmt w:val="decimal"/>
      <w:lvlText w:val="%2"/>
      <w:lvlJc w:val="left"/>
      <w:pPr>
        <w:ind w:left="2171" w:hanging="932"/>
      </w:pPr>
      <w:rPr>
        <w:rFonts w:ascii="Verdana" w:eastAsia="Verdana" w:hAnsi="Verdana" w:cs="Verdana" w:hint="default"/>
        <w:spacing w:val="-3"/>
        <w:w w:val="100"/>
        <w:sz w:val="60"/>
        <w:szCs w:val="60"/>
        <w:lang w:val="en-US" w:eastAsia="en-US" w:bidi="ar-SA"/>
      </w:rPr>
    </w:lvl>
    <w:lvl w:ilvl="2">
      <w:start w:val="1"/>
      <w:numFmt w:val="decimal"/>
      <w:lvlText w:val="%2.%3"/>
      <w:lvlJc w:val="left"/>
      <w:pPr>
        <w:ind w:left="1816" w:hanging="576"/>
      </w:pPr>
      <w:rPr>
        <w:rFonts w:ascii="Verdana" w:eastAsia="Verdana" w:hAnsi="Verdana" w:cs="Verdana" w:hint="default"/>
        <w:b/>
        <w:bCs/>
        <w:color w:val="85BB24"/>
        <w:spacing w:val="-2"/>
        <w:w w:val="100"/>
        <w:sz w:val="18"/>
        <w:szCs w:val="18"/>
        <w:lang w:val="en-US" w:eastAsia="en-US" w:bidi="ar-SA"/>
      </w:rPr>
    </w:lvl>
    <w:lvl w:ilvl="3">
      <w:start w:val="1"/>
      <w:numFmt w:val="decimal"/>
      <w:lvlText w:val="%2.%3.%4"/>
      <w:lvlJc w:val="left"/>
      <w:pPr>
        <w:ind w:left="1960" w:hanging="720"/>
      </w:pPr>
      <w:rPr>
        <w:rFonts w:ascii="Verdana" w:eastAsia="Verdana" w:hAnsi="Verdana" w:cs="Verdana" w:hint="default"/>
        <w:b/>
        <w:bCs/>
        <w:spacing w:val="-1"/>
        <w:w w:val="100"/>
        <w:sz w:val="18"/>
        <w:szCs w:val="18"/>
        <w:lang w:val="en-US" w:eastAsia="en-US" w:bidi="ar-SA"/>
      </w:rPr>
    </w:lvl>
    <w:lvl w:ilvl="4">
      <w:start w:val="1"/>
      <w:numFmt w:val="decimal"/>
      <w:lvlText w:val="%2.%3.%4.%5"/>
      <w:lvlJc w:val="left"/>
      <w:pPr>
        <w:ind w:left="2104" w:hanging="864"/>
      </w:pPr>
      <w:rPr>
        <w:rFonts w:ascii="Verdana" w:eastAsia="Verdana" w:hAnsi="Verdana" w:cs="Verdana" w:hint="default"/>
        <w:b/>
        <w:bCs/>
        <w:color w:val="75787A"/>
        <w:spacing w:val="-27"/>
        <w:w w:val="100"/>
        <w:sz w:val="18"/>
        <w:szCs w:val="18"/>
        <w:lang w:val="en-US" w:eastAsia="en-US" w:bidi="ar-SA"/>
      </w:rPr>
    </w:lvl>
    <w:lvl w:ilvl="5">
      <w:numFmt w:val="bullet"/>
      <w:lvlText w:val="•"/>
      <w:lvlJc w:val="left"/>
      <w:pPr>
        <w:ind w:left="3754" w:hanging="864"/>
      </w:pPr>
      <w:rPr>
        <w:rFonts w:hint="default"/>
        <w:lang w:val="en-US" w:eastAsia="en-US" w:bidi="ar-SA"/>
      </w:rPr>
    </w:lvl>
    <w:lvl w:ilvl="6">
      <w:numFmt w:val="bullet"/>
      <w:lvlText w:val="•"/>
      <w:lvlJc w:val="left"/>
      <w:pPr>
        <w:ind w:left="5328" w:hanging="864"/>
      </w:pPr>
      <w:rPr>
        <w:rFonts w:hint="default"/>
        <w:lang w:val="en-US" w:eastAsia="en-US" w:bidi="ar-SA"/>
      </w:rPr>
    </w:lvl>
    <w:lvl w:ilvl="7">
      <w:numFmt w:val="bullet"/>
      <w:lvlText w:val="•"/>
      <w:lvlJc w:val="left"/>
      <w:pPr>
        <w:ind w:left="6902" w:hanging="864"/>
      </w:pPr>
      <w:rPr>
        <w:rFonts w:hint="default"/>
        <w:lang w:val="en-US" w:eastAsia="en-US" w:bidi="ar-SA"/>
      </w:rPr>
    </w:lvl>
    <w:lvl w:ilvl="8">
      <w:numFmt w:val="bullet"/>
      <w:lvlText w:val="•"/>
      <w:lvlJc w:val="left"/>
      <w:pPr>
        <w:ind w:left="8476" w:hanging="864"/>
      </w:pPr>
      <w:rPr>
        <w:rFonts w:hint="default"/>
        <w:lang w:val="en-US" w:eastAsia="en-US" w:bidi="ar-SA"/>
      </w:rPr>
    </w:lvl>
  </w:abstractNum>
  <w:abstractNum w:abstractNumId="28" w15:restartNumberingAfterBreak="0">
    <w:nsid w:val="5A7B7692"/>
    <w:multiLevelType w:val="hybridMultilevel"/>
    <w:tmpl w:val="22CE9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9D1102"/>
    <w:multiLevelType w:val="hybridMultilevel"/>
    <w:tmpl w:val="68363ACA"/>
    <w:lvl w:ilvl="0" w:tplc="ADD09D74">
      <w:numFmt w:val="bullet"/>
      <w:lvlText w:val="•"/>
      <w:lvlJc w:val="left"/>
      <w:pPr>
        <w:ind w:left="334" w:hanging="197"/>
      </w:pPr>
      <w:rPr>
        <w:rFonts w:ascii="Arial" w:eastAsia="Arial" w:hAnsi="Arial" w:cs="Arial" w:hint="default"/>
        <w:w w:val="100"/>
        <w:sz w:val="16"/>
        <w:szCs w:val="16"/>
        <w:lang w:val="en-US" w:eastAsia="en-US" w:bidi="ar-SA"/>
      </w:rPr>
    </w:lvl>
    <w:lvl w:ilvl="1" w:tplc="F5625A7C">
      <w:numFmt w:val="bullet"/>
      <w:lvlText w:val=""/>
      <w:lvlJc w:val="left"/>
      <w:pPr>
        <w:ind w:left="1581" w:hanging="341"/>
      </w:pPr>
      <w:rPr>
        <w:rFonts w:ascii="Symbol" w:eastAsia="Symbol" w:hAnsi="Symbol" w:cs="Symbol" w:hint="default"/>
        <w:w w:val="100"/>
        <w:sz w:val="18"/>
        <w:szCs w:val="18"/>
        <w:lang w:val="en-US" w:eastAsia="en-US" w:bidi="ar-SA"/>
      </w:rPr>
    </w:lvl>
    <w:lvl w:ilvl="2" w:tplc="B010D61C">
      <w:numFmt w:val="bullet"/>
      <w:lvlText w:val="•"/>
      <w:lvlJc w:val="left"/>
      <w:pPr>
        <w:ind w:left="2031" w:hanging="341"/>
      </w:pPr>
      <w:rPr>
        <w:rFonts w:hint="default"/>
        <w:lang w:val="en-US" w:eastAsia="en-US" w:bidi="ar-SA"/>
      </w:rPr>
    </w:lvl>
    <w:lvl w:ilvl="3" w:tplc="69F446DC">
      <w:numFmt w:val="bullet"/>
      <w:lvlText w:val="•"/>
      <w:lvlJc w:val="left"/>
      <w:pPr>
        <w:ind w:left="2483" w:hanging="341"/>
      </w:pPr>
      <w:rPr>
        <w:rFonts w:hint="default"/>
        <w:lang w:val="en-US" w:eastAsia="en-US" w:bidi="ar-SA"/>
      </w:rPr>
    </w:lvl>
    <w:lvl w:ilvl="4" w:tplc="FD22B5A4">
      <w:numFmt w:val="bullet"/>
      <w:lvlText w:val="•"/>
      <w:lvlJc w:val="left"/>
      <w:pPr>
        <w:ind w:left="2934" w:hanging="341"/>
      </w:pPr>
      <w:rPr>
        <w:rFonts w:hint="default"/>
        <w:lang w:val="en-US" w:eastAsia="en-US" w:bidi="ar-SA"/>
      </w:rPr>
    </w:lvl>
    <w:lvl w:ilvl="5" w:tplc="C65080B2">
      <w:numFmt w:val="bullet"/>
      <w:lvlText w:val="•"/>
      <w:lvlJc w:val="left"/>
      <w:pPr>
        <w:ind w:left="3386" w:hanging="341"/>
      </w:pPr>
      <w:rPr>
        <w:rFonts w:hint="default"/>
        <w:lang w:val="en-US" w:eastAsia="en-US" w:bidi="ar-SA"/>
      </w:rPr>
    </w:lvl>
    <w:lvl w:ilvl="6" w:tplc="97D0A236">
      <w:numFmt w:val="bullet"/>
      <w:lvlText w:val="•"/>
      <w:lvlJc w:val="left"/>
      <w:pPr>
        <w:ind w:left="3837" w:hanging="341"/>
      </w:pPr>
      <w:rPr>
        <w:rFonts w:hint="default"/>
        <w:lang w:val="en-US" w:eastAsia="en-US" w:bidi="ar-SA"/>
      </w:rPr>
    </w:lvl>
    <w:lvl w:ilvl="7" w:tplc="8D00B9B0">
      <w:numFmt w:val="bullet"/>
      <w:lvlText w:val="•"/>
      <w:lvlJc w:val="left"/>
      <w:pPr>
        <w:ind w:left="4289" w:hanging="341"/>
      </w:pPr>
      <w:rPr>
        <w:rFonts w:hint="default"/>
        <w:lang w:val="en-US" w:eastAsia="en-US" w:bidi="ar-SA"/>
      </w:rPr>
    </w:lvl>
    <w:lvl w:ilvl="8" w:tplc="3508F8BA">
      <w:numFmt w:val="bullet"/>
      <w:lvlText w:val="•"/>
      <w:lvlJc w:val="left"/>
      <w:pPr>
        <w:ind w:left="4740" w:hanging="341"/>
      </w:pPr>
      <w:rPr>
        <w:rFonts w:hint="default"/>
        <w:lang w:val="en-US" w:eastAsia="en-US" w:bidi="ar-SA"/>
      </w:rPr>
    </w:lvl>
  </w:abstractNum>
  <w:abstractNum w:abstractNumId="30" w15:restartNumberingAfterBreak="0">
    <w:nsid w:val="65D563EC"/>
    <w:multiLevelType w:val="hybridMultilevel"/>
    <w:tmpl w:val="39B40128"/>
    <w:lvl w:ilvl="0" w:tplc="9DE865F4">
      <w:numFmt w:val="bullet"/>
      <w:lvlText w:val="•"/>
      <w:lvlJc w:val="left"/>
      <w:pPr>
        <w:ind w:left="202" w:hanging="132"/>
      </w:pPr>
      <w:rPr>
        <w:rFonts w:ascii="Arial" w:eastAsia="Arial" w:hAnsi="Arial" w:cs="Arial" w:hint="default"/>
        <w:w w:val="100"/>
        <w:sz w:val="16"/>
        <w:szCs w:val="16"/>
        <w:lang w:val="en-US" w:eastAsia="en-US" w:bidi="ar-SA"/>
      </w:rPr>
    </w:lvl>
    <w:lvl w:ilvl="1" w:tplc="A64AEF90">
      <w:numFmt w:val="bullet"/>
      <w:lvlText w:val="•"/>
      <w:lvlJc w:val="left"/>
      <w:pPr>
        <w:ind w:left="727" w:hanging="132"/>
      </w:pPr>
      <w:rPr>
        <w:rFonts w:hint="default"/>
        <w:lang w:val="en-US" w:eastAsia="en-US" w:bidi="ar-SA"/>
      </w:rPr>
    </w:lvl>
    <w:lvl w:ilvl="2" w:tplc="188C2002">
      <w:numFmt w:val="bullet"/>
      <w:lvlText w:val="•"/>
      <w:lvlJc w:val="left"/>
      <w:pPr>
        <w:ind w:left="1255" w:hanging="132"/>
      </w:pPr>
      <w:rPr>
        <w:rFonts w:hint="default"/>
        <w:lang w:val="en-US" w:eastAsia="en-US" w:bidi="ar-SA"/>
      </w:rPr>
    </w:lvl>
    <w:lvl w:ilvl="3" w:tplc="7648478C">
      <w:numFmt w:val="bullet"/>
      <w:lvlText w:val="•"/>
      <w:lvlJc w:val="left"/>
      <w:pPr>
        <w:ind w:left="1783" w:hanging="132"/>
      </w:pPr>
      <w:rPr>
        <w:rFonts w:hint="default"/>
        <w:lang w:val="en-US" w:eastAsia="en-US" w:bidi="ar-SA"/>
      </w:rPr>
    </w:lvl>
    <w:lvl w:ilvl="4" w:tplc="385C923A">
      <w:numFmt w:val="bullet"/>
      <w:lvlText w:val="•"/>
      <w:lvlJc w:val="left"/>
      <w:pPr>
        <w:ind w:left="2310" w:hanging="132"/>
      </w:pPr>
      <w:rPr>
        <w:rFonts w:hint="default"/>
        <w:lang w:val="en-US" w:eastAsia="en-US" w:bidi="ar-SA"/>
      </w:rPr>
    </w:lvl>
    <w:lvl w:ilvl="5" w:tplc="3DB21FEA">
      <w:numFmt w:val="bullet"/>
      <w:lvlText w:val="•"/>
      <w:lvlJc w:val="left"/>
      <w:pPr>
        <w:ind w:left="2838" w:hanging="132"/>
      </w:pPr>
      <w:rPr>
        <w:rFonts w:hint="default"/>
        <w:lang w:val="en-US" w:eastAsia="en-US" w:bidi="ar-SA"/>
      </w:rPr>
    </w:lvl>
    <w:lvl w:ilvl="6" w:tplc="966AF60A">
      <w:numFmt w:val="bullet"/>
      <w:lvlText w:val="•"/>
      <w:lvlJc w:val="left"/>
      <w:pPr>
        <w:ind w:left="3366" w:hanging="132"/>
      </w:pPr>
      <w:rPr>
        <w:rFonts w:hint="default"/>
        <w:lang w:val="en-US" w:eastAsia="en-US" w:bidi="ar-SA"/>
      </w:rPr>
    </w:lvl>
    <w:lvl w:ilvl="7" w:tplc="A55EA148">
      <w:numFmt w:val="bullet"/>
      <w:lvlText w:val="•"/>
      <w:lvlJc w:val="left"/>
      <w:pPr>
        <w:ind w:left="3893" w:hanging="132"/>
      </w:pPr>
      <w:rPr>
        <w:rFonts w:hint="default"/>
        <w:lang w:val="en-US" w:eastAsia="en-US" w:bidi="ar-SA"/>
      </w:rPr>
    </w:lvl>
    <w:lvl w:ilvl="8" w:tplc="B3AEAFC8">
      <w:numFmt w:val="bullet"/>
      <w:lvlText w:val="•"/>
      <w:lvlJc w:val="left"/>
      <w:pPr>
        <w:ind w:left="4421" w:hanging="132"/>
      </w:pPr>
      <w:rPr>
        <w:rFonts w:hint="default"/>
        <w:lang w:val="en-US" w:eastAsia="en-US" w:bidi="ar-SA"/>
      </w:rPr>
    </w:lvl>
  </w:abstractNum>
  <w:abstractNum w:abstractNumId="31" w15:restartNumberingAfterBreak="0">
    <w:nsid w:val="68913E1D"/>
    <w:multiLevelType w:val="hybridMultilevel"/>
    <w:tmpl w:val="4E92A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5B0FB0"/>
    <w:multiLevelType w:val="hybridMultilevel"/>
    <w:tmpl w:val="F30A7286"/>
    <w:lvl w:ilvl="0" w:tplc="0C090001">
      <w:start w:val="1"/>
      <w:numFmt w:val="bullet"/>
      <w:lvlText w:val=""/>
      <w:lvlJc w:val="left"/>
      <w:pPr>
        <w:ind w:left="1962" w:hanging="360"/>
      </w:pPr>
      <w:rPr>
        <w:rFonts w:ascii="Symbol" w:hAnsi="Symbol" w:hint="default"/>
      </w:rPr>
    </w:lvl>
    <w:lvl w:ilvl="1" w:tplc="0C090003" w:tentative="1">
      <w:start w:val="1"/>
      <w:numFmt w:val="bullet"/>
      <w:lvlText w:val="o"/>
      <w:lvlJc w:val="left"/>
      <w:pPr>
        <w:ind w:left="2682" w:hanging="360"/>
      </w:pPr>
      <w:rPr>
        <w:rFonts w:ascii="Courier New" w:hAnsi="Courier New" w:cs="Courier New" w:hint="default"/>
      </w:rPr>
    </w:lvl>
    <w:lvl w:ilvl="2" w:tplc="0C090005" w:tentative="1">
      <w:start w:val="1"/>
      <w:numFmt w:val="bullet"/>
      <w:lvlText w:val=""/>
      <w:lvlJc w:val="left"/>
      <w:pPr>
        <w:ind w:left="3402" w:hanging="360"/>
      </w:pPr>
      <w:rPr>
        <w:rFonts w:ascii="Wingdings" w:hAnsi="Wingdings" w:hint="default"/>
      </w:rPr>
    </w:lvl>
    <w:lvl w:ilvl="3" w:tplc="0C090001" w:tentative="1">
      <w:start w:val="1"/>
      <w:numFmt w:val="bullet"/>
      <w:lvlText w:val=""/>
      <w:lvlJc w:val="left"/>
      <w:pPr>
        <w:ind w:left="4122" w:hanging="360"/>
      </w:pPr>
      <w:rPr>
        <w:rFonts w:ascii="Symbol" w:hAnsi="Symbol" w:hint="default"/>
      </w:rPr>
    </w:lvl>
    <w:lvl w:ilvl="4" w:tplc="0C090003" w:tentative="1">
      <w:start w:val="1"/>
      <w:numFmt w:val="bullet"/>
      <w:lvlText w:val="o"/>
      <w:lvlJc w:val="left"/>
      <w:pPr>
        <w:ind w:left="4842" w:hanging="360"/>
      </w:pPr>
      <w:rPr>
        <w:rFonts w:ascii="Courier New" w:hAnsi="Courier New" w:cs="Courier New" w:hint="default"/>
      </w:rPr>
    </w:lvl>
    <w:lvl w:ilvl="5" w:tplc="0C090005" w:tentative="1">
      <w:start w:val="1"/>
      <w:numFmt w:val="bullet"/>
      <w:lvlText w:val=""/>
      <w:lvlJc w:val="left"/>
      <w:pPr>
        <w:ind w:left="5562" w:hanging="360"/>
      </w:pPr>
      <w:rPr>
        <w:rFonts w:ascii="Wingdings" w:hAnsi="Wingdings" w:hint="default"/>
      </w:rPr>
    </w:lvl>
    <w:lvl w:ilvl="6" w:tplc="0C090001" w:tentative="1">
      <w:start w:val="1"/>
      <w:numFmt w:val="bullet"/>
      <w:lvlText w:val=""/>
      <w:lvlJc w:val="left"/>
      <w:pPr>
        <w:ind w:left="6282" w:hanging="360"/>
      </w:pPr>
      <w:rPr>
        <w:rFonts w:ascii="Symbol" w:hAnsi="Symbol" w:hint="default"/>
      </w:rPr>
    </w:lvl>
    <w:lvl w:ilvl="7" w:tplc="0C090003" w:tentative="1">
      <w:start w:val="1"/>
      <w:numFmt w:val="bullet"/>
      <w:lvlText w:val="o"/>
      <w:lvlJc w:val="left"/>
      <w:pPr>
        <w:ind w:left="7002" w:hanging="360"/>
      </w:pPr>
      <w:rPr>
        <w:rFonts w:ascii="Courier New" w:hAnsi="Courier New" w:cs="Courier New" w:hint="default"/>
      </w:rPr>
    </w:lvl>
    <w:lvl w:ilvl="8" w:tplc="0C090005" w:tentative="1">
      <w:start w:val="1"/>
      <w:numFmt w:val="bullet"/>
      <w:lvlText w:val=""/>
      <w:lvlJc w:val="left"/>
      <w:pPr>
        <w:ind w:left="7722" w:hanging="360"/>
      </w:pPr>
      <w:rPr>
        <w:rFonts w:ascii="Wingdings" w:hAnsi="Wingdings" w:hint="default"/>
      </w:rPr>
    </w:lvl>
  </w:abstractNum>
  <w:abstractNum w:abstractNumId="33" w15:restartNumberingAfterBreak="0">
    <w:nsid w:val="6AAC144C"/>
    <w:multiLevelType w:val="hybridMultilevel"/>
    <w:tmpl w:val="BD04D93E"/>
    <w:lvl w:ilvl="0" w:tplc="0C090001">
      <w:start w:val="1"/>
      <w:numFmt w:val="bullet"/>
      <w:lvlText w:val=""/>
      <w:lvlJc w:val="left"/>
      <w:pPr>
        <w:ind w:left="5031" w:hanging="360"/>
      </w:pPr>
      <w:rPr>
        <w:rFonts w:ascii="Symbol" w:hAnsi="Symbol" w:hint="default"/>
      </w:rPr>
    </w:lvl>
    <w:lvl w:ilvl="1" w:tplc="0C090003" w:tentative="1">
      <w:start w:val="1"/>
      <w:numFmt w:val="bullet"/>
      <w:lvlText w:val="o"/>
      <w:lvlJc w:val="left"/>
      <w:pPr>
        <w:ind w:left="5751" w:hanging="360"/>
      </w:pPr>
      <w:rPr>
        <w:rFonts w:ascii="Courier New" w:hAnsi="Courier New" w:cs="Courier New" w:hint="default"/>
      </w:rPr>
    </w:lvl>
    <w:lvl w:ilvl="2" w:tplc="0C090005" w:tentative="1">
      <w:start w:val="1"/>
      <w:numFmt w:val="bullet"/>
      <w:lvlText w:val=""/>
      <w:lvlJc w:val="left"/>
      <w:pPr>
        <w:ind w:left="6471" w:hanging="360"/>
      </w:pPr>
      <w:rPr>
        <w:rFonts w:ascii="Wingdings" w:hAnsi="Wingdings" w:hint="default"/>
      </w:rPr>
    </w:lvl>
    <w:lvl w:ilvl="3" w:tplc="0C090001" w:tentative="1">
      <w:start w:val="1"/>
      <w:numFmt w:val="bullet"/>
      <w:lvlText w:val=""/>
      <w:lvlJc w:val="left"/>
      <w:pPr>
        <w:ind w:left="7191" w:hanging="360"/>
      </w:pPr>
      <w:rPr>
        <w:rFonts w:ascii="Symbol" w:hAnsi="Symbol" w:hint="default"/>
      </w:rPr>
    </w:lvl>
    <w:lvl w:ilvl="4" w:tplc="0C090003" w:tentative="1">
      <w:start w:val="1"/>
      <w:numFmt w:val="bullet"/>
      <w:lvlText w:val="o"/>
      <w:lvlJc w:val="left"/>
      <w:pPr>
        <w:ind w:left="7911" w:hanging="360"/>
      </w:pPr>
      <w:rPr>
        <w:rFonts w:ascii="Courier New" w:hAnsi="Courier New" w:cs="Courier New" w:hint="default"/>
      </w:rPr>
    </w:lvl>
    <w:lvl w:ilvl="5" w:tplc="0C090005" w:tentative="1">
      <w:start w:val="1"/>
      <w:numFmt w:val="bullet"/>
      <w:lvlText w:val=""/>
      <w:lvlJc w:val="left"/>
      <w:pPr>
        <w:ind w:left="8631" w:hanging="360"/>
      </w:pPr>
      <w:rPr>
        <w:rFonts w:ascii="Wingdings" w:hAnsi="Wingdings" w:hint="default"/>
      </w:rPr>
    </w:lvl>
    <w:lvl w:ilvl="6" w:tplc="0C090001" w:tentative="1">
      <w:start w:val="1"/>
      <w:numFmt w:val="bullet"/>
      <w:lvlText w:val=""/>
      <w:lvlJc w:val="left"/>
      <w:pPr>
        <w:ind w:left="9351" w:hanging="360"/>
      </w:pPr>
      <w:rPr>
        <w:rFonts w:ascii="Symbol" w:hAnsi="Symbol" w:hint="default"/>
      </w:rPr>
    </w:lvl>
    <w:lvl w:ilvl="7" w:tplc="0C090003" w:tentative="1">
      <w:start w:val="1"/>
      <w:numFmt w:val="bullet"/>
      <w:lvlText w:val="o"/>
      <w:lvlJc w:val="left"/>
      <w:pPr>
        <w:ind w:left="10071" w:hanging="360"/>
      </w:pPr>
      <w:rPr>
        <w:rFonts w:ascii="Courier New" w:hAnsi="Courier New" w:cs="Courier New" w:hint="default"/>
      </w:rPr>
    </w:lvl>
    <w:lvl w:ilvl="8" w:tplc="0C090005" w:tentative="1">
      <w:start w:val="1"/>
      <w:numFmt w:val="bullet"/>
      <w:lvlText w:val=""/>
      <w:lvlJc w:val="left"/>
      <w:pPr>
        <w:ind w:left="10791" w:hanging="360"/>
      </w:pPr>
      <w:rPr>
        <w:rFonts w:ascii="Wingdings" w:hAnsi="Wingdings" w:hint="default"/>
      </w:rPr>
    </w:lvl>
  </w:abstractNum>
  <w:abstractNum w:abstractNumId="34" w15:restartNumberingAfterBreak="0">
    <w:nsid w:val="6CCC2A38"/>
    <w:multiLevelType w:val="hybridMultilevel"/>
    <w:tmpl w:val="307EB6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3554B93"/>
    <w:multiLevelType w:val="hybridMultilevel"/>
    <w:tmpl w:val="636E0B8E"/>
    <w:lvl w:ilvl="0" w:tplc="00A063B4">
      <w:start w:val="1"/>
      <w:numFmt w:val="decimal"/>
      <w:lvlText w:val="%1."/>
      <w:lvlJc w:val="left"/>
      <w:pPr>
        <w:ind w:left="1602" w:hanging="360"/>
      </w:pPr>
      <w:rPr>
        <w:rFonts w:hint="default"/>
        <w:sz w:val="22"/>
      </w:rPr>
    </w:lvl>
    <w:lvl w:ilvl="1" w:tplc="0C090019" w:tentative="1">
      <w:start w:val="1"/>
      <w:numFmt w:val="lowerLetter"/>
      <w:lvlText w:val="%2."/>
      <w:lvlJc w:val="left"/>
      <w:pPr>
        <w:ind w:left="2322" w:hanging="360"/>
      </w:pPr>
    </w:lvl>
    <w:lvl w:ilvl="2" w:tplc="0C09001B" w:tentative="1">
      <w:start w:val="1"/>
      <w:numFmt w:val="lowerRoman"/>
      <w:lvlText w:val="%3."/>
      <w:lvlJc w:val="right"/>
      <w:pPr>
        <w:ind w:left="3042" w:hanging="180"/>
      </w:pPr>
    </w:lvl>
    <w:lvl w:ilvl="3" w:tplc="0C09000F" w:tentative="1">
      <w:start w:val="1"/>
      <w:numFmt w:val="decimal"/>
      <w:lvlText w:val="%4."/>
      <w:lvlJc w:val="left"/>
      <w:pPr>
        <w:ind w:left="3762" w:hanging="360"/>
      </w:pPr>
    </w:lvl>
    <w:lvl w:ilvl="4" w:tplc="0C090019" w:tentative="1">
      <w:start w:val="1"/>
      <w:numFmt w:val="lowerLetter"/>
      <w:lvlText w:val="%5."/>
      <w:lvlJc w:val="left"/>
      <w:pPr>
        <w:ind w:left="4482" w:hanging="360"/>
      </w:pPr>
    </w:lvl>
    <w:lvl w:ilvl="5" w:tplc="0C09001B" w:tentative="1">
      <w:start w:val="1"/>
      <w:numFmt w:val="lowerRoman"/>
      <w:lvlText w:val="%6."/>
      <w:lvlJc w:val="right"/>
      <w:pPr>
        <w:ind w:left="5202" w:hanging="180"/>
      </w:pPr>
    </w:lvl>
    <w:lvl w:ilvl="6" w:tplc="0C09000F" w:tentative="1">
      <w:start w:val="1"/>
      <w:numFmt w:val="decimal"/>
      <w:lvlText w:val="%7."/>
      <w:lvlJc w:val="left"/>
      <w:pPr>
        <w:ind w:left="5922" w:hanging="360"/>
      </w:pPr>
    </w:lvl>
    <w:lvl w:ilvl="7" w:tplc="0C090019" w:tentative="1">
      <w:start w:val="1"/>
      <w:numFmt w:val="lowerLetter"/>
      <w:lvlText w:val="%8."/>
      <w:lvlJc w:val="left"/>
      <w:pPr>
        <w:ind w:left="6642" w:hanging="360"/>
      </w:pPr>
    </w:lvl>
    <w:lvl w:ilvl="8" w:tplc="0C09001B" w:tentative="1">
      <w:start w:val="1"/>
      <w:numFmt w:val="lowerRoman"/>
      <w:lvlText w:val="%9."/>
      <w:lvlJc w:val="right"/>
      <w:pPr>
        <w:ind w:left="7362" w:hanging="180"/>
      </w:pPr>
    </w:lvl>
  </w:abstractNum>
  <w:abstractNum w:abstractNumId="36" w15:restartNumberingAfterBreak="0">
    <w:nsid w:val="74077E29"/>
    <w:multiLevelType w:val="hybridMultilevel"/>
    <w:tmpl w:val="C4D84FF6"/>
    <w:lvl w:ilvl="0" w:tplc="28AE11FE">
      <w:start w:val="1"/>
      <w:numFmt w:val="decimal"/>
      <w:lvlText w:val="%1."/>
      <w:lvlJc w:val="left"/>
      <w:pPr>
        <w:ind w:left="1602" w:hanging="360"/>
      </w:pPr>
      <w:rPr>
        <w:rFonts w:hint="default"/>
      </w:rPr>
    </w:lvl>
    <w:lvl w:ilvl="1" w:tplc="0C090019">
      <w:start w:val="1"/>
      <w:numFmt w:val="lowerLetter"/>
      <w:lvlText w:val="%2."/>
      <w:lvlJc w:val="left"/>
      <w:pPr>
        <w:ind w:left="2322" w:hanging="360"/>
      </w:pPr>
    </w:lvl>
    <w:lvl w:ilvl="2" w:tplc="0C09001B" w:tentative="1">
      <w:start w:val="1"/>
      <w:numFmt w:val="lowerRoman"/>
      <w:lvlText w:val="%3."/>
      <w:lvlJc w:val="right"/>
      <w:pPr>
        <w:ind w:left="3042" w:hanging="180"/>
      </w:pPr>
    </w:lvl>
    <w:lvl w:ilvl="3" w:tplc="0C09000F" w:tentative="1">
      <w:start w:val="1"/>
      <w:numFmt w:val="decimal"/>
      <w:lvlText w:val="%4."/>
      <w:lvlJc w:val="left"/>
      <w:pPr>
        <w:ind w:left="3762" w:hanging="360"/>
      </w:pPr>
    </w:lvl>
    <w:lvl w:ilvl="4" w:tplc="0C090019" w:tentative="1">
      <w:start w:val="1"/>
      <w:numFmt w:val="lowerLetter"/>
      <w:lvlText w:val="%5."/>
      <w:lvlJc w:val="left"/>
      <w:pPr>
        <w:ind w:left="4482" w:hanging="360"/>
      </w:pPr>
    </w:lvl>
    <w:lvl w:ilvl="5" w:tplc="0C09001B" w:tentative="1">
      <w:start w:val="1"/>
      <w:numFmt w:val="lowerRoman"/>
      <w:lvlText w:val="%6."/>
      <w:lvlJc w:val="right"/>
      <w:pPr>
        <w:ind w:left="5202" w:hanging="180"/>
      </w:pPr>
    </w:lvl>
    <w:lvl w:ilvl="6" w:tplc="0C09000F" w:tentative="1">
      <w:start w:val="1"/>
      <w:numFmt w:val="decimal"/>
      <w:lvlText w:val="%7."/>
      <w:lvlJc w:val="left"/>
      <w:pPr>
        <w:ind w:left="5922" w:hanging="360"/>
      </w:pPr>
    </w:lvl>
    <w:lvl w:ilvl="7" w:tplc="0C090019" w:tentative="1">
      <w:start w:val="1"/>
      <w:numFmt w:val="lowerLetter"/>
      <w:lvlText w:val="%8."/>
      <w:lvlJc w:val="left"/>
      <w:pPr>
        <w:ind w:left="6642" w:hanging="360"/>
      </w:pPr>
    </w:lvl>
    <w:lvl w:ilvl="8" w:tplc="0C09001B" w:tentative="1">
      <w:start w:val="1"/>
      <w:numFmt w:val="lowerRoman"/>
      <w:lvlText w:val="%9."/>
      <w:lvlJc w:val="right"/>
      <w:pPr>
        <w:ind w:left="7362" w:hanging="180"/>
      </w:pPr>
    </w:lvl>
  </w:abstractNum>
  <w:abstractNum w:abstractNumId="37" w15:restartNumberingAfterBreak="0">
    <w:nsid w:val="79191838"/>
    <w:multiLevelType w:val="hybridMultilevel"/>
    <w:tmpl w:val="9D2E7FA6"/>
    <w:lvl w:ilvl="0" w:tplc="0C090001">
      <w:start w:val="1"/>
      <w:numFmt w:val="bullet"/>
      <w:lvlText w:val=""/>
      <w:lvlJc w:val="left"/>
      <w:pPr>
        <w:ind w:left="1962" w:hanging="360"/>
      </w:pPr>
      <w:rPr>
        <w:rFonts w:ascii="Symbol" w:hAnsi="Symbol" w:hint="default"/>
      </w:rPr>
    </w:lvl>
    <w:lvl w:ilvl="1" w:tplc="0C090003" w:tentative="1">
      <w:start w:val="1"/>
      <w:numFmt w:val="bullet"/>
      <w:lvlText w:val="o"/>
      <w:lvlJc w:val="left"/>
      <w:pPr>
        <w:ind w:left="2682" w:hanging="360"/>
      </w:pPr>
      <w:rPr>
        <w:rFonts w:ascii="Courier New" w:hAnsi="Courier New" w:cs="Courier New" w:hint="default"/>
      </w:rPr>
    </w:lvl>
    <w:lvl w:ilvl="2" w:tplc="0C090005" w:tentative="1">
      <w:start w:val="1"/>
      <w:numFmt w:val="bullet"/>
      <w:lvlText w:val=""/>
      <w:lvlJc w:val="left"/>
      <w:pPr>
        <w:ind w:left="3402" w:hanging="360"/>
      </w:pPr>
      <w:rPr>
        <w:rFonts w:ascii="Wingdings" w:hAnsi="Wingdings" w:hint="default"/>
      </w:rPr>
    </w:lvl>
    <w:lvl w:ilvl="3" w:tplc="0C090001" w:tentative="1">
      <w:start w:val="1"/>
      <w:numFmt w:val="bullet"/>
      <w:lvlText w:val=""/>
      <w:lvlJc w:val="left"/>
      <w:pPr>
        <w:ind w:left="4122" w:hanging="360"/>
      </w:pPr>
      <w:rPr>
        <w:rFonts w:ascii="Symbol" w:hAnsi="Symbol" w:hint="default"/>
      </w:rPr>
    </w:lvl>
    <w:lvl w:ilvl="4" w:tplc="0C090003" w:tentative="1">
      <w:start w:val="1"/>
      <w:numFmt w:val="bullet"/>
      <w:lvlText w:val="o"/>
      <w:lvlJc w:val="left"/>
      <w:pPr>
        <w:ind w:left="4842" w:hanging="360"/>
      </w:pPr>
      <w:rPr>
        <w:rFonts w:ascii="Courier New" w:hAnsi="Courier New" w:cs="Courier New" w:hint="default"/>
      </w:rPr>
    </w:lvl>
    <w:lvl w:ilvl="5" w:tplc="0C090005" w:tentative="1">
      <w:start w:val="1"/>
      <w:numFmt w:val="bullet"/>
      <w:lvlText w:val=""/>
      <w:lvlJc w:val="left"/>
      <w:pPr>
        <w:ind w:left="5562" w:hanging="360"/>
      </w:pPr>
      <w:rPr>
        <w:rFonts w:ascii="Wingdings" w:hAnsi="Wingdings" w:hint="default"/>
      </w:rPr>
    </w:lvl>
    <w:lvl w:ilvl="6" w:tplc="0C090001" w:tentative="1">
      <w:start w:val="1"/>
      <w:numFmt w:val="bullet"/>
      <w:lvlText w:val=""/>
      <w:lvlJc w:val="left"/>
      <w:pPr>
        <w:ind w:left="6282" w:hanging="360"/>
      </w:pPr>
      <w:rPr>
        <w:rFonts w:ascii="Symbol" w:hAnsi="Symbol" w:hint="default"/>
      </w:rPr>
    </w:lvl>
    <w:lvl w:ilvl="7" w:tplc="0C090003" w:tentative="1">
      <w:start w:val="1"/>
      <w:numFmt w:val="bullet"/>
      <w:lvlText w:val="o"/>
      <w:lvlJc w:val="left"/>
      <w:pPr>
        <w:ind w:left="7002" w:hanging="360"/>
      </w:pPr>
      <w:rPr>
        <w:rFonts w:ascii="Courier New" w:hAnsi="Courier New" w:cs="Courier New" w:hint="default"/>
      </w:rPr>
    </w:lvl>
    <w:lvl w:ilvl="8" w:tplc="0C090005" w:tentative="1">
      <w:start w:val="1"/>
      <w:numFmt w:val="bullet"/>
      <w:lvlText w:val=""/>
      <w:lvlJc w:val="left"/>
      <w:pPr>
        <w:ind w:left="7722" w:hanging="360"/>
      </w:pPr>
      <w:rPr>
        <w:rFonts w:ascii="Wingdings" w:hAnsi="Wingdings" w:hint="default"/>
      </w:rPr>
    </w:lvl>
  </w:abstractNum>
  <w:abstractNum w:abstractNumId="38" w15:restartNumberingAfterBreak="0">
    <w:nsid w:val="7A4279CE"/>
    <w:multiLevelType w:val="hybridMultilevel"/>
    <w:tmpl w:val="68620368"/>
    <w:lvl w:ilvl="0" w:tplc="E6423478">
      <w:start w:val="1"/>
      <w:numFmt w:val="decimal"/>
      <w:lvlText w:val="%1."/>
      <w:lvlJc w:val="left"/>
      <w:pPr>
        <w:ind w:left="1600" w:hanging="360"/>
      </w:pPr>
      <w:rPr>
        <w:rFonts w:hint="default"/>
      </w:rPr>
    </w:lvl>
    <w:lvl w:ilvl="1" w:tplc="0C090019" w:tentative="1">
      <w:start w:val="1"/>
      <w:numFmt w:val="lowerLetter"/>
      <w:lvlText w:val="%2."/>
      <w:lvlJc w:val="left"/>
      <w:pPr>
        <w:ind w:left="2320" w:hanging="360"/>
      </w:pPr>
    </w:lvl>
    <w:lvl w:ilvl="2" w:tplc="0C09001B" w:tentative="1">
      <w:start w:val="1"/>
      <w:numFmt w:val="lowerRoman"/>
      <w:lvlText w:val="%3."/>
      <w:lvlJc w:val="right"/>
      <w:pPr>
        <w:ind w:left="3040" w:hanging="180"/>
      </w:pPr>
    </w:lvl>
    <w:lvl w:ilvl="3" w:tplc="0C09000F" w:tentative="1">
      <w:start w:val="1"/>
      <w:numFmt w:val="decimal"/>
      <w:lvlText w:val="%4."/>
      <w:lvlJc w:val="left"/>
      <w:pPr>
        <w:ind w:left="3760" w:hanging="360"/>
      </w:pPr>
    </w:lvl>
    <w:lvl w:ilvl="4" w:tplc="0C090019" w:tentative="1">
      <w:start w:val="1"/>
      <w:numFmt w:val="lowerLetter"/>
      <w:lvlText w:val="%5."/>
      <w:lvlJc w:val="left"/>
      <w:pPr>
        <w:ind w:left="4480" w:hanging="360"/>
      </w:pPr>
    </w:lvl>
    <w:lvl w:ilvl="5" w:tplc="0C09001B" w:tentative="1">
      <w:start w:val="1"/>
      <w:numFmt w:val="lowerRoman"/>
      <w:lvlText w:val="%6."/>
      <w:lvlJc w:val="right"/>
      <w:pPr>
        <w:ind w:left="5200" w:hanging="180"/>
      </w:pPr>
    </w:lvl>
    <w:lvl w:ilvl="6" w:tplc="0C09000F" w:tentative="1">
      <w:start w:val="1"/>
      <w:numFmt w:val="decimal"/>
      <w:lvlText w:val="%7."/>
      <w:lvlJc w:val="left"/>
      <w:pPr>
        <w:ind w:left="5920" w:hanging="360"/>
      </w:pPr>
    </w:lvl>
    <w:lvl w:ilvl="7" w:tplc="0C090019" w:tentative="1">
      <w:start w:val="1"/>
      <w:numFmt w:val="lowerLetter"/>
      <w:lvlText w:val="%8."/>
      <w:lvlJc w:val="left"/>
      <w:pPr>
        <w:ind w:left="6640" w:hanging="360"/>
      </w:pPr>
    </w:lvl>
    <w:lvl w:ilvl="8" w:tplc="0C09001B" w:tentative="1">
      <w:start w:val="1"/>
      <w:numFmt w:val="lowerRoman"/>
      <w:lvlText w:val="%9."/>
      <w:lvlJc w:val="right"/>
      <w:pPr>
        <w:ind w:left="7360" w:hanging="180"/>
      </w:pPr>
    </w:lvl>
  </w:abstractNum>
  <w:abstractNum w:abstractNumId="39" w15:restartNumberingAfterBreak="0">
    <w:nsid w:val="7B5007D0"/>
    <w:multiLevelType w:val="hybridMultilevel"/>
    <w:tmpl w:val="ABEAA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DD453A"/>
    <w:multiLevelType w:val="hybridMultilevel"/>
    <w:tmpl w:val="21F4CEFC"/>
    <w:lvl w:ilvl="0" w:tplc="3D48409A">
      <w:start w:val="1"/>
      <w:numFmt w:val="decimal"/>
      <w:lvlText w:val="%1."/>
      <w:lvlJc w:val="left"/>
      <w:pPr>
        <w:ind w:left="268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6"/>
  </w:num>
  <w:num w:numId="2">
    <w:abstractNumId w:val="17"/>
  </w:num>
  <w:num w:numId="3">
    <w:abstractNumId w:val="32"/>
  </w:num>
  <w:num w:numId="4">
    <w:abstractNumId w:val="10"/>
  </w:num>
  <w:num w:numId="5">
    <w:abstractNumId w:val="21"/>
  </w:num>
  <w:num w:numId="6">
    <w:abstractNumId w:val="3"/>
  </w:num>
  <w:num w:numId="7">
    <w:abstractNumId w:val="39"/>
  </w:num>
  <w:num w:numId="8">
    <w:abstractNumId w:val="30"/>
  </w:num>
  <w:num w:numId="9">
    <w:abstractNumId w:val="22"/>
  </w:num>
  <w:num w:numId="10">
    <w:abstractNumId w:val="18"/>
  </w:num>
  <w:num w:numId="11">
    <w:abstractNumId w:val="31"/>
  </w:num>
  <w:num w:numId="12">
    <w:abstractNumId w:val="24"/>
  </w:num>
  <w:num w:numId="13">
    <w:abstractNumId w:val="28"/>
  </w:num>
  <w:num w:numId="14">
    <w:abstractNumId w:val="26"/>
  </w:num>
  <w:num w:numId="15">
    <w:abstractNumId w:val="33"/>
  </w:num>
  <w:num w:numId="16">
    <w:abstractNumId w:val="25"/>
  </w:num>
  <w:num w:numId="17">
    <w:abstractNumId w:val="34"/>
  </w:num>
  <w:num w:numId="18">
    <w:abstractNumId w:val="27"/>
  </w:num>
  <w:num w:numId="19">
    <w:abstractNumId w:val="14"/>
  </w:num>
  <w:num w:numId="20">
    <w:abstractNumId w:val="8"/>
  </w:num>
  <w:num w:numId="21">
    <w:abstractNumId w:val="29"/>
  </w:num>
  <w:num w:numId="22">
    <w:abstractNumId w:val="12"/>
  </w:num>
  <w:num w:numId="23">
    <w:abstractNumId w:val="1"/>
  </w:num>
  <w:num w:numId="24">
    <w:abstractNumId w:val="5"/>
  </w:num>
  <w:num w:numId="25">
    <w:abstractNumId w:val="0"/>
  </w:num>
  <w:num w:numId="26">
    <w:abstractNumId w:val="37"/>
  </w:num>
  <w:num w:numId="27">
    <w:abstractNumId w:val="4"/>
  </w:num>
  <w:num w:numId="28">
    <w:abstractNumId w:val="16"/>
  </w:num>
  <w:num w:numId="29">
    <w:abstractNumId w:val="36"/>
  </w:num>
  <w:num w:numId="30">
    <w:abstractNumId w:val="13"/>
  </w:num>
  <w:num w:numId="31">
    <w:abstractNumId w:val="35"/>
  </w:num>
  <w:num w:numId="32">
    <w:abstractNumId w:val="23"/>
  </w:num>
  <w:num w:numId="33">
    <w:abstractNumId w:val="38"/>
  </w:num>
  <w:num w:numId="34">
    <w:abstractNumId w:val="15"/>
  </w:num>
  <w:num w:numId="35">
    <w:abstractNumId w:val="2"/>
  </w:num>
  <w:num w:numId="36">
    <w:abstractNumId w:val="40"/>
  </w:num>
  <w:num w:numId="37">
    <w:abstractNumId w:val="11"/>
  </w:num>
  <w:num w:numId="38">
    <w:abstractNumId w:val="7"/>
  </w:num>
  <w:num w:numId="39">
    <w:abstractNumId w:val="9"/>
  </w:num>
  <w:num w:numId="40">
    <w:abstractNumId w:val="1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B2"/>
    <w:rsid w:val="000178DD"/>
    <w:rsid w:val="000821C4"/>
    <w:rsid w:val="0009644C"/>
    <w:rsid w:val="000B4EDD"/>
    <w:rsid w:val="000F2F7C"/>
    <w:rsid w:val="00190D04"/>
    <w:rsid w:val="001938B2"/>
    <w:rsid w:val="001F0AFF"/>
    <w:rsid w:val="00210816"/>
    <w:rsid w:val="002366C9"/>
    <w:rsid w:val="002A74E1"/>
    <w:rsid w:val="0030773F"/>
    <w:rsid w:val="003443B2"/>
    <w:rsid w:val="00364BE2"/>
    <w:rsid w:val="00395EC5"/>
    <w:rsid w:val="003D5878"/>
    <w:rsid w:val="004C7E48"/>
    <w:rsid w:val="00515D52"/>
    <w:rsid w:val="00547B85"/>
    <w:rsid w:val="005D7236"/>
    <w:rsid w:val="005E67B1"/>
    <w:rsid w:val="00614941"/>
    <w:rsid w:val="0062283A"/>
    <w:rsid w:val="00667975"/>
    <w:rsid w:val="00672957"/>
    <w:rsid w:val="00675939"/>
    <w:rsid w:val="006A7BF5"/>
    <w:rsid w:val="006D1BB8"/>
    <w:rsid w:val="006E662A"/>
    <w:rsid w:val="00702F21"/>
    <w:rsid w:val="00707AFE"/>
    <w:rsid w:val="00750F3E"/>
    <w:rsid w:val="00772FC5"/>
    <w:rsid w:val="00793562"/>
    <w:rsid w:val="00796BAD"/>
    <w:rsid w:val="007A7A1B"/>
    <w:rsid w:val="00823FB8"/>
    <w:rsid w:val="00843F6B"/>
    <w:rsid w:val="00893B30"/>
    <w:rsid w:val="00A372B6"/>
    <w:rsid w:val="00A810D3"/>
    <w:rsid w:val="00A840CA"/>
    <w:rsid w:val="00AB2DB4"/>
    <w:rsid w:val="00AE695B"/>
    <w:rsid w:val="00B5765A"/>
    <w:rsid w:val="00B81F4B"/>
    <w:rsid w:val="00BB39DF"/>
    <w:rsid w:val="00C1241A"/>
    <w:rsid w:val="00C163D5"/>
    <w:rsid w:val="00C37326"/>
    <w:rsid w:val="00CB6115"/>
    <w:rsid w:val="00CC00FE"/>
    <w:rsid w:val="00CC3174"/>
    <w:rsid w:val="00CF23D8"/>
    <w:rsid w:val="00D4162A"/>
    <w:rsid w:val="00D57398"/>
    <w:rsid w:val="00D61DEC"/>
    <w:rsid w:val="00D9182F"/>
    <w:rsid w:val="00E06296"/>
    <w:rsid w:val="00E36442"/>
    <w:rsid w:val="00E5319D"/>
    <w:rsid w:val="00E66D37"/>
    <w:rsid w:val="00E82A7F"/>
    <w:rsid w:val="00E85242"/>
    <w:rsid w:val="00E95A65"/>
    <w:rsid w:val="00EB5F89"/>
    <w:rsid w:val="00EE2798"/>
    <w:rsid w:val="00EE5237"/>
    <w:rsid w:val="00FA5355"/>
    <w:rsid w:val="00FB2D3A"/>
    <w:rsid w:val="00FB461D"/>
    <w:rsid w:val="00FC318B"/>
    <w:rsid w:val="00FC50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642CB"/>
  <w15:chartTrackingRefBased/>
  <w15:docId w15:val="{F715FD3C-64EF-493B-B769-CC806D46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8B2"/>
    <w:pPr>
      <w:widowControl w:val="0"/>
      <w:autoSpaceDE w:val="0"/>
      <w:autoSpaceDN w:val="0"/>
      <w:spacing w:after="0" w:line="240" w:lineRule="auto"/>
    </w:pPr>
    <w:rPr>
      <w:rFonts w:ascii="Verdana" w:eastAsia="Verdana" w:hAnsi="Verdana" w:cs="Verdana"/>
      <w:lang w:val="en-US"/>
    </w:rPr>
  </w:style>
  <w:style w:type="paragraph" w:styleId="Heading1">
    <w:name w:val="heading 1"/>
    <w:basedOn w:val="Normal"/>
    <w:next w:val="Normal"/>
    <w:link w:val="Heading1Char"/>
    <w:uiPriority w:val="9"/>
    <w:qFormat/>
    <w:rsid w:val="002366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38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364BE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1938B2"/>
    <w:pPr>
      <w:spacing w:before="261"/>
      <w:ind w:left="1524" w:hanging="372"/>
    </w:pPr>
  </w:style>
  <w:style w:type="paragraph" w:styleId="BodyText">
    <w:name w:val="Body Text"/>
    <w:basedOn w:val="Normal"/>
    <w:link w:val="BodyTextChar"/>
    <w:uiPriority w:val="1"/>
    <w:qFormat/>
    <w:rsid w:val="001938B2"/>
    <w:rPr>
      <w:sz w:val="18"/>
      <w:szCs w:val="18"/>
    </w:rPr>
  </w:style>
  <w:style w:type="character" w:customStyle="1" w:styleId="BodyTextChar">
    <w:name w:val="Body Text Char"/>
    <w:basedOn w:val="DefaultParagraphFont"/>
    <w:link w:val="BodyText"/>
    <w:uiPriority w:val="1"/>
    <w:rsid w:val="001938B2"/>
    <w:rPr>
      <w:rFonts w:ascii="Verdana" w:eastAsia="Verdana" w:hAnsi="Verdana" w:cs="Verdana"/>
      <w:sz w:val="18"/>
      <w:szCs w:val="18"/>
      <w:lang w:val="en-US"/>
    </w:rPr>
  </w:style>
  <w:style w:type="paragraph" w:styleId="ListParagraph">
    <w:name w:val="List Paragraph"/>
    <w:basedOn w:val="Normal"/>
    <w:uiPriority w:val="1"/>
    <w:qFormat/>
    <w:rsid w:val="001938B2"/>
    <w:pPr>
      <w:ind w:left="1960" w:hanging="721"/>
    </w:pPr>
  </w:style>
  <w:style w:type="character" w:customStyle="1" w:styleId="Heading2Char">
    <w:name w:val="Heading 2 Char"/>
    <w:basedOn w:val="DefaultParagraphFont"/>
    <w:link w:val="Heading2"/>
    <w:uiPriority w:val="9"/>
    <w:rsid w:val="001938B2"/>
    <w:rPr>
      <w:rFonts w:asciiTheme="majorHAnsi" w:eastAsiaTheme="majorEastAsia" w:hAnsiTheme="majorHAnsi" w:cstheme="majorBidi"/>
      <w:color w:val="2F5496" w:themeColor="accent1" w:themeShade="BF"/>
      <w:sz w:val="26"/>
      <w:szCs w:val="26"/>
      <w:lang w:val="en-US"/>
    </w:rPr>
  </w:style>
  <w:style w:type="paragraph" w:customStyle="1" w:styleId="TableParagraph">
    <w:name w:val="Table Paragraph"/>
    <w:basedOn w:val="Normal"/>
    <w:uiPriority w:val="1"/>
    <w:qFormat/>
    <w:rsid w:val="00AE695B"/>
    <w:pPr>
      <w:spacing w:before="78"/>
      <w:ind w:left="14"/>
    </w:pPr>
  </w:style>
  <w:style w:type="character" w:customStyle="1" w:styleId="Heading6Char">
    <w:name w:val="Heading 6 Char"/>
    <w:basedOn w:val="DefaultParagraphFont"/>
    <w:link w:val="Heading6"/>
    <w:uiPriority w:val="9"/>
    <w:rsid w:val="00364BE2"/>
    <w:rPr>
      <w:rFonts w:asciiTheme="majorHAnsi" w:eastAsiaTheme="majorEastAsia" w:hAnsiTheme="majorHAnsi" w:cstheme="majorBidi"/>
      <w:color w:val="1F3763" w:themeColor="accent1" w:themeShade="7F"/>
      <w:lang w:val="en-US"/>
    </w:rPr>
  </w:style>
  <w:style w:type="table" w:styleId="GridTable1Light">
    <w:name w:val="Grid Table 1 Light"/>
    <w:basedOn w:val="TableNormal"/>
    <w:uiPriority w:val="46"/>
    <w:rsid w:val="00395E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2A7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2957"/>
    <w:rPr>
      <w:color w:val="0563C1" w:themeColor="hyperlink"/>
      <w:u w:val="single"/>
    </w:rPr>
  </w:style>
  <w:style w:type="paragraph" w:styleId="Header">
    <w:name w:val="header"/>
    <w:basedOn w:val="Normal"/>
    <w:link w:val="HeaderChar"/>
    <w:uiPriority w:val="99"/>
    <w:unhideWhenUsed/>
    <w:rsid w:val="000178DD"/>
    <w:pPr>
      <w:tabs>
        <w:tab w:val="center" w:pos="4513"/>
        <w:tab w:val="right" w:pos="9026"/>
      </w:tabs>
    </w:pPr>
  </w:style>
  <w:style w:type="character" w:customStyle="1" w:styleId="HeaderChar">
    <w:name w:val="Header Char"/>
    <w:basedOn w:val="DefaultParagraphFont"/>
    <w:link w:val="Header"/>
    <w:uiPriority w:val="99"/>
    <w:rsid w:val="000178DD"/>
    <w:rPr>
      <w:rFonts w:ascii="Verdana" w:eastAsia="Verdana" w:hAnsi="Verdana" w:cs="Verdana"/>
      <w:lang w:val="en-US"/>
    </w:rPr>
  </w:style>
  <w:style w:type="paragraph" w:styleId="Footer">
    <w:name w:val="footer"/>
    <w:basedOn w:val="Normal"/>
    <w:link w:val="FooterChar"/>
    <w:uiPriority w:val="99"/>
    <w:unhideWhenUsed/>
    <w:rsid w:val="000178DD"/>
    <w:pPr>
      <w:tabs>
        <w:tab w:val="center" w:pos="4513"/>
        <w:tab w:val="right" w:pos="9026"/>
      </w:tabs>
    </w:pPr>
  </w:style>
  <w:style w:type="character" w:customStyle="1" w:styleId="FooterChar">
    <w:name w:val="Footer Char"/>
    <w:basedOn w:val="DefaultParagraphFont"/>
    <w:link w:val="Footer"/>
    <w:uiPriority w:val="99"/>
    <w:rsid w:val="000178DD"/>
    <w:rPr>
      <w:rFonts w:ascii="Verdana" w:eastAsia="Verdana" w:hAnsi="Verdana" w:cs="Verdana"/>
      <w:lang w:val="en-US"/>
    </w:rPr>
  </w:style>
  <w:style w:type="character" w:customStyle="1" w:styleId="Heading1Char">
    <w:name w:val="Heading 1 Char"/>
    <w:basedOn w:val="DefaultParagraphFont"/>
    <w:link w:val="Heading1"/>
    <w:uiPriority w:val="9"/>
    <w:rsid w:val="002366C9"/>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http://www.mhcs.health.nsw.gov.au/publicationsandresources/pdf/publication-pdfs/diseases-and-"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ncbi.nlm.nih.gov/pmc/articles/PMC344132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leephealthfoundation.org.au/files/Asleep_on_the_job/Asleep_on_the_Job_SHF_report-" TargetMode="External"/><Relationship Id="rId25" Type="http://schemas.openxmlformats.org/officeDocument/2006/relationships/hyperlink" Target="http://www.ibisworld.com.au/industry-trends/market-research-reports/manufacturing/basi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hdx.healthdata.org/" TargetMode="External"/><Relationship Id="rId20" Type="http://schemas.openxmlformats.org/officeDocument/2006/relationships/hyperlink" Target="http://www.painaustralia.org.au/static/uploads/files/the-cost-of-pain-in-australia-final-report-" TargetMode="External"/><Relationship Id="rId29" Type="http://schemas.openxmlformats.org/officeDocument/2006/relationships/hyperlink" Target="http://www.austrade.gov.au/International/Buy/Australian-industry-capabilities/Health-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agriculture.gov.au/abares/Documents/snapshot-australian-" TargetMode="External"/><Relationship Id="rId32" Type="http://schemas.openxmlformats.org/officeDocument/2006/relationships/hyperlink" Target="http://www.deloitte.co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6.png"/><Relationship Id="rId28" Type="http://schemas.openxmlformats.org/officeDocument/2006/relationships/hyperlink" Target="https://www.abs.gov.au/AUSSTATS/abs%40.nsf/Previousproducts/5209.0.55.001Main%20Features4Final%20release%202006-07%20tables" TargetMode="External"/><Relationship Id="rId10" Type="http://schemas.openxmlformats.org/officeDocument/2006/relationships/image" Target="media/image2.png"/><Relationship Id="rId19" Type="http://schemas.openxmlformats.org/officeDocument/2006/relationships/hyperlink" Target="http://www.crohnsandcolitis.com.au/site/wp-content/uploads/PwC-report-" TargetMode="External"/><Relationship Id="rId31" Type="http://schemas.openxmlformats.org/officeDocument/2006/relationships/hyperlink" Target="http://www.deloitte.com/abou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agriculture.vic.gov.au/agriculture/grains-and-" TargetMode="External"/><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hyperlink" Target="http://www.deloitte.com/au/deloitte-access-eco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2DAF0-F4A2-4B39-A740-3D59A8EC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7612</Words>
  <Characters>43391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 Mackenzie (DJPR)</dc:creator>
  <cp:keywords/>
  <dc:description/>
  <cp:lastModifiedBy>Susan Heale (DJPR)</cp:lastModifiedBy>
  <cp:revision>2</cp:revision>
  <dcterms:created xsi:type="dcterms:W3CDTF">2020-12-02T01:58:00Z</dcterms:created>
  <dcterms:modified xsi:type="dcterms:W3CDTF">2020-12-02T01:58:00Z</dcterms:modified>
</cp:coreProperties>
</file>