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9FCA" w14:textId="7EC3D102" w:rsidR="002B240C" w:rsidRPr="002B240C" w:rsidRDefault="002B240C">
      <w:pPr>
        <w:rPr>
          <w:b/>
          <w:bCs/>
          <w:sz w:val="32"/>
          <w:szCs w:val="32"/>
          <w:u w:val="single"/>
        </w:rPr>
      </w:pPr>
      <w:r w:rsidRPr="002B240C">
        <w:rPr>
          <w:b/>
          <w:bCs/>
          <w:sz w:val="32"/>
          <w:szCs w:val="32"/>
          <w:u w:val="single"/>
        </w:rPr>
        <w:t>Food Safety Registration Guide</w:t>
      </w:r>
    </w:p>
    <w:p w14:paraId="6C65A4E2" w14:textId="016E929C" w:rsidR="002B240C" w:rsidRPr="002B240C" w:rsidRDefault="002B240C" w:rsidP="002B240C">
      <w:pPr>
        <w:rPr>
          <w:b/>
          <w:bCs/>
        </w:rPr>
      </w:pPr>
      <w:r w:rsidRPr="002B240C">
        <w:rPr>
          <w:b/>
          <w:bCs/>
        </w:rPr>
        <w:t xml:space="preserve">Primary Production and Processing Standards for Melons, berries, and leafy vegetables </w:t>
      </w:r>
    </w:p>
    <w:p w14:paraId="19F006BF" w14:textId="7CB5FADB" w:rsidR="002B240C" w:rsidRDefault="002B240C" w:rsidP="002B240C">
      <w:pPr>
        <w:pBdr>
          <w:bottom w:val="single" w:sz="12" w:space="1" w:color="auto"/>
        </w:pBdr>
      </w:pPr>
      <w:r>
        <w:t>F</w:t>
      </w:r>
      <w:r w:rsidRPr="002B240C">
        <w:t>ood Standards Australia and New Zealand introduced new food safety and compliance standards for berries, leafy vegetables and melons into the national Food Standards Code. These Standards took effect in February 2025 and are regulated in Victoria by Agriculture Victoria.</w:t>
      </w:r>
    </w:p>
    <w:p w14:paraId="6F2C0C27" w14:textId="77777777" w:rsidR="002B240C" w:rsidRDefault="002B240C" w:rsidP="002B240C">
      <w:pPr>
        <w:pBdr>
          <w:bottom w:val="single" w:sz="12" w:space="1" w:color="auto"/>
        </w:pBdr>
      </w:pPr>
    </w:p>
    <w:p w14:paraId="733EA739" w14:textId="3E19008D" w:rsidR="002B240C" w:rsidRDefault="002B240C" w:rsidP="002B240C">
      <w:pPr>
        <w:rPr>
          <w:b/>
          <w:bCs/>
        </w:rPr>
      </w:pPr>
      <w:r w:rsidRPr="002B240C">
        <w:rPr>
          <w:b/>
          <w:bCs/>
        </w:rPr>
        <w:t>Who is required to register</w:t>
      </w:r>
    </w:p>
    <w:p w14:paraId="687F6FE1" w14:textId="77777777" w:rsidR="002B240C" w:rsidRPr="002B240C" w:rsidRDefault="002B240C" w:rsidP="002B240C">
      <w:r w:rsidRPr="002B240C">
        <w:t xml:space="preserve">The Standards apply to all leafy vegetable, melon and berry businesses that grow or complete primary or ‘early-stage’ processing. The Standards apply to large scale businesses, as well as smaller businesses who have farm-gate, u-pick and local market stands to sell their produce. </w:t>
      </w:r>
    </w:p>
    <w:p w14:paraId="7BF3EC37" w14:textId="77777777" w:rsidR="002B240C" w:rsidRPr="002B240C" w:rsidRDefault="002B240C" w:rsidP="002B240C">
      <w:pPr>
        <w:numPr>
          <w:ilvl w:val="0"/>
          <w:numId w:val="1"/>
        </w:numPr>
      </w:pPr>
      <w:r w:rsidRPr="002B240C">
        <w:t xml:space="preserve">Leafy vegetables are defined in the Standard as vegetables of a leafy nature where the leaf is consumed raw. Examples include but are not limited </w:t>
      </w:r>
      <w:proofErr w:type="gramStart"/>
      <w:r w:rsidRPr="002B240C">
        <w:t>to:</w:t>
      </w:r>
      <w:proofErr w:type="gramEnd"/>
      <w:r w:rsidRPr="002B240C">
        <w:t xml:space="preserve"> lettuces, watercress, radicchio, baby leaf, kale, rocket, Asian leafy greens, leafy herbs, spring onions, microgreens, spinach, </w:t>
      </w:r>
      <w:proofErr w:type="spellStart"/>
      <w:r w:rsidRPr="002B240C">
        <w:t>silverbeet</w:t>
      </w:r>
      <w:proofErr w:type="spellEnd"/>
      <w:r w:rsidRPr="002B240C">
        <w:t xml:space="preserve"> and cabbage.</w:t>
      </w:r>
    </w:p>
    <w:p w14:paraId="57BA063F" w14:textId="77777777" w:rsidR="002B240C" w:rsidRPr="002B240C" w:rsidRDefault="002B240C" w:rsidP="002B240C">
      <w:pPr>
        <w:numPr>
          <w:ilvl w:val="0"/>
          <w:numId w:val="2"/>
        </w:numPr>
      </w:pPr>
      <w:r w:rsidRPr="002B240C">
        <w:t>Berries are defined in the Standard as fresh berries and include strawberries, blueberries and berries from the genus Rubus.</w:t>
      </w:r>
    </w:p>
    <w:p w14:paraId="168E79ED" w14:textId="77777777" w:rsidR="002B240C" w:rsidRPr="002B240C" w:rsidRDefault="002B240C" w:rsidP="002B240C">
      <w:pPr>
        <w:numPr>
          <w:ilvl w:val="0"/>
          <w:numId w:val="3"/>
        </w:numPr>
      </w:pPr>
      <w:r w:rsidRPr="002B240C">
        <w:t xml:space="preserve">Melons are defined in the Standard as fresh melons and include watermelon, rockmelon, honeydew melon and </w:t>
      </w:r>
      <w:proofErr w:type="spellStart"/>
      <w:r w:rsidRPr="002B240C">
        <w:t>piel</w:t>
      </w:r>
      <w:proofErr w:type="spellEnd"/>
      <w:r w:rsidRPr="002B240C">
        <w:t xml:space="preserve"> de </w:t>
      </w:r>
      <w:proofErr w:type="spellStart"/>
      <w:r w:rsidRPr="002B240C">
        <w:t>sapo</w:t>
      </w:r>
      <w:proofErr w:type="spellEnd"/>
      <w:r w:rsidRPr="002B240C">
        <w:t>.</w:t>
      </w:r>
    </w:p>
    <w:p w14:paraId="24390C96" w14:textId="77777777" w:rsidR="002B240C" w:rsidRDefault="002B240C" w:rsidP="002B240C">
      <w:pPr>
        <w:pBdr>
          <w:bottom w:val="single" w:sz="12" w:space="1" w:color="auto"/>
        </w:pBdr>
        <w:rPr>
          <w:b/>
          <w:bCs/>
        </w:rPr>
      </w:pPr>
    </w:p>
    <w:p w14:paraId="61AEFF8D" w14:textId="448BD1B3" w:rsidR="002B240C" w:rsidRPr="002B240C" w:rsidRDefault="002B240C" w:rsidP="002B240C">
      <w:r w:rsidRPr="002B240C">
        <w:rPr>
          <w:b/>
          <w:bCs/>
        </w:rPr>
        <w:t>Legal requirements</w:t>
      </w:r>
    </w:p>
    <w:p w14:paraId="0AB73C63" w14:textId="03F58F97" w:rsidR="002B240C" w:rsidRPr="002B240C" w:rsidRDefault="002B240C" w:rsidP="002B240C">
      <w:r>
        <w:t>T</w:t>
      </w:r>
      <w:r w:rsidRPr="002B240C">
        <w:t>here is a legal requirement under the Food (Primary Production and Processing) Regulations 2025 for Victorian leafy vegetable, berry and melon businesses to register with Agriculture Victoria.</w:t>
      </w:r>
    </w:p>
    <w:p w14:paraId="32944628" w14:textId="77777777" w:rsidR="002B240C" w:rsidRDefault="002B240C" w:rsidP="002B240C">
      <w:pPr>
        <w:pBdr>
          <w:bottom w:val="single" w:sz="12" w:space="1" w:color="auto"/>
        </w:pBdr>
      </w:pPr>
      <w:r w:rsidRPr="002B240C">
        <w:t>The current program of educative and awareness farm visits for registered businesses will continue in 2026. However, compliance action on unregistered businesses, or where an immediate and serious food safety risk is present (under the Food Act 1981 and associated regulations) will be considered.</w:t>
      </w:r>
    </w:p>
    <w:p w14:paraId="61BCCFAB" w14:textId="77777777" w:rsidR="002B240C" w:rsidRPr="002B240C" w:rsidRDefault="002B240C" w:rsidP="002B240C">
      <w:pPr>
        <w:pBdr>
          <w:bottom w:val="single" w:sz="12" w:space="1" w:color="auto"/>
        </w:pBdr>
      </w:pPr>
    </w:p>
    <w:p w14:paraId="7C17F565" w14:textId="4E83B7B3" w:rsidR="002B240C" w:rsidRDefault="002B240C">
      <w:pPr>
        <w:rPr>
          <w:b/>
          <w:bCs/>
        </w:rPr>
      </w:pPr>
      <w:r w:rsidRPr="002B240C">
        <w:rPr>
          <w:b/>
          <w:bCs/>
        </w:rPr>
        <w:t>Registration pathways</w:t>
      </w:r>
    </w:p>
    <w:p w14:paraId="710775D9" w14:textId="77777777" w:rsidR="002B240C" w:rsidRPr="002B240C" w:rsidRDefault="002B240C" w:rsidP="002B240C">
      <w:r w:rsidRPr="002B240C">
        <w:t xml:space="preserve">Once you begin your registration with Agriculture Victoria, there are different registration ‘pathways’ dependant on commodity group and whether you are in a Global Food Safety Initiative (GFSI) benchmarked food safety scheme or not. </w:t>
      </w:r>
    </w:p>
    <w:p w14:paraId="4640FA45" w14:textId="77777777" w:rsidR="002B240C" w:rsidRPr="002B240C" w:rsidRDefault="002B240C" w:rsidP="002B240C">
      <w:r w:rsidRPr="002B240C">
        <w:lastRenderedPageBreak/>
        <w:t xml:space="preserve">If your business is already in a GFSI scheme, you must register and provide information so that Agriculture Victoria can verify your certification(s). Provided your certification is maintained and available for review and verification by Agriculture Victoria, your business will be immediately recognised as meeting the relevant standard. </w:t>
      </w:r>
    </w:p>
    <w:p w14:paraId="45CE0D65" w14:textId="77777777" w:rsidR="002B240C" w:rsidRDefault="002B240C" w:rsidP="002B240C">
      <w:pPr>
        <w:pBdr>
          <w:bottom w:val="single" w:sz="12" w:space="1" w:color="auto"/>
        </w:pBdr>
      </w:pPr>
      <w:r w:rsidRPr="002B240C">
        <w:t xml:space="preserve">Leafy vegetable and melon businesses not within recognised schemes need to complete a food safety management statement (FSMS). A FSMS is completed as part of the online registration process, it summarises your business activities and identifies food safety risks and how you manage them. In future, you may be required to participate in an audit to verify if your business is compliant with the Food Standards Code. </w:t>
      </w:r>
    </w:p>
    <w:p w14:paraId="1A23125A" w14:textId="0292EF25" w:rsidR="002B240C" w:rsidRPr="002B240C" w:rsidRDefault="002B240C" w:rsidP="002B240C">
      <w:pPr>
        <w:pBdr>
          <w:bottom w:val="single" w:sz="12" w:space="1" w:color="auto"/>
        </w:pBdr>
      </w:pPr>
    </w:p>
    <w:p w14:paraId="6B20F70D" w14:textId="1EF314A5" w:rsidR="002B240C" w:rsidRDefault="002B240C">
      <w:pPr>
        <w:rPr>
          <w:b/>
          <w:bCs/>
        </w:rPr>
      </w:pPr>
      <w:r w:rsidRPr="002B240C">
        <w:rPr>
          <w:b/>
          <w:bCs/>
        </w:rPr>
        <w:t>Registration fees</w:t>
      </w:r>
    </w:p>
    <w:p w14:paraId="203EFABA" w14:textId="61607A9C" w:rsidR="002B240C" w:rsidRPr="002B240C" w:rsidRDefault="002B240C" w:rsidP="002B240C">
      <w:r>
        <w:t>T</w:t>
      </w:r>
      <w:r w:rsidRPr="002B240C">
        <w:t>here is an annual fee to register with Agriculture Victoria depending on the pathway and a fee for audits, where needed. The fees are scaled to the size of the business’s production area. A business’s production area is the area of land (in hectares) under production or intended for production of the selected crop(s) for the next year.</w:t>
      </w:r>
    </w:p>
    <w:p w14:paraId="2B2563D9" w14:textId="76340622" w:rsidR="002B240C" w:rsidRPr="002B240C" w:rsidRDefault="002B240C" w:rsidP="002B240C">
      <w:r w:rsidRPr="002B240C">
        <w:t>Fees will be applied based on registration pathway:</w:t>
      </w:r>
    </w:p>
    <w:p w14:paraId="54745119" w14:textId="3F927164" w:rsidR="002B240C" w:rsidRPr="002B240C" w:rsidRDefault="002B240C" w:rsidP="002B240C">
      <w:pPr>
        <w:numPr>
          <w:ilvl w:val="0"/>
          <w:numId w:val="4"/>
        </w:numPr>
      </w:pPr>
      <w:r w:rsidRPr="002B240C">
        <w:t>Pathway 1 (berries): registration fee</w:t>
      </w:r>
    </w:p>
    <w:p w14:paraId="0D58210C" w14:textId="77777777" w:rsidR="002B240C" w:rsidRPr="002B240C" w:rsidRDefault="002B240C" w:rsidP="002B240C">
      <w:pPr>
        <w:numPr>
          <w:ilvl w:val="0"/>
          <w:numId w:val="4"/>
        </w:numPr>
      </w:pPr>
      <w:r w:rsidRPr="002B240C">
        <w:t>Pathway 2 (recognised GFSI scheme leafy vegetable and melon): registration fee and scheme recognition fee</w:t>
      </w:r>
    </w:p>
    <w:p w14:paraId="08F89198" w14:textId="08EAE288" w:rsidR="002B240C" w:rsidRPr="002B240C" w:rsidRDefault="002B240C" w:rsidP="002B240C">
      <w:pPr>
        <w:numPr>
          <w:ilvl w:val="0"/>
          <w:numId w:val="4"/>
        </w:numPr>
      </w:pPr>
      <w:r w:rsidRPr="002B240C">
        <w:t>Pathway 3 (non-recognised GFIS scheme leafy vegetable and melon): registration fee and FSMS approval fee (plus time-based travel and audit fees).</w:t>
      </w:r>
    </w:p>
    <w:p w14:paraId="42F62B97" w14:textId="5372D714" w:rsidR="002B240C" w:rsidRPr="002B240C" w:rsidRDefault="002B240C" w:rsidP="002B240C">
      <w:r w:rsidRPr="002B240C">
        <w:t>All businesses that register in 2026 will receive a 50% reduction in registration fees and where applicable, statement approval or recognition fees. In addition, no audit fees will be charged until February 2027. The registration fee is non-refundable.</w:t>
      </w:r>
    </w:p>
    <w:p w14:paraId="78F3229C" w14:textId="481FCEE1" w:rsidR="002B240C" w:rsidRPr="002B240C" w:rsidRDefault="002B240C" w:rsidP="002B240C">
      <w:r w:rsidRPr="002B240C">
        <w:t>Businesses with a production area of under 1 ha will not pay fees for the approval or recognition of a FSMS, or fees for audits and travel. These businesses will still need to meet all requirements of the standards and regulations.</w:t>
      </w:r>
    </w:p>
    <w:p w14:paraId="123735D8" w14:textId="2D35AA25" w:rsidR="002B240C" w:rsidRDefault="002B240C" w:rsidP="002B240C">
      <w:r w:rsidRPr="002B240C">
        <w:t>The table provides the fee units and value prior to any discount or reduction that may be applied.</w:t>
      </w:r>
    </w:p>
    <w:p w14:paraId="427FAF99" w14:textId="0775BB62" w:rsidR="001E4386" w:rsidRDefault="001E4386" w:rsidP="002B240C">
      <w:r w:rsidRPr="001E4386">
        <w:t xml:space="preserve">Data valid </w:t>
      </w:r>
      <w:proofErr w:type="gramStart"/>
      <w:r w:rsidRPr="001E4386">
        <w:t>at</w:t>
      </w:r>
      <w:proofErr w:type="gramEnd"/>
      <w:r w:rsidRPr="001E4386">
        <w:t xml:space="preserve"> January 2026.</w:t>
      </w:r>
    </w:p>
    <w:p w14:paraId="4E95AD8F" w14:textId="77777777" w:rsidR="001E4386" w:rsidRDefault="001E4386" w:rsidP="002B240C"/>
    <w:p w14:paraId="5E5543FB" w14:textId="77777777" w:rsidR="001E4386" w:rsidRDefault="001E4386" w:rsidP="002B240C"/>
    <w:p w14:paraId="7D2D2E8D" w14:textId="77777777" w:rsidR="001E4386" w:rsidRDefault="001E4386" w:rsidP="002B240C"/>
    <w:p w14:paraId="64EF12E8" w14:textId="77777777" w:rsidR="001E4386" w:rsidRPr="002B240C" w:rsidRDefault="001E4386" w:rsidP="002B240C"/>
    <w:tbl>
      <w:tblPr>
        <w:tblW w:w="7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843"/>
        <w:gridCol w:w="1843"/>
        <w:gridCol w:w="1709"/>
      </w:tblGrid>
      <w:tr w:rsidR="001E4386" w:rsidRPr="00B21A87" w14:paraId="33BBC6E9" w14:textId="77777777" w:rsidTr="00151944">
        <w:trPr>
          <w:trHeight w:val="510"/>
        </w:trPr>
        <w:tc>
          <w:tcPr>
            <w:tcW w:w="7088" w:type="dxa"/>
            <w:gridSpan w:val="4"/>
            <w:tcBorders>
              <w:top w:val="single" w:sz="6" w:space="0" w:color="auto"/>
              <w:left w:val="single" w:sz="6" w:space="0" w:color="auto"/>
              <w:bottom w:val="single" w:sz="6" w:space="0" w:color="auto"/>
              <w:right w:val="single" w:sz="6" w:space="0" w:color="auto"/>
            </w:tcBorders>
            <w:shd w:val="clear" w:color="auto" w:fill="0C3512" w:themeFill="accent3" w:themeFillShade="80"/>
            <w:vAlign w:val="center"/>
            <w:hideMark/>
          </w:tcPr>
          <w:p w14:paraId="4DD65D07" w14:textId="6C92BC72" w:rsidR="001E4386" w:rsidRPr="00C51BEF" w:rsidRDefault="001E4386" w:rsidP="00151944">
            <w:pPr>
              <w:spacing w:after="0"/>
              <w:jc w:val="center"/>
              <w:rPr>
                <w:sz w:val="20"/>
                <w:szCs w:val="20"/>
              </w:rPr>
            </w:pPr>
            <w:bookmarkStart w:id="0" w:name="_Hlk188279037"/>
            <w:r w:rsidRPr="00C51BEF">
              <w:rPr>
                <w:b/>
                <w:bCs/>
                <w:color w:val="FFFFFF" w:themeColor="background1"/>
                <w:sz w:val="20"/>
                <w:szCs w:val="20"/>
              </w:rPr>
              <w:lastRenderedPageBreak/>
              <w:t xml:space="preserve">Fee Units (FU) and value </w:t>
            </w:r>
          </w:p>
        </w:tc>
      </w:tr>
      <w:tr w:rsidR="001E4386" w:rsidRPr="00B21A87" w14:paraId="77AEE85F" w14:textId="77777777" w:rsidTr="001E4386">
        <w:trPr>
          <w:trHeight w:val="510"/>
        </w:trPr>
        <w:tc>
          <w:tcPr>
            <w:tcW w:w="1693" w:type="dxa"/>
            <w:tcBorders>
              <w:top w:val="nil"/>
              <w:left w:val="single" w:sz="6" w:space="0" w:color="auto"/>
              <w:bottom w:val="single" w:sz="6" w:space="0" w:color="auto"/>
              <w:right w:val="single" w:sz="6" w:space="0" w:color="auto"/>
            </w:tcBorders>
            <w:shd w:val="clear" w:color="auto" w:fill="BFBFBF" w:themeFill="background1" w:themeFillShade="BF"/>
            <w:vAlign w:val="center"/>
            <w:hideMark/>
          </w:tcPr>
          <w:p w14:paraId="45CAABAA" w14:textId="77777777" w:rsidR="001E4386" w:rsidRPr="00C51BEF" w:rsidRDefault="001E4386" w:rsidP="00151944">
            <w:pPr>
              <w:spacing w:after="0"/>
              <w:jc w:val="center"/>
              <w:rPr>
                <w:sz w:val="20"/>
                <w:szCs w:val="20"/>
              </w:rPr>
            </w:pPr>
            <w:r w:rsidRPr="00C51BEF">
              <w:rPr>
                <w:sz w:val="20"/>
                <w:szCs w:val="20"/>
              </w:rPr>
              <w:t>Production Area</w:t>
            </w:r>
          </w:p>
        </w:tc>
        <w:tc>
          <w:tcPr>
            <w:tcW w:w="1843" w:type="dxa"/>
            <w:tcBorders>
              <w:top w:val="nil"/>
              <w:left w:val="nil"/>
              <w:bottom w:val="single" w:sz="6" w:space="0" w:color="auto"/>
              <w:right w:val="single" w:sz="6" w:space="0" w:color="auto"/>
            </w:tcBorders>
            <w:shd w:val="clear" w:color="auto" w:fill="BFBFBF" w:themeFill="background1" w:themeFillShade="BF"/>
            <w:vAlign w:val="center"/>
            <w:hideMark/>
          </w:tcPr>
          <w:p w14:paraId="0B287C7E" w14:textId="77777777" w:rsidR="001E4386" w:rsidRPr="00C51BEF" w:rsidRDefault="001E4386" w:rsidP="00151944">
            <w:pPr>
              <w:spacing w:after="0"/>
              <w:jc w:val="center"/>
              <w:rPr>
                <w:sz w:val="20"/>
                <w:szCs w:val="20"/>
              </w:rPr>
            </w:pPr>
            <w:r w:rsidRPr="00C51BEF">
              <w:rPr>
                <w:sz w:val="20"/>
                <w:szCs w:val="20"/>
              </w:rPr>
              <w:t>Registration</w:t>
            </w:r>
          </w:p>
          <w:p w14:paraId="2B3C982F" w14:textId="77777777" w:rsidR="001E4386" w:rsidRPr="00C51BEF" w:rsidRDefault="001E4386" w:rsidP="00151944">
            <w:pPr>
              <w:spacing w:after="0"/>
              <w:jc w:val="center"/>
              <w:rPr>
                <w:sz w:val="20"/>
                <w:szCs w:val="20"/>
              </w:rPr>
            </w:pPr>
            <w:r w:rsidRPr="00C51BEF">
              <w:rPr>
                <w:sz w:val="20"/>
                <w:szCs w:val="20"/>
              </w:rPr>
              <w:t>(All Pathways)</w:t>
            </w:r>
          </w:p>
        </w:tc>
        <w:tc>
          <w:tcPr>
            <w:tcW w:w="1843" w:type="dxa"/>
            <w:tcBorders>
              <w:top w:val="nil"/>
              <w:left w:val="nil"/>
              <w:bottom w:val="single" w:sz="6" w:space="0" w:color="auto"/>
              <w:right w:val="single" w:sz="6" w:space="0" w:color="auto"/>
            </w:tcBorders>
            <w:shd w:val="clear" w:color="auto" w:fill="BFBFBF" w:themeFill="background1" w:themeFillShade="BF"/>
            <w:vAlign w:val="center"/>
            <w:hideMark/>
          </w:tcPr>
          <w:p w14:paraId="4EA71592" w14:textId="77777777" w:rsidR="001E4386" w:rsidRPr="00C51BEF" w:rsidRDefault="001E4386" w:rsidP="00151944">
            <w:pPr>
              <w:spacing w:after="0"/>
              <w:jc w:val="center"/>
              <w:rPr>
                <w:sz w:val="20"/>
                <w:szCs w:val="20"/>
              </w:rPr>
            </w:pPr>
            <w:r>
              <w:rPr>
                <w:sz w:val="20"/>
                <w:szCs w:val="20"/>
              </w:rPr>
              <w:t xml:space="preserve">Scheme </w:t>
            </w:r>
            <w:r w:rsidRPr="00C51BEF">
              <w:rPr>
                <w:sz w:val="20"/>
                <w:szCs w:val="20"/>
              </w:rPr>
              <w:t>Recognition</w:t>
            </w:r>
          </w:p>
          <w:p w14:paraId="7AF35B5A" w14:textId="77777777" w:rsidR="001E4386" w:rsidRPr="00C51BEF" w:rsidRDefault="001E4386" w:rsidP="00151944">
            <w:pPr>
              <w:spacing w:after="0"/>
              <w:jc w:val="center"/>
              <w:rPr>
                <w:sz w:val="20"/>
                <w:szCs w:val="20"/>
              </w:rPr>
            </w:pPr>
            <w:r w:rsidRPr="00C51BEF">
              <w:rPr>
                <w:sz w:val="20"/>
                <w:szCs w:val="20"/>
              </w:rPr>
              <w:t>(Pathway 2)</w:t>
            </w:r>
          </w:p>
        </w:tc>
        <w:tc>
          <w:tcPr>
            <w:tcW w:w="1709" w:type="dxa"/>
            <w:tcBorders>
              <w:top w:val="nil"/>
              <w:left w:val="nil"/>
              <w:bottom w:val="single" w:sz="6" w:space="0" w:color="auto"/>
              <w:right w:val="single" w:sz="6" w:space="0" w:color="auto"/>
            </w:tcBorders>
            <w:shd w:val="clear" w:color="auto" w:fill="BFBFBF" w:themeFill="background1" w:themeFillShade="BF"/>
            <w:vAlign w:val="center"/>
            <w:hideMark/>
          </w:tcPr>
          <w:p w14:paraId="65047950" w14:textId="77777777" w:rsidR="001E4386" w:rsidRPr="00C51BEF" w:rsidRDefault="001E4386" w:rsidP="00151944">
            <w:pPr>
              <w:spacing w:after="0"/>
              <w:jc w:val="center"/>
              <w:rPr>
                <w:sz w:val="20"/>
                <w:szCs w:val="20"/>
              </w:rPr>
            </w:pPr>
            <w:r w:rsidRPr="00C51BEF">
              <w:rPr>
                <w:sz w:val="20"/>
                <w:szCs w:val="20"/>
              </w:rPr>
              <w:t>FSMS Approval (Pathway 3)</w:t>
            </w:r>
          </w:p>
        </w:tc>
      </w:tr>
      <w:tr w:rsidR="001E4386" w:rsidRPr="00B21A87" w14:paraId="44524EB7"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0C157D73" w14:textId="77777777" w:rsidR="001E4386" w:rsidRPr="00C51BEF" w:rsidRDefault="001E4386" w:rsidP="00151944">
            <w:pPr>
              <w:spacing w:after="0"/>
              <w:jc w:val="center"/>
              <w:rPr>
                <w:sz w:val="20"/>
                <w:szCs w:val="20"/>
              </w:rPr>
            </w:pPr>
            <w:r w:rsidRPr="00C51BEF">
              <w:rPr>
                <w:sz w:val="20"/>
                <w:szCs w:val="20"/>
              </w:rPr>
              <w:t>≤1ha</w:t>
            </w:r>
          </w:p>
        </w:tc>
        <w:tc>
          <w:tcPr>
            <w:tcW w:w="1843" w:type="dxa"/>
            <w:tcBorders>
              <w:top w:val="nil"/>
              <w:left w:val="nil"/>
              <w:bottom w:val="single" w:sz="6" w:space="0" w:color="auto"/>
              <w:right w:val="single" w:sz="6" w:space="0" w:color="auto"/>
            </w:tcBorders>
            <w:vAlign w:val="center"/>
            <w:hideMark/>
          </w:tcPr>
          <w:p w14:paraId="2F7A5ED9" w14:textId="77777777" w:rsidR="001E4386" w:rsidRPr="00C51BEF" w:rsidRDefault="001E4386" w:rsidP="00151944">
            <w:pPr>
              <w:spacing w:after="0"/>
              <w:jc w:val="center"/>
              <w:rPr>
                <w:sz w:val="20"/>
                <w:szCs w:val="20"/>
              </w:rPr>
            </w:pPr>
            <w:r w:rsidRPr="00C51BEF">
              <w:rPr>
                <w:sz w:val="20"/>
                <w:szCs w:val="20"/>
              </w:rPr>
              <w:t>2 FU ($33)</w:t>
            </w:r>
          </w:p>
        </w:tc>
        <w:tc>
          <w:tcPr>
            <w:tcW w:w="1843" w:type="dxa"/>
            <w:tcBorders>
              <w:top w:val="nil"/>
              <w:left w:val="nil"/>
              <w:bottom w:val="single" w:sz="6" w:space="0" w:color="auto"/>
              <w:right w:val="single" w:sz="6" w:space="0" w:color="auto"/>
            </w:tcBorders>
            <w:vAlign w:val="center"/>
            <w:hideMark/>
          </w:tcPr>
          <w:p w14:paraId="04957BE9" w14:textId="77777777" w:rsidR="001E4386" w:rsidRPr="00C51BEF" w:rsidRDefault="001E4386" w:rsidP="00151944">
            <w:pPr>
              <w:spacing w:after="0"/>
              <w:jc w:val="center"/>
              <w:rPr>
                <w:sz w:val="20"/>
                <w:szCs w:val="20"/>
              </w:rPr>
            </w:pPr>
            <w:r w:rsidRPr="00C51BEF">
              <w:rPr>
                <w:sz w:val="20"/>
                <w:szCs w:val="20"/>
              </w:rPr>
              <w:t xml:space="preserve">Fee </w:t>
            </w:r>
            <w:r>
              <w:rPr>
                <w:sz w:val="20"/>
                <w:szCs w:val="20"/>
              </w:rPr>
              <w:t>W</w:t>
            </w:r>
            <w:r w:rsidRPr="00C51BEF">
              <w:rPr>
                <w:sz w:val="20"/>
                <w:szCs w:val="20"/>
              </w:rPr>
              <w:t>aived</w:t>
            </w:r>
          </w:p>
        </w:tc>
        <w:tc>
          <w:tcPr>
            <w:tcW w:w="1709" w:type="dxa"/>
            <w:tcBorders>
              <w:top w:val="nil"/>
              <w:left w:val="nil"/>
              <w:bottom w:val="single" w:sz="6" w:space="0" w:color="auto"/>
              <w:right w:val="single" w:sz="6" w:space="0" w:color="auto"/>
            </w:tcBorders>
            <w:vAlign w:val="center"/>
            <w:hideMark/>
          </w:tcPr>
          <w:p w14:paraId="75BF3B49" w14:textId="77777777" w:rsidR="001E4386" w:rsidRPr="00C51BEF" w:rsidRDefault="001E4386" w:rsidP="00151944">
            <w:pPr>
              <w:spacing w:after="0"/>
              <w:jc w:val="center"/>
              <w:rPr>
                <w:sz w:val="20"/>
                <w:szCs w:val="20"/>
              </w:rPr>
            </w:pPr>
            <w:r w:rsidRPr="00C51BEF">
              <w:rPr>
                <w:sz w:val="20"/>
                <w:szCs w:val="20"/>
              </w:rPr>
              <w:t>Fee Waived</w:t>
            </w:r>
          </w:p>
        </w:tc>
      </w:tr>
      <w:tr w:rsidR="001E4386" w:rsidRPr="00B21A87" w14:paraId="495B4E40"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24A28B3D" w14:textId="77777777" w:rsidR="001E4386" w:rsidRPr="00C51BEF" w:rsidRDefault="001E4386" w:rsidP="00151944">
            <w:pPr>
              <w:spacing w:after="0"/>
              <w:jc w:val="center"/>
              <w:rPr>
                <w:sz w:val="20"/>
                <w:szCs w:val="20"/>
              </w:rPr>
            </w:pPr>
            <w:r w:rsidRPr="00C51BEF">
              <w:rPr>
                <w:sz w:val="20"/>
                <w:szCs w:val="20"/>
              </w:rPr>
              <w:t>&gt;1 to ≤5ha</w:t>
            </w:r>
          </w:p>
        </w:tc>
        <w:tc>
          <w:tcPr>
            <w:tcW w:w="1843" w:type="dxa"/>
            <w:tcBorders>
              <w:top w:val="nil"/>
              <w:left w:val="nil"/>
              <w:bottom w:val="single" w:sz="6" w:space="0" w:color="auto"/>
              <w:right w:val="single" w:sz="6" w:space="0" w:color="auto"/>
            </w:tcBorders>
            <w:vAlign w:val="center"/>
            <w:hideMark/>
          </w:tcPr>
          <w:p w14:paraId="0AC464F3" w14:textId="77777777" w:rsidR="001E4386" w:rsidRPr="00C51BEF" w:rsidRDefault="001E4386" w:rsidP="00151944">
            <w:pPr>
              <w:spacing w:after="0"/>
              <w:jc w:val="center"/>
              <w:rPr>
                <w:sz w:val="20"/>
                <w:szCs w:val="20"/>
              </w:rPr>
            </w:pPr>
            <w:r w:rsidRPr="00C51BEF">
              <w:rPr>
                <w:sz w:val="20"/>
                <w:szCs w:val="20"/>
              </w:rPr>
              <w:t>20 FU ($327)</w:t>
            </w:r>
          </w:p>
        </w:tc>
        <w:tc>
          <w:tcPr>
            <w:tcW w:w="1843" w:type="dxa"/>
            <w:vMerge w:val="restart"/>
            <w:tcBorders>
              <w:top w:val="nil"/>
              <w:left w:val="nil"/>
              <w:right w:val="single" w:sz="6" w:space="0" w:color="auto"/>
            </w:tcBorders>
            <w:vAlign w:val="center"/>
            <w:hideMark/>
          </w:tcPr>
          <w:p w14:paraId="2B618430" w14:textId="77777777" w:rsidR="001E4386" w:rsidRPr="00C51BEF" w:rsidRDefault="001E4386" w:rsidP="00151944">
            <w:pPr>
              <w:spacing w:after="0"/>
              <w:jc w:val="center"/>
              <w:rPr>
                <w:sz w:val="20"/>
                <w:szCs w:val="20"/>
              </w:rPr>
            </w:pPr>
            <w:r w:rsidRPr="00C51BEF">
              <w:rPr>
                <w:sz w:val="20"/>
                <w:szCs w:val="20"/>
              </w:rPr>
              <w:t>12 FU ($196)</w:t>
            </w:r>
          </w:p>
          <w:p w14:paraId="5718EAF8" w14:textId="77777777" w:rsidR="001E4386" w:rsidRPr="00C51BEF" w:rsidRDefault="001E4386" w:rsidP="00151944">
            <w:pPr>
              <w:spacing w:after="0"/>
              <w:jc w:val="center"/>
              <w:rPr>
                <w:sz w:val="20"/>
                <w:szCs w:val="20"/>
              </w:rPr>
            </w:pPr>
          </w:p>
        </w:tc>
        <w:tc>
          <w:tcPr>
            <w:tcW w:w="1709" w:type="dxa"/>
            <w:tcBorders>
              <w:top w:val="nil"/>
              <w:left w:val="nil"/>
              <w:bottom w:val="single" w:sz="6" w:space="0" w:color="auto"/>
              <w:right w:val="single" w:sz="6" w:space="0" w:color="auto"/>
            </w:tcBorders>
            <w:vAlign w:val="center"/>
            <w:hideMark/>
          </w:tcPr>
          <w:p w14:paraId="71FB1B82" w14:textId="77777777" w:rsidR="001E4386" w:rsidRPr="00C51BEF" w:rsidRDefault="001E4386" w:rsidP="00151944">
            <w:pPr>
              <w:spacing w:after="0"/>
              <w:jc w:val="center"/>
              <w:rPr>
                <w:sz w:val="20"/>
                <w:szCs w:val="20"/>
              </w:rPr>
            </w:pPr>
            <w:r w:rsidRPr="00C51BEF">
              <w:rPr>
                <w:sz w:val="20"/>
                <w:szCs w:val="20"/>
              </w:rPr>
              <w:t>25 FU ($408)</w:t>
            </w:r>
          </w:p>
        </w:tc>
      </w:tr>
      <w:tr w:rsidR="001E4386" w:rsidRPr="00B21A87" w14:paraId="4FF087AD"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4ED5C930" w14:textId="77777777" w:rsidR="001E4386" w:rsidRPr="00C51BEF" w:rsidRDefault="001E4386" w:rsidP="00151944">
            <w:pPr>
              <w:spacing w:after="0"/>
              <w:jc w:val="center"/>
              <w:rPr>
                <w:sz w:val="20"/>
                <w:szCs w:val="20"/>
              </w:rPr>
            </w:pPr>
            <w:r w:rsidRPr="00C51BEF">
              <w:rPr>
                <w:sz w:val="20"/>
                <w:szCs w:val="20"/>
              </w:rPr>
              <w:t>&gt;5 to ≤20ha</w:t>
            </w:r>
          </w:p>
        </w:tc>
        <w:tc>
          <w:tcPr>
            <w:tcW w:w="1843" w:type="dxa"/>
            <w:tcBorders>
              <w:top w:val="nil"/>
              <w:left w:val="nil"/>
              <w:bottom w:val="single" w:sz="6" w:space="0" w:color="auto"/>
              <w:right w:val="single" w:sz="6" w:space="0" w:color="auto"/>
            </w:tcBorders>
            <w:vAlign w:val="center"/>
            <w:hideMark/>
          </w:tcPr>
          <w:p w14:paraId="7A940B67" w14:textId="77777777" w:rsidR="001E4386" w:rsidRPr="00C51BEF" w:rsidRDefault="001E4386" w:rsidP="00151944">
            <w:pPr>
              <w:spacing w:after="0"/>
              <w:jc w:val="center"/>
              <w:rPr>
                <w:sz w:val="20"/>
                <w:szCs w:val="20"/>
              </w:rPr>
            </w:pPr>
            <w:r w:rsidRPr="00C51BEF">
              <w:rPr>
                <w:sz w:val="20"/>
                <w:szCs w:val="20"/>
              </w:rPr>
              <w:t>27 FU ($440)</w:t>
            </w:r>
          </w:p>
        </w:tc>
        <w:tc>
          <w:tcPr>
            <w:tcW w:w="1843" w:type="dxa"/>
            <w:vMerge/>
            <w:tcBorders>
              <w:left w:val="nil"/>
              <w:right w:val="single" w:sz="6" w:space="0" w:color="auto"/>
            </w:tcBorders>
            <w:vAlign w:val="center"/>
            <w:hideMark/>
          </w:tcPr>
          <w:p w14:paraId="1C866DE0" w14:textId="77777777" w:rsidR="001E4386" w:rsidRPr="00C51BEF" w:rsidRDefault="001E4386" w:rsidP="00151944">
            <w:pPr>
              <w:spacing w:after="0"/>
              <w:jc w:val="center"/>
              <w:rPr>
                <w:sz w:val="20"/>
                <w:szCs w:val="20"/>
              </w:rPr>
            </w:pPr>
          </w:p>
        </w:tc>
        <w:tc>
          <w:tcPr>
            <w:tcW w:w="1709" w:type="dxa"/>
            <w:tcBorders>
              <w:top w:val="nil"/>
              <w:left w:val="nil"/>
              <w:bottom w:val="single" w:sz="6" w:space="0" w:color="auto"/>
              <w:right w:val="single" w:sz="6" w:space="0" w:color="auto"/>
            </w:tcBorders>
            <w:vAlign w:val="center"/>
            <w:hideMark/>
          </w:tcPr>
          <w:p w14:paraId="6C31DCCD" w14:textId="77777777" w:rsidR="001E4386" w:rsidRPr="00C51BEF" w:rsidRDefault="001E4386" w:rsidP="00151944">
            <w:pPr>
              <w:spacing w:after="0"/>
              <w:jc w:val="center"/>
              <w:rPr>
                <w:sz w:val="20"/>
                <w:szCs w:val="20"/>
              </w:rPr>
            </w:pPr>
            <w:r w:rsidRPr="00C51BEF">
              <w:rPr>
                <w:sz w:val="20"/>
                <w:szCs w:val="20"/>
              </w:rPr>
              <w:t>37 FU ($604)</w:t>
            </w:r>
          </w:p>
        </w:tc>
      </w:tr>
      <w:tr w:rsidR="001E4386" w:rsidRPr="00B21A87" w14:paraId="00125060"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5991E491" w14:textId="77777777" w:rsidR="001E4386" w:rsidRPr="00C51BEF" w:rsidRDefault="001E4386" w:rsidP="00151944">
            <w:pPr>
              <w:spacing w:after="0"/>
              <w:jc w:val="center"/>
              <w:rPr>
                <w:sz w:val="20"/>
                <w:szCs w:val="20"/>
              </w:rPr>
            </w:pPr>
            <w:r w:rsidRPr="00C51BEF">
              <w:rPr>
                <w:sz w:val="20"/>
                <w:szCs w:val="20"/>
              </w:rPr>
              <w:t>&gt;20 to ≤100ha</w:t>
            </w:r>
          </w:p>
        </w:tc>
        <w:tc>
          <w:tcPr>
            <w:tcW w:w="1843" w:type="dxa"/>
            <w:tcBorders>
              <w:top w:val="nil"/>
              <w:left w:val="nil"/>
              <w:bottom w:val="single" w:sz="6" w:space="0" w:color="auto"/>
              <w:right w:val="single" w:sz="6" w:space="0" w:color="auto"/>
            </w:tcBorders>
            <w:vAlign w:val="center"/>
            <w:hideMark/>
          </w:tcPr>
          <w:p w14:paraId="4CFA7E05" w14:textId="77777777" w:rsidR="001E4386" w:rsidRPr="00C51BEF" w:rsidRDefault="001E4386" w:rsidP="00151944">
            <w:pPr>
              <w:spacing w:after="0"/>
              <w:jc w:val="center"/>
              <w:rPr>
                <w:sz w:val="20"/>
                <w:szCs w:val="20"/>
              </w:rPr>
            </w:pPr>
            <w:r w:rsidRPr="00C51BEF">
              <w:rPr>
                <w:sz w:val="20"/>
                <w:szCs w:val="20"/>
              </w:rPr>
              <w:t>33 FU ($539)</w:t>
            </w:r>
          </w:p>
        </w:tc>
        <w:tc>
          <w:tcPr>
            <w:tcW w:w="1843" w:type="dxa"/>
            <w:vMerge/>
            <w:tcBorders>
              <w:left w:val="nil"/>
              <w:right w:val="single" w:sz="6" w:space="0" w:color="auto"/>
            </w:tcBorders>
            <w:vAlign w:val="center"/>
            <w:hideMark/>
          </w:tcPr>
          <w:p w14:paraId="40C15C82" w14:textId="77777777" w:rsidR="001E4386" w:rsidRPr="00C51BEF" w:rsidRDefault="001E4386" w:rsidP="00151944">
            <w:pPr>
              <w:spacing w:after="0"/>
              <w:jc w:val="center"/>
              <w:rPr>
                <w:sz w:val="20"/>
                <w:szCs w:val="20"/>
              </w:rPr>
            </w:pPr>
          </w:p>
        </w:tc>
        <w:tc>
          <w:tcPr>
            <w:tcW w:w="1709" w:type="dxa"/>
            <w:tcBorders>
              <w:top w:val="nil"/>
              <w:left w:val="nil"/>
              <w:bottom w:val="single" w:sz="6" w:space="0" w:color="auto"/>
              <w:right w:val="single" w:sz="6" w:space="0" w:color="auto"/>
            </w:tcBorders>
            <w:vAlign w:val="center"/>
            <w:hideMark/>
          </w:tcPr>
          <w:p w14:paraId="5506C722" w14:textId="77777777" w:rsidR="001E4386" w:rsidRPr="00C51BEF" w:rsidRDefault="001E4386" w:rsidP="00151944">
            <w:pPr>
              <w:spacing w:after="0"/>
              <w:jc w:val="center"/>
              <w:rPr>
                <w:sz w:val="20"/>
                <w:szCs w:val="20"/>
              </w:rPr>
            </w:pPr>
            <w:r w:rsidRPr="00C51BEF">
              <w:rPr>
                <w:sz w:val="20"/>
                <w:szCs w:val="20"/>
              </w:rPr>
              <w:t>48 FU ($784)</w:t>
            </w:r>
          </w:p>
        </w:tc>
      </w:tr>
      <w:tr w:rsidR="001E4386" w:rsidRPr="00B21A87" w14:paraId="27CEC785" w14:textId="77777777" w:rsidTr="001E4386">
        <w:trPr>
          <w:trHeight w:val="510"/>
        </w:trPr>
        <w:tc>
          <w:tcPr>
            <w:tcW w:w="1693" w:type="dxa"/>
            <w:tcBorders>
              <w:top w:val="nil"/>
              <w:left w:val="single" w:sz="6" w:space="0" w:color="auto"/>
              <w:bottom w:val="single" w:sz="4" w:space="0" w:color="auto"/>
              <w:right w:val="single" w:sz="6" w:space="0" w:color="auto"/>
            </w:tcBorders>
            <w:vAlign w:val="center"/>
            <w:hideMark/>
          </w:tcPr>
          <w:p w14:paraId="59A2315D" w14:textId="77777777" w:rsidR="001E4386" w:rsidRPr="00C51BEF" w:rsidRDefault="001E4386" w:rsidP="00151944">
            <w:pPr>
              <w:spacing w:after="0"/>
              <w:jc w:val="center"/>
              <w:rPr>
                <w:sz w:val="20"/>
                <w:szCs w:val="20"/>
              </w:rPr>
            </w:pPr>
            <w:r w:rsidRPr="00C51BEF">
              <w:rPr>
                <w:sz w:val="20"/>
                <w:szCs w:val="20"/>
              </w:rPr>
              <w:t>&gt;100ha</w:t>
            </w:r>
          </w:p>
        </w:tc>
        <w:tc>
          <w:tcPr>
            <w:tcW w:w="1843" w:type="dxa"/>
            <w:tcBorders>
              <w:top w:val="nil"/>
              <w:left w:val="nil"/>
              <w:bottom w:val="single" w:sz="4" w:space="0" w:color="auto"/>
              <w:right w:val="single" w:sz="6" w:space="0" w:color="auto"/>
            </w:tcBorders>
            <w:vAlign w:val="center"/>
            <w:hideMark/>
          </w:tcPr>
          <w:p w14:paraId="3E4CA95C" w14:textId="77777777" w:rsidR="001E4386" w:rsidRPr="00C51BEF" w:rsidRDefault="001E4386" w:rsidP="00151944">
            <w:pPr>
              <w:spacing w:after="0"/>
              <w:jc w:val="center"/>
              <w:rPr>
                <w:sz w:val="20"/>
                <w:szCs w:val="20"/>
              </w:rPr>
            </w:pPr>
            <w:r w:rsidRPr="00C51BEF">
              <w:rPr>
                <w:sz w:val="20"/>
                <w:szCs w:val="20"/>
              </w:rPr>
              <w:t>40 FU ($653)</w:t>
            </w:r>
          </w:p>
        </w:tc>
        <w:tc>
          <w:tcPr>
            <w:tcW w:w="1843" w:type="dxa"/>
            <w:vMerge/>
            <w:tcBorders>
              <w:left w:val="nil"/>
              <w:bottom w:val="single" w:sz="4" w:space="0" w:color="auto"/>
              <w:right w:val="single" w:sz="6" w:space="0" w:color="auto"/>
            </w:tcBorders>
            <w:vAlign w:val="center"/>
            <w:hideMark/>
          </w:tcPr>
          <w:p w14:paraId="1E09F71B" w14:textId="77777777" w:rsidR="001E4386" w:rsidRPr="00C51BEF" w:rsidRDefault="001E4386" w:rsidP="00151944">
            <w:pPr>
              <w:spacing w:after="0"/>
              <w:jc w:val="center"/>
              <w:rPr>
                <w:sz w:val="20"/>
                <w:szCs w:val="20"/>
              </w:rPr>
            </w:pPr>
          </w:p>
        </w:tc>
        <w:tc>
          <w:tcPr>
            <w:tcW w:w="1709" w:type="dxa"/>
            <w:tcBorders>
              <w:top w:val="nil"/>
              <w:left w:val="nil"/>
              <w:bottom w:val="single" w:sz="4" w:space="0" w:color="auto"/>
              <w:right w:val="single" w:sz="6" w:space="0" w:color="auto"/>
            </w:tcBorders>
            <w:vAlign w:val="center"/>
            <w:hideMark/>
          </w:tcPr>
          <w:p w14:paraId="7F5981A0" w14:textId="77777777" w:rsidR="001E4386" w:rsidRPr="00C51BEF" w:rsidRDefault="001E4386" w:rsidP="00151944">
            <w:pPr>
              <w:spacing w:after="0"/>
              <w:jc w:val="center"/>
              <w:rPr>
                <w:sz w:val="20"/>
                <w:szCs w:val="20"/>
              </w:rPr>
            </w:pPr>
            <w:r w:rsidRPr="00C51BEF">
              <w:rPr>
                <w:sz w:val="20"/>
                <w:szCs w:val="20"/>
              </w:rPr>
              <w:t>60 FU ($979)</w:t>
            </w:r>
          </w:p>
        </w:tc>
      </w:tr>
      <w:bookmarkEnd w:id="0"/>
    </w:tbl>
    <w:p w14:paraId="61C614DC" w14:textId="77777777" w:rsidR="002B240C" w:rsidRDefault="002B240C" w:rsidP="002B240C">
      <w:pPr>
        <w:pBdr>
          <w:bottom w:val="single" w:sz="12" w:space="1" w:color="auto"/>
        </w:pBdr>
      </w:pPr>
    </w:p>
    <w:p w14:paraId="17C13A36" w14:textId="2377C46A" w:rsidR="002B240C" w:rsidRPr="002B240C" w:rsidRDefault="002B240C" w:rsidP="002B240C">
      <w:r w:rsidRPr="002B240C">
        <w:rPr>
          <w:b/>
          <w:bCs/>
        </w:rPr>
        <w:t>How to register</w:t>
      </w:r>
    </w:p>
    <w:p w14:paraId="132F8A37" w14:textId="77777777" w:rsidR="002B240C" w:rsidRPr="002B240C" w:rsidRDefault="002B240C" w:rsidP="002B240C">
      <w:r w:rsidRPr="002B240C">
        <w:t xml:space="preserve">Agriculture Victoria has developed an online system called Agriculture Victoria Connect. The system provides a single-entry point for accessing services related to regulatory compliance. </w:t>
      </w:r>
    </w:p>
    <w:p w14:paraId="21D62A3D" w14:textId="77777777" w:rsidR="002B240C" w:rsidRPr="002B240C" w:rsidRDefault="002B240C" w:rsidP="002B240C">
      <w:r w:rsidRPr="002B240C">
        <w:t>Businesses are required to log into Agriculture Victoria Connect to complete their food safety registration. Use the QR code to access Agriculture Victoria Connect.</w:t>
      </w:r>
    </w:p>
    <w:p w14:paraId="5A6E8C94" w14:textId="77777777" w:rsidR="002B240C" w:rsidRPr="002B240C" w:rsidRDefault="002B240C" w:rsidP="002B240C">
      <w:r w:rsidRPr="002B240C">
        <w:rPr>
          <w:b/>
          <w:bCs/>
        </w:rPr>
        <w:t>Step-by-step guide</w:t>
      </w:r>
    </w:p>
    <w:p w14:paraId="0F0AFFB0" w14:textId="77777777" w:rsidR="002B240C" w:rsidRPr="002B240C" w:rsidRDefault="002B240C" w:rsidP="002B240C">
      <w:pPr>
        <w:numPr>
          <w:ilvl w:val="0"/>
          <w:numId w:val="11"/>
        </w:numPr>
      </w:pPr>
      <w:r w:rsidRPr="002B240C">
        <w:t xml:space="preserve">To register your business on </w:t>
      </w:r>
      <w:hyperlink r:id="rId7" w:tgtFrame="_blank" w:history="1">
        <w:r w:rsidRPr="002B240C">
          <w:rPr>
            <w:rStyle w:val="Hyperlink"/>
          </w:rPr>
          <w:t>Agriculture Victoria Connect</w:t>
        </w:r>
      </w:hyperlink>
      <w:r w:rsidRPr="002B240C">
        <w:t xml:space="preserve">, you must first register as an individual and create a user account. To do this, watch our quick video tutorials: </w:t>
      </w:r>
      <w:hyperlink r:id="rId8" w:tgtFrame="_blank" w:history="1">
        <w:r w:rsidRPr="002B240C">
          <w:rPr>
            <w:rStyle w:val="Hyperlink"/>
          </w:rPr>
          <w:t>How to create an account</w:t>
        </w:r>
      </w:hyperlink>
      <w:r w:rsidRPr="002B240C">
        <w:t xml:space="preserve"> and then </w:t>
      </w:r>
      <w:hyperlink r:id="rId9" w:tgtFrame="_blank" w:history="1">
        <w:r w:rsidRPr="002B240C">
          <w:rPr>
            <w:rStyle w:val="Hyperlink"/>
          </w:rPr>
          <w:t>Create your profile</w:t>
        </w:r>
      </w:hyperlink>
      <w:r w:rsidRPr="002B240C">
        <w:t xml:space="preserve">. </w:t>
      </w:r>
    </w:p>
    <w:p w14:paraId="33FFC074" w14:textId="77777777" w:rsidR="002B240C" w:rsidRPr="002B240C" w:rsidRDefault="002B240C" w:rsidP="002B240C">
      <w:pPr>
        <w:numPr>
          <w:ilvl w:val="0"/>
          <w:numId w:val="11"/>
        </w:numPr>
      </w:pPr>
      <w:r w:rsidRPr="002B240C">
        <w:t xml:space="preserve">Once you have created your account, you can register your business by following the videos on </w:t>
      </w:r>
      <w:hyperlink r:id="rId10" w:tgtFrame="_blank" w:history="1">
        <w:r w:rsidRPr="002B240C">
          <w:rPr>
            <w:rStyle w:val="Hyperlink"/>
          </w:rPr>
          <w:t>How to add a business</w:t>
        </w:r>
      </w:hyperlink>
      <w:r w:rsidRPr="002B240C">
        <w:t xml:space="preserve"> and then how to </w:t>
      </w:r>
      <w:hyperlink r:id="rId11" w:tgtFrame="_blank" w:history="1">
        <w:r w:rsidRPr="002B240C">
          <w:rPr>
            <w:rStyle w:val="Hyperlink"/>
          </w:rPr>
          <w:t>Manage your business roles</w:t>
        </w:r>
      </w:hyperlink>
      <w:r w:rsidRPr="002B240C">
        <w:t>.</w:t>
      </w:r>
    </w:p>
    <w:p w14:paraId="758700D9" w14:textId="77777777" w:rsidR="002B240C" w:rsidRPr="002B240C" w:rsidRDefault="002B240C" w:rsidP="002B240C">
      <w:pPr>
        <w:numPr>
          <w:ilvl w:val="0"/>
          <w:numId w:val="11"/>
        </w:numPr>
      </w:pPr>
      <w:r w:rsidRPr="002B240C">
        <w:t xml:space="preserve">If your business is Freshcare Certified, you will need to opt-in and provide consent via your profile on the Freshcare website, prior to registration with Agriculture Victoria. There may be a delay for this to register in Agriculture Victoria Connect. </w:t>
      </w:r>
    </w:p>
    <w:p w14:paraId="57387573" w14:textId="77777777" w:rsidR="002B240C" w:rsidRPr="002B240C" w:rsidRDefault="002B240C" w:rsidP="002B240C">
      <w:pPr>
        <w:numPr>
          <w:ilvl w:val="0"/>
          <w:numId w:val="11"/>
        </w:numPr>
      </w:pPr>
      <w:r w:rsidRPr="002B240C">
        <w:t xml:space="preserve">Follow the prompts to complete your relevant food safety registration pathway. For non-GFSI certified growers, this will included completing an online </w:t>
      </w:r>
      <w:hyperlink r:id="rId12" w:tgtFrame="_blank" w:history="1">
        <w:r w:rsidRPr="002B240C">
          <w:rPr>
            <w:rStyle w:val="Hyperlink"/>
          </w:rPr>
          <w:t>Food Safety Management Statement (FSMS)</w:t>
        </w:r>
      </w:hyperlink>
      <w:r w:rsidRPr="002B240C">
        <w:t>.</w:t>
      </w:r>
    </w:p>
    <w:p w14:paraId="2BFE96EB" w14:textId="77777777" w:rsidR="002B240C" w:rsidRPr="002B240C" w:rsidRDefault="002B240C" w:rsidP="002B240C">
      <w:pPr>
        <w:numPr>
          <w:ilvl w:val="0"/>
          <w:numId w:val="11"/>
        </w:numPr>
      </w:pPr>
      <w:r w:rsidRPr="002B240C">
        <w:t>The 50% discount will have already been applied to the total shown in the summary and payment sections. The registration fee is non-refundable.</w:t>
      </w:r>
    </w:p>
    <w:p w14:paraId="0F9587EA" w14:textId="05556FED" w:rsidR="002B240C" w:rsidRDefault="002B240C" w:rsidP="002B240C">
      <w:pPr>
        <w:numPr>
          <w:ilvl w:val="0"/>
          <w:numId w:val="11"/>
        </w:numPr>
      </w:pPr>
      <w:r w:rsidRPr="002B240C">
        <w:t xml:space="preserve">Your registration will be valid for 12 months from the approval date. As the renewal date approaches, you will be sent reminders. </w:t>
      </w:r>
    </w:p>
    <w:p w14:paraId="3559D7C9" w14:textId="77777777" w:rsidR="002B240C" w:rsidRDefault="002B240C" w:rsidP="002B240C">
      <w:pPr>
        <w:pBdr>
          <w:bottom w:val="single" w:sz="12" w:space="1" w:color="auto"/>
        </w:pBdr>
      </w:pPr>
    </w:p>
    <w:p w14:paraId="152F5E4E" w14:textId="77777777" w:rsidR="002B240C" w:rsidRPr="002B240C" w:rsidRDefault="002B240C" w:rsidP="002B240C">
      <w:r w:rsidRPr="002B240C">
        <w:rPr>
          <w:b/>
          <w:bCs/>
        </w:rPr>
        <w:t xml:space="preserve">Free food safety farm visits </w:t>
      </w:r>
    </w:p>
    <w:p w14:paraId="0AC58B5A" w14:textId="77777777" w:rsidR="002B240C" w:rsidRPr="002B240C" w:rsidRDefault="002B240C" w:rsidP="002B240C">
      <w:r w:rsidRPr="002B240C">
        <w:lastRenderedPageBreak/>
        <w:t>If you need guidance on implementing the new food safety standards on your farm, Agriculture Victoria is offering</w:t>
      </w:r>
      <w:r w:rsidRPr="002B240C">
        <w:rPr>
          <w:b/>
          <w:bCs/>
        </w:rPr>
        <w:t xml:space="preserve"> </w:t>
      </w:r>
      <w:r w:rsidRPr="002B240C">
        <w:t>free on-farm educational visits. Our Biosecurity Team can visit your farm and:</w:t>
      </w:r>
    </w:p>
    <w:p w14:paraId="577FAAF9" w14:textId="77777777" w:rsidR="002B240C" w:rsidRPr="002B240C" w:rsidRDefault="002B240C" w:rsidP="002B240C">
      <w:pPr>
        <w:numPr>
          <w:ilvl w:val="0"/>
          <w:numId w:val="12"/>
        </w:numPr>
      </w:pPr>
      <w:r w:rsidRPr="002B240C">
        <w:t xml:space="preserve">outline the Standards and their </w:t>
      </w:r>
      <w:proofErr w:type="gramStart"/>
      <w:r w:rsidRPr="002B240C">
        <w:t>requirements;</w:t>
      </w:r>
      <w:proofErr w:type="gramEnd"/>
    </w:p>
    <w:p w14:paraId="57CF03E6" w14:textId="77777777" w:rsidR="002B240C" w:rsidRPr="002B240C" w:rsidRDefault="002B240C" w:rsidP="002B240C">
      <w:pPr>
        <w:numPr>
          <w:ilvl w:val="0"/>
          <w:numId w:val="12"/>
        </w:numPr>
      </w:pPr>
      <w:r w:rsidRPr="002B240C">
        <w:t xml:space="preserve">assist you to complete your registration and </w:t>
      </w:r>
      <w:proofErr w:type="gramStart"/>
      <w:r w:rsidRPr="002B240C">
        <w:t>FSMS;</w:t>
      </w:r>
      <w:proofErr w:type="gramEnd"/>
    </w:p>
    <w:p w14:paraId="3BD5688B" w14:textId="77777777" w:rsidR="002B240C" w:rsidRPr="002B240C" w:rsidRDefault="002B240C" w:rsidP="002B240C">
      <w:pPr>
        <w:numPr>
          <w:ilvl w:val="0"/>
          <w:numId w:val="12"/>
        </w:numPr>
      </w:pPr>
      <w:r w:rsidRPr="002B240C">
        <w:t xml:space="preserve">work through any observed changes required to ensure compliance; and </w:t>
      </w:r>
    </w:p>
    <w:p w14:paraId="05187C1C" w14:textId="77777777" w:rsidR="002B240C" w:rsidRPr="002B240C" w:rsidRDefault="002B240C" w:rsidP="002B240C">
      <w:pPr>
        <w:numPr>
          <w:ilvl w:val="0"/>
          <w:numId w:val="12"/>
        </w:numPr>
      </w:pPr>
      <w:r w:rsidRPr="002B240C">
        <w:t>discuss any specific food safety issues and questions you may have.</w:t>
      </w:r>
    </w:p>
    <w:p w14:paraId="175DE8F5" w14:textId="75CC3D60" w:rsidR="002B240C" w:rsidRDefault="002B240C" w:rsidP="002B240C">
      <w:r w:rsidRPr="002B240C">
        <w:t xml:space="preserve">Visit </w:t>
      </w:r>
      <w:hyperlink r:id="rId13" w:history="1">
        <w:r w:rsidRPr="002B240C">
          <w:rPr>
            <w:rStyle w:val="Hyperlink"/>
          </w:rPr>
          <w:t>our website</w:t>
        </w:r>
      </w:hyperlink>
      <w:r w:rsidRPr="002B240C">
        <w:t xml:space="preserve"> or email </w:t>
      </w:r>
      <w:hyperlink r:id="rId14" w:history="1">
        <w:r w:rsidRPr="002B240C">
          <w:rPr>
            <w:rStyle w:val="Hyperlink"/>
          </w:rPr>
          <w:t>food.safety@agriculture.vic.gov.au</w:t>
        </w:r>
      </w:hyperlink>
      <w:r w:rsidRPr="002B240C">
        <w:t xml:space="preserve"> for more information, or to arrange a farm visit. </w:t>
      </w:r>
    </w:p>
    <w:p w14:paraId="4E0E2D87" w14:textId="77777777" w:rsidR="002B240C" w:rsidRDefault="002B240C" w:rsidP="002B240C">
      <w:pPr>
        <w:pBdr>
          <w:bottom w:val="single" w:sz="12" w:space="1" w:color="auto"/>
        </w:pBdr>
      </w:pPr>
    </w:p>
    <w:p w14:paraId="7998AD5E" w14:textId="77777777" w:rsidR="002B240C" w:rsidRPr="002B240C" w:rsidRDefault="002B240C" w:rsidP="002B240C">
      <w:r w:rsidRPr="002B240C">
        <w:rPr>
          <w:b/>
          <w:bCs/>
        </w:rPr>
        <w:t>Need help?</w:t>
      </w:r>
    </w:p>
    <w:p w14:paraId="5F52C2C2" w14:textId="77777777" w:rsidR="002B240C" w:rsidRPr="002B240C" w:rsidRDefault="002B240C" w:rsidP="002B240C">
      <w:r w:rsidRPr="002B240C">
        <w:t xml:space="preserve">Agriculture Victoria’s Biosecurity Services Centre is also available to assist businesses from Monday to Friday between 9 am and 4:30 pm. Please call 1800 403 224 and one of the friendly team will assist you. </w:t>
      </w:r>
    </w:p>
    <w:p w14:paraId="79ED3B74" w14:textId="77777777" w:rsidR="002B240C" w:rsidRDefault="002B240C" w:rsidP="002B240C"/>
    <w:sectPr w:rsidR="002B240C" w:rsidSect="002B240C">
      <w:footerReference w:type="even" r:id="rId15"/>
      <w:footerReference w:type="default" r:id="rId16"/>
      <w:footerReference w:type="first" r:id="rId17"/>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41EF" w14:textId="77777777" w:rsidR="002B240C" w:rsidRDefault="002B240C" w:rsidP="002B240C">
      <w:pPr>
        <w:spacing w:after="0" w:line="240" w:lineRule="auto"/>
      </w:pPr>
      <w:r>
        <w:separator/>
      </w:r>
    </w:p>
  </w:endnote>
  <w:endnote w:type="continuationSeparator" w:id="0">
    <w:p w14:paraId="1474D77D" w14:textId="77777777" w:rsidR="002B240C" w:rsidRDefault="002B240C" w:rsidP="002B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0E08" w14:textId="68347CF0" w:rsidR="002B240C" w:rsidRDefault="002B240C">
    <w:pPr>
      <w:pStyle w:val="Footer"/>
    </w:pPr>
    <w:r>
      <w:rPr>
        <w:noProof/>
      </w:rPr>
      <mc:AlternateContent>
        <mc:Choice Requires="wps">
          <w:drawing>
            <wp:anchor distT="0" distB="0" distL="0" distR="0" simplePos="0" relativeHeight="251659264" behindDoc="0" locked="0" layoutInCell="1" allowOverlap="1" wp14:anchorId="40A9E292" wp14:editId="348A6115">
              <wp:simplePos x="635" y="635"/>
              <wp:positionH relativeFrom="page">
                <wp:align>center</wp:align>
              </wp:positionH>
              <wp:positionV relativeFrom="page">
                <wp:align>bottom</wp:align>
              </wp:positionV>
              <wp:extent cx="622300" cy="405765"/>
              <wp:effectExtent l="0" t="0" r="6350" b="0"/>
              <wp:wrapNone/>
              <wp:docPr id="11631737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30033BE" w14:textId="79CDD3D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9E292" id="_x0000_t202" coordsize="21600,21600" o:spt="202" path="m,l,21600r21600,l21600,xe">
              <v:stroke joinstyle="miter"/>
              <v:path gradientshapeok="t" o:connecttype="rect"/>
            </v:shapetype>
            <v:shape id="Text Box 3"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430033BE" w14:textId="79CDD3D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667B" w14:textId="1596411A" w:rsidR="002B240C" w:rsidRDefault="002B240C">
    <w:pPr>
      <w:pStyle w:val="Footer"/>
    </w:pPr>
    <w:r>
      <w:rPr>
        <w:noProof/>
      </w:rPr>
      <mc:AlternateContent>
        <mc:Choice Requires="wps">
          <w:drawing>
            <wp:anchor distT="0" distB="0" distL="0" distR="0" simplePos="0" relativeHeight="251660288" behindDoc="0" locked="0" layoutInCell="1" allowOverlap="1" wp14:anchorId="404C38C5" wp14:editId="1CD3A2DF">
              <wp:simplePos x="685800" y="10058400"/>
              <wp:positionH relativeFrom="page">
                <wp:align>center</wp:align>
              </wp:positionH>
              <wp:positionV relativeFrom="page">
                <wp:align>bottom</wp:align>
              </wp:positionV>
              <wp:extent cx="622300" cy="405765"/>
              <wp:effectExtent l="0" t="0" r="6350" b="0"/>
              <wp:wrapNone/>
              <wp:docPr id="11873732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0A290EB" w14:textId="179E4065"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C38C5" id="_x0000_t202" coordsize="21600,21600" o:spt="202" path="m,l,21600r21600,l21600,xe">
              <v:stroke joinstyle="miter"/>
              <v:path gradientshapeok="t" o:connecttype="rect"/>
            </v:shapetype>
            <v:shape id="Text Box 4"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20A290EB" w14:textId="179E4065"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6C94" w14:textId="28A236E8" w:rsidR="002B240C" w:rsidRDefault="002B240C">
    <w:pPr>
      <w:pStyle w:val="Footer"/>
    </w:pPr>
    <w:r>
      <w:rPr>
        <w:noProof/>
      </w:rPr>
      <mc:AlternateContent>
        <mc:Choice Requires="wps">
          <w:drawing>
            <wp:anchor distT="0" distB="0" distL="0" distR="0" simplePos="0" relativeHeight="251658240" behindDoc="0" locked="0" layoutInCell="1" allowOverlap="1" wp14:anchorId="722137D9" wp14:editId="4354C254">
              <wp:simplePos x="635" y="635"/>
              <wp:positionH relativeFrom="page">
                <wp:align>center</wp:align>
              </wp:positionH>
              <wp:positionV relativeFrom="page">
                <wp:align>bottom</wp:align>
              </wp:positionV>
              <wp:extent cx="622300" cy="405765"/>
              <wp:effectExtent l="0" t="0" r="6350" b="0"/>
              <wp:wrapNone/>
              <wp:docPr id="62274231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D5DA498" w14:textId="1C8032B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2137D9" id="_x0000_t202" coordsize="21600,21600" o:spt="202" path="m,l,21600r21600,l21600,xe">
              <v:stroke joinstyle="miter"/>
              <v:path gradientshapeok="t" o:connecttype="rect"/>
            </v:shapetype>
            <v:shape id="Text Box 2"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BF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" filled="f" stroked="f">
              <v:fill o:detectmouseclick="t"/>
              <v:textbox style="mso-fit-shape-to-text:t" inset="0,0,0,15pt">
                <w:txbxContent>
                  <w:p w14:paraId="4D5DA498" w14:textId="1C8032B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1DEA" w14:textId="77777777" w:rsidR="002B240C" w:rsidRDefault="002B240C" w:rsidP="002B240C">
      <w:pPr>
        <w:spacing w:after="0" w:line="240" w:lineRule="auto"/>
      </w:pPr>
      <w:r>
        <w:separator/>
      </w:r>
    </w:p>
  </w:footnote>
  <w:footnote w:type="continuationSeparator" w:id="0">
    <w:p w14:paraId="7A7A7DDA" w14:textId="77777777" w:rsidR="002B240C" w:rsidRDefault="002B240C" w:rsidP="002B2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22E9"/>
    <w:multiLevelType w:val="hybridMultilevel"/>
    <w:tmpl w:val="E6F009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212758"/>
    <w:multiLevelType w:val="multilevel"/>
    <w:tmpl w:val="450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D7965"/>
    <w:multiLevelType w:val="multilevel"/>
    <w:tmpl w:val="F644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068CB"/>
    <w:multiLevelType w:val="multilevel"/>
    <w:tmpl w:val="FE72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460A6"/>
    <w:multiLevelType w:val="multilevel"/>
    <w:tmpl w:val="3460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E1958"/>
    <w:multiLevelType w:val="multilevel"/>
    <w:tmpl w:val="EE7A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322D0"/>
    <w:multiLevelType w:val="multilevel"/>
    <w:tmpl w:val="864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F2EDF"/>
    <w:multiLevelType w:val="multilevel"/>
    <w:tmpl w:val="C6EA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F73AD"/>
    <w:multiLevelType w:val="multilevel"/>
    <w:tmpl w:val="EAF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349CF"/>
    <w:multiLevelType w:val="multilevel"/>
    <w:tmpl w:val="9E9A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A3494"/>
    <w:multiLevelType w:val="multilevel"/>
    <w:tmpl w:val="A58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8C2AB5"/>
    <w:multiLevelType w:val="multilevel"/>
    <w:tmpl w:val="1BD2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018962">
    <w:abstractNumId w:val="11"/>
  </w:num>
  <w:num w:numId="2" w16cid:durableId="678969967">
    <w:abstractNumId w:val="2"/>
  </w:num>
  <w:num w:numId="3" w16cid:durableId="649672130">
    <w:abstractNumId w:val="4"/>
  </w:num>
  <w:num w:numId="4" w16cid:durableId="1024793865">
    <w:abstractNumId w:val="8"/>
  </w:num>
  <w:num w:numId="5" w16cid:durableId="1187211760">
    <w:abstractNumId w:val="9"/>
  </w:num>
  <w:num w:numId="6" w16cid:durableId="731151086">
    <w:abstractNumId w:val="7"/>
  </w:num>
  <w:num w:numId="7" w16cid:durableId="1490710014">
    <w:abstractNumId w:val="3"/>
  </w:num>
  <w:num w:numId="8" w16cid:durableId="380133075">
    <w:abstractNumId w:val="6"/>
  </w:num>
  <w:num w:numId="9" w16cid:durableId="986858543">
    <w:abstractNumId w:val="1"/>
  </w:num>
  <w:num w:numId="10" w16cid:durableId="63527918">
    <w:abstractNumId w:val="10"/>
  </w:num>
  <w:num w:numId="11" w16cid:durableId="652299435">
    <w:abstractNumId w:val="0"/>
  </w:num>
  <w:num w:numId="12" w16cid:durableId="332145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0C"/>
    <w:rsid w:val="000C0EFB"/>
    <w:rsid w:val="001E4386"/>
    <w:rsid w:val="002B240C"/>
    <w:rsid w:val="008B7376"/>
    <w:rsid w:val="009C372D"/>
    <w:rsid w:val="00A43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1513"/>
  <w15:chartTrackingRefBased/>
  <w15:docId w15:val="{F81866A1-E23E-4EA6-B9D9-6DE66CA8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40C"/>
    <w:rPr>
      <w:rFonts w:eastAsiaTheme="majorEastAsia" w:cstheme="majorBidi"/>
      <w:color w:val="272727" w:themeColor="text1" w:themeTint="D8"/>
    </w:rPr>
  </w:style>
  <w:style w:type="paragraph" w:styleId="Title">
    <w:name w:val="Title"/>
    <w:basedOn w:val="Normal"/>
    <w:next w:val="Normal"/>
    <w:link w:val="TitleChar"/>
    <w:uiPriority w:val="10"/>
    <w:qFormat/>
    <w:rsid w:val="002B2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40C"/>
    <w:pPr>
      <w:spacing w:before="160"/>
      <w:jc w:val="center"/>
    </w:pPr>
    <w:rPr>
      <w:i/>
      <w:iCs/>
      <w:color w:val="404040" w:themeColor="text1" w:themeTint="BF"/>
    </w:rPr>
  </w:style>
  <w:style w:type="character" w:customStyle="1" w:styleId="QuoteChar">
    <w:name w:val="Quote Char"/>
    <w:basedOn w:val="DefaultParagraphFont"/>
    <w:link w:val="Quote"/>
    <w:uiPriority w:val="29"/>
    <w:rsid w:val="002B240C"/>
    <w:rPr>
      <w:i/>
      <w:iCs/>
      <w:color w:val="404040" w:themeColor="text1" w:themeTint="BF"/>
    </w:rPr>
  </w:style>
  <w:style w:type="paragraph" w:styleId="ListParagraph">
    <w:name w:val="List Paragraph"/>
    <w:basedOn w:val="Normal"/>
    <w:uiPriority w:val="34"/>
    <w:qFormat/>
    <w:rsid w:val="002B240C"/>
    <w:pPr>
      <w:ind w:left="720"/>
      <w:contextualSpacing/>
    </w:pPr>
  </w:style>
  <w:style w:type="character" w:styleId="IntenseEmphasis">
    <w:name w:val="Intense Emphasis"/>
    <w:basedOn w:val="DefaultParagraphFont"/>
    <w:uiPriority w:val="21"/>
    <w:qFormat/>
    <w:rsid w:val="002B240C"/>
    <w:rPr>
      <w:i/>
      <w:iCs/>
      <w:color w:val="0F4761" w:themeColor="accent1" w:themeShade="BF"/>
    </w:rPr>
  </w:style>
  <w:style w:type="paragraph" w:styleId="IntenseQuote">
    <w:name w:val="Intense Quote"/>
    <w:basedOn w:val="Normal"/>
    <w:next w:val="Normal"/>
    <w:link w:val="IntenseQuoteChar"/>
    <w:uiPriority w:val="30"/>
    <w:qFormat/>
    <w:rsid w:val="002B2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40C"/>
    <w:rPr>
      <w:i/>
      <w:iCs/>
      <w:color w:val="0F4761" w:themeColor="accent1" w:themeShade="BF"/>
    </w:rPr>
  </w:style>
  <w:style w:type="character" w:styleId="IntenseReference">
    <w:name w:val="Intense Reference"/>
    <w:basedOn w:val="DefaultParagraphFont"/>
    <w:uiPriority w:val="32"/>
    <w:qFormat/>
    <w:rsid w:val="002B240C"/>
    <w:rPr>
      <w:b/>
      <w:bCs/>
      <w:smallCaps/>
      <w:color w:val="0F4761" w:themeColor="accent1" w:themeShade="BF"/>
      <w:spacing w:val="5"/>
    </w:rPr>
  </w:style>
  <w:style w:type="character" w:styleId="Hyperlink">
    <w:name w:val="Hyperlink"/>
    <w:basedOn w:val="DefaultParagraphFont"/>
    <w:uiPriority w:val="99"/>
    <w:unhideWhenUsed/>
    <w:rsid w:val="002B240C"/>
    <w:rPr>
      <w:color w:val="467886" w:themeColor="hyperlink"/>
      <w:u w:val="single"/>
    </w:rPr>
  </w:style>
  <w:style w:type="character" w:styleId="UnresolvedMention">
    <w:name w:val="Unresolved Mention"/>
    <w:basedOn w:val="DefaultParagraphFont"/>
    <w:uiPriority w:val="99"/>
    <w:semiHidden/>
    <w:unhideWhenUsed/>
    <w:rsid w:val="002B240C"/>
    <w:rPr>
      <w:color w:val="605E5C"/>
      <w:shd w:val="clear" w:color="auto" w:fill="E1DFDD"/>
    </w:rPr>
  </w:style>
  <w:style w:type="paragraph" w:styleId="Footer">
    <w:name w:val="footer"/>
    <w:basedOn w:val="Normal"/>
    <w:link w:val="FooterChar"/>
    <w:uiPriority w:val="99"/>
    <w:unhideWhenUsed/>
    <w:rsid w:val="002B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h3l9na6Ebc?si=1ysakyalwuXGKfDm" TargetMode="External"/><Relationship Id="rId13" Type="http://schemas.openxmlformats.org/officeDocument/2006/relationships/hyperlink" Target="https://agriculture.vic.gov.au/biosecurity/food-safety/food-safety-for-horticulture-produc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iculture.vic.gov.au/support-and-resources/agriculture-victoria-connect" TargetMode="External"/><Relationship Id="rId12" Type="http://schemas.openxmlformats.org/officeDocument/2006/relationships/hyperlink" Target="https://agriculture.vic.gov.au/biosecurity/food-safety/food-safety-for-horticulture-producers/FSMS-fact-sheet.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0vS0OFZz-Y?si=sni9HHNxGeXg7DE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Hmws_dt_qBY?si=ypcXVvC4RpFi3lB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a09s_dkTXU8?si=_wh5tQNjqNAKDVue" TargetMode="External"/><Relationship Id="rId14" Type="http://schemas.openxmlformats.org/officeDocument/2006/relationships/hyperlink" Target="mailto:food.safety@agricultur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1278</Words>
  <Characters>6162</Characters>
  <Application>Microsoft Office Word</Application>
  <DocSecurity>0</DocSecurity>
  <Lines>770</Lines>
  <Paragraphs>619</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 Scott (DEECA)</dc:creator>
  <cp:keywords/>
  <dc:description/>
  <cp:lastModifiedBy>Emily G Scott (DEECA)</cp:lastModifiedBy>
  <cp:revision>3</cp:revision>
  <dcterms:created xsi:type="dcterms:W3CDTF">2026-02-09T05:19:00Z</dcterms:created>
  <dcterms:modified xsi:type="dcterms:W3CDTF">2026-02-10T00:22:00Z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251e4b2d,45549f77,46c5e0eb</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2026-02-09T05:27:12Z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96eeb2ba-3675-4bff-8143-ca09d8667d46</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