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03DC" w14:textId="77777777" w:rsidR="0045328F" w:rsidRPr="006C40F8" w:rsidRDefault="0045328F" w:rsidP="006C40F8">
      <w:pPr>
        <w:pStyle w:val="Title"/>
        <w:rPr>
          <w:rFonts w:ascii="Arial" w:hAnsi="Arial" w:cs="Arial"/>
          <w:sz w:val="52"/>
          <w:szCs w:val="52"/>
        </w:rPr>
      </w:pPr>
      <w:bookmarkStart w:id="0" w:name="_Hlk81380877"/>
      <w:bookmarkEnd w:id="0"/>
      <w:r w:rsidRPr="006C40F8">
        <w:rPr>
          <w:rFonts w:ascii="Arial" w:hAnsi="Arial" w:cs="Arial"/>
          <w:sz w:val="52"/>
          <w:szCs w:val="52"/>
        </w:rPr>
        <w:t>Non-indigenous Bird Declaration Policy</w:t>
      </w:r>
    </w:p>
    <w:p w14:paraId="449FEEB8" w14:textId="19280EBC" w:rsidR="00B8306D" w:rsidRDefault="00B8306D" w:rsidP="00E83FF9">
      <w:pPr>
        <w:pStyle w:val="Tablecontentsheading"/>
        <w:rPr>
          <w:rFonts w:ascii="Tahoma" w:hAnsi="Tahoma" w:cs="Times New Roman"/>
          <w:b w:val="0"/>
          <w:caps w:val="0"/>
          <w:color w:val="auto"/>
          <w:sz w:val="24"/>
          <w:szCs w:val="24"/>
        </w:rPr>
      </w:pPr>
    </w:p>
    <w:sdt>
      <w:sdtPr>
        <w:rPr>
          <w:rFonts w:ascii="Tahoma" w:hAnsi="Tahoma" w:cs="Times New Roman"/>
          <w:b w:val="0"/>
          <w:caps w:val="0"/>
          <w:color w:val="auto"/>
          <w:sz w:val="24"/>
          <w:szCs w:val="24"/>
        </w:rPr>
        <w:id w:val="90750963"/>
        <w:docPartObj>
          <w:docPartGallery w:val="Table of Contents"/>
          <w:docPartUnique/>
        </w:docPartObj>
      </w:sdtPr>
      <w:sdtEndPr>
        <w:rPr>
          <w:bCs/>
          <w:noProof/>
        </w:rPr>
      </w:sdtEndPr>
      <w:sdtContent>
        <w:p w14:paraId="7E530EBB" w14:textId="59D7BDF9" w:rsidR="003F1D90" w:rsidRPr="00C56302" w:rsidRDefault="00E83FF9" w:rsidP="00E83FF9">
          <w:pPr>
            <w:pStyle w:val="Tablecontentsheading"/>
            <w:rPr>
              <w:rFonts w:ascii="Tahoma" w:hAnsi="Tahoma"/>
              <w:color w:val="1F497D" w:themeColor="text2"/>
            </w:rPr>
          </w:pPr>
          <w:r w:rsidRPr="00C56302">
            <w:rPr>
              <w:rFonts w:ascii="Tahoma" w:hAnsi="Tahoma"/>
              <w:color w:val="1F497D" w:themeColor="text2"/>
            </w:rPr>
            <w:t xml:space="preserve">TABLE OF </w:t>
          </w:r>
          <w:r w:rsidR="003F1D90" w:rsidRPr="00C56302">
            <w:rPr>
              <w:rFonts w:ascii="Tahoma" w:hAnsi="Tahoma"/>
              <w:color w:val="1F497D" w:themeColor="text2"/>
            </w:rPr>
            <w:t>Contents</w:t>
          </w:r>
        </w:p>
        <w:p w14:paraId="0381E8AB" w14:textId="2AA89AEB" w:rsidR="00292904" w:rsidRPr="00292904" w:rsidRDefault="003F1D90">
          <w:pPr>
            <w:pStyle w:val="TOC1"/>
            <w:rPr>
              <w:rFonts w:asciiTheme="minorHAnsi" w:eastAsiaTheme="minorEastAsia" w:hAnsiTheme="minorHAnsi" w:cstheme="minorBidi"/>
              <w:noProof/>
              <w:sz w:val="22"/>
              <w:szCs w:val="22"/>
            </w:rPr>
          </w:pPr>
          <w:r w:rsidRPr="005867E0">
            <w:rPr>
              <w:rFonts w:cs="Tahoma"/>
            </w:rPr>
            <w:fldChar w:fldCharType="begin"/>
          </w:r>
          <w:r w:rsidRPr="005F1122">
            <w:rPr>
              <w:rFonts w:cs="Tahoma"/>
            </w:rPr>
            <w:instrText xml:space="preserve"> TOC \o "1-3" \h \z \u </w:instrText>
          </w:r>
          <w:r w:rsidRPr="005867E0">
            <w:rPr>
              <w:rFonts w:cs="Tahoma"/>
            </w:rPr>
            <w:fldChar w:fldCharType="separate"/>
          </w:r>
          <w:hyperlink w:anchor="_Toc80955568" w:history="1">
            <w:r w:rsidR="00292904" w:rsidRPr="00292904">
              <w:rPr>
                <w:rStyle w:val="Hyperlink"/>
                <w:rFonts w:ascii="Arial" w:hAnsi="Arial" w:cs="Arial"/>
                <w:noProof/>
              </w:rPr>
              <w:t>Key points</w:t>
            </w:r>
            <w:r w:rsidR="00292904" w:rsidRPr="00292904">
              <w:rPr>
                <w:noProof/>
                <w:webHidden/>
              </w:rPr>
              <w:tab/>
            </w:r>
            <w:r w:rsidR="00292904" w:rsidRPr="00292904">
              <w:rPr>
                <w:noProof/>
                <w:webHidden/>
              </w:rPr>
              <w:fldChar w:fldCharType="begin"/>
            </w:r>
            <w:r w:rsidR="00292904" w:rsidRPr="00292904">
              <w:rPr>
                <w:noProof/>
                <w:webHidden/>
              </w:rPr>
              <w:instrText xml:space="preserve"> PAGEREF _Toc80955568 \h </w:instrText>
            </w:r>
            <w:r w:rsidR="00292904" w:rsidRPr="00292904">
              <w:rPr>
                <w:noProof/>
                <w:webHidden/>
              </w:rPr>
            </w:r>
            <w:r w:rsidR="00292904" w:rsidRPr="00292904">
              <w:rPr>
                <w:noProof/>
                <w:webHidden/>
              </w:rPr>
              <w:fldChar w:fldCharType="separate"/>
            </w:r>
            <w:r w:rsidR="0043344A">
              <w:rPr>
                <w:noProof/>
                <w:webHidden/>
              </w:rPr>
              <w:t>2</w:t>
            </w:r>
            <w:r w:rsidR="00292904" w:rsidRPr="00292904">
              <w:rPr>
                <w:noProof/>
                <w:webHidden/>
              </w:rPr>
              <w:fldChar w:fldCharType="end"/>
            </w:r>
          </w:hyperlink>
        </w:p>
        <w:p w14:paraId="29C79C7F" w14:textId="57723072" w:rsidR="00292904" w:rsidRPr="00292904" w:rsidRDefault="00F80CD4">
          <w:pPr>
            <w:pStyle w:val="TOC1"/>
            <w:rPr>
              <w:rFonts w:asciiTheme="minorHAnsi" w:eastAsiaTheme="minorEastAsia" w:hAnsiTheme="minorHAnsi" w:cstheme="minorBidi"/>
              <w:noProof/>
              <w:sz w:val="22"/>
              <w:szCs w:val="22"/>
            </w:rPr>
          </w:pPr>
          <w:hyperlink w:anchor="_Toc80955569" w:history="1">
            <w:r w:rsidR="00292904" w:rsidRPr="00292904">
              <w:rPr>
                <w:rStyle w:val="Hyperlink"/>
                <w:rFonts w:ascii="Arial" w:hAnsi="Arial" w:cs="Arial"/>
                <w:noProof/>
              </w:rPr>
              <w:t>Need help with this policy?</w:t>
            </w:r>
            <w:r w:rsidR="00292904" w:rsidRPr="00292904">
              <w:rPr>
                <w:noProof/>
                <w:webHidden/>
              </w:rPr>
              <w:tab/>
            </w:r>
            <w:r w:rsidR="00292904" w:rsidRPr="00292904">
              <w:rPr>
                <w:noProof/>
                <w:webHidden/>
              </w:rPr>
              <w:fldChar w:fldCharType="begin"/>
            </w:r>
            <w:r w:rsidR="00292904" w:rsidRPr="00292904">
              <w:rPr>
                <w:noProof/>
                <w:webHidden/>
              </w:rPr>
              <w:instrText xml:space="preserve"> PAGEREF _Toc80955569 \h </w:instrText>
            </w:r>
            <w:r w:rsidR="00292904" w:rsidRPr="00292904">
              <w:rPr>
                <w:noProof/>
                <w:webHidden/>
              </w:rPr>
            </w:r>
            <w:r w:rsidR="00292904" w:rsidRPr="00292904">
              <w:rPr>
                <w:noProof/>
                <w:webHidden/>
              </w:rPr>
              <w:fldChar w:fldCharType="separate"/>
            </w:r>
            <w:r w:rsidR="0043344A">
              <w:rPr>
                <w:noProof/>
                <w:webHidden/>
              </w:rPr>
              <w:t>2</w:t>
            </w:r>
            <w:r w:rsidR="00292904" w:rsidRPr="00292904">
              <w:rPr>
                <w:noProof/>
                <w:webHidden/>
              </w:rPr>
              <w:fldChar w:fldCharType="end"/>
            </w:r>
          </w:hyperlink>
        </w:p>
        <w:p w14:paraId="69CB8CB3" w14:textId="2DFAE19A" w:rsidR="00292904" w:rsidRPr="00292904" w:rsidRDefault="00F80CD4">
          <w:pPr>
            <w:pStyle w:val="TOC1"/>
            <w:rPr>
              <w:rFonts w:asciiTheme="minorHAnsi" w:eastAsiaTheme="minorEastAsia" w:hAnsiTheme="minorHAnsi" w:cstheme="minorBidi"/>
              <w:noProof/>
              <w:sz w:val="22"/>
              <w:szCs w:val="22"/>
            </w:rPr>
          </w:pPr>
          <w:hyperlink w:anchor="_Toc80955570" w:history="1">
            <w:r w:rsidR="00292904" w:rsidRPr="00292904">
              <w:rPr>
                <w:rStyle w:val="Hyperlink"/>
                <w:rFonts w:ascii="Arial" w:hAnsi="Arial" w:cs="Arial"/>
                <w:noProof/>
              </w:rPr>
              <w:t>Policy statement</w:t>
            </w:r>
            <w:r w:rsidR="00292904" w:rsidRPr="00292904">
              <w:rPr>
                <w:noProof/>
                <w:webHidden/>
              </w:rPr>
              <w:tab/>
            </w:r>
            <w:r w:rsidR="00292904" w:rsidRPr="00292904">
              <w:rPr>
                <w:noProof/>
                <w:webHidden/>
              </w:rPr>
              <w:fldChar w:fldCharType="begin"/>
            </w:r>
            <w:r w:rsidR="00292904" w:rsidRPr="00292904">
              <w:rPr>
                <w:noProof/>
                <w:webHidden/>
              </w:rPr>
              <w:instrText xml:space="preserve"> PAGEREF _Toc80955570 \h </w:instrText>
            </w:r>
            <w:r w:rsidR="00292904" w:rsidRPr="00292904">
              <w:rPr>
                <w:noProof/>
                <w:webHidden/>
              </w:rPr>
            </w:r>
            <w:r w:rsidR="00292904" w:rsidRPr="00292904">
              <w:rPr>
                <w:noProof/>
                <w:webHidden/>
              </w:rPr>
              <w:fldChar w:fldCharType="separate"/>
            </w:r>
            <w:r w:rsidR="0043344A">
              <w:rPr>
                <w:noProof/>
                <w:webHidden/>
              </w:rPr>
              <w:t>2</w:t>
            </w:r>
            <w:r w:rsidR="00292904" w:rsidRPr="00292904">
              <w:rPr>
                <w:noProof/>
                <w:webHidden/>
              </w:rPr>
              <w:fldChar w:fldCharType="end"/>
            </w:r>
          </w:hyperlink>
        </w:p>
        <w:p w14:paraId="40E1A3B1" w14:textId="7E3E4A06" w:rsidR="00292904" w:rsidRPr="00D45F5B" w:rsidRDefault="00F80CD4">
          <w:pPr>
            <w:pStyle w:val="TOC1"/>
            <w:rPr>
              <w:rStyle w:val="Hyperlink"/>
              <w:rFonts w:ascii="Arial" w:hAnsi="Arial" w:cs="Arial"/>
            </w:rPr>
          </w:pPr>
          <w:hyperlink w:anchor="_Toc80955571" w:history="1">
            <w:r w:rsidR="00292904" w:rsidRPr="00292904">
              <w:rPr>
                <w:rStyle w:val="Hyperlink"/>
                <w:rFonts w:ascii="Arial" w:hAnsi="Arial" w:cs="Arial"/>
                <w:noProof/>
              </w:rPr>
              <w:t>Scope</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_Toc80955571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2</w:t>
            </w:r>
            <w:r w:rsidR="00292904" w:rsidRPr="00D45F5B">
              <w:rPr>
                <w:rStyle w:val="Hyperlink"/>
                <w:rFonts w:ascii="Arial" w:hAnsi="Arial" w:cs="Arial"/>
                <w:webHidden/>
              </w:rPr>
              <w:fldChar w:fldCharType="end"/>
            </w:r>
          </w:hyperlink>
        </w:p>
        <w:p w14:paraId="2B519006" w14:textId="4FA2971C" w:rsidR="00292904" w:rsidRPr="00D45F5B" w:rsidRDefault="00F80CD4">
          <w:pPr>
            <w:pStyle w:val="TOC1"/>
            <w:rPr>
              <w:rStyle w:val="Hyperlink"/>
              <w:rFonts w:ascii="Arial" w:hAnsi="Arial" w:cs="Arial"/>
            </w:rPr>
          </w:pPr>
          <w:hyperlink w:anchor="_Toc80955572" w:history="1">
            <w:r w:rsidR="00292904" w:rsidRPr="00292904">
              <w:rPr>
                <w:rStyle w:val="Hyperlink"/>
                <w:rFonts w:ascii="Arial" w:hAnsi="Arial" w:cs="Arial"/>
                <w:noProof/>
              </w:rPr>
              <w:t>Requirements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_Toc80955572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2</w:t>
            </w:r>
            <w:r w:rsidR="00292904" w:rsidRPr="00D45F5B">
              <w:rPr>
                <w:rStyle w:val="Hyperlink"/>
                <w:rFonts w:ascii="Arial" w:hAnsi="Arial" w:cs="Arial"/>
                <w:webHidden/>
              </w:rPr>
              <w:fldChar w:fldCharType="end"/>
            </w:r>
          </w:hyperlink>
        </w:p>
        <w:p w14:paraId="730EFE08" w14:textId="33F02FD2" w:rsidR="00292904" w:rsidRPr="00D45F5B" w:rsidRDefault="00F80CD4" w:rsidP="00D45F5B">
          <w:pPr>
            <w:pStyle w:val="TOC1"/>
            <w:ind w:left="426"/>
            <w:rPr>
              <w:rStyle w:val="Hyperlink"/>
              <w:rFonts w:ascii="Arial" w:hAnsi="Arial" w:cs="Arial"/>
            </w:rPr>
          </w:pPr>
          <w:hyperlink w:anchor="_Toc80955573" w:history="1">
            <w:r w:rsidR="00292904" w:rsidRPr="00D45F5B">
              <w:rPr>
                <w:rStyle w:val="Hyperlink"/>
                <w:rFonts w:ascii="Arial" w:hAnsi="Arial" w:cs="Arial"/>
                <w:noProof/>
              </w:rPr>
              <w:t>1. Non-indigenous bird species not known to be in Australia</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_Toc80955573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2</w:t>
            </w:r>
            <w:r w:rsidR="00292904" w:rsidRPr="00D45F5B">
              <w:rPr>
                <w:rStyle w:val="Hyperlink"/>
                <w:rFonts w:ascii="Arial" w:hAnsi="Arial" w:cs="Arial"/>
                <w:webHidden/>
              </w:rPr>
              <w:fldChar w:fldCharType="end"/>
            </w:r>
          </w:hyperlink>
        </w:p>
        <w:p w14:paraId="21348087" w14:textId="367D78BE" w:rsidR="00292904" w:rsidRPr="00D45F5B" w:rsidRDefault="00F80CD4" w:rsidP="00D45F5B">
          <w:pPr>
            <w:pStyle w:val="TOC1"/>
            <w:ind w:left="426"/>
            <w:rPr>
              <w:rStyle w:val="Hyperlink"/>
              <w:rFonts w:ascii="Arial" w:hAnsi="Arial" w:cs="Arial"/>
            </w:rPr>
          </w:pPr>
          <w:hyperlink w:anchor="_Toc80955574" w:history="1">
            <w:r w:rsidR="00292904" w:rsidRPr="00D45F5B">
              <w:rPr>
                <w:rStyle w:val="Hyperlink"/>
                <w:rFonts w:ascii="Arial" w:hAnsi="Arial" w:cs="Arial"/>
                <w:noProof/>
              </w:rPr>
              <w:t>2. Non-indigenous bird species restricted to approved Victorian zoological facilities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_Toc80955574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3</w:t>
            </w:r>
            <w:r w:rsidR="00292904" w:rsidRPr="00D45F5B">
              <w:rPr>
                <w:rStyle w:val="Hyperlink"/>
                <w:rFonts w:ascii="Arial" w:hAnsi="Arial" w:cs="Arial"/>
                <w:webHidden/>
              </w:rPr>
              <w:fldChar w:fldCharType="end"/>
            </w:r>
          </w:hyperlink>
        </w:p>
        <w:p w14:paraId="76338C30" w14:textId="0D3B94AD" w:rsidR="00292904" w:rsidRPr="00D45F5B" w:rsidRDefault="00F80CD4" w:rsidP="00D45F5B">
          <w:pPr>
            <w:pStyle w:val="TOC1"/>
            <w:ind w:left="426"/>
            <w:rPr>
              <w:rStyle w:val="Hyperlink"/>
              <w:rFonts w:ascii="Arial" w:hAnsi="Arial" w:cs="Arial"/>
            </w:rPr>
          </w:pPr>
          <w:hyperlink w:anchor="_Toc80955575" w:history="1">
            <w:r w:rsidR="00292904" w:rsidRPr="00D45F5B">
              <w:rPr>
                <w:rStyle w:val="Hyperlink"/>
                <w:rFonts w:ascii="Arial" w:hAnsi="Arial" w:cs="Arial"/>
                <w:noProof/>
              </w:rPr>
              <w:t>3. Non-indigenous bird species that are known to be in Victoria in private collections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_Toc80955575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3</w:t>
            </w:r>
            <w:r w:rsidR="00292904" w:rsidRPr="00D45F5B">
              <w:rPr>
                <w:rStyle w:val="Hyperlink"/>
                <w:rFonts w:ascii="Arial" w:hAnsi="Arial" w:cs="Arial"/>
                <w:webHidden/>
              </w:rPr>
              <w:fldChar w:fldCharType="end"/>
            </w:r>
          </w:hyperlink>
        </w:p>
        <w:p w14:paraId="329602C7" w14:textId="0153E5AA" w:rsidR="00292904" w:rsidRPr="00D45F5B" w:rsidRDefault="00F80CD4" w:rsidP="00D45F5B">
          <w:pPr>
            <w:pStyle w:val="TOC1"/>
            <w:ind w:left="426"/>
            <w:rPr>
              <w:rStyle w:val="Hyperlink"/>
              <w:rFonts w:ascii="Arial" w:hAnsi="Arial" w:cs="Arial"/>
            </w:rPr>
          </w:pPr>
          <w:hyperlink w:anchor="_Toc80955576" w:history="1">
            <w:r w:rsidR="00292904" w:rsidRPr="00D45F5B">
              <w:rPr>
                <w:rStyle w:val="Hyperlink"/>
                <w:rFonts w:ascii="Arial" w:hAnsi="Arial" w:cs="Arial"/>
                <w:noProof/>
              </w:rPr>
              <w:t>3a: Non-indigenous bird species that are kept in Victoria and are determined to pose a high threat of establishment in the wild in Victoria</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_Toc80955576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3</w:t>
            </w:r>
            <w:r w:rsidR="00292904" w:rsidRPr="00D45F5B">
              <w:rPr>
                <w:rStyle w:val="Hyperlink"/>
                <w:rFonts w:ascii="Arial" w:hAnsi="Arial" w:cs="Arial"/>
                <w:webHidden/>
              </w:rPr>
              <w:fldChar w:fldCharType="end"/>
            </w:r>
          </w:hyperlink>
        </w:p>
        <w:p w14:paraId="3FF55127" w14:textId="760B3291" w:rsidR="00292904" w:rsidRPr="00D45F5B" w:rsidRDefault="00F80CD4" w:rsidP="00D45F5B">
          <w:pPr>
            <w:pStyle w:val="TOC1"/>
            <w:ind w:left="426"/>
            <w:rPr>
              <w:rStyle w:val="Hyperlink"/>
              <w:rFonts w:ascii="Arial" w:hAnsi="Arial" w:cs="Arial"/>
            </w:rPr>
          </w:pPr>
          <w:hyperlink w:anchor="_Toc80955577" w:history="1">
            <w:r w:rsidR="00292904" w:rsidRPr="00D45F5B">
              <w:rPr>
                <w:rStyle w:val="Hyperlink"/>
                <w:rFonts w:ascii="Arial" w:hAnsi="Arial" w:cs="Arial"/>
                <w:noProof/>
              </w:rPr>
              <w:t>3b: Non-indigenous bird species determined not to pose a high threat of establishment in the wild in Victoria.</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_Toc80955577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41371C3C" w14:textId="5BFEB156" w:rsidR="00292904" w:rsidRPr="00D45F5B" w:rsidRDefault="00F80CD4" w:rsidP="00D45F5B">
          <w:pPr>
            <w:pStyle w:val="TOC1"/>
            <w:ind w:left="426"/>
            <w:rPr>
              <w:rStyle w:val="Hyperlink"/>
              <w:rFonts w:ascii="Arial" w:hAnsi="Arial" w:cs="Arial"/>
            </w:rPr>
          </w:pPr>
          <w:hyperlink w:anchor="_Toc80955578" w:history="1">
            <w:r w:rsidR="00292904" w:rsidRPr="00D45F5B">
              <w:rPr>
                <w:rStyle w:val="Hyperlink"/>
                <w:rFonts w:ascii="Arial" w:hAnsi="Arial" w:cs="Arial"/>
                <w:noProof/>
              </w:rPr>
              <w:t>4. Non-indigenous quail, pheasants, and partridges, classified as game species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_Toc80955578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7A43062E" w14:textId="1779C0AD" w:rsidR="00292904" w:rsidRPr="00D45F5B" w:rsidRDefault="00F80CD4" w:rsidP="00D45F5B">
          <w:pPr>
            <w:pStyle w:val="TOC1"/>
            <w:ind w:left="426"/>
            <w:rPr>
              <w:rStyle w:val="Hyperlink"/>
              <w:rFonts w:ascii="Arial" w:hAnsi="Arial" w:cs="Arial"/>
            </w:rPr>
          </w:pPr>
          <w:hyperlink w:anchor="_Toc80955579" w:history="1">
            <w:r w:rsidR="00292904" w:rsidRPr="00D45F5B">
              <w:rPr>
                <w:rStyle w:val="Hyperlink"/>
                <w:rFonts w:ascii="Arial" w:hAnsi="Arial" w:cs="Arial"/>
                <w:noProof/>
              </w:rPr>
              <w:t>5. Non-indigenous bird species that are widely established in Victoria</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_Toc80955579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7851117D" w14:textId="45DCFA74" w:rsidR="00292904" w:rsidRPr="00D45F5B" w:rsidRDefault="00F80CD4" w:rsidP="00D45F5B">
          <w:pPr>
            <w:pStyle w:val="TOC1"/>
            <w:ind w:left="426"/>
            <w:rPr>
              <w:rStyle w:val="Hyperlink"/>
              <w:rFonts w:ascii="Arial" w:hAnsi="Arial" w:cs="Arial"/>
            </w:rPr>
          </w:pPr>
          <w:hyperlink w:anchor="_Toc80955580" w:history="1">
            <w:r w:rsidR="00292904" w:rsidRPr="00D45F5B">
              <w:rPr>
                <w:rStyle w:val="Hyperlink"/>
                <w:rFonts w:ascii="Arial" w:hAnsi="Arial" w:cs="Arial"/>
                <w:noProof/>
              </w:rPr>
              <w:t>Risks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_Toc80955580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5918CF23" w14:textId="763BD0C7" w:rsidR="00292904" w:rsidRPr="00D45F5B" w:rsidRDefault="00F80CD4">
          <w:pPr>
            <w:pStyle w:val="TOC1"/>
            <w:rPr>
              <w:rStyle w:val="Hyperlink"/>
              <w:rFonts w:ascii="Arial" w:hAnsi="Arial" w:cs="Arial"/>
            </w:rPr>
          </w:pPr>
          <w:hyperlink w:anchor="_Toc80955581" w:history="1">
            <w:r w:rsidR="00292904" w:rsidRPr="00292904">
              <w:rPr>
                <w:rStyle w:val="Hyperlink"/>
                <w:rFonts w:ascii="Arial" w:hAnsi="Arial" w:cs="Arial"/>
                <w:noProof/>
              </w:rPr>
              <w:t>Responsibilities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_Toc80955581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27CF4CC1" w14:textId="7EEDFB82" w:rsidR="00292904" w:rsidRPr="00D45F5B" w:rsidRDefault="00F80CD4">
          <w:pPr>
            <w:pStyle w:val="TOC1"/>
            <w:rPr>
              <w:rStyle w:val="Hyperlink"/>
              <w:rFonts w:ascii="Arial" w:hAnsi="Arial" w:cs="Arial"/>
            </w:rPr>
          </w:pPr>
          <w:hyperlink w:anchor="_Toc80955582" w:history="1">
            <w:r w:rsidR="00292904" w:rsidRPr="00292904">
              <w:rPr>
                <w:rStyle w:val="Hyperlink"/>
                <w:rFonts w:ascii="Arial" w:hAnsi="Arial" w:cs="Arial"/>
                <w:noProof/>
              </w:rPr>
              <w:t>Information and resources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_Toc80955582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4</w:t>
            </w:r>
            <w:r w:rsidR="00292904" w:rsidRPr="00D45F5B">
              <w:rPr>
                <w:rStyle w:val="Hyperlink"/>
                <w:rFonts w:ascii="Arial" w:hAnsi="Arial" w:cs="Arial"/>
                <w:webHidden/>
              </w:rPr>
              <w:fldChar w:fldCharType="end"/>
            </w:r>
          </w:hyperlink>
        </w:p>
        <w:p w14:paraId="56C05630" w14:textId="682711C6" w:rsidR="00292904" w:rsidRPr="00D45F5B" w:rsidRDefault="00F80CD4">
          <w:pPr>
            <w:pStyle w:val="TOC1"/>
            <w:rPr>
              <w:rStyle w:val="Hyperlink"/>
              <w:rFonts w:ascii="Arial" w:hAnsi="Arial" w:cs="Arial"/>
            </w:rPr>
          </w:pPr>
          <w:hyperlink w:anchor="_Toc80955583" w:history="1">
            <w:r w:rsidR="00292904" w:rsidRPr="00292904">
              <w:rPr>
                <w:rStyle w:val="Hyperlink"/>
                <w:rFonts w:ascii="Arial" w:hAnsi="Arial" w:cs="Arial"/>
                <w:noProof/>
              </w:rPr>
              <w:t>Acts</w:t>
            </w:r>
            <w:r w:rsidR="00292904" w:rsidRPr="00D45F5B">
              <w:rPr>
                <w:rStyle w:val="Hyperlink"/>
                <w:rFonts w:ascii="Arial" w:hAnsi="Arial" w:cs="Arial"/>
                <w:webHidden/>
              </w:rPr>
              <w:tab/>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_Toc80955583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5</w:t>
            </w:r>
            <w:r w:rsidR="00292904" w:rsidRPr="00D45F5B">
              <w:rPr>
                <w:rStyle w:val="Hyperlink"/>
                <w:rFonts w:ascii="Arial" w:hAnsi="Arial" w:cs="Arial"/>
                <w:webHidden/>
              </w:rPr>
              <w:fldChar w:fldCharType="end"/>
            </w:r>
          </w:hyperlink>
        </w:p>
        <w:p w14:paraId="2BB7539E" w14:textId="1BAFE666" w:rsidR="00292904" w:rsidRPr="00D45F5B" w:rsidRDefault="00F80CD4">
          <w:pPr>
            <w:pStyle w:val="TOC1"/>
            <w:rPr>
              <w:rStyle w:val="Hyperlink"/>
              <w:rFonts w:ascii="Arial" w:hAnsi="Arial" w:cs="Arial"/>
            </w:rPr>
          </w:pPr>
          <w:hyperlink w:anchor="_Toc80955584" w:history="1">
            <w:r w:rsidR="00292904" w:rsidRPr="00292904">
              <w:rPr>
                <w:rStyle w:val="Hyperlink"/>
                <w:rFonts w:ascii="Arial" w:hAnsi="Arial" w:cs="Arial"/>
                <w:noProof/>
              </w:rPr>
              <w:t>Regulations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_Toc80955584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5</w:t>
            </w:r>
            <w:r w:rsidR="00292904" w:rsidRPr="00D45F5B">
              <w:rPr>
                <w:rStyle w:val="Hyperlink"/>
                <w:rFonts w:ascii="Arial" w:hAnsi="Arial" w:cs="Arial"/>
                <w:webHidden/>
              </w:rPr>
              <w:fldChar w:fldCharType="end"/>
            </w:r>
          </w:hyperlink>
        </w:p>
        <w:p w14:paraId="330FA89E" w14:textId="50412DB5" w:rsidR="00292904" w:rsidRPr="00D45F5B" w:rsidRDefault="00F80CD4">
          <w:pPr>
            <w:pStyle w:val="TOC1"/>
            <w:rPr>
              <w:rStyle w:val="Hyperlink"/>
              <w:rFonts w:ascii="Arial" w:hAnsi="Arial" w:cs="Arial"/>
            </w:rPr>
          </w:pPr>
          <w:hyperlink w:anchor="_Toc80955585" w:history="1">
            <w:r w:rsidR="00292904" w:rsidRPr="00292904">
              <w:rPr>
                <w:rStyle w:val="Hyperlink"/>
                <w:rFonts w:ascii="Arial" w:hAnsi="Arial" w:cs="Arial"/>
                <w:noProof/>
              </w:rPr>
              <w:t>Glossary/Definitions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_Toc80955585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5</w:t>
            </w:r>
            <w:r w:rsidR="00292904" w:rsidRPr="00D45F5B">
              <w:rPr>
                <w:rStyle w:val="Hyperlink"/>
                <w:rFonts w:ascii="Arial" w:hAnsi="Arial" w:cs="Arial"/>
                <w:webHidden/>
              </w:rPr>
              <w:fldChar w:fldCharType="end"/>
            </w:r>
          </w:hyperlink>
        </w:p>
        <w:p w14:paraId="7AC49587" w14:textId="1B3E0BD1" w:rsidR="00292904" w:rsidRPr="00D45F5B" w:rsidRDefault="00F80CD4">
          <w:pPr>
            <w:pStyle w:val="TOC1"/>
            <w:rPr>
              <w:rStyle w:val="Hyperlink"/>
              <w:rFonts w:ascii="Arial" w:hAnsi="Arial" w:cs="Arial"/>
            </w:rPr>
          </w:pPr>
          <w:hyperlink w:anchor="_Toc80955586" w:history="1">
            <w:r w:rsidR="00292904" w:rsidRPr="00292904">
              <w:rPr>
                <w:rStyle w:val="Hyperlink"/>
                <w:rFonts w:ascii="Arial" w:hAnsi="Arial" w:cs="Arial"/>
                <w:noProof/>
              </w:rPr>
              <w:t>Related Information</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_Toc80955586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6</w:t>
            </w:r>
            <w:r w:rsidR="00292904" w:rsidRPr="00D45F5B">
              <w:rPr>
                <w:rStyle w:val="Hyperlink"/>
                <w:rFonts w:ascii="Arial" w:hAnsi="Arial" w:cs="Arial"/>
                <w:webHidden/>
              </w:rPr>
              <w:fldChar w:fldCharType="end"/>
            </w:r>
          </w:hyperlink>
        </w:p>
        <w:p w14:paraId="62A95DF8" w14:textId="6BFDDA72" w:rsidR="00292904" w:rsidRPr="00D45F5B" w:rsidRDefault="00F80CD4" w:rsidP="00D45F5B">
          <w:pPr>
            <w:pStyle w:val="TOC1"/>
            <w:ind w:left="426"/>
            <w:rPr>
              <w:rStyle w:val="Hyperlink"/>
              <w:rFonts w:ascii="Arial" w:hAnsi="Arial" w:cs="Arial"/>
            </w:rPr>
          </w:pPr>
          <w:hyperlink w:anchor="_Toc80955587" w:history="1">
            <w:r w:rsidR="00292904" w:rsidRPr="00D45F5B">
              <w:rPr>
                <w:rStyle w:val="Hyperlink"/>
                <w:rFonts w:ascii="Arial" w:hAnsi="Arial" w:cs="Arial"/>
                <w:noProof/>
              </w:rPr>
              <w:t>Strategy or Outcome</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_Toc80955587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6</w:t>
            </w:r>
            <w:r w:rsidR="00292904" w:rsidRPr="00D45F5B">
              <w:rPr>
                <w:rStyle w:val="Hyperlink"/>
                <w:rFonts w:ascii="Arial" w:hAnsi="Arial" w:cs="Arial"/>
                <w:webHidden/>
              </w:rPr>
              <w:fldChar w:fldCharType="end"/>
            </w:r>
          </w:hyperlink>
        </w:p>
        <w:p w14:paraId="1686CBBD" w14:textId="45A35375" w:rsidR="00292904" w:rsidRPr="00D45F5B" w:rsidRDefault="00F80CD4" w:rsidP="00D45F5B">
          <w:pPr>
            <w:pStyle w:val="TOC1"/>
            <w:ind w:left="426"/>
            <w:rPr>
              <w:rStyle w:val="Hyperlink"/>
              <w:rFonts w:ascii="Arial" w:hAnsi="Arial" w:cs="Arial"/>
            </w:rPr>
          </w:pPr>
          <w:hyperlink w:anchor="_Toc80955588" w:history="1">
            <w:r w:rsidR="00292904" w:rsidRPr="00292904">
              <w:rPr>
                <w:rStyle w:val="Hyperlink"/>
                <w:rFonts w:ascii="Arial" w:hAnsi="Arial" w:cs="Arial"/>
                <w:noProof/>
              </w:rPr>
              <w:t>Other (e.g. Ministerial Directions, Codes of Conduct, Agreements)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_Toc80955588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6</w:t>
            </w:r>
            <w:r w:rsidR="00292904" w:rsidRPr="00D45F5B">
              <w:rPr>
                <w:rStyle w:val="Hyperlink"/>
                <w:rFonts w:ascii="Arial" w:hAnsi="Arial" w:cs="Arial"/>
                <w:webHidden/>
              </w:rPr>
              <w:fldChar w:fldCharType="end"/>
            </w:r>
          </w:hyperlink>
        </w:p>
        <w:p w14:paraId="4C42C091" w14:textId="25A5ECFB" w:rsidR="00292904" w:rsidRPr="00D45F5B" w:rsidRDefault="00F80CD4">
          <w:pPr>
            <w:pStyle w:val="TOC1"/>
            <w:rPr>
              <w:rStyle w:val="Hyperlink"/>
              <w:rFonts w:ascii="Arial" w:hAnsi="Arial" w:cs="Arial"/>
            </w:rPr>
          </w:pPr>
          <w:hyperlink w:anchor="_Toc80955589" w:history="1">
            <w:r w:rsidR="00292904" w:rsidRPr="00292904">
              <w:rPr>
                <w:rStyle w:val="Hyperlink"/>
                <w:rFonts w:ascii="Arial" w:hAnsi="Arial" w:cs="Arial"/>
                <w:noProof/>
              </w:rPr>
              <w:t>References</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_Toc80955589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7</w:t>
            </w:r>
            <w:r w:rsidR="00292904" w:rsidRPr="00D45F5B">
              <w:rPr>
                <w:rStyle w:val="Hyperlink"/>
                <w:rFonts w:ascii="Arial" w:hAnsi="Arial" w:cs="Arial"/>
                <w:webHidden/>
              </w:rPr>
              <w:fldChar w:fldCharType="end"/>
            </w:r>
          </w:hyperlink>
        </w:p>
        <w:p w14:paraId="37E24947" w14:textId="18425063" w:rsidR="00292904" w:rsidRDefault="00F80CD4">
          <w:pPr>
            <w:pStyle w:val="TOC1"/>
            <w:rPr>
              <w:rFonts w:asciiTheme="minorHAnsi" w:eastAsiaTheme="minorEastAsia" w:hAnsiTheme="minorHAnsi" w:cstheme="minorBidi"/>
              <w:noProof/>
              <w:sz w:val="22"/>
              <w:szCs w:val="22"/>
            </w:rPr>
          </w:pPr>
          <w:hyperlink w:anchor="_Toc80955590" w:history="1">
            <w:r w:rsidR="00292904" w:rsidRPr="00292904">
              <w:rPr>
                <w:rStyle w:val="Hyperlink"/>
                <w:rFonts w:ascii="Arial" w:hAnsi="Arial" w:cs="Arial"/>
                <w:noProof/>
              </w:rPr>
              <w:t>Policy authorisation</w:t>
            </w:r>
            <w:r w:rsidR="00292904" w:rsidRPr="00D45F5B">
              <w:rPr>
                <w:rStyle w:val="Hyperlink"/>
                <w:rFonts w:ascii="Arial" w:hAnsi="Arial" w:cs="Arial"/>
                <w:webHidden/>
              </w:rPr>
              <w:tab/>
            </w:r>
            <w:r w:rsidR="00292904" w:rsidRPr="00D45F5B">
              <w:rPr>
                <w:rStyle w:val="Hyperlink"/>
                <w:rFonts w:ascii="Arial" w:hAnsi="Arial" w:cs="Arial"/>
                <w:webHidden/>
              </w:rPr>
              <w:fldChar w:fldCharType="begin"/>
            </w:r>
            <w:r w:rsidR="00292904" w:rsidRPr="00D45F5B">
              <w:rPr>
                <w:rStyle w:val="Hyperlink"/>
                <w:rFonts w:ascii="Arial" w:hAnsi="Arial" w:cs="Arial"/>
                <w:webHidden/>
              </w:rPr>
              <w:instrText xml:space="preserve"> PAGEREF _Toc80955590 \h </w:instrText>
            </w:r>
            <w:r w:rsidR="00292904" w:rsidRPr="00D45F5B">
              <w:rPr>
                <w:rStyle w:val="Hyperlink"/>
                <w:rFonts w:ascii="Arial" w:hAnsi="Arial" w:cs="Arial"/>
                <w:webHidden/>
              </w:rPr>
            </w:r>
            <w:r w:rsidR="00292904" w:rsidRPr="00D45F5B">
              <w:rPr>
                <w:rStyle w:val="Hyperlink"/>
                <w:rFonts w:ascii="Arial" w:hAnsi="Arial" w:cs="Arial"/>
                <w:webHidden/>
              </w:rPr>
              <w:fldChar w:fldCharType="separate"/>
            </w:r>
            <w:r w:rsidR="0043344A">
              <w:rPr>
                <w:rStyle w:val="Hyperlink"/>
                <w:rFonts w:ascii="Arial" w:hAnsi="Arial" w:cs="Arial"/>
                <w:noProof/>
                <w:webHidden/>
              </w:rPr>
              <w:t>7</w:t>
            </w:r>
            <w:r w:rsidR="00292904" w:rsidRPr="00D45F5B">
              <w:rPr>
                <w:rStyle w:val="Hyperlink"/>
                <w:rFonts w:ascii="Arial" w:hAnsi="Arial" w:cs="Arial"/>
                <w:webHidden/>
              </w:rPr>
              <w:fldChar w:fldCharType="end"/>
            </w:r>
          </w:hyperlink>
        </w:p>
        <w:p w14:paraId="100F34D2" w14:textId="7F21F105" w:rsidR="003F1D90" w:rsidRPr="005867E0" w:rsidRDefault="003F1D90">
          <w:pPr>
            <w:rPr>
              <w:rFonts w:ascii="Tahoma" w:hAnsi="Tahoma" w:cs="Tahoma"/>
            </w:rPr>
          </w:pPr>
          <w:r w:rsidRPr="005867E0">
            <w:rPr>
              <w:rFonts w:ascii="Tahoma" w:hAnsi="Tahoma" w:cs="Tahoma"/>
              <w:b/>
              <w:bCs/>
              <w:noProof/>
            </w:rPr>
            <w:fldChar w:fldCharType="end"/>
          </w:r>
        </w:p>
      </w:sdtContent>
    </w:sdt>
    <w:p w14:paraId="44478173" w14:textId="77777777" w:rsidR="007849B4" w:rsidRDefault="007849B4">
      <w:pPr>
        <w:spacing w:after="200" w:line="276" w:lineRule="auto"/>
        <w:rPr>
          <w:rFonts w:ascii="Tahoma" w:hAnsi="Tahoma" w:cs="Tahoma"/>
        </w:rPr>
      </w:pPr>
    </w:p>
    <w:p w14:paraId="11DF0595" w14:textId="03EC53B5" w:rsidR="007849B4" w:rsidRDefault="007849B4">
      <w:pPr>
        <w:spacing w:after="200" w:line="276" w:lineRule="auto"/>
        <w:rPr>
          <w:rFonts w:ascii="Tahoma" w:hAnsi="Tahoma" w:cs="Tahoma"/>
        </w:rPr>
      </w:pPr>
    </w:p>
    <w:p w14:paraId="1C53E999" w14:textId="67483AF2" w:rsidR="000106CD" w:rsidRDefault="000106CD">
      <w:pPr>
        <w:spacing w:after="200" w:line="276" w:lineRule="auto"/>
        <w:rPr>
          <w:rFonts w:ascii="Tahoma" w:hAnsi="Tahoma" w:cs="Tahoma"/>
        </w:rPr>
      </w:pPr>
    </w:p>
    <w:p w14:paraId="590A4050" w14:textId="77777777" w:rsidR="00E86230" w:rsidRDefault="00E86230">
      <w:pPr>
        <w:spacing w:after="200" w:line="276" w:lineRule="auto"/>
        <w:rPr>
          <w:rFonts w:ascii="Tahoma" w:hAnsi="Tahoma" w:cs="Tahoma"/>
        </w:rPr>
      </w:pPr>
    </w:p>
    <w:p w14:paraId="4B76C078" w14:textId="21F8B13A" w:rsidR="000106CD" w:rsidRDefault="000106CD">
      <w:pPr>
        <w:spacing w:after="200" w:line="276" w:lineRule="auto"/>
        <w:rPr>
          <w:rFonts w:ascii="Tahoma" w:hAnsi="Tahoma" w:cs="Tahoma"/>
        </w:rPr>
      </w:pPr>
    </w:p>
    <w:p w14:paraId="380B4030" w14:textId="77777777" w:rsidR="0046587C" w:rsidRDefault="0046587C" w:rsidP="0046587C">
      <w:pPr>
        <w:spacing w:after="200" w:line="276" w:lineRule="auto"/>
        <w:jc w:val="right"/>
        <w:rPr>
          <w:rFonts w:ascii="Tahoma" w:hAnsi="Tahoma" w:cs="Tahoma"/>
        </w:rPr>
      </w:pPr>
    </w:p>
    <w:p w14:paraId="37F691F3" w14:textId="77777777" w:rsidR="000106CD" w:rsidRDefault="00DD6446" w:rsidP="0046587C">
      <w:pPr>
        <w:spacing w:after="200" w:line="276" w:lineRule="auto"/>
        <w:jc w:val="right"/>
        <w:rPr>
          <w:rFonts w:ascii="Tahoma" w:hAnsi="Tahoma" w:cs="Tahoma"/>
        </w:rPr>
      </w:pPr>
      <w:r w:rsidRPr="005D18A5">
        <w:rPr>
          <w:noProof/>
          <w:sz w:val="18"/>
          <w:szCs w:val="18"/>
        </w:rPr>
        <w:drawing>
          <wp:inline distT="0" distB="0" distL="0" distR="0" wp14:anchorId="57CC9B70" wp14:editId="07913FC2">
            <wp:extent cx="1335405" cy="402590"/>
            <wp:effectExtent l="0" t="0" r="0" b="0"/>
            <wp:docPr id="2" name="Picture 2"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1">
                      <a:extLst>
                        <a:ext uri="{28A0092B-C50C-407E-A947-70E740481C1C}">
                          <a14:useLocalDpi xmlns:a14="http://schemas.microsoft.com/office/drawing/2010/main" val="0"/>
                        </a:ext>
                      </a:extLst>
                    </a:blip>
                    <a:stretch>
                      <a:fillRect/>
                    </a:stretch>
                  </pic:blipFill>
                  <pic:spPr>
                    <a:xfrm>
                      <a:off x="0" y="0"/>
                      <a:ext cx="1335405" cy="402590"/>
                    </a:xfrm>
                    <a:prstGeom prst="rect">
                      <a:avLst/>
                    </a:prstGeom>
                  </pic:spPr>
                </pic:pic>
              </a:graphicData>
            </a:graphic>
          </wp:inline>
        </w:drawing>
      </w:r>
    </w:p>
    <w:p w14:paraId="6C463879" w14:textId="78B6711F" w:rsidR="000364AC" w:rsidRPr="00FC2A67" w:rsidRDefault="000364AC" w:rsidP="00320244">
      <w:pPr>
        <w:pStyle w:val="Heading1"/>
      </w:pPr>
      <w:bookmarkStart w:id="1" w:name="_Toc52883513"/>
      <w:bookmarkStart w:id="2" w:name="_Toc80955568"/>
      <w:r w:rsidRPr="00FC2A67">
        <w:lastRenderedPageBreak/>
        <w:t>Key points</w:t>
      </w:r>
      <w:bookmarkEnd w:id="1"/>
      <w:bookmarkEnd w:id="2"/>
    </w:p>
    <w:p w14:paraId="5CF15D16" w14:textId="79396A26"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The Victorian government has developed a risk-based approach to</w:t>
      </w:r>
      <w:r w:rsidR="006A3DF1">
        <w:rPr>
          <w:rFonts w:ascii="Arial" w:hAnsi="Arial" w:cs="Arial"/>
          <w:color w:val="53565A"/>
          <w:sz w:val="20"/>
          <w:szCs w:val="20"/>
        </w:rPr>
        <w:t xml:space="preserve"> guide the </w:t>
      </w:r>
      <w:r w:rsidR="00AA03BC">
        <w:rPr>
          <w:rFonts w:ascii="Arial" w:hAnsi="Arial" w:cs="Arial"/>
          <w:color w:val="53565A"/>
          <w:sz w:val="20"/>
          <w:szCs w:val="20"/>
        </w:rPr>
        <w:t>declaration of</w:t>
      </w:r>
      <w:r w:rsidRPr="00AC379A">
        <w:rPr>
          <w:rFonts w:ascii="Arial" w:hAnsi="Arial" w:cs="Arial"/>
          <w:color w:val="53565A"/>
          <w:sz w:val="20"/>
          <w:szCs w:val="20"/>
        </w:rPr>
        <w:t xml:space="preserve"> non-indigenous birds in Victoria, in line with the government's broader principles for managing biosecurity risks.</w:t>
      </w:r>
    </w:p>
    <w:p w14:paraId="328CFAD2" w14:textId="00FECADD" w:rsidR="000364AC" w:rsidRPr="00DD75A9"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The policy assists the Victorian Government to better manage the risks and impacts of non-indigenous birds in Victoria.</w:t>
      </w:r>
      <w:r w:rsidRPr="00DD75A9">
        <w:rPr>
          <w:rFonts w:ascii="Arial" w:hAnsi="Arial" w:cs="Arial"/>
          <w:color w:val="53565A"/>
          <w:sz w:val="20"/>
          <w:szCs w:val="20"/>
        </w:rPr>
        <w:t xml:space="preserve"> </w:t>
      </w:r>
    </w:p>
    <w:p w14:paraId="657F1E5B" w14:textId="64C8574E" w:rsidR="000364AC" w:rsidRPr="000364AC" w:rsidRDefault="000364AC" w:rsidP="00320244">
      <w:pPr>
        <w:pStyle w:val="Heading1"/>
      </w:pPr>
      <w:bookmarkStart w:id="3" w:name="_Toc52883514"/>
      <w:bookmarkStart w:id="4" w:name="_Toc80955569"/>
      <w:r w:rsidRPr="000364AC">
        <w:t>Need help with this policy?</w:t>
      </w:r>
      <w:bookmarkEnd w:id="3"/>
      <w:bookmarkEnd w:id="4"/>
    </w:p>
    <w:p w14:paraId="58BC819E" w14:textId="43060B6B" w:rsidR="000364AC" w:rsidRPr="000364AC" w:rsidRDefault="000364AC" w:rsidP="000364AC">
      <w:pPr>
        <w:spacing w:after="120"/>
        <w:ind w:left="3402" w:hanging="3402"/>
        <w:rPr>
          <w:rFonts w:ascii="Arial" w:hAnsi="Arial" w:cs="Arial"/>
          <w:b/>
          <w:color w:val="000000" w:themeColor="text1"/>
          <w:sz w:val="20"/>
          <w:szCs w:val="20"/>
        </w:rPr>
      </w:pPr>
      <w:r w:rsidRPr="000364AC">
        <w:rPr>
          <w:rFonts w:ascii="Arial" w:hAnsi="Arial" w:cs="Arial"/>
          <w:b/>
          <w:bCs/>
          <w:color w:val="53565A"/>
          <w:sz w:val="20"/>
          <w:szCs w:val="20"/>
        </w:rPr>
        <w:t>Name:</w:t>
      </w:r>
      <w:r w:rsidR="00464B99">
        <w:rPr>
          <w:rFonts w:ascii="Arial" w:hAnsi="Arial" w:cs="Arial"/>
          <w:b/>
          <w:color w:val="000000" w:themeColor="text1"/>
          <w:sz w:val="20"/>
          <w:szCs w:val="20"/>
        </w:rPr>
        <w:t xml:space="preserve">  </w:t>
      </w:r>
      <w:r w:rsidRPr="000364AC">
        <w:rPr>
          <w:rFonts w:ascii="Arial" w:hAnsi="Arial" w:cs="Arial"/>
          <w:color w:val="53565A"/>
          <w:sz w:val="20"/>
          <w:szCs w:val="20"/>
        </w:rPr>
        <w:t>Principal Policy Officer Invasive Species</w:t>
      </w:r>
    </w:p>
    <w:p w14:paraId="7F58C3F1" w14:textId="431112D8" w:rsidR="00464B99" w:rsidRPr="00464B99" w:rsidRDefault="00464B99" w:rsidP="00464B99">
      <w:pPr>
        <w:spacing w:after="120"/>
        <w:ind w:left="3402" w:hanging="3402"/>
        <w:rPr>
          <w:rFonts w:ascii="Arial" w:hAnsi="Arial" w:cs="Arial"/>
          <w:color w:val="53565A"/>
          <w:sz w:val="20"/>
          <w:szCs w:val="20"/>
        </w:rPr>
      </w:pPr>
      <w:r>
        <w:rPr>
          <w:rFonts w:ascii="Arial" w:hAnsi="Arial" w:cs="Arial"/>
          <w:b/>
          <w:bCs/>
          <w:color w:val="53565A"/>
          <w:sz w:val="20"/>
          <w:szCs w:val="20"/>
        </w:rPr>
        <w:t>Email</w:t>
      </w:r>
      <w:r w:rsidR="000364AC" w:rsidRPr="000364AC">
        <w:rPr>
          <w:rFonts w:ascii="Arial" w:hAnsi="Arial" w:cs="Arial"/>
          <w:b/>
          <w:bCs/>
          <w:color w:val="53565A"/>
          <w:sz w:val="20"/>
          <w:szCs w:val="20"/>
        </w:rPr>
        <w:t>:</w:t>
      </w:r>
      <w:r>
        <w:rPr>
          <w:rFonts w:ascii="Arial" w:hAnsi="Arial" w:cs="Arial"/>
          <w:b/>
          <w:color w:val="000000" w:themeColor="text1"/>
          <w:sz w:val="20"/>
          <w:szCs w:val="20"/>
        </w:rPr>
        <w:t xml:space="preserve">  </w:t>
      </w:r>
      <w:hyperlink r:id="rId12" w:history="1">
        <w:r w:rsidRPr="00E9400E">
          <w:rPr>
            <w:rStyle w:val="Hyperlink"/>
            <w:rFonts w:ascii="Arial" w:hAnsi="Arial" w:cs="Arial"/>
            <w:sz w:val="20"/>
            <w:szCs w:val="20"/>
          </w:rPr>
          <w:t>invasivespecies.consultation@agriculture.vic.gov.au</w:t>
        </w:r>
      </w:hyperlink>
      <w:r>
        <w:rPr>
          <w:rFonts w:ascii="Arial" w:hAnsi="Arial" w:cs="Arial"/>
          <w:color w:val="53565A"/>
          <w:sz w:val="20"/>
          <w:szCs w:val="20"/>
        </w:rPr>
        <w:t xml:space="preserve"> </w:t>
      </w:r>
    </w:p>
    <w:p w14:paraId="7B2198A1" w14:textId="41099B6A" w:rsidR="000364AC" w:rsidRPr="000364AC" w:rsidRDefault="000364AC" w:rsidP="00320244">
      <w:pPr>
        <w:pStyle w:val="Heading1"/>
      </w:pPr>
      <w:bookmarkStart w:id="5" w:name="_Toc52883515"/>
      <w:bookmarkStart w:id="6" w:name="_Toc80955570"/>
      <w:r w:rsidRPr="000364AC">
        <w:t>Policy statement</w:t>
      </w:r>
      <w:bookmarkEnd w:id="5"/>
      <w:bookmarkEnd w:id="6"/>
    </w:p>
    <w:p w14:paraId="52E94D3A" w14:textId="77777777" w:rsidR="000364AC" w:rsidRPr="000364AC" w:rsidRDefault="000364AC" w:rsidP="00DD75A9">
      <w:pPr>
        <w:spacing w:after="120"/>
        <w:rPr>
          <w:rFonts w:ascii="Arial" w:hAnsi="Arial" w:cs="Arial"/>
          <w:color w:val="53565A"/>
          <w:sz w:val="20"/>
          <w:szCs w:val="20"/>
        </w:rPr>
      </w:pPr>
      <w:r w:rsidRPr="000364AC">
        <w:rPr>
          <w:rFonts w:ascii="Arial" w:hAnsi="Arial" w:cs="Arial"/>
          <w:color w:val="53565A"/>
          <w:sz w:val="20"/>
          <w:szCs w:val="20"/>
        </w:rPr>
        <w:t xml:space="preserve">Department of Jobs, Precincts and Regions (DJPR) is responsible for implementing the invasive species provisions of the </w:t>
      </w:r>
      <w:r w:rsidRPr="000364AC">
        <w:rPr>
          <w:rFonts w:ascii="Arial" w:hAnsi="Arial" w:cs="Arial"/>
          <w:i/>
          <w:iCs/>
          <w:color w:val="53565A"/>
          <w:sz w:val="20"/>
          <w:szCs w:val="20"/>
        </w:rPr>
        <w:t>Catchment and Land Protection Act 1994</w:t>
      </w:r>
      <w:r w:rsidRPr="000364AC">
        <w:rPr>
          <w:rFonts w:ascii="Arial" w:hAnsi="Arial" w:cs="Arial"/>
          <w:color w:val="53565A"/>
          <w:sz w:val="20"/>
          <w:szCs w:val="20"/>
        </w:rPr>
        <w:t xml:space="preserve"> (</w:t>
      </w:r>
      <w:proofErr w:type="spellStart"/>
      <w:r w:rsidRPr="000364AC">
        <w:rPr>
          <w:rFonts w:ascii="Arial" w:hAnsi="Arial" w:cs="Arial"/>
          <w:color w:val="53565A"/>
          <w:sz w:val="20"/>
          <w:szCs w:val="20"/>
        </w:rPr>
        <w:t>CaLP</w:t>
      </w:r>
      <w:proofErr w:type="spellEnd"/>
      <w:r w:rsidRPr="000364AC">
        <w:rPr>
          <w:rFonts w:ascii="Arial" w:hAnsi="Arial" w:cs="Arial"/>
          <w:color w:val="53565A"/>
          <w:sz w:val="20"/>
          <w:szCs w:val="20"/>
        </w:rPr>
        <w:t xml:space="preserve"> Act). Under this responsibility, DJPR regulates declared pest animals into the following categories: </w:t>
      </w:r>
    </w:p>
    <w:p w14:paraId="5B4483E8"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 xml:space="preserve">Prohibited pest animals </w:t>
      </w:r>
    </w:p>
    <w:p w14:paraId="6E855350"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 xml:space="preserve">Controlled pest animals </w:t>
      </w:r>
    </w:p>
    <w:p w14:paraId="0BDA23D2"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 xml:space="preserve">Regulated pest animals </w:t>
      </w:r>
    </w:p>
    <w:p w14:paraId="4A9CD73A"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 xml:space="preserve">Established pest animals. </w:t>
      </w:r>
    </w:p>
    <w:p w14:paraId="70363080" w14:textId="77777777" w:rsidR="0003233B" w:rsidRDefault="0003233B" w:rsidP="00DD75A9">
      <w:pPr>
        <w:spacing w:after="120"/>
        <w:rPr>
          <w:rFonts w:ascii="Arial" w:hAnsi="Arial" w:cs="Arial"/>
          <w:color w:val="53565A"/>
          <w:sz w:val="20"/>
          <w:szCs w:val="20"/>
        </w:rPr>
      </w:pPr>
    </w:p>
    <w:p w14:paraId="7DF99ECA" w14:textId="486F4851" w:rsidR="000364AC" w:rsidRPr="000364AC" w:rsidRDefault="000364AC" w:rsidP="00DD75A9">
      <w:pPr>
        <w:spacing w:after="120"/>
        <w:rPr>
          <w:rFonts w:ascii="Arial" w:hAnsi="Arial" w:cs="Arial"/>
          <w:color w:val="53565A"/>
          <w:sz w:val="20"/>
          <w:szCs w:val="20"/>
        </w:rPr>
      </w:pPr>
      <w:r w:rsidRPr="000364AC">
        <w:rPr>
          <w:rFonts w:ascii="Arial" w:hAnsi="Arial" w:cs="Arial"/>
          <w:color w:val="53565A"/>
          <w:sz w:val="20"/>
          <w:szCs w:val="20"/>
        </w:rPr>
        <w:t xml:space="preserve">This policy outlines the criteria used to assess non-indigenous bird species to determine its declared pest status and therefore the regulatory approach to managing the species in Victoria. Assessment </w:t>
      </w:r>
      <w:proofErr w:type="gramStart"/>
      <w:r w:rsidRPr="000364AC">
        <w:rPr>
          <w:rFonts w:ascii="Arial" w:hAnsi="Arial" w:cs="Arial"/>
          <w:color w:val="53565A"/>
          <w:sz w:val="20"/>
          <w:szCs w:val="20"/>
        </w:rPr>
        <w:t>takes into account</w:t>
      </w:r>
      <w:proofErr w:type="gramEnd"/>
      <w:r w:rsidRPr="000364AC">
        <w:rPr>
          <w:rFonts w:ascii="Arial" w:hAnsi="Arial" w:cs="Arial"/>
          <w:color w:val="53565A"/>
          <w:sz w:val="20"/>
          <w:szCs w:val="20"/>
        </w:rPr>
        <w:t xml:space="preserve"> DJPR’s risk-based approach to minimise the threat posed by pest animals in Victoria and the Guidelines for the Import, Movement and Keeping of Non-Indigenous Vertebrates in Australia (EIC Guidelines).     </w:t>
      </w:r>
    </w:p>
    <w:p w14:paraId="6C4D999A" w14:textId="79AFD814"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The policy aims to minimise the likelihood of non-indigenous birds escaping or being deliberately released as a source of propagule pressure, and the associated potential impacts to the economy, the environment, social amenity</w:t>
      </w:r>
      <w:r w:rsidR="004E1F17">
        <w:rPr>
          <w:rFonts w:ascii="Arial" w:hAnsi="Arial" w:cs="Arial"/>
          <w:color w:val="53565A"/>
          <w:sz w:val="20"/>
          <w:szCs w:val="20"/>
        </w:rPr>
        <w:t>,</w:t>
      </w:r>
      <w:r w:rsidRPr="000364AC">
        <w:rPr>
          <w:rFonts w:ascii="Arial" w:hAnsi="Arial" w:cs="Arial"/>
          <w:color w:val="53565A"/>
          <w:sz w:val="20"/>
          <w:szCs w:val="20"/>
        </w:rPr>
        <w:t xml:space="preserve"> and human health.</w:t>
      </w:r>
    </w:p>
    <w:p w14:paraId="780A8A46" w14:textId="46776F66" w:rsidR="000364AC" w:rsidRPr="000364AC" w:rsidRDefault="000364AC" w:rsidP="00CF5831">
      <w:pPr>
        <w:pStyle w:val="Heading1"/>
      </w:pPr>
      <w:bookmarkStart w:id="7" w:name="_Toc52883516"/>
      <w:bookmarkStart w:id="8" w:name="_Toc80955571"/>
      <w:r w:rsidRPr="000364AC">
        <w:t>Scope</w:t>
      </w:r>
      <w:bookmarkEnd w:id="7"/>
      <w:bookmarkEnd w:id="8"/>
    </w:p>
    <w:p w14:paraId="47679DD5" w14:textId="176F4346"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This policy defines DJPR's approach to </w:t>
      </w:r>
      <w:r w:rsidR="00584628">
        <w:rPr>
          <w:rFonts w:ascii="Arial" w:hAnsi="Arial" w:cs="Arial"/>
          <w:color w:val="53565A"/>
          <w:sz w:val="20"/>
          <w:szCs w:val="20"/>
        </w:rPr>
        <w:t xml:space="preserve">declaring </w:t>
      </w:r>
      <w:r w:rsidRPr="000364AC">
        <w:rPr>
          <w:rFonts w:ascii="Arial" w:hAnsi="Arial" w:cs="Arial"/>
          <w:color w:val="53565A"/>
          <w:sz w:val="20"/>
          <w:szCs w:val="20"/>
        </w:rPr>
        <w:t>non-indigenous bird</w:t>
      </w:r>
      <w:r w:rsidR="00D80370">
        <w:rPr>
          <w:rFonts w:ascii="Arial" w:hAnsi="Arial" w:cs="Arial"/>
          <w:color w:val="53565A"/>
          <w:sz w:val="20"/>
          <w:szCs w:val="20"/>
        </w:rPr>
        <w:t xml:space="preserve"> species</w:t>
      </w:r>
      <w:r w:rsidR="00584628">
        <w:rPr>
          <w:rFonts w:ascii="Arial" w:hAnsi="Arial" w:cs="Arial"/>
          <w:color w:val="53565A"/>
          <w:sz w:val="20"/>
          <w:szCs w:val="20"/>
        </w:rPr>
        <w:t xml:space="preserve"> under</w:t>
      </w:r>
      <w:r w:rsidR="00795C78">
        <w:rPr>
          <w:rFonts w:ascii="Arial" w:hAnsi="Arial" w:cs="Arial"/>
          <w:color w:val="53565A"/>
          <w:sz w:val="20"/>
          <w:szCs w:val="20"/>
        </w:rPr>
        <w:t xml:space="preserve"> the</w:t>
      </w:r>
      <w:r w:rsidR="00584628">
        <w:rPr>
          <w:rFonts w:ascii="Arial" w:hAnsi="Arial" w:cs="Arial"/>
          <w:color w:val="53565A"/>
          <w:sz w:val="20"/>
          <w:szCs w:val="20"/>
        </w:rPr>
        <w:t xml:space="preserve"> </w:t>
      </w:r>
      <w:r w:rsidR="00584628" w:rsidRPr="00C23EBB">
        <w:rPr>
          <w:rFonts w:ascii="Arial" w:hAnsi="Arial" w:cs="Arial"/>
          <w:i/>
          <w:iCs/>
          <w:color w:val="53565A"/>
          <w:sz w:val="20"/>
          <w:szCs w:val="20"/>
        </w:rPr>
        <w:t>C</w:t>
      </w:r>
      <w:r w:rsidR="00795C78" w:rsidRPr="00C23EBB">
        <w:rPr>
          <w:rFonts w:ascii="Arial" w:hAnsi="Arial" w:cs="Arial"/>
          <w:i/>
          <w:iCs/>
          <w:color w:val="53565A"/>
          <w:sz w:val="20"/>
          <w:szCs w:val="20"/>
        </w:rPr>
        <w:t xml:space="preserve">atchment </w:t>
      </w:r>
      <w:r w:rsidR="00584628" w:rsidRPr="00C23EBB">
        <w:rPr>
          <w:rFonts w:ascii="Arial" w:hAnsi="Arial" w:cs="Arial"/>
          <w:i/>
          <w:iCs/>
          <w:color w:val="53565A"/>
          <w:sz w:val="20"/>
          <w:szCs w:val="20"/>
        </w:rPr>
        <w:t>a</w:t>
      </w:r>
      <w:r w:rsidR="00795C78" w:rsidRPr="00C23EBB">
        <w:rPr>
          <w:rFonts w:ascii="Arial" w:hAnsi="Arial" w:cs="Arial"/>
          <w:i/>
          <w:iCs/>
          <w:color w:val="53565A"/>
          <w:sz w:val="20"/>
          <w:szCs w:val="20"/>
        </w:rPr>
        <w:t xml:space="preserve">nd </w:t>
      </w:r>
      <w:r w:rsidR="00584628" w:rsidRPr="00C23EBB">
        <w:rPr>
          <w:rFonts w:ascii="Arial" w:hAnsi="Arial" w:cs="Arial"/>
          <w:i/>
          <w:iCs/>
          <w:color w:val="53565A"/>
          <w:sz w:val="20"/>
          <w:szCs w:val="20"/>
        </w:rPr>
        <w:t>L</w:t>
      </w:r>
      <w:r w:rsidR="00795C78" w:rsidRPr="00C23EBB">
        <w:rPr>
          <w:rFonts w:ascii="Arial" w:hAnsi="Arial" w:cs="Arial"/>
          <w:i/>
          <w:iCs/>
          <w:color w:val="53565A"/>
          <w:sz w:val="20"/>
          <w:szCs w:val="20"/>
        </w:rPr>
        <w:t xml:space="preserve">and </w:t>
      </w:r>
      <w:r w:rsidR="00584628" w:rsidRPr="00C23EBB">
        <w:rPr>
          <w:rFonts w:ascii="Arial" w:hAnsi="Arial" w:cs="Arial"/>
          <w:i/>
          <w:iCs/>
          <w:color w:val="53565A"/>
          <w:sz w:val="20"/>
          <w:szCs w:val="20"/>
        </w:rPr>
        <w:t>P</w:t>
      </w:r>
      <w:r w:rsidR="00795C78" w:rsidRPr="00C23EBB">
        <w:rPr>
          <w:rFonts w:ascii="Arial" w:hAnsi="Arial" w:cs="Arial"/>
          <w:i/>
          <w:iCs/>
          <w:color w:val="53565A"/>
          <w:sz w:val="20"/>
          <w:szCs w:val="20"/>
        </w:rPr>
        <w:t>rotection</w:t>
      </w:r>
      <w:r w:rsidR="0074070C">
        <w:rPr>
          <w:rFonts w:ascii="Arial" w:hAnsi="Arial" w:cs="Arial"/>
          <w:color w:val="53565A"/>
          <w:sz w:val="20"/>
          <w:szCs w:val="20"/>
        </w:rPr>
        <w:t xml:space="preserve"> </w:t>
      </w:r>
      <w:r w:rsidR="0074070C" w:rsidRPr="00C23EBB">
        <w:rPr>
          <w:rFonts w:ascii="Arial" w:hAnsi="Arial" w:cs="Arial"/>
          <w:i/>
          <w:iCs/>
          <w:color w:val="53565A"/>
          <w:sz w:val="20"/>
          <w:szCs w:val="20"/>
        </w:rPr>
        <w:t>Act</w:t>
      </w:r>
      <w:r w:rsidR="0058660B" w:rsidRPr="00C23EBB">
        <w:rPr>
          <w:rFonts w:ascii="Arial" w:hAnsi="Arial" w:cs="Arial"/>
          <w:i/>
          <w:iCs/>
          <w:color w:val="53565A"/>
          <w:sz w:val="20"/>
          <w:szCs w:val="20"/>
        </w:rPr>
        <w:t xml:space="preserve"> 1994</w:t>
      </w:r>
      <w:r w:rsidRPr="000364AC">
        <w:rPr>
          <w:rFonts w:ascii="Arial" w:hAnsi="Arial" w:cs="Arial"/>
          <w:color w:val="53565A"/>
          <w:sz w:val="20"/>
          <w:szCs w:val="20"/>
        </w:rPr>
        <w:t xml:space="preserve"> in Victoria to enhance protection of primary industries, the environment and community health for all stakeholders.</w:t>
      </w:r>
    </w:p>
    <w:p w14:paraId="6D1EDEB3" w14:textId="22748B5B"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This policy does not address the procedure to review or assign a pest animal’s Environment and Invasive Committee (EIC) Threat Category</w:t>
      </w:r>
      <w:r w:rsidR="00874A4C">
        <w:rPr>
          <w:rFonts w:ascii="Arial" w:hAnsi="Arial" w:cs="Arial"/>
          <w:color w:val="53565A"/>
          <w:sz w:val="20"/>
          <w:szCs w:val="20"/>
        </w:rPr>
        <w:t xml:space="preserve"> and </w:t>
      </w:r>
      <w:r w:rsidR="00D80370">
        <w:rPr>
          <w:rFonts w:ascii="Arial" w:hAnsi="Arial" w:cs="Arial"/>
          <w:color w:val="53565A"/>
          <w:sz w:val="20"/>
          <w:szCs w:val="20"/>
        </w:rPr>
        <w:t xml:space="preserve">the </w:t>
      </w:r>
      <w:r w:rsidR="00874A4C">
        <w:rPr>
          <w:rFonts w:ascii="Arial" w:hAnsi="Arial" w:cs="Arial"/>
          <w:color w:val="53565A"/>
          <w:sz w:val="20"/>
          <w:szCs w:val="20"/>
        </w:rPr>
        <w:t>management of non-indigenous bird</w:t>
      </w:r>
      <w:r w:rsidR="00D80370">
        <w:rPr>
          <w:rFonts w:ascii="Arial" w:hAnsi="Arial" w:cs="Arial"/>
          <w:color w:val="53565A"/>
          <w:sz w:val="20"/>
          <w:szCs w:val="20"/>
        </w:rPr>
        <w:t xml:space="preserve"> species</w:t>
      </w:r>
      <w:r w:rsidR="00874A4C">
        <w:rPr>
          <w:rFonts w:ascii="Arial" w:hAnsi="Arial" w:cs="Arial"/>
          <w:color w:val="53565A"/>
          <w:sz w:val="20"/>
          <w:szCs w:val="20"/>
        </w:rPr>
        <w:t xml:space="preserve"> for animal biosecurity purposes such as disease outbreaks. </w:t>
      </w:r>
    </w:p>
    <w:p w14:paraId="54526F90" w14:textId="5E284BFA" w:rsidR="000364AC" w:rsidRPr="000364AC" w:rsidRDefault="000364AC" w:rsidP="00CF5831">
      <w:pPr>
        <w:pStyle w:val="Heading1"/>
      </w:pPr>
      <w:bookmarkStart w:id="9" w:name="_Toc52883517"/>
      <w:bookmarkStart w:id="10" w:name="_Toc80955572"/>
      <w:r w:rsidRPr="000364AC">
        <w:t>Requirements</w:t>
      </w:r>
      <w:bookmarkStart w:id="11" w:name="_Hlk2255212"/>
      <w:bookmarkEnd w:id="9"/>
      <w:bookmarkEnd w:id="10"/>
    </w:p>
    <w:p w14:paraId="798ECEEF" w14:textId="4EA2C231" w:rsidR="000364AC" w:rsidRPr="00A90DFB" w:rsidRDefault="000364AC" w:rsidP="00CF5831">
      <w:pPr>
        <w:pStyle w:val="Heading2"/>
        <w:rPr>
          <w:rFonts w:ascii="Arial" w:hAnsi="Arial" w:cs="Arial"/>
          <w:color w:val="auto"/>
          <w:lang w:eastAsia="en-US"/>
        </w:rPr>
      </w:pPr>
      <w:bookmarkStart w:id="12" w:name="_Toc52883518"/>
      <w:bookmarkStart w:id="13" w:name="_Toc80955573"/>
      <w:bookmarkEnd w:id="11"/>
      <w:r w:rsidRPr="00A90DFB">
        <w:rPr>
          <w:rFonts w:ascii="Arial" w:hAnsi="Arial" w:cs="Arial"/>
          <w:color w:val="auto"/>
        </w:rPr>
        <w:t>1. Non-indigenous bird species not known to be in Australia</w:t>
      </w:r>
      <w:bookmarkEnd w:id="12"/>
      <w:bookmarkEnd w:id="13"/>
    </w:p>
    <w:p w14:paraId="76A5AF0A"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Non-indigenous bird species will be declared as prohibited pest animals under the </w:t>
      </w:r>
      <w:proofErr w:type="spellStart"/>
      <w:r w:rsidRPr="000364AC">
        <w:rPr>
          <w:rFonts w:ascii="Arial" w:hAnsi="Arial" w:cs="Arial"/>
          <w:color w:val="53565A"/>
          <w:sz w:val="20"/>
          <w:szCs w:val="20"/>
        </w:rPr>
        <w:t>CaLP</w:t>
      </w:r>
      <w:proofErr w:type="spellEnd"/>
      <w:r w:rsidRPr="000364AC">
        <w:rPr>
          <w:rFonts w:ascii="Arial" w:hAnsi="Arial" w:cs="Arial"/>
          <w:color w:val="53565A"/>
          <w:sz w:val="20"/>
          <w:szCs w:val="20"/>
        </w:rPr>
        <w:t xml:space="preserve"> Act if the species meets both of the following criteria:</w:t>
      </w:r>
    </w:p>
    <w:p w14:paraId="4D391B87" w14:textId="77777777" w:rsidR="000364AC" w:rsidRPr="00FC2A67"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FC2A67">
        <w:rPr>
          <w:rFonts w:ascii="Arial" w:hAnsi="Arial" w:cs="Arial"/>
          <w:color w:val="53565A"/>
          <w:sz w:val="20"/>
          <w:szCs w:val="20"/>
        </w:rPr>
        <w:t>The species is not known to be present in Australia,</w:t>
      </w:r>
    </w:p>
    <w:p w14:paraId="22E1DE7D" w14:textId="55406A14" w:rsidR="000364AC"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FC2A67">
        <w:rPr>
          <w:rFonts w:ascii="Arial" w:hAnsi="Arial" w:cs="Arial"/>
          <w:color w:val="53565A"/>
          <w:sz w:val="20"/>
          <w:szCs w:val="20"/>
        </w:rPr>
        <w:t>It has been categorised by EIC, as being of extreme, extreme (P) or serious threat to Australia.</w:t>
      </w:r>
    </w:p>
    <w:p w14:paraId="4E213016" w14:textId="746316C7" w:rsidR="000364AC" w:rsidRPr="000364AC" w:rsidRDefault="000364AC" w:rsidP="006202DB">
      <w:pPr>
        <w:spacing w:before="120" w:after="120"/>
        <w:rPr>
          <w:rFonts w:ascii="Arial" w:hAnsi="Arial" w:cs="Arial"/>
          <w:color w:val="53565A"/>
          <w:sz w:val="20"/>
          <w:szCs w:val="20"/>
        </w:rPr>
      </w:pPr>
      <w:r w:rsidRPr="000364AC">
        <w:rPr>
          <w:rFonts w:ascii="Arial" w:hAnsi="Arial" w:cs="Arial"/>
          <w:color w:val="53565A"/>
          <w:sz w:val="20"/>
          <w:szCs w:val="20"/>
        </w:rPr>
        <w:lastRenderedPageBreak/>
        <w:t>Should the Australian Government amend the Live Import List</w:t>
      </w:r>
      <w:r w:rsidR="00FC2A67">
        <w:rPr>
          <w:rStyle w:val="FootnoteReference"/>
          <w:rFonts w:ascii="Arial" w:hAnsi="Arial" w:cs="Arial"/>
          <w:color w:val="53565A"/>
          <w:sz w:val="20"/>
          <w:szCs w:val="20"/>
        </w:rPr>
        <w:footnoteReference w:id="1"/>
      </w:r>
      <w:r w:rsidR="00FC2A67" w:rsidRPr="000364AC">
        <w:rPr>
          <w:rFonts w:ascii="Arial" w:hAnsi="Arial" w:cs="Arial"/>
          <w:color w:val="53565A"/>
          <w:sz w:val="20"/>
          <w:szCs w:val="20"/>
        </w:rPr>
        <w:t xml:space="preserve"> </w:t>
      </w:r>
      <w:r w:rsidRPr="000364AC">
        <w:rPr>
          <w:rFonts w:ascii="Arial" w:hAnsi="Arial" w:cs="Arial"/>
          <w:color w:val="53565A"/>
          <w:sz w:val="20"/>
          <w:szCs w:val="20"/>
        </w:rPr>
        <w:t>(</w:t>
      </w:r>
      <w:r w:rsidRPr="000364AC">
        <w:rPr>
          <w:rFonts w:ascii="Arial" w:hAnsi="Arial" w:cs="Arial"/>
          <w:i/>
          <w:iCs/>
          <w:color w:val="53565A"/>
          <w:sz w:val="20"/>
          <w:szCs w:val="20"/>
        </w:rPr>
        <w:t>Environment Protection and Biodiversity Conservation Act 1999</w:t>
      </w:r>
      <w:r w:rsidRPr="000364AC">
        <w:rPr>
          <w:rFonts w:ascii="Arial" w:hAnsi="Arial" w:cs="Arial"/>
          <w:color w:val="53565A"/>
          <w:sz w:val="20"/>
          <w:szCs w:val="20"/>
        </w:rPr>
        <w:t xml:space="preserve">) to allow import of these species into Australia, they would be prohibited from being brought into, </w:t>
      </w:r>
      <w:proofErr w:type="gramStart"/>
      <w:r w:rsidRPr="000364AC">
        <w:rPr>
          <w:rFonts w:ascii="Arial" w:hAnsi="Arial" w:cs="Arial"/>
          <w:color w:val="53565A"/>
          <w:sz w:val="20"/>
          <w:szCs w:val="20"/>
        </w:rPr>
        <w:t>kept</w:t>
      </w:r>
      <w:proofErr w:type="gramEnd"/>
      <w:r w:rsidRPr="000364AC">
        <w:rPr>
          <w:rFonts w:ascii="Arial" w:hAnsi="Arial" w:cs="Arial"/>
          <w:color w:val="53565A"/>
          <w:sz w:val="20"/>
          <w:szCs w:val="20"/>
        </w:rPr>
        <w:t xml:space="preserve"> or sold in Victoria, including for areas managed in accordance with the </w:t>
      </w:r>
      <w:r w:rsidRPr="000364AC">
        <w:rPr>
          <w:rFonts w:ascii="Arial" w:hAnsi="Arial" w:cs="Arial"/>
          <w:i/>
          <w:iCs/>
          <w:color w:val="53565A"/>
          <w:sz w:val="20"/>
          <w:szCs w:val="20"/>
        </w:rPr>
        <w:t>Zoological Parks and Gardens Act 1995</w:t>
      </w:r>
      <w:r w:rsidRPr="000364AC">
        <w:rPr>
          <w:rFonts w:ascii="Arial" w:hAnsi="Arial" w:cs="Arial"/>
          <w:color w:val="53565A"/>
          <w:sz w:val="20"/>
          <w:szCs w:val="20"/>
        </w:rPr>
        <w:t xml:space="preserve">.  </w:t>
      </w:r>
    </w:p>
    <w:p w14:paraId="6A3E8B30" w14:textId="2884A859"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This approach will minimise the chance of such species becoming established in Australia and particularly </w:t>
      </w:r>
      <w:r w:rsidR="00111357">
        <w:rPr>
          <w:rFonts w:ascii="Arial" w:hAnsi="Arial" w:cs="Arial"/>
          <w:color w:val="53565A"/>
          <w:sz w:val="20"/>
          <w:szCs w:val="20"/>
        </w:rPr>
        <w:t xml:space="preserve">in </w:t>
      </w:r>
      <w:r w:rsidRPr="000364AC">
        <w:rPr>
          <w:rFonts w:ascii="Arial" w:hAnsi="Arial" w:cs="Arial"/>
          <w:color w:val="53565A"/>
          <w:sz w:val="20"/>
          <w:szCs w:val="20"/>
        </w:rPr>
        <w:t>Victoria.</w:t>
      </w:r>
    </w:p>
    <w:p w14:paraId="7C6EB069" w14:textId="2B853204" w:rsidR="000364AC" w:rsidRPr="00A90DFB" w:rsidRDefault="000364AC" w:rsidP="007B6EC4">
      <w:pPr>
        <w:pStyle w:val="Heading2"/>
        <w:rPr>
          <w:rFonts w:ascii="Arial" w:hAnsi="Arial" w:cs="Arial"/>
          <w:color w:val="auto"/>
        </w:rPr>
      </w:pPr>
      <w:bookmarkStart w:id="14" w:name="_Toc52883519"/>
      <w:bookmarkStart w:id="15" w:name="_Toc80955574"/>
      <w:r w:rsidRPr="00A90DFB">
        <w:rPr>
          <w:rFonts w:ascii="Arial" w:hAnsi="Arial" w:cs="Arial"/>
          <w:color w:val="auto"/>
        </w:rPr>
        <w:t>2. Non-indigenous bird species restricted to approved Victorian zoological facilities</w:t>
      </w:r>
      <w:bookmarkEnd w:id="14"/>
      <w:bookmarkEnd w:id="15"/>
    </w:p>
    <w:p w14:paraId="3D72B5A3"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Non-indigenous bird species will be declared as controlled pest animals under the </w:t>
      </w:r>
      <w:proofErr w:type="spellStart"/>
      <w:r w:rsidRPr="000364AC">
        <w:rPr>
          <w:rFonts w:ascii="Arial" w:hAnsi="Arial" w:cs="Arial"/>
          <w:color w:val="53565A"/>
          <w:sz w:val="20"/>
          <w:szCs w:val="20"/>
        </w:rPr>
        <w:t>CaLP</w:t>
      </w:r>
      <w:proofErr w:type="spellEnd"/>
      <w:r w:rsidRPr="000364AC">
        <w:rPr>
          <w:rFonts w:ascii="Arial" w:hAnsi="Arial" w:cs="Arial"/>
          <w:color w:val="53565A"/>
          <w:sz w:val="20"/>
          <w:szCs w:val="20"/>
        </w:rPr>
        <w:t xml:space="preserve"> Act, and their keeping limited to approved zoological facilities in Victoria, if the species meets the following criteria:</w:t>
      </w:r>
    </w:p>
    <w:p w14:paraId="74AF140A"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 xml:space="preserve">The species is present in Australia but is only found in recognised zoological facilities such as zoological parks declared under the </w:t>
      </w:r>
      <w:r w:rsidRPr="004C6A4E">
        <w:rPr>
          <w:rFonts w:ascii="Arial" w:hAnsi="Arial" w:cs="Arial"/>
          <w:i/>
          <w:iCs/>
          <w:color w:val="53565A"/>
          <w:sz w:val="20"/>
          <w:szCs w:val="20"/>
        </w:rPr>
        <w:t>Zoological Parks and Gardens Act 1995</w:t>
      </w:r>
      <w:r w:rsidRPr="00AC379A">
        <w:rPr>
          <w:rFonts w:ascii="Arial" w:hAnsi="Arial" w:cs="Arial"/>
          <w:color w:val="53565A"/>
          <w:sz w:val="20"/>
          <w:szCs w:val="20"/>
        </w:rPr>
        <w:t xml:space="preserve"> (</w:t>
      </w:r>
      <w:proofErr w:type="gramStart"/>
      <w:r w:rsidRPr="00AC379A">
        <w:rPr>
          <w:rFonts w:ascii="Arial" w:hAnsi="Arial" w:cs="Arial"/>
          <w:color w:val="53565A"/>
          <w:sz w:val="20"/>
          <w:szCs w:val="20"/>
        </w:rPr>
        <w:t>i.e.</w:t>
      </w:r>
      <w:proofErr w:type="gramEnd"/>
      <w:r w:rsidRPr="00AC379A">
        <w:rPr>
          <w:rFonts w:ascii="Arial" w:hAnsi="Arial" w:cs="Arial"/>
          <w:color w:val="53565A"/>
          <w:sz w:val="20"/>
          <w:szCs w:val="20"/>
        </w:rPr>
        <w:t xml:space="preserve"> Melbourne Zoo, Werribee Open Range Zoo and Healesville Zoo) or non-statutory zoos and wildlife parks (e.g. Halls Gap Zoo and Ballarat Wildlife Park;</w:t>
      </w:r>
    </w:p>
    <w:p w14:paraId="7BA0BE10" w14:textId="77777777" w:rsidR="000364AC" w:rsidRPr="00AC379A"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AC379A">
        <w:rPr>
          <w:rFonts w:ascii="Arial" w:hAnsi="Arial" w:cs="Arial"/>
          <w:color w:val="53565A"/>
          <w:sz w:val="20"/>
          <w:szCs w:val="20"/>
        </w:rPr>
        <w:t>It has been categorised and endorsed by EIC, as being of extreme or serious threat to Australia; and</w:t>
      </w:r>
    </w:p>
    <w:p w14:paraId="294DD2D2" w14:textId="5B626382"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Declaration will only apply to a small number of extreme or serious threat species that have been endorsed by EIC that are already restricted to approved zoological facilities in Victoria.</w:t>
      </w:r>
      <w:r w:rsidR="005D5D31">
        <w:rPr>
          <w:rFonts w:ascii="Arial" w:hAnsi="Arial" w:cs="Arial"/>
          <w:color w:val="53565A"/>
          <w:sz w:val="20"/>
          <w:szCs w:val="20"/>
        </w:rPr>
        <w:t xml:space="preserve"> These species also have </w:t>
      </w:r>
      <w:r w:rsidR="005D5D31" w:rsidRPr="00AC379A">
        <w:rPr>
          <w:rFonts w:ascii="Arial" w:hAnsi="Arial" w:cs="Arial"/>
          <w:color w:val="53565A"/>
          <w:sz w:val="20"/>
          <w:szCs w:val="20"/>
        </w:rPr>
        <w:t>complex husbandry requirements</w:t>
      </w:r>
      <w:r w:rsidR="005D5D31">
        <w:rPr>
          <w:rFonts w:ascii="Arial" w:hAnsi="Arial" w:cs="Arial"/>
          <w:color w:val="53565A"/>
          <w:sz w:val="20"/>
          <w:szCs w:val="20"/>
        </w:rPr>
        <w:t xml:space="preserve">. </w:t>
      </w:r>
      <w:r w:rsidRPr="000364AC">
        <w:rPr>
          <w:rFonts w:ascii="Arial" w:hAnsi="Arial" w:cs="Arial"/>
          <w:color w:val="53565A"/>
          <w:sz w:val="20"/>
          <w:szCs w:val="20"/>
        </w:rPr>
        <w:t>This approach will prevent such species being kept widely in Victoria and thus minimise the chance of them escaping and/or being deliberately released.</w:t>
      </w:r>
    </w:p>
    <w:p w14:paraId="299D8D4B" w14:textId="10B4F19B"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Refer to the following </w:t>
      </w:r>
      <w:hyperlink r:id="rId13" w:history="1">
        <w:r w:rsidRPr="000364AC">
          <w:rPr>
            <w:rStyle w:val="Hyperlink"/>
            <w:rFonts w:ascii="Arial" w:hAnsi="Arial" w:cs="Arial"/>
            <w:sz w:val="20"/>
            <w:szCs w:val="20"/>
          </w:rPr>
          <w:t>link</w:t>
        </w:r>
      </w:hyperlink>
      <w:r w:rsidRPr="000364AC">
        <w:rPr>
          <w:rFonts w:ascii="Arial" w:hAnsi="Arial" w:cs="Arial"/>
          <w:color w:val="53565A"/>
          <w:sz w:val="20"/>
          <w:szCs w:val="20"/>
        </w:rPr>
        <w:t xml:space="preserve"> for further detail regarding the pest animal approved collection (zoo) permit.   </w:t>
      </w:r>
    </w:p>
    <w:p w14:paraId="1EA78FA3" w14:textId="473494D3" w:rsidR="00FC2A67" w:rsidRPr="00A90DFB" w:rsidRDefault="00FC2A67" w:rsidP="007B6EC4">
      <w:pPr>
        <w:pStyle w:val="Heading2"/>
        <w:rPr>
          <w:rFonts w:ascii="Arial" w:hAnsi="Arial" w:cs="Arial"/>
          <w:color w:val="auto"/>
          <w:lang w:eastAsia="en-US"/>
        </w:rPr>
      </w:pPr>
      <w:bookmarkStart w:id="16" w:name="_Toc52883520"/>
      <w:bookmarkStart w:id="17" w:name="_Toc80955575"/>
      <w:r w:rsidRPr="00A90DFB">
        <w:rPr>
          <w:rFonts w:ascii="Arial" w:hAnsi="Arial" w:cs="Arial"/>
          <w:color w:val="auto"/>
        </w:rPr>
        <w:t>3. Non-indigenous bird species that are known to be in Victoria in private collections</w:t>
      </w:r>
      <w:bookmarkEnd w:id="16"/>
      <w:bookmarkEnd w:id="17"/>
      <w:r w:rsidRPr="00A90DFB">
        <w:rPr>
          <w:rFonts w:ascii="Arial" w:hAnsi="Arial" w:cs="Arial"/>
          <w:color w:val="auto"/>
        </w:rPr>
        <w:t xml:space="preserve"> </w:t>
      </w:r>
    </w:p>
    <w:p w14:paraId="3601996F"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The government does not consider it reasonable to increase the regulatory burden for bird keepers in Victoria. Permits to keep species already known to be in private collections would not be required. </w:t>
      </w:r>
    </w:p>
    <w:p w14:paraId="76680818"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Bird species known to be in private collections in Victoria will be allocated as described in 3a and 3b </w:t>
      </w:r>
      <w:proofErr w:type="gramStart"/>
      <w:r w:rsidRPr="000364AC">
        <w:rPr>
          <w:rFonts w:ascii="Arial" w:hAnsi="Arial" w:cs="Arial"/>
          <w:color w:val="53565A"/>
          <w:sz w:val="20"/>
          <w:szCs w:val="20"/>
        </w:rPr>
        <w:t>on the basis of</w:t>
      </w:r>
      <w:proofErr w:type="gramEnd"/>
      <w:r w:rsidRPr="000364AC">
        <w:rPr>
          <w:rFonts w:ascii="Arial" w:hAnsi="Arial" w:cs="Arial"/>
          <w:color w:val="53565A"/>
          <w:sz w:val="20"/>
          <w:szCs w:val="20"/>
        </w:rPr>
        <w:t xml:space="preserve"> their threat to Victoria.</w:t>
      </w:r>
    </w:p>
    <w:p w14:paraId="100B7995" w14:textId="13BE85C0" w:rsidR="000364AC" w:rsidRPr="00A90DFB" w:rsidRDefault="000364AC" w:rsidP="00CF3034">
      <w:pPr>
        <w:pStyle w:val="Heading3"/>
        <w:rPr>
          <w:rFonts w:ascii="Arial" w:hAnsi="Arial" w:cs="Arial"/>
          <w:color w:val="auto"/>
        </w:rPr>
      </w:pPr>
      <w:bookmarkStart w:id="18" w:name="_Toc52883521"/>
      <w:bookmarkStart w:id="19" w:name="_Toc80955576"/>
      <w:r w:rsidRPr="00A90DFB">
        <w:rPr>
          <w:rFonts w:ascii="Arial" w:hAnsi="Arial" w:cs="Arial"/>
          <w:color w:val="auto"/>
        </w:rPr>
        <w:t>3a: Non-indigenous bird species that are kept in Victoria and are determined to pose a high threat of establishment in the wild in Victoria</w:t>
      </w:r>
      <w:bookmarkEnd w:id="18"/>
      <w:bookmarkEnd w:id="19"/>
      <w:r w:rsidRPr="00A90DFB">
        <w:rPr>
          <w:rFonts w:ascii="Arial" w:hAnsi="Arial" w:cs="Arial"/>
          <w:color w:val="auto"/>
        </w:rPr>
        <w:t xml:space="preserve"> </w:t>
      </w:r>
    </w:p>
    <w:p w14:paraId="2343FC28" w14:textId="78181862"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The feral or wild populations of non-indigenous bird species will be declared as regulated pest animals under the </w:t>
      </w:r>
      <w:proofErr w:type="spellStart"/>
      <w:r w:rsidRPr="000364AC">
        <w:rPr>
          <w:rFonts w:ascii="Arial" w:hAnsi="Arial" w:cs="Arial"/>
          <w:color w:val="53565A"/>
          <w:sz w:val="20"/>
          <w:szCs w:val="20"/>
        </w:rPr>
        <w:t>CaLP</w:t>
      </w:r>
      <w:proofErr w:type="spellEnd"/>
      <w:r w:rsidRPr="000364AC">
        <w:rPr>
          <w:rFonts w:ascii="Arial" w:hAnsi="Arial" w:cs="Arial"/>
          <w:color w:val="53565A"/>
          <w:sz w:val="20"/>
          <w:szCs w:val="20"/>
        </w:rPr>
        <w:t xml:space="preserve"> Act if the species meets </w:t>
      </w:r>
      <w:r w:rsidR="00DD75A9" w:rsidRPr="000364AC">
        <w:rPr>
          <w:rFonts w:ascii="Arial" w:hAnsi="Arial" w:cs="Arial"/>
          <w:color w:val="53565A"/>
          <w:sz w:val="20"/>
          <w:szCs w:val="20"/>
        </w:rPr>
        <w:t>all</w:t>
      </w:r>
      <w:r w:rsidRPr="000364AC">
        <w:rPr>
          <w:rFonts w:ascii="Arial" w:hAnsi="Arial" w:cs="Arial"/>
          <w:color w:val="53565A"/>
          <w:sz w:val="20"/>
          <w:szCs w:val="20"/>
        </w:rPr>
        <w:t xml:space="preserve"> the following criteria: </w:t>
      </w:r>
    </w:p>
    <w:p w14:paraId="022D58C3" w14:textId="77777777" w:rsidR="000364AC" w:rsidRPr="00C23EBB" w:rsidRDefault="000364AC" w:rsidP="00C23EBB">
      <w:pPr>
        <w:pStyle w:val="ListParagraph"/>
        <w:numPr>
          <w:ilvl w:val="0"/>
          <w:numId w:val="6"/>
        </w:numPr>
        <w:spacing w:after="120"/>
        <w:ind w:left="714" w:hanging="357"/>
        <w:contextualSpacing w:val="0"/>
        <w:rPr>
          <w:rFonts w:ascii="Arial" w:hAnsi="Arial" w:cs="Arial"/>
          <w:color w:val="53565A"/>
          <w:sz w:val="20"/>
          <w:szCs w:val="20"/>
        </w:rPr>
      </w:pPr>
      <w:r w:rsidRPr="00C23EBB">
        <w:rPr>
          <w:rFonts w:ascii="Arial" w:hAnsi="Arial" w:cs="Arial"/>
          <w:color w:val="53565A"/>
          <w:sz w:val="20"/>
          <w:szCs w:val="20"/>
        </w:rPr>
        <w:t xml:space="preserve">The species is not widely established in the wild in </w:t>
      </w:r>
      <w:proofErr w:type="gramStart"/>
      <w:r w:rsidRPr="00C23EBB">
        <w:rPr>
          <w:rFonts w:ascii="Arial" w:hAnsi="Arial" w:cs="Arial"/>
          <w:color w:val="53565A"/>
          <w:sz w:val="20"/>
          <w:szCs w:val="20"/>
        </w:rPr>
        <w:t>Victoria;</w:t>
      </w:r>
      <w:proofErr w:type="gramEnd"/>
    </w:p>
    <w:p w14:paraId="20B2D63B" w14:textId="77777777" w:rsidR="000364AC" w:rsidRPr="00C23EBB" w:rsidRDefault="000364AC" w:rsidP="00C23EBB">
      <w:pPr>
        <w:pStyle w:val="ListParagraph"/>
        <w:numPr>
          <w:ilvl w:val="0"/>
          <w:numId w:val="6"/>
        </w:numPr>
        <w:spacing w:before="120" w:after="120"/>
        <w:ind w:left="714" w:hanging="357"/>
        <w:contextualSpacing w:val="0"/>
        <w:rPr>
          <w:rFonts w:ascii="Arial" w:hAnsi="Arial" w:cs="Arial"/>
          <w:color w:val="53565A"/>
          <w:sz w:val="20"/>
          <w:szCs w:val="20"/>
        </w:rPr>
      </w:pPr>
      <w:r w:rsidRPr="00C23EBB">
        <w:rPr>
          <w:rFonts w:ascii="Arial" w:hAnsi="Arial" w:cs="Arial"/>
          <w:color w:val="53565A"/>
          <w:sz w:val="20"/>
          <w:szCs w:val="20"/>
        </w:rPr>
        <w:t xml:space="preserve">It has been categorised and endorsed by EIC, as being of extreme or serious threat to Australia, and/or the species is documented to be an escapee in other Australian </w:t>
      </w:r>
      <w:proofErr w:type="gramStart"/>
      <w:r w:rsidRPr="00C23EBB">
        <w:rPr>
          <w:rFonts w:ascii="Arial" w:hAnsi="Arial" w:cs="Arial"/>
          <w:color w:val="53565A"/>
          <w:sz w:val="20"/>
          <w:szCs w:val="20"/>
        </w:rPr>
        <w:t>jurisdictions;</w:t>
      </w:r>
      <w:proofErr w:type="gramEnd"/>
    </w:p>
    <w:p w14:paraId="07D1616B" w14:textId="524CB37B" w:rsidR="000364AC" w:rsidRPr="00C23EBB" w:rsidRDefault="000364AC" w:rsidP="00C23EBB">
      <w:pPr>
        <w:pStyle w:val="ListParagraph"/>
        <w:numPr>
          <w:ilvl w:val="0"/>
          <w:numId w:val="6"/>
        </w:numPr>
        <w:spacing w:before="120" w:after="120"/>
        <w:ind w:left="714" w:hanging="357"/>
        <w:contextualSpacing w:val="0"/>
        <w:rPr>
          <w:rFonts w:ascii="Arial" w:hAnsi="Arial" w:cs="Arial"/>
          <w:color w:val="53565A"/>
          <w:sz w:val="20"/>
          <w:szCs w:val="20"/>
        </w:rPr>
      </w:pPr>
      <w:r w:rsidRPr="00C23EBB">
        <w:rPr>
          <w:rFonts w:ascii="Arial" w:hAnsi="Arial" w:cs="Arial"/>
          <w:color w:val="53565A"/>
          <w:sz w:val="20"/>
          <w:szCs w:val="20"/>
        </w:rPr>
        <w:t xml:space="preserve">There is a likelihood that intervention </w:t>
      </w:r>
      <w:r w:rsidR="00307F15" w:rsidRPr="00C23EBB">
        <w:rPr>
          <w:rFonts w:ascii="Arial" w:hAnsi="Arial" w:cs="Arial"/>
          <w:color w:val="53565A"/>
          <w:sz w:val="20"/>
          <w:szCs w:val="20"/>
        </w:rPr>
        <w:t>will lead to reduced risk of establishment or</w:t>
      </w:r>
      <w:r w:rsidRPr="00C23EBB">
        <w:rPr>
          <w:rFonts w:ascii="Arial" w:hAnsi="Arial" w:cs="Arial"/>
          <w:color w:val="53565A"/>
          <w:sz w:val="20"/>
          <w:szCs w:val="20"/>
        </w:rPr>
        <w:t xml:space="preserve"> eradication of feral or wild populations of the species.</w:t>
      </w:r>
    </w:p>
    <w:p w14:paraId="0692F109" w14:textId="77777777" w:rsidR="000364AC" w:rsidRPr="00C23EBB" w:rsidRDefault="000364AC" w:rsidP="00C23EBB">
      <w:pPr>
        <w:spacing w:before="120" w:after="120"/>
        <w:rPr>
          <w:rFonts w:ascii="Arial" w:hAnsi="Arial" w:cs="Arial"/>
          <w:color w:val="53565A"/>
          <w:sz w:val="20"/>
          <w:szCs w:val="20"/>
        </w:rPr>
      </w:pPr>
      <w:r w:rsidRPr="00C23EBB">
        <w:rPr>
          <w:rFonts w:ascii="Arial" w:hAnsi="Arial" w:cs="Arial"/>
          <w:color w:val="53565A"/>
          <w:sz w:val="20"/>
          <w:szCs w:val="20"/>
        </w:rPr>
        <w:t>Birds of these species observed/reported in the wild (</w:t>
      </w:r>
      <w:proofErr w:type="gramStart"/>
      <w:r w:rsidRPr="00C23EBB">
        <w:rPr>
          <w:rFonts w:ascii="Arial" w:hAnsi="Arial" w:cs="Arial"/>
          <w:color w:val="53565A"/>
          <w:sz w:val="20"/>
          <w:szCs w:val="20"/>
        </w:rPr>
        <w:t>i.e.</w:t>
      </w:r>
      <w:proofErr w:type="gramEnd"/>
      <w:r w:rsidRPr="00C23EBB">
        <w:rPr>
          <w:rFonts w:ascii="Arial" w:hAnsi="Arial" w:cs="Arial"/>
          <w:color w:val="53565A"/>
          <w:sz w:val="20"/>
          <w:szCs w:val="20"/>
        </w:rPr>
        <w:t xml:space="preserve"> outside of a secure enclosure) will be deemed by the government to be feral and in the broader public interest may be subject to control measures.</w:t>
      </w:r>
    </w:p>
    <w:p w14:paraId="4E358B5C" w14:textId="7BDC01FF"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These incursions usually only involve a few individual birds (escapees from private collections). The </w:t>
      </w:r>
      <w:r w:rsidRPr="00907BC5">
        <w:rPr>
          <w:rFonts w:ascii="Arial" w:hAnsi="Arial" w:cs="Arial"/>
          <w:color w:val="53565A"/>
          <w:sz w:val="20"/>
          <w:szCs w:val="20"/>
        </w:rPr>
        <w:t>incursions</w:t>
      </w:r>
      <w:r w:rsidR="00907BC5">
        <w:rPr>
          <w:rFonts w:ascii="Arial" w:hAnsi="Arial" w:cs="Arial"/>
          <w:color w:val="53565A"/>
          <w:sz w:val="20"/>
          <w:szCs w:val="20"/>
        </w:rPr>
        <w:t xml:space="preserve"> will be managed</w:t>
      </w:r>
      <w:r w:rsidRPr="000364AC">
        <w:rPr>
          <w:rFonts w:ascii="Arial" w:hAnsi="Arial" w:cs="Arial"/>
          <w:color w:val="53565A"/>
          <w:sz w:val="20"/>
          <w:szCs w:val="20"/>
        </w:rPr>
        <w:t xml:space="preserve"> in accordance with the Invasive Plants and Animals Policy Framework and </w:t>
      </w:r>
      <w:r w:rsidR="0056461C">
        <w:rPr>
          <w:rFonts w:ascii="Arial" w:hAnsi="Arial" w:cs="Arial"/>
          <w:color w:val="53565A"/>
          <w:sz w:val="20"/>
          <w:szCs w:val="20"/>
        </w:rPr>
        <w:t xml:space="preserve">the </w:t>
      </w:r>
      <w:r w:rsidR="00720C79">
        <w:rPr>
          <w:rFonts w:ascii="Arial" w:hAnsi="Arial" w:cs="Arial"/>
          <w:color w:val="53565A"/>
          <w:sz w:val="20"/>
          <w:szCs w:val="20"/>
        </w:rPr>
        <w:t>requirement to take</w:t>
      </w:r>
      <w:r w:rsidRPr="000364AC">
        <w:rPr>
          <w:rFonts w:ascii="Arial" w:hAnsi="Arial" w:cs="Arial"/>
          <w:color w:val="53565A"/>
          <w:sz w:val="20"/>
          <w:szCs w:val="20"/>
        </w:rPr>
        <w:t xml:space="preserve"> reasonable steps to control pest animals on any land in the state. </w:t>
      </w:r>
      <w:r w:rsidR="00FC2A67" w:rsidRPr="000364AC">
        <w:rPr>
          <w:rFonts w:ascii="Arial" w:hAnsi="Arial" w:cs="Arial"/>
          <w:color w:val="53565A"/>
          <w:sz w:val="20"/>
          <w:szCs w:val="20"/>
        </w:rPr>
        <w:t>Priority will</w:t>
      </w:r>
      <w:r w:rsidRPr="000364AC">
        <w:rPr>
          <w:rFonts w:ascii="Arial" w:hAnsi="Arial" w:cs="Arial"/>
          <w:color w:val="53565A"/>
          <w:sz w:val="20"/>
          <w:szCs w:val="20"/>
        </w:rPr>
        <w:t xml:space="preserve"> be given to those species that have a reasonable chance of successful eradication with the resources available</w:t>
      </w:r>
      <w:r w:rsidR="0061232E">
        <w:rPr>
          <w:rFonts w:ascii="Arial" w:hAnsi="Arial" w:cs="Arial"/>
          <w:color w:val="53565A"/>
          <w:sz w:val="20"/>
          <w:szCs w:val="20"/>
        </w:rPr>
        <w:t xml:space="preserve"> and</w:t>
      </w:r>
      <w:r w:rsidR="00A12E8A">
        <w:rPr>
          <w:rFonts w:ascii="Arial" w:hAnsi="Arial" w:cs="Arial"/>
          <w:color w:val="53565A"/>
          <w:sz w:val="20"/>
          <w:szCs w:val="20"/>
        </w:rPr>
        <w:t xml:space="preserve"> the response</w:t>
      </w:r>
      <w:r w:rsidR="00FA6519">
        <w:rPr>
          <w:rFonts w:ascii="Arial" w:hAnsi="Arial" w:cs="Arial"/>
          <w:color w:val="53565A"/>
          <w:sz w:val="20"/>
          <w:szCs w:val="20"/>
        </w:rPr>
        <w:t xml:space="preserve"> </w:t>
      </w:r>
      <w:r w:rsidR="006515C0">
        <w:rPr>
          <w:rFonts w:ascii="Arial" w:hAnsi="Arial" w:cs="Arial"/>
          <w:color w:val="53565A"/>
          <w:sz w:val="20"/>
          <w:szCs w:val="20"/>
        </w:rPr>
        <w:t xml:space="preserve">will </w:t>
      </w:r>
      <w:proofErr w:type="gramStart"/>
      <w:r w:rsidR="006515C0">
        <w:rPr>
          <w:rFonts w:ascii="Arial" w:hAnsi="Arial" w:cs="Arial"/>
          <w:color w:val="53565A"/>
          <w:sz w:val="20"/>
          <w:szCs w:val="20"/>
        </w:rPr>
        <w:t>take into account</w:t>
      </w:r>
      <w:proofErr w:type="gramEnd"/>
      <w:r w:rsidR="006515C0">
        <w:rPr>
          <w:rFonts w:ascii="Arial" w:hAnsi="Arial" w:cs="Arial"/>
          <w:color w:val="53565A"/>
          <w:sz w:val="20"/>
          <w:szCs w:val="20"/>
        </w:rPr>
        <w:t xml:space="preserve"> the </w:t>
      </w:r>
      <w:r w:rsidR="00EE135A">
        <w:rPr>
          <w:rFonts w:ascii="Arial" w:hAnsi="Arial" w:cs="Arial"/>
          <w:color w:val="53565A"/>
          <w:sz w:val="20"/>
          <w:szCs w:val="20"/>
        </w:rPr>
        <w:t xml:space="preserve">relative </w:t>
      </w:r>
      <w:r w:rsidR="00FA6519">
        <w:rPr>
          <w:rFonts w:ascii="Arial" w:hAnsi="Arial" w:cs="Arial"/>
          <w:color w:val="53565A"/>
          <w:sz w:val="20"/>
          <w:szCs w:val="20"/>
        </w:rPr>
        <w:t>risks associated with the specific</w:t>
      </w:r>
      <w:r w:rsidR="006515C0">
        <w:rPr>
          <w:rFonts w:ascii="Arial" w:hAnsi="Arial" w:cs="Arial"/>
          <w:color w:val="53565A"/>
          <w:sz w:val="20"/>
          <w:szCs w:val="20"/>
        </w:rPr>
        <w:t xml:space="preserve"> incursion</w:t>
      </w:r>
      <w:r w:rsidRPr="000364AC">
        <w:rPr>
          <w:rFonts w:ascii="Arial" w:hAnsi="Arial" w:cs="Arial"/>
          <w:color w:val="53565A"/>
          <w:sz w:val="20"/>
          <w:szCs w:val="20"/>
        </w:rPr>
        <w:t xml:space="preserve">. </w:t>
      </w:r>
    </w:p>
    <w:p w14:paraId="77301EE3" w14:textId="72B705E1" w:rsidR="000364AC" w:rsidRPr="00A90DFB" w:rsidRDefault="000364AC" w:rsidP="00CF3034">
      <w:pPr>
        <w:pStyle w:val="Heading3"/>
        <w:rPr>
          <w:rFonts w:ascii="Arial" w:hAnsi="Arial" w:cs="Arial"/>
          <w:color w:val="auto"/>
          <w:lang w:eastAsia="en-US"/>
        </w:rPr>
      </w:pPr>
      <w:bookmarkStart w:id="20" w:name="_Toc52883522"/>
      <w:bookmarkStart w:id="21" w:name="_Toc80955577"/>
      <w:r w:rsidRPr="00A90DFB">
        <w:rPr>
          <w:rFonts w:ascii="Arial" w:hAnsi="Arial" w:cs="Arial"/>
          <w:color w:val="auto"/>
        </w:rPr>
        <w:lastRenderedPageBreak/>
        <w:t>3b: Non-indigenous bird species determined not to pose a high threat of establishment in the wild in Victoria.</w:t>
      </w:r>
      <w:bookmarkEnd w:id="20"/>
      <w:bookmarkEnd w:id="21"/>
    </w:p>
    <w:p w14:paraId="0C1DDBD6" w14:textId="186DCFE6" w:rsidR="000364AC" w:rsidRPr="000364AC" w:rsidRDefault="000364AC" w:rsidP="000364AC">
      <w:pPr>
        <w:spacing w:after="120"/>
        <w:rPr>
          <w:rFonts w:ascii="Arial" w:hAnsi="Arial" w:cs="Arial"/>
          <w:color w:val="000000" w:themeColor="text1"/>
          <w:sz w:val="20"/>
          <w:szCs w:val="20"/>
        </w:rPr>
      </w:pPr>
      <w:r w:rsidRPr="000364AC">
        <w:rPr>
          <w:rFonts w:ascii="Arial" w:hAnsi="Arial" w:cs="Arial"/>
          <w:color w:val="53565A"/>
          <w:sz w:val="20"/>
          <w:szCs w:val="20"/>
        </w:rPr>
        <w:t>The government will have no role in the active management of non-indigenous bird species that are unlikely to establish in the wild in Victoria but will provide advice for the management or capture of these species when detected in the wild.</w:t>
      </w:r>
      <w:r w:rsidRPr="000364AC">
        <w:rPr>
          <w:rFonts w:ascii="Arial" w:hAnsi="Arial" w:cs="Arial"/>
          <w:color w:val="000000" w:themeColor="text1"/>
          <w:sz w:val="20"/>
          <w:szCs w:val="20"/>
        </w:rPr>
        <w:t xml:space="preserve">  </w:t>
      </w:r>
    </w:p>
    <w:p w14:paraId="70874D79" w14:textId="072E31D5" w:rsidR="000364AC" w:rsidRPr="00A90DFB" w:rsidRDefault="000364AC" w:rsidP="00CF3034">
      <w:pPr>
        <w:pStyle w:val="Heading2"/>
        <w:rPr>
          <w:rFonts w:ascii="Arial" w:hAnsi="Arial" w:cs="Arial"/>
          <w:color w:val="auto"/>
          <w:lang w:eastAsia="en-US"/>
        </w:rPr>
      </w:pPr>
      <w:bookmarkStart w:id="22" w:name="_Toc52883523"/>
      <w:bookmarkStart w:id="23" w:name="_Toc80955578"/>
      <w:r w:rsidRPr="00A90DFB">
        <w:rPr>
          <w:rFonts w:ascii="Arial" w:hAnsi="Arial" w:cs="Arial"/>
          <w:color w:val="auto"/>
        </w:rPr>
        <w:t xml:space="preserve">4. </w:t>
      </w:r>
      <w:bookmarkStart w:id="24" w:name="_Hlk61443864"/>
      <w:r w:rsidRPr="00A90DFB">
        <w:rPr>
          <w:rFonts w:ascii="Arial" w:hAnsi="Arial" w:cs="Arial"/>
          <w:color w:val="auto"/>
        </w:rPr>
        <w:t>Non-indigenous quail, pheasants</w:t>
      </w:r>
      <w:r w:rsidR="00A629DC" w:rsidRPr="00A90DFB">
        <w:rPr>
          <w:rFonts w:ascii="Arial" w:hAnsi="Arial" w:cs="Arial"/>
          <w:color w:val="auto"/>
        </w:rPr>
        <w:t>,</w:t>
      </w:r>
      <w:r w:rsidRPr="00A90DFB">
        <w:rPr>
          <w:rFonts w:ascii="Arial" w:hAnsi="Arial" w:cs="Arial"/>
          <w:color w:val="auto"/>
        </w:rPr>
        <w:t xml:space="preserve"> and partridges, classified as game species</w:t>
      </w:r>
      <w:bookmarkEnd w:id="22"/>
      <w:bookmarkEnd w:id="23"/>
      <w:bookmarkEnd w:id="24"/>
    </w:p>
    <w:p w14:paraId="11B405A8" w14:textId="688B3EF6"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Game species are managed under the Wildlife (Game) Regulations 2012.The government does not consider it reasonable to change the current management of non-indigenous quail, pheasants</w:t>
      </w:r>
      <w:r w:rsidR="00A629DC">
        <w:rPr>
          <w:rFonts w:ascii="Arial" w:hAnsi="Arial" w:cs="Arial"/>
          <w:color w:val="53565A"/>
          <w:sz w:val="20"/>
          <w:szCs w:val="20"/>
        </w:rPr>
        <w:t>,</w:t>
      </w:r>
      <w:r w:rsidRPr="000364AC">
        <w:rPr>
          <w:rFonts w:ascii="Arial" w:hAnsi="Arial" w:cs="Arial"/>
          <w:color w:val="53565A"/>
          <w:sz w:val="20"/>
          <w:szCs w:val="20"/>
        </w:rPr>
        <w:t xml:space="preserve"> and partridges. </w:t>
      </w:r>
    </w:p>
    <w:p w14:paraId="4249CAAF"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The government will continue to provide advice on how to appropriately manage non-indigenous bird species under the Wildlife (Game) Regulations 2012.  </w:t>
      </w:r>
    </w:p>
    <w:p w14:paraId="23F16E72" w14:textId="485A3DBA" w:rsidR="000364AC" w:rsidRPr="00A90DFB" w:rsidRDefault="000364AC" w:rsidP="00CF3034">
      <w:pPr>
        <w:pStyle w:val="Heading2"/>
        <w:rPr>
          <w:rFonts w:ascii="Arial" w:hAnsi="Arial" w:cs="Arial"/>
          <w:color w:val="auto"/>
          <w:lang w:eastAsia="en-US"/>
        </w:rPr>
      </w:pPr>
      <w:bookmarkStart w:id="25" w:name="_Toc52883524"/>
      <w:bookmarkStart w:id="26" w:name="_Toc80955579"/>
      <w:r w:rsidRPr="00A90DFB">
        <w:rPr>
          <w:rFonts w:ascii="Arial" w:hAnsi="Arial" w:cs="Arial"/>
          <w:color w:val="auto"/>
        </w:rPr>
        <w:t>5. Non-indigenous bird species that are widely established in Victoria</w:t>
      </w:r>
      <w:bookmarkEnd w:id="25"/>
      <w:bookmarkEnd w:id="26"/>
      <w:r w:rsidRPr="00A90DFB">
        <w:rPr>
          <w:rFonts w:ascii="Arial" w:hAnsi="Arial" w:cs="Arial"/>
          <w:color w:val="auto"/>
        </w:rPr>
        <w:t xml:space="preserve"> </w:t>
      </w:r>
    </w:p>
    <w:p w14:paraId="0026E136" w14:textId="4F7434C6"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The government does not consider it reasonable to impose the lawful responsibility to control widely established bird species upon landowners (including those in urban areas). </w:t>
      </w:r>
      <w:r w:rsidR="0093244D">
        <w:rPr>
          <w:rFonts w:ascii="Arial" w:hAnsi="Arial" w:cs="Arial"/>
          <w:color w:val="53565A"/>
          <w:sz w:val="20"/>
          <w:szCs w:val="20"/>
        </w:rPr>
        <w:t>W</w:t>
      </w:r>
      <w:r w:rsidR="0093244D" w:rsidRPr="0093244D">
        <w:rPr>
          <w:rFonts w:ascii="Arial" w:hAnsi="Arial" w:cs="Arial"/>
          <w:color w:val="53565A"/>
          <w:sz w:val="20"/>
          <w:szCs w:val="20"/>
        </w:rPr>
        <w:t xml:space="preserve">idely established </w:t>
      </w:r>
      <w:r w:rsidR="006770ED">
        <w:rPr>
          <w:rFonts w:ascii="Arial" w:hAnsi="Arial" w:cs="Arial"/>
          <w:color w:val="53565A"/>
          <w:sz w:val="20"/>
          <w:szCs w:val="20"/>
        </w:rPr>
        <w:t xml:space="preserve">non-indigenous bird </w:t>
      </w:r>
      <w:r w:rsidR="0093244D" w:rsidRPr="0093244D">
        <w:rPr>
          <w:rFonts w:ascii="Arial" w:hAnsi="Arial" w:cs="Arial"/>
          <w:color w:val="53565A"/>
          <w:sz w:val="20"/>
          <w:szCs w:val="20"/>
        </w:rPr>
        <w:t>species with known pest impacts w</w:t>
      </w:r>
      <w:r w:rsidR="0093244D">
        <w:rPr>
          <w:rFonts w:ascii="Arial" w:hAnsi="Arial" w:cs="Arial"/>
          <w:color w:val="53565A"/>
          <w:sz w:val="20"/>
          <w:szCs w:val="20"/>
        </w:rPr>
        <w:t>ill not</w:t>
      </w:r>
      <w:r w:rsidR="0093244D" w:rsidRPr="0093244D">
        <w:rPr>
          <w:rFonts w:ascii="Arial" w:hAnsi="Arial" w:cs="Arial"/>
          <w:color w:val="53565A"/>
          <w:sz w:val="20"/>
          <w:szCs w:val="20"/>
        </w:rPr>
        <w:t xml:space="preserve"> be declared under </w:t>
      </w:r>
      <w:proofErr w:type="spellStart"/>
      <w:r w:rsidR="0093244D" w:rsidRPr="0093244D">
        <w:rPr>
          <w:rFonts w:ascii="Arial" w:hAnsi="Arial" w:cs="Arial"/>
          <w:color w:val="53565A"/>
          <w:sz w:val="20"/>
          <w:szCs w:val="20"/>
        </w:rPr>
        <w:t>CaLP</w:t>
      </w:r>
      <w:proofErr w:type="spellEnd"/>
      <w:r w:rsidR="0093244D" w:rsidRPr="0093244D">
        <w:rPr>
          <w:rFonts w:ascii="Arial" w:hAnsi="Arial" w:cs="Arial"/>
          <w:color w:val="53565A"/>
          <w:sz w:val="20"/>
          <w:szCs w:val="20"/>
        </w:rPr>
        <w:t>.</w:t>
      </w:r>
    </w:p>
    <w:p w14:paraId="6E9A8744"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The government will support relevant research and the provision of advice, for the management of these species in the wild, where appropriate. For example, humane methods to control certain pest species.</w:t>
      </w:r>
    </w:p>
    <w:p w14:paraId="394433D1" w14:textId="72F38EA3" w:rsidR="000364AC" w:rsidRPr="006770ED"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Problem birds or flocks should be managed at the discretion of landowners </w:t>
      </w:r>
      <w:proofErr w:type="gramStart"/>
      <w:r w:rsidRPr="000364AC">
        <w:rPr>
          <w:rFonts w:ascii="Arial" w:hAnsi="Arial" w:cs="Arial"/>
          <w:color w:val="53565A"/>
          <w:sz w:val="20"/>
          <w:szCs w:val="20"/>
        </w:rPr>
        <w:t>as long as</w:t>
      </w:r>
      <w:proofErr w:type="gramEnd"/>
      <w:r w:rsidRPr="000364AC">
        <w:rPr>
          <w:rFonts w:ascii="Arial" w:hAnsi="Arial" w:cs="Arial"/>
          <w:color w:val="53565A"/>
          <w:sz w:val="20"/>
          <w:szCs w:val="20"/>
        </w:rPr>
        <w:t xml:space="preserve"> the management complies with other relevant legislation, such as animal welfare.</w:t>
      </w:r>
      <w:r w:rsidR="00470620">
        <w:rPr>
          <w:rFonts w:ascii="Arial" w:hAnsi="Arial" w:cs="Arial"/>
          <w:color w:val="53565A"/>
          <w:sz w:val="20"/>
          <w:szCs w:val="20"/>
        </w:rPr>
        <w:t xml:space="preserve"> </w:t>
      </w:r>
      <w:r w:rsidR="005043CC" w:rsidRPr="00A629DC">
        <w:rPr>
          <w:rFonts w:ascii="Arial" w:hAnsi="Arial" w:cs="Arial"/>
          <w:color w:val="53565A"/>
          <w:sz w:val="20"/>
          <w:szCs w:val="20"/>
        </w:rPr>
        <w:t>E</w:t>
      </w:r>
      <w:r w:rsidR="00607023" w:rsidRPr="00A629DC">
        <w:rPr>
          <w:rFonts w:ascii="Arial" w:hAnsi="Arial" w:cs="Arial"/>
          <w:color w:val="53565A"/>
          <w:sz w:val="20"/>
          <w:szCs w:val="20"/>
        </w:rPr>
        <w:t xml:space="preserve">stablished populations of </w:t>
      </w:r>
      <w:r w:rsidR="006770ED" w:rsidRPr="00A629DC">
        <w:rPr>
          <w:rFonts w:ascii="Arial" w:hAnsi="Arial" w:cs="Arial"/>
          <w:color w:val="53565A"/>
          <w:sz w:val="20"/>
          <w:szCs w:val="20"/>
        </w:rPr>
        <w:t xml:space="preserve">non-indigenous </w:t>
      </w:r>
      <w:r w:rsidR="00607023" w:rsidRPr="00A629DC">
        <w:rPr>
          <w:rFonts w:ascii="Arial" w:hAnsi="Arial" w:cs="Arial"/>
          <w:color w:val="53565A"/>
          <w:sz w:val="20"/>
          <w:szCs w:val="20"/>
        </w:rPr>
        <w:t>birds as part of an outbreak of a notifiable disease will be</w:t>
      </w:r>
      <w:r w:rsidR="00470620" w:rsidRPr="00A629DC">
        <w:rPr>
          <w:rFonts w:ascii="Arial" w:hAnsi="Arial" w:cs="Arial"/>
          <w:color w:val="53565A"/>
          <w:sz w:val="20"/>
          <w:szCs w:val="20"/>
        </w:rPr>
        <w:t xml:space="preserve"> managed in accordance with </w:t>
      </w:r>
      <w:r w:rsidR="00607023" w:rsidRPr="00A629DC">
        <w:rPr>
          <w:rFonts w:ascii="Arial" w:hAnsi="Arial" w:cs="Arial"/>
          <w:color w:val="53565A"/>
          <w:sz w:val="20"/>
          <w:szCs w:val="20"/>
        </w:rPr>
        <w:t xml:space="preserve">animal biosecurity </w:t>
      </w:r>
      <w:r w:rsidR="00470620" w:rsidRPr="00A629DC">
        <w:rPr>
          <w:rFonts w:ascii="Arial" w:hAnsi="Arial" w:cs="Arial"/>
          <w:color w:val="53565A"/>
          <w:sz w:val="20"/>
          <w:szCs w:val="20"/>
        </w:rPr>
        <w:t>legislation.</w:t>
      </w:r>
      <w:r w:rsidR="00470620" w:rsidRPr="006770ED">
        <w:rPr>
          <w:rFonts w:ascii="Arial" w:hAnsi="Arial" w:cs="Arial"/>
          <w:color w:val="53565A"/>
          <w:sz w:val="20"/>
          <w:szCs w:val="20"/>
        </w:rPr>
        <w:t xml:space="preserve"> </w:t>
      </w:r>
    </w:p>
    <w:p w14:paraId="0884A163" w14:textId="436207B9" w:rsidR="000364AC" w:rsidRPr="000364AC" w:rsidRDefault="000364AC" w:rsidP="00CF3034">
      <w:pPr>
        <w:pStyle w:val="Heading1"/>
        <w:rPr>
          <w:rFonts w:eastAsia="Arial"/>
        </w:rPr>
      </w:pPr>
      <w:bookmarkStart w:id="27" w:name="_Toc52883525"/>
      <w:bookmarkStart w:id="28" w:name="_Toc80955580"/>
      <w:r w:rsidRPr="000364AC">
        <w:rPr>
          <w:rFonts w:eastAsia="Arial"/>
        </w:rPr>
        <w:t>Risks</w:t>
      </w:r>
      <w:bookmarkEnd w:id="27"/>
      <w:bookmarkEnd w:id="28"/>
    </w:p>
    <w:p w14:paraId="632FF8E0" w14:textId="77777777" w:rsidR="000364AC" w:rsidRPr="000364AC"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0364AC">
        <w:rPr>
          <w:rFonts w:ascii="Arial" w:hAnsi="Arial" w:cs="Arial"/>
          <w:color w:val="53565A"/>
          <w:sz w:val="20"/>
          <w:szCs w:val="20"/>
        </w:rPr>
        <w:t>Responding to incursions of non-indigenous birds may require some reprioritisation of DJPR resources.</w:t>
      </w:r>
    </w:p>
    <w:p w14:paraId="426BA621" w14:textId="26283E0A" w:rsidR="000364AC" w:rsidRPr="000364AC"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0364AC">
        <w:rPr>
          <w:rFonts w:ascii="Arial" w:hAnsi="Arial" w:cs="Arial"/>
          <w:color w:val="53565A"/>
          <w:sz w:val="20"/>
          <w:szCs w:val="20"/>
        </w:rPr>
        <w:t xml:space="preserve">Some species likely to be listed under 3a are widely kept and traded species within Victoria. This situation will create an ongoing unregulated propagule pressure of </w:t>
      </w:r>
      <w:r w:rsidR="00FC2A67" w:rsidRPr="000364AC">
        <w:rPr>
          <w:rFonts w:ascii="Arial" w:hAnsi="Arial" w:cs="Arial"/>
          <w:color w:val="53565A"/>
          <w:sz w:val="20"/>
          <w:szCs w:val="20"/>
        </w:rPr>
        <w:t>high</w:t>
      </w:r>
      <w:r w:rsidR="00FC2A67">
        <w:rPr>
          <w:rFonts w:ascii="Arial" w:hAnsi="Arial" w:cs="Arial"/>
          <w:color w:val="53565A"/>
          <w:sz w:val="20"/>
          <w:szCs w:val="20"/>
        </w:rPr>
        <w:t>-risk</w:t>
      </w:r>
      <w:r w:rsidRPr="000364AC">
        <w:rPr>
          <w:rFonts w:ascii="Arial" w:hAnsi="Arial" w:cs="Arial"/>
          <w:color w:val="53565A"/>
          <w:sz w:val="20"/>
          <w:szCs w:val="20"/>
        </w:rPr>
        <w:t xml:space="preserve"> species. This may make state-wide eradication of such species extremely difficult.</w:t>
      </w:r>
    </w:p>
    <w:p w14:paraId="36D12A63" w14:textId="77777777" w:rsidR="000364AC" w:rsidRPr="000364AC" w:rsidRDefault="000364AC" w:rsidP="001A5272">
      <w:pPr>
        <w:pStyle w:val="ListParagraph"/>
        <w:numPr>
          <w:ilvl w:val="0"/>
          <w:numId w:val="4"/>
        </w:numPr>
        <w:spacing w:before="120" w:after="120"/>
        <w:ind w:left="340" w:hanging="340"/>
        <w:contextualSpacing w:val="0"/>
        <w:rPr>
          <w:rFonts w:ascii="Arial" w:hAnsi="Arial" w:cs="Arial"/>
          <w:color w:val="53565A"/>
          <w:sz w:val="20"/>
          <w:szCs w:val="20"/>
        </w:rPr>
      </w:pPr>
      <w:r w:rsidRPr="000364AC">
        <w:rPr>
          <w:rFonts w:ascii="Arial" w:hAnsi="Arial" w:cs="Arial"/>
          <w:color w:val="53565A"/>
          <w:sz w:val="20"/>
          <w:szCs w:val="20"/>
        </w:rPr>
        <w:t>Effective control options for birds are often limited to the use of firearms in urban areas thereby creating risks. The use of firearms in urban areas has potential to generate public concern and reputational risk to DJPR.</w:t>
      </w:r>
    </w:p>
    <w:p w14:paraId="1153EF1C" w14:textId="420E246E" w:rsidR="000364AC" w:rsidRPr="000364AC" w:rsidRDefault="000364AC" w:rsidP="00CF3034">
      <w:pPr>
        <w:pStyle w:val="Heading1"/>
      </w:pPr>
      <w:bookmarkStart w:id="29" w:name="_Toc52883526"/>
      <w:bookmarkStart w:id="30" w:name="_Toc80955581"/>
      <w:r w:rsidRPr="000364AC">
        <w:t>Responsibilities</w:t>
      </w:r>
      <w:bookmarkEnd w:id="29"/>
      <w:bookmarkEnd w:id="30"/>
      <w:r w:rsidR="001618C1" w:rsidRPr="00FC2A67">
        <w:t xml:space="preserve"> </w:t>
      </w:r>
    </w:p>
    <w:p w14:paraId="5C08C22A"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 xml:space="preserve">DJPR will take a risk-based approach to managing non-indigenous birds in Victoria, in line with the nationally agreed principles of risk management. </w:t>
      </w:r>
    </w:p>
    <w:p w14:paraId="0A0AD155" w14:textId="11267256" w:rsidR="00FC2A67"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Decisions are not based on ‘zero risk’ but rather on an ‘acceptable level of risk’ that is determined by a structured assessment and maintained at that level by the adoption of risk management and communication strategies.</w:t>
      </w:r>
      <w:r w:rsidR="001618C1">
        <w:rPr>
          <w:rFonts w:ascii="Arial" w:hAnsi="Arial" w:cs="Arial"/>
          <w:color w:val="53565A"/>
          <w:sz w:val="20"/>
          <w:szCs w:val="20"/>
        </w:rPr>
        <w:t xml:space="preserve"> </w:t>
      </w:r>
    </w:p>
    <w:p w14:paraId="3FC89D53" w14:textId="1D2894D2" w:rsidR="000364AC" w:rsidRPr="000364AC" w:rsidRDefault="000364AC" w:rsidP="00CF3034">
      <w:pPr>
        <w:pStyle w:val="Heading1"/>
      </w:pPr>
      <w:bookmarkStart w:id="31" w:name="_Toc52883527"/>
      <w:bookmarkStart w:id="32" w:name="_Toc80955582"/>
      <w:r w:rsidRPr="000364AC">
        <w:t>Information and resources</w:t>
      </w:r>
      <w:bookmarkEnd w:id="31"/>
      <w:bookmarkEnd w:id="32"/>
    </w:p>
    <w:p w14:paraId="0E485099" w14:textId="7D8B0994"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Non-indigenous bird species can have significant potential and realised impacts to Victoria’s environment, primary production, human health</w:t>
      </w:r>
      <w:r w:rsidR="00683062">
        <w:rPr>
          <w:rFonts w:ascii="Arial" w:hAnsi="Arial" w:cs="Arial"/>
          <w:color w:val="53565A"/>
          <w:sz w:val="20"/>
          <w:szCs w:val="20"/>
        </w:rPr>
        <w:t>,</w:t>
      </w:r>
      <w:r w:rsidRPr="000364AC">
        <w:rPr>
          <w:rFonts w:ascii="Arial" w:hAnsi="Arial" w:cs="Arial"/>
          <w:color w:val="53565A"/>
          <w:sz w:val="20"/>
          <w:szCs w:val="20"/>
        </w:rPr>
        <w:t xml:space="preserve"> and social amenity. For example, lost horticultural and other crop production, reduced amenity value in urban areas, risk to aviation safety and threat to native bird species.</w:t>
      </w:r>
    </w:p>
    <w:p w14:paraId="0748B016" w14:textId="56185CC8"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This policy reduces the threat posed by non-indigenous bird species to Victoria’s environment, primary production, human health</w:t>
      </w:r>
      <w:r w:rsidR="00623A3C">
        <w:rPr>
          <w:rFonts w:ascii="Arial" w:hAnsi="Arial" w:cs="Arial"/>
          <w:color w:val="53565A"/>
          <w:sz w:val="20"/>
          <w:szCs w:val="20"/>
        </w:rPr>
        <w:t>,</w:t>
      </w:r>
      <w:r w:rsidRPr="000364AC">
        <w:rPr>
          <w:rFonts w:ascii="Arial" w:hAnsi="Arial" w:cs="Arial"/>
          <w:color w:val="53565A"/>
          <w:sz w:val="20"/>
          <w:szCs w:val="20"/>
        </w:rPr>
        <w:t xml:space="preserve"> and social amenity. </w:t>
      </w:r>
    </w:p>
    <w:p w14:paraId="0A97FFCE"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Victoria’s policy position in relation to management of non-indigenous vertebrates is guided by the Invasive Plants and Animals Policy Framework and aligns to the EIC Guidelines.</w:t>
      </w:r>
    </w:p>
    <w:p w14:paraId="043D4414" w14:textId="00E4F607" w:rsidR="000364AC" w:rsidRPr="000364AC" w:rsidRDefault="000364AC" w:rsidP="00CF3034">
      <w:pPr>
        <w:pStyle w:val="Heading1"/>
      </w:pPr>
      <w:bookmarkStart w:id="33" w:name="_Toc52883528"/>
      <w:bookmarkStart w:id="34" w:name="_Toc80955583"/>
      <w:r w:rsidRPr="000364AC">
        <w:lastRenderedPageBreak/>
        <w:t>Acts</w:t>
      </w:r>
      <w:bookmarkEnd w:id="33"/>
      <w:bookmarkEnd w:id="34"/>
    </w:p>
    <w:p w14:paraId="3D695642" w14:textId="3255520C" w:rsidR="000364AC" w:rsidRPr="000364AC" w:rsidRDefault="000364AC" w:rsidP="000364AC">
      <w:pPr>
        <w:spacing w:after="120"/>
        <w:rPr>
          <w:rFonts w:ascii="Arial" w:hAnsi="Arial" w:cs="Arial"/>
          <w:i/>
          <w:iCs/>
          <w:color w:val="53565A"/>
          <w:sz w:val="20"/>
          <w:szCs w:val="20"/>
        </w:rPr>
      </w:pPr>
      <w:r w:rsidRPr="000364AC">
        <w:rPr>
          <w:rFonts w:ascii="Arial" w:hAnsi="Arial" w:cs="Arial"/>
          <w:i/>
          <w:iCs/>
          <w:color w:val="53565A"/>
          <w:sz w:val="20"/>
          <w:szCs w:val="20"/>
        </w:rPr>
        <w:t xml:space="preserve">Catchment and Land Protection Act 1994 </w:t>
      </w:r>
    </w:p>
    <w:p w14:paraId="0D1EF527" w14:textId="560C757A" w:rsidR="000364AC" w:rsidRPr="000364AC" w:rsidRDefault="000364AC" w:rsidP="000364AC">
      <w:pPr>
        <w:spacing w:after="120"/>
        <w:rPr>
          <w:rFonts w:ascii="Arial" w:hAnsi="Arial" w:cs="Arial"/>
          <w:i/>
          <w:iCs/>
          <w:color w:val="53565A"/>
          <w:sz w:val="20"/>
          <w:szCs w:val="20"/>
        </w:rPr>
      </w:pPr>
      <w:r w:rsidRPr="000364AC">
        <w:rPr>
          <w:rFonts w:ascii="Arial" w:hAnsi="Arial" w:cs="Arial"/>
          <w:i/>
          <w:iCs/>
          <w:color w:val="53565A"/>
          <w:sz w:val="20"/>
          <w:szCs w:val="20"/>
        </w:rPr>
        <w:t>Wildlife Act 1975</w:t>
      </w:r>
    </w:p>
    <w:p w14:paraId="77AF7E1B" w14:textId="47CD6AEB" w:rsidR="000364AC" w:rsidRPr="000364AC" w:rsidRDefault="000364AC" w:rsidP="000364AC">
      <w:pPr>
        <w:spacing w:after="120"/>
        <w:rPr>
          <w:rFonts w:ascii="Arial" w:hAnsi="Arial" w:cs="Arial"/>
          <w:i/>
          <w:iCs/>
          <w:color w:val="53565A"/>
          <w:sz w:val="20"/>
          <w:szCs w:val="20"/>
        </w:rPr>
      </w:pPr>
      <w:r w:rsidRPr="000364AC">
        <w:rPr>
          <w:rFonts w:ascii="Arial" w:hAnsi="Arial" w:cs="Arial"/>
          <w:i/>
          <w:iCs/>
          <w:color w:val="53565A"/>
          <w:sz w:val="20"/>
          <w:szCs w:val="20"/>
        </w:rPr>
        <w:t xml:space="preserve">Prevention of Cruelty to Animals Act 1986 </w:t>
      </w:r>
    </w:p>
    <w:p w14:paraId="2285C0B4" w14:textId="397DDF61" w:rsidR="000364AC" w:rsidRPr="000364AC" w:rsidRDefault="000364AC" w:rsidP="00CF3034">
      <w:pPr>
        <w:pStyle w:val="Heading1"/>
      </w:pPr>
      <w:bookmarkStart w:id="35" w:name="_Toc52883529"/>
      <w:bookmarkStart w:id="36" w:name="_Toc80955584"/>
      <w:r w:rsidRPr="000364AC">
        <w:t>Regulations</w:t>
      </w:r>
      <w:bookmarkEnd w:id="35"/>
      <w:bookmarkEnd w:id="36"/>
    </w:p>
    <w:p w14:paraId="003E8CA4" w14:textId="77777777" w:rsidR="000364AC" w:rsidRPr="000364AC" w:rsidRDefault="000364AC" w:rsidP="000364AC">
      <w:pPr>
        <w:spacing w:after="120"/>
        <w:rPr>
          <w:rFonts w:ascii="Arial" w:hAnsi="Arial" w:cs="Arial"/>
          <w:color w:val="53565A"/>
          <w:sz w:val="20"/>
          <w:szCs w:val="20"/>
        </w:rPr>
      </w:pPr>
      <w:r w:rsidRPr="000364AC">
        <w:rPr>
          <w:rFonts w:ascii="Arial" w:hAnsi="Arial" w:cs="Arial"/>
          <w:color w:val="53565A"/>
          <w:sz w:val="20"/>
          <w:szCs w:val="20"/>
        </w:rPr>
        <w:t>Wildlife (Game) Regulations 2012</w:t>
      </w:r>
    </w:p>
    <w:p w14:paraId="7AA61B7C" w14:textId="6D9DB8CB" w:rsidR="000364AC" w:rsidRPr="000364AC" w:rsidRDefault="000364AC" w:rsidP="00CF3034">
      <w:pPr>
        <w:pStyle w:val="Heading1"/>
      </w:pPr>
      <w:bookmarkStart w:id="37" w:name="_Toc52883530"/>
      <w:bookmarkStart w:id="38" w:name="_Toc80955585"/>
      <w:r w:rsidRPr="000364AC">
        <w:t>Glossary/Definitions</w:t>
      </w:r>
      <w:bookmarkEnd w:id="37"/>
      <w:bookmarkEnd w:id="38"/>
      <w:r w:rsidRPr="000364AC">
        <w:t xml:space="preserve"> </w:t>
      </w:r>
    </w:p>
    <w:p w14:paraId="1EB95795" w14:textId="77777777" w:rsidR="001618C1" w:rsidRPr="001618C1" w:rsidRDefault="001618C1" w:rsidP="001618C1">
      <w:pPr>
        <w:spacing w:after="120"/>
        <w:rPr>
          <w:rFonts w:ascii="Arial" w:hAnsi="Arial" w:cs="Arial"/>
          <w:color w:val="53565A"/>
          <w:sz w:val="20"/>
          <w:szCs w:val="20"/>
        </w:rPr>
      </w:pPr>
      <w:bookmarkStart w:id="39" w:name="_Toc52883531"/>
      <w:proofErr w:type="spellStart"/>
      <w:r w:rsidRPr="001618C1">
        <w:rPr>
          <w:rFonts w:ascii="Arial" w:eastAsia="Arial" w:hAnsi="Arial" w:cs="Arial"/>
          <w:b/>
          <w:color w:val="53565A"/>
          <w:sz w:val="20"/>
          <w:szCs w:val="20"/>
        </w:rPr>
        <w:t>CaLP</w:t>
      </w:r>
      <w:proofErr w:type="spellEnd"/>
      <w:r w:rsidRPr="001618C1">
        <w:rPr>
          <w:rFonts w:ascii="Arial" w:eastAsia="Arial" w:hAnsi="Arial" w:cs="Arial"/>
          <w:b/>
          <w:color w:val="53565A"/>
          <w:sz w:val="20"/>
          <w:szCs w:val="20"/>
        </w:rPr>
        <w:t xml:space="preserve"> Act</w:t>
      </w:r>
      <w:r w:rsidRPr="001618C1">
        <w:rPr>
          <w:rFonts w:ascii="Arial" w:hAnsi="Arial" w:cs="Arial"/>
          <w:color w:val="53565A"/>
          <w:sz w:val="20"/>
          <w:szCs w:val="20"/>
        </w:rPr>
        <w:t xml:space="preserve"> – The </w:t>
      </w:r>
      <w:r w:rsidRPr="001618C1">
        <w:rPr>
          <w:rFonts w:ascii="Arial" w:hAnsi="Arial" w:cs="Arial"/>
          <w:i/>
          <w:iCs/>
          <w:color w:val="53565A"/>
          <w:sz w:val="20"/>
          <w:szCs w:val="20"/>
        </w:rPr>
        <w:t>Catchment and Land Protection Act 1994</w:t>
      </w:r>
      <w:r w:rsidRPr="001618C1">
        <w:rPr>
          <w:rFonts w:ascii="Arial" w:hAnsi="Arial" w:cs="Arial"/>
          <w:color w:val="53565A"/>
          <w:sz w:val="20"/>
          <w:szCs w:val="20"/>
        </w:rPr>
        <w:t xml:space="preserve"> is the current main legislation covering noxious weed and pest animal management in Victoria and provides the power to declare species of plants and animals as noxious. One of the main objectives is to protect primary production, Crown land, the environment and community health from the threats posed by noxious weeds and pest animals.</w:t>
      </w:r>
    </w:p>
    <w:p w14:paraId="4761C1A0" w14:textId="35AFF396"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Complex husbandry</w:t>
      </w:r>
      <w:r w:rsidRPr="001618C1">
        <w:rPr>
          <w:rFonts w:ascii="Arial" w:hAnsi="Arial" w:cs="Arial"/>
          <w:color w:val="53565A"/>
          <w:sz w:val="20"/>
          <w:szCs w:val="20"/>
        </w:rPr>
        <w:t xml:space="preserve"> – husbandry that involves a complicated or elaborate arrangement for the keeping of an animal. It can relate </w:t>
      </w:r>
      <w:r w:rsidR="00166DA4" w:rsidRPr="001618C1">
        <w:rPr>
          <w:rFonts w:ascii="Arial" w:hAnsi="Arial" w:cs="Arial"/>
          <w:color w:val="53565A"/>
          <w:sz w:val="20"/>
          <w:szCs w:val="20"/>
        </w:rPr>
        <w:t>to</w:t>
      </w:r>
      <w:r w:rsidRPr="001618C1">
        <w:rPr>
          <w:rFonts w:ascii="Arial" w:hAnsi="Arial" w:cs="Arial"/>
          <w:color w:val="53565A"/>
          <w:sz w:val="20"/>
          <w:szCs w:val="20"/>
        </w:rPr>
        <w:t xml:space="preserve"> nutritional requirements; environmental requirements, </w:t>
      </w:r>
      <w:proofErr w:type="gramStart"/>
      <w:r w:rsidRPr="001618C1">
        <w:rPr>
          <w:rFonts w:ascii="Arial" w:hAnsi="Arial" w:cs="Arial"/>
          <w:color w:val="53565A"/>
          <w:sz w:val="20"/>
          <w:szCs w:val="20"/>
        </w:rPr>
        <w:t>e.g.</w:t>
      </w:r>
      <w:proofErr w:type="gramEnd"/>
      <w:r w:rsidRPr="001618C1">
        <w:rPr>
          <w:rFonts w:ascii="Arial" w:hAnsi="Arial" w:cs="Arial"/>
          <w:color w:val="53565A"/>
          <w:sz w:val="20"/>
          <w:szCs w:val="20"/>
        </w:rPr>
        <w:t xml:space="preserve"> high humidity, low temperatures; infrastructure requirements, e.g.  enclosure security, nesting material, </w:t>
      </w:r>
      <w:proofErr w:type="gramStart"/>
      <w:r w:rsidRPr="001618C1">
        <w:rPr>
          <w:rFonts w:ascii="Arial" w:hAnsi="Arial" w:cs="Arial"/>
          <w:color w:val="53565A"/>
          <w:sz w:val="20"/>
          <w:szCs w:val="20"/>
        </w:rPr>
        <w:t>refuges</w:t>
      </w:r>
      <w:proofErr w:type="gramEnd"/>
      <w:r w:rsidRPr="001618C1">
        <w:rPr>
          <w:rFonts w:ascii="Arial" w:hAnsi="Arial" w:cs="Arial"/>
          <w:color w:val="53565A"/>
          <w:sz w:val="20"/>
          <w:szCs w:val="20"/>
        </w:rPr>
        <w:t xml:space="preserve"> and substrates; and environmental and behavioural enrichment requirements. </w:t>
      </w:r>
    </w:p>
    <w:p w14:paraId="0C4DF071" w14:textId="77777777"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EIC</w:t>
      </w:r>
      <w:r w:rsidRPr="001618C1">
        <w:rPr>
          <w:rFonts w:ascii="Arial" w:hAnsi="Arial" w:cs="Arial"/>
          <w:color w:val="53565A"/>
          <w:sz w:val="20"/>
          <w:szCs w:val="20"/>
        </w:rPr>
        <w:t xml:space="preserve"> – The national Environment and Invasive Committee, a cross-jurisdictional sectoral sub-committee of the National Biosecurity Committee.</w:t>
      </w:r>
    </w:p>
    <w:p w14:paraId="250DE64F" w14:textId="77777777"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EIC Guidelines</w:t>
      </w:r>
      <w:r w:rsidRPr="001618C1">
        <w:rPr>
          <w:rFonts w:ascii="Arial" w:hAnsi="Arial" w:cs="Arial"/>
          <w:color w:val="53565A"/>
          <w:sz w:val="20"/>
          <w:szCs w:val="20"/>
        </w:rPr>
        <w:t xml:space="preserve"> – ‘Guidelines for the Import, Movement and Keeping of Non-indigenous Vertebrates in Australia’, a national document which outlines a national approach within the context of Australian Government, State and Territory legislation to minimise the risks posed by the importation (both into Australia and from one jurisdiction to another), movement and keeping of non-indigenous vertebrates. The EIC Guidelines explain how the EIC defines the establishment risk posed to Australia by a non-indigenous vertebrate and subsequent allocation of a species to a threat category (defined as ‘EIC Threat Category’). </w:t>
      </w:r>
    </w:p>
    <w:p w14:paraId="21493493" w14:textId="77777777"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EIC threat category</w:t>
      </w:r>
      <w:r w:rsidRPr="001618C1">
        <w:rPr>
          <w:rFonts w:ascii="Arial" w:hAnsi="Arial" w:cs="Arial"/>
          <w:color w:val="53565A"/>
          <w:sz w:val="20"/>
          <w:szCs w:val="20"/>
        </w:rPr>
        <w:t xml:space="preserve"> – there are four threat categories: extreme, serious, </w:t>
      </w:r>
      <w:proofErr w:type="gramStart"/>
      <w:r w:rsidRPr="001618C1">
        <w:rPr>
          <w:rFonts w:ascii="Arial" w:hAnsi="Arial" w:cs="Arial"/>
          <w:color w:val="53565A"/>
          <w:sz w:val="20"/>
          <w:szCs w:val="20"/>
        </w:rPr>
        <w:t>moderate</w:t>
      </w:r>
      <w:proofErr w:type="gramEnd"/>
      <w:r w:rsidRPr="001618C1">
        <w:rPr>
          <w:rFonts w:ascii="Arial" w:hAnsi="Arial" w:cs="Arial"/>
          <w:color w:val="53565A"/>
          <w:sz w:val="20"/>
          <w:szCs w:val="20"/>
        </w:rPr>
        <w:t xml:space="preserve"> or low. Ranking assigned to a vertebrate: for birds and mammals, derived from a combination of the Public Safety Risk Rank, Establishment Risk Rank, and Pest Risk Rank; for reptiles and amphibians a combination of the Establishment Risk Rank and an Extreme Pest Risk Rank.  </w:t>
      </w:r>
    </w:p>
    <w:p w14:paraId="1072B702" w14:textId="77777777"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Low Threat</w:t>
      </w:r>
      <w:r w:rsidRPr="001618C1">
        <w:rPr>
          <w:rFonts w:ascii="Arial" w:hAnsi="Arial" w:cs="Arial"/>
          <w:color w:val="53565A"/>
          <w:sz w:val="20"/>
          <w:szCs w:val="20"/>
        </w:rPr>
        <w:t xml:space="preserve"> – species in this category, relative to other species, are predicted, using the current risk assessment models to pose a low risk of becoming a problem for the environment, primary production or social values including public safety. The keeping of Low Threat species may not be restricted by the EIC Guidelines, although individual States/Territories may impose restrictions necessary for protection within their jurisdictions as a precautionary measure. Additional factors may restrict the keeping of Low Threat species, such as conservation status and biosecurity considerations including animal welfare.</w:t>
      </w:r>
    </w:p>
    <w:p w14:paraId="1BE385C5" w14:textId="77777777"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Moderate Threat</w:t>
      </w:r>
      <w:r w:rsidRPr="001618C1">
        <w:rPr>
          <w:rFonts w:ascii="Arial" w:hAnsi="Arial" w:cs="Arial"/>
          <w:color w:val="53565A"/>
          <w:sz w:val="20"/>
          <w:szCs w:val="20"/>
        </w:rPr>
        <w:t xml:space="preserve"> – species in this category may be restricted to collections approved and registered by the relevant State/Territory authority in line with the principles outlined. Additional factors may restrict the keeping of Moderate Threat species, such as conservation status and biosecurity considerations including animal welfare.</w:t>
      </w:r>
    </w:p>
    <w:p w14:paraId="1699E89F" w14:textId="77777777" w:rsidR="009027F8" w:rsidRDefault="001618C1" w:rsidP="009027F8">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Serious Threat</w:t>
      </w:r>
      <w:r w:rsidRPr="001618C1">
        <w:rPr>
          <w:rFonts w:ascii="Arial" w:hAnsi="Arial" w:cs="Arial"/>
          <w:color w:val="53565A"/>
          <w:sz w:val="20"/>
          <w:szCs w:val="20"/>
        </w:rPr>
        <w:t xml:space="preserve"> – species in this category may be introduced and/or should be kept only in collections approved by the relevant State/Territory authority as being primarily kept for public display and education purposes, and/or for genuine scientific research approved by the relevant State/Territory authority. NB: The term ‘Serious’ is interchangeable with the term ‘High’, which has been used in some risk assessment documentation for vertebrates in Australia.</w:t>
      </w:r>
    </w:p>
    <w:p w14:paraId="33CEA78B" w14:textId="77777777" w:rsidR="009027F8" w:rsidRDefault="009027F8" w:rsidP="009027F8">
      <w:pPr>
        <w:pStyle w:val="ListParagraph"/>
        <w:numPr>
          <w:ilvl w:val="0"/>
          <w:numId w:val="4"/>
        </w:numPr>
        <w:spacing w:before="120" w:after="120"/>
        <w:ind w:left="340" w:hanging="340"/>
        <w:contextualSpacing w:val="0"/>
        <w:rPr>
          <w:rFonts w:ascii="Arial" w:hAnsi="Arial" w:cs="Arial"/>
          <w:color w:val="53565A"/>
          <w:sz w:val="20"/>
          <w:szCs w:val="20"/>
        </w:rPr>
      </w:pPr>
      <w:r w:rsidRPr="009027F8">
        <w:rPr>
          <w:rFonts w:ascii="Arial" w:hAnsi="Arial" w:cs="Arial"/>
          <w:b/>
          <w:bCs/>
          <w:color w:val="53565A"/>
          <w:sz w:val="20"/>
          <w:szCs w:val="20"/>
        </w:rPr>
        <w:t>Extreme Threat</w:t>
      </w:r>
      <w:r w:rsidRPr="009027F8">
        <w:rPr>
          <w:rFonts w:ascii="Arial" w:hAnsi="Arial" w:cs="Arial"/>
          <w:color w:val="53565A"/>
          <w:sz w:val="20"/>
          <w:szCs w:val="20"/>
        </w:rPr>
        <w:t xml:space="preserve"> – species in this category should not be allowed to enter Australia, nor be kept in any State or Territory unless sufficient risk management measures exist to reduce the potential risks to an acceptable level. These measures should also be agreed to by all relevant authorities who oversee the responsibility for the on-going management of the species. </w:t>
      </w:r>
    </w:p>
    <w:p w14:paraId="59A39DF1" w14:textId="08390F25" w:rsidR="009027F8" w:rsidRPr="009027F8" w:rsidRDefault="009027F8" w:rsidP="004404F9">
      <w:pPr>
        <w:pStyle w:val="ListParagraph"/>
        <w:spacing w:before="120" w:after="120"/>
        <w:ind w:left="340"/>
        <w:contextualSpacing w:val="0"/>
        <w:rPr>
          <w:rFonts w:ascii="Arial" w:hAnsi="Arial" w:cs="Arial"/>
          <w:color w:val="53565A"/>
          <w:sz w:val="20"/>
          <w:szCs w:val="20"/>
        </w:rPr>
      </w:pPr>
      <w:r w:rsidRPr="009027F8">
        <w:rPr>
          <w:rFonts w:ascii="Arial" w:hAnsi="Arial" w:cs="Arial"/>
          <w:color w:val="53565A"/>
          <w:sz w:val="20"/>
          <w:szCs w:val="20"/>
        </w:rPr>
        <w:t xml:space="preserve">If a species has not been assessed or if there is insufficient information to be able to adopt the risk analysis approach, a precautionary approach will be adopted where the species will be assigned </w:t>
      </w:r>
      <w:r w:rsidRPr="009027F8">
        <w:rPr>
          <w:rFonts w:ascii="Arial" w:hAnsi="Arial" w:cs="Arial"/>
          <w:color w:val="53565A"/>
          <w:sz w:val="20"/>
          <w:szCs w:val="20"/>
        </w:rPr>
        <w:lastRenderedPageBreak/>
        <w:t xml:space="preserve">an </w:t>
      </w:r>
      <w:r w:rsidRPr="009027F8">
        <w:rPr>
          <w:rFonts w:ascii="Arial" w:hAnsi="Arial" w:cs="Arial"/>
          <w:b/>
          <w:bCs/>
          <w:color w:val="53565A"/>
          <w:sz w:val="20"/>
          <w:szCs w:val="20"/>
        </w:rPr>
        <w:t>Extreme (P) Threat category</w:t>
      </w:r>
      <w:r w:rsidRPr="009027F8">
        <w:rPr>
          <w:rFonts w:ascii="Arial" w:hAnsi="Arial" w:cs="Arial"/>
          <w:color w:val="53565A"/>
          <w:sz w:val="20"/>
          <w:szCs w:val="20"/>
        </w:rPr>
        <w:t xml:space="preserve">, where ‘P’ stands for precautionary, until it is assessed as belonging to another threat category. Using the precautionary approach, any species should </w:t>
      </w:r>
      <w:proofErr w:type="gramStart"/>
      <w:r w:rsidRPr="009027F8">
        <w:rPr>
          <w:rFonts w:ascii="Arial" w:hAnsi="Arial" w:cs="Arial"/>
          <w:color w:val="53565A"/>
          <w:sz w:val="20"/>
          <w:szCs w:val="20"/>
        </w:rPr>
        <w:t>be considered to be</w:t>
      </w:r>
      <w:proofErr w:type="gramEnd"/>
      <w:r w:rsidRPr="009027F8">
        <w:rPr>
          <w:rFonts w:ascii="Arial" w:hAnsi="Arial" w:cs="Arial"/>
          <w:color w:val="53565A"/>
          <w:sz w:val="20"/>
          <w:szCs w:val="20"/>
        </w:rPr>
        <w:t xml:space="preserve"> in the Extreme Threat Category and should be treated accordingly, until a risk assessment is conducted. However, it should be noted that a formal risk assessment may indicate that the species should remain as Extreme Threat based on the outcome of the assessment.</w:t>
      </w:r>
      <w:r w:rsidRPr="009027F8">
        <w:rPr>
          <w:rFonts w:ascii="Arial" w:eastAsia="Arial" w:hAnsi="Arial" w:cs="Arial"/>
          <w:b/>
          <w:color w:val="53565A"/>
          <w:sz w:val="20"/>
          <w:szCs w:val="20"/>
        </w:rPr>
        <w:t xml:space="preserve"> </w:t>
      </w:r>
    </w:p>
    <w:p w14:paraId="66C37035" w14:textId="667EABAA"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 xml:space="preserve">Incursion </w:t>
      </w:r>
      <w:r w:rsidRPr="001618C1">
        <w:rPr>
          <w:rFonts w:ascii="Arial" w:hAnsi="Arial" w:cs="Arial"/>
          <w:color w:val="53565A"/>
          <w:sz w:val="20"/>
          <w:szCs w:val="20"/>
        </w:rPr>
        <w:t>– An isolated population of a pest recently detected in an area, not known to be established, but expected to survive for the immediate future.</w:t>
      </w:r>
    </w:p>
    <w:p w14:paraId="72B4862E" w14:textId="11242C15"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Non-indigenous bird</w:t>
      </w:r>
      <w:r w:rsidRPr="001618C1">
        <w:rPr>
          <w:rFonts w:ascii="Arial" w:hAnsi="Arial" w:cs="Arial"/>
          <w:color w:val="53565A"/>
          <w:sz w:val="20"/>
          <w:szCs w:val="20"/>
        </w:rPr>
        <w:t xml:space="preserve"> – A species of bird that is not native to Australia.</w:t>
      </w:r>
    </w:p>
    <w:p w14:paraId="128C8641" w14:textId="3CEB3B95" w:rsidR="001618C1" w:rsidRPr="001618C1" w:rsidRDefault="001618C1" w:rsidP="001618C1">
      <w:pPr>
        <w:spacing w:after="120"/>
        <w:rPr>
          <w:rFonts w:ascii="Arial" w:hAnsi="Arial" w:cs="Arial"/>
          <w:color w:val="53565A"/>
          <w:sz w:val="20"/>
          <w:szCs w:val="20"/>
        </w:rPr>
      </w:pPr>
      <w:r w:rsidRPr="001618C1">
        <w:rPr>
          <w:rFonts w:ascii="Arial" w:eastAsia="Arial" w:hAnsi="Arial" w:cs="Arial"/>
          <w:b/>
          <w:color w:val="53565A"/>
          <w:sz w:val="20"/>
          <w:szCs w:val="20"/>
        </w:rPr>
        <w:t>Pest animal</w:t>
      </w:r>
      <w:r w:rsidRPr="001618C1">
        <w:rPr>
          <w:rFonts w:ascii="Arial" w:hAnsi="Arial" w:cs="Arial"/>
          <w:color w:val="53565A"/>
          <w:sz w:val="20"/>
          <w:szCs w:val="20"/>
        </w:rPr>
        <w:t xml:space="preserve"> – An animal species declared under the </w:t>
      </w:r>
      <w:proofErr w:type="spellStart"/>
      <w:r w:rsidRPr="001618C1">
        <w:rPr>
          <w:rFonts w:ascii="Arial" w:hAnsi="Arial" w:cs="Arial"/>
          <w:color w:val="53565A"/>
          <w:sz w:val="20"/>
          <w:szCs w:val="20"/>
        </w:rPr>
        <w:t>CaLP</w:t>
      </w:r>
      <w:proofErr w:type="spellEnd"/>
      <w:r w:rsidRPr="001618C1">
        <w:rPr>
          <w:rFonts w:ascii="Arial" w:hAnsi="Arial" w:cs="Arial"/>
          <w:color w:val="53565A"/>
          <w:sz w:val="20"/>
          <w:szCs w:val="20"/>
        </w:rPr>
        <w:t xml:space="preserve"> Act. Pest animals are, or have the potential to be, a serious threat to primary production, Crown land, the environment or community health in Victoria. </w:t>
      </w:r>
    </w:p>
    <w:p w14:paraId="340722B0" w14:textId="5A71DA90" w:rsidR="001618C1" w:rsidRPr="001618C1" w:rsidRDefault="001618C1" w:rsidP="001618C1">
      <w:pPr>
        <w:spacing w:after="120"/>
        <w:rPr>
          <w:rFonts w:ascii="Arial" w:hAnsi="Arial" w:cs="Arial"/>
          <w:color w:val="53565A"/>
          <w:sz w:val="20"/>
          <w:szCs w:val="20"/>
        </w:rPr>
      </w:pPr>
      <w:r w:rsidRPr="001618C1">
        <w:rPr>
          <w:rFonts w:ascii="Arial" w:hAnsi="Arial" w:cs="Arial"/>
          <w:color w:val="53565A"/>
          <w:sz w:val="20"/>
          <w:szCs w:val="20"/>
        </w:rPr>
        <w:t xml:space="preserve">There are four categories of pest animals: </w:t>
      </w:r>
    </w:p>
    <w:p w14:paraId="10CA80D3" w14:textId="4690AE9E"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Prohibited pest animals</w:t>
      </w:r>
      <w:r w:rsidRPr="001618C1">
        <w:rPr>
          <w:rFonts w:ascii="Arial" w:hAnsi="Arial" w:cs="Arial"/>
          <w:color w:val="53565A"/>
          <w:sz w:val="20"/>
          <w:szCs w:val="20"/>
        </w:rPr>
        <w:t xml:space="preserve"> – Does not occur naturally in Australia, is a serious threat to primary production, Crown land, the environment or community health in a place outside Victoria (or its potential threat in Victoria is unknown) and the importation, keeping and sale should be banned.</w:t>
      </w:r>
    </w:p>
    <w:p w14:paraId="43BCCBAF" w14:textId="557A0388"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Controlled pest animals</w:t>
      </w:r>
      <w:r w:rsidRPr="001618C1">
        <w:rPr>
          <w:rFonts w:ascii="Arial" w:hAnsi="Arial" w:cs="Arial"/>
          <w:color w:val="53565A"/>
          <w:sz w:val="20"/>
          <w:szCs w:val="20"/>
        </w:rPr>
        <w:t xml:space="preserve"> – Does not occur naturally in Australia, has a high potential to become a serious threat to primary production, Crown land, the environment or community health in Victoria and should only be kept in approved high-security collections.</w:t>
      </w:r>
    </w:p>
    <w:p w14:paraId="3CDED8C8" w14:textId="59AD5D84"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Regulated pest animals</w:t>
      </w:r>
      <w:r w:rsidRPr="001618C1">
        <w:rPr>
          <w:rFonts w:ascii="Arial" w:hAnsi="Arial" w:cs="Arial"/>
          <w:color w:val="53565A"/>
          <w:sz w:val="20"/>
          <w:szCs w:val="20"/>
        </w:rPr>
        <w:t xml:space="preserve"> – Does not occur naturally in Australia, has the potential to become a serious threat to primary production, Crown land, the environment or community health in Victoria and should only be kept in approved collections.</w:t>
      </w:r>
    </w:p>
    <w:p w14:paraId="4C2F5330" w14:textId="2F154EB6" w:rsidR="001618C1" w:rsidRPr="001618C1" w:rsidRDefault="001618C1" w:rsidP="001A5272">
      <w:pPr>
        <w:pStyle w:val="ListParagraph"/>
        <w:numPr>
          <w:ilvl w:val="0"/>
          <w:numId w:val="4"/>
        </w:numPr>
        <w:spacing w:before="120" w:after="120"/>
        <w:ind w:left="340" w:hanging="340"/>
        <w:contextualSpacing w:val="0"/>
        <w:rPr>
          <w:rFonts w:ascii="Arial" w:hAnsi="Arial" w:cs="Arial"/>
          <w:color w:val="53565A"/>
          <w:sz w:val="20"/>
          <w:szCs w:val="20"/>
        </w:rPr>
      </w:pPr>
      <w:r w:rsidRPr="001618C1">
        <w:rPr>
          <w:rFonts w:ascii="Arial" w:hAnsi="Arial" w:cs="Arial"/>
          <w:b/>
          <w:bCs/>
          <w:color w:val="53565A"/>
          <w:sz w:val="20"/>
          <w:szCs w:val="20"/>
        </w:rPr>
        <w:t>Established pest animals</w:t>
      </w:r>
      <w:r w:rsidRPr="001618C1">
        <w:rPr>
          <w:rFonts w:ascii="Arial" w:hAnsi="Arial" w:cs="Arial"/>
          <w:color w:val="53565A"/>
          <w:sz w:val="20"/>
          <w:szCs w:val="20"/>
        </w:rPr>
        <w:t xml:space="preserve"> – Are established in the wild in Victoria, are a serious threat to primary production, Crown land, the environment or community health in Victoria and should be eradicated, controlled or </w:t>
      </w:r>
      <w:proofErr w:type="gramStart"/>
      <w:r w:rsidRPr="001618C1">
        <w:rPr>
          <w:rFonts w:ascii="Arial" w:hAnsi="Arial" w:cs="Arial"/>
          <w:color w:val="53565A"/>
          <w:sz w:val="20"/>
          <w:szCs w:val="20"/>
        </w:rPr>
        <w:t>its</w:t>
      </w:r>
      <w:proofErr w:type="gramEnd"/>
      <w:r w:rsidRPr="001618C1">
        <w:rPr>
          <w:rFonts w:ascii="Arial" w:hAnsi="Arial" w:cs="Arial"/>
          <w:color w:val="53565A"/>
          <w:sz w:val="20"/>
          <w:szCs w:val="20"/>
        </w:rPr>
        <w:t xml:space="preserve"> spread in the wild should be prevented.</w:t>
      </w:r>
    </w:p>
    <w:p w14:paraId="4E972CCE" w14:textId="60F5DCD3" w:rsidR="001618C1" w:rsidRPr="001618C1" w:rsidRDefault="001618C1" w:rsidP="001618C1">
      <w:pPr>
        <w:spacing w:after="120"/>
        <w:rPr>
          <w:rFonts w:ascii="Arial" w:hAnsi="Arial" w:cs="Arial"/>
          <w:color w:val="53565A"/>
          <w:sz w:val="20"/>
          <w:szCs w:val="20"/>
          <w:lang w:val="en"/>
        </w:rPr>
      </w:pPr>
      <w:r w:rsidRPr="001618C1">
        <w:rPr>
          <w:rFonts w:ascii="Arial" w:eastAsia="Arial" w:hAnsi="Arial" w:cs="Arial"/>
          <w:b/>
          <w:color w:val="53565A"/>
          <w:sz w:val="20"/>
          <w:szCs w:val="20"/>
        </w:rPr>
        <w:t>Propagule pressure</w:t>
      </w:r>
      <w:r w:rsidRPr="001618C1">
        <w:rPr>
          <w:rFonts w:ascii="Arial" w:hAnsi="Arial" w:cs="Arial"/>
          <w:color w:val="53565A"/>
          <w:sz w:val="20"/>
          <w:szCs w:val="20"/>
        </w:rPr>
        <w:t xml:space="preserve"> – a composite measure of the number of individuals of a </w:t>
      </w:r>
      <w:hyperlink r:id="rId14" w:tooltip="Species" w:history="1">
        <w:r w:rsidRPr="001618C1">
          <w:rPr>
            <w:rFonts w:ascii="Arial" w:hAnsi="Arial" w:cs="Arial"/>
            <w:color w:val="53565A"/>
            <w:sz w:val="20"/>
            <w:szCs w:val="20"/>
          </w:rPr>
          <w:t>species</w:t>
        </w:r>
      </w:hyperlink>
      <w:r w:rsidRPr="001618C1">
        <w:rPr>
          <w:rFonts w:ascii="Arial" w:hAnsi="Arial" w:cs="Arial"/>
          <w:color w:val="53565A"/>
          <w:sz w:val="20"/>
          <w:szCs w:val="20"/>
        </w:rPr>
        <w:t xml:space="preserve"> released into a region to which they are not native.</w:t>
      </w:r>
    </w:p>
    <w:p w14:paraId="175EA531" w14:textId="0E361B60" w:rsidR="000364AC" w:rsidRPr="000364AC" w:rsidRDefault="000364AC" w:rsidP="00CF3034">
      <w:pPr>
        <w:pStyle w:val="Heading1"/>
      </w:pPr>
      <w:bookmarkStart w:id="40" w:name="_Toc80955586"/>
      <w:r w:rsidRPr="000364AC">
        <w:t>Related Information</w:t>
      </w:r>
      <w:bookmarkEnd w:id="39"/>
      <w:bookmarkEnd w:id="40"/>
    </w:p>
    <w:p w14:paraId="24F3FB28" w14:textId="5AA4AB77" w:rsidR="000364AC" w:rsidRPr="00A90DFB" w:rsidRDefault="000364AC" w:rsidP="00CF3034">
      <w:pPr>
        <w:pStyle w:val="Heading2"/>
        <w:rPr>
          <w:rFonts w:ascii="Arial" w:hAnsi="Arial" w:cs="Arial"/>
          <w:color w:val="auto"/>
          <w:lang w:eastAsia="en-US"/>
        </w:rPr>
      </w:pPr>
      <w:bookmarkStart w:id="41" w:name="_Toc52883532"/>
      <w:bookmarkStart w:id="42" w:name="_Toc80955587"/>
      <w:r w:rsidRPr="00A90DFB">
        <w:rPr>
          <w:rFonts w:ascii="Arial" w:hAnsi="Arial" w:cs="Arial"/>
          <w:color w:val="auto"/>
        </w:rPr>
        <w:t>Strategy or Outcome</w:t>
      </w:r>
      <w:bookmarkEnd w:id="41"/>
      <w:bookmarkEnd w:id="42"/>
    </w:p>
    <w:p w14:paraId="3EF6E368" w14:textId="3128E2FD" w:rsidR="000364AC" w:rsidRPr="00DC22D2" w:rsidRDefault="00F80CD4" w:rsidP="000364AC">
      <w:pPr>
        <w:spacing w:after="120"/>
        <w:rPr>
          <w:rFonts w:ascii="Arial" w:hAnsi="Arial" w:cs="Arial"/>
          <w:color w:val="53565A"/>
          <w:sz w:val="20"/>
          <w:szCs w:val="20"/>
        </w:rPr>
      </w:pPr>
      <w:hyperlink r:id="rId15" w:history="1">
        <w:r w:rsidR="000364AC" w:rsidRPr="00DC22D2">
          <w:rPr>
            <w:rStyle w:val="Hyperlink"/>
            <w:rFonts w:ascii="Arial" w:hAnsi="Arial" w:cs="Arial"/>
            <w:sz w:val="20"/>
            <w:szCs w:val="20"/>
          </w:rPr>
          <w:t>Agriculture Victoria Strategy</w:t>
        </w:r>
      </w:hyperlink>
      <w:r w:rsidR="000364AC" w:rsidRPr="00DC22D2">
        <w:rPr>
          <w:rFonts w:ascii="Arial" w:hAnsi="Arial" w:cs="Arial"/>
          <w:color w:val="53565A"/>
          <w:sz w:val="20"/>
          <w:szCs w:val="20"/>
        </w:rPr>
        <w:t xml:space="preserve"> </w:t>
      </w:r>
    </w:p>
    <w:p w14:paraId="207ED743" w14:textId="6D974E0F" w:rsidR="000364AC" w:rsidRPr="000364AC" w:rsidRDefault="00F80CD4" w:rsidP="000364AC">
      <w:pPr>
        <w:spacing w:after="120"/>
        <w:rPr>
          <w:rFonts w:ascii="Arial" w:hAnsi="Arial" w:cs="Arial"/>
          <w:color w:val="53565A"/>
          <w:sz w:val="20"/>
          <w:szCs w:val="20"/>
        </w:rPr>
      </w:pPr>
      <w:hyperlink r:id="rId16" w:history="1">
        <w:r w:rsidR="000364AC" w:rsidRPr="000364AC">
          <w:rPr>
            <w:rStyle w:val="Hyperlink"/>
            <w:rFonts w:ascii="Arial" w:hAnsi="Arial" w:cs="Arial"/>
            <w:sz w:val="20"/>
            <w:szCs w:val="20"/>
          </w:rPr>
          <w:t>Invasive Plants and Animals Policy Framework</w:t>
        </w:r>
      </w:hyperlink>
      <w:r w:rsidR="000364AC" w:rsidRPr="000364AC">
        <w:rPr>
          <w:rFonts w:ascii="Arial" w:hAnsi="Arial" w:cs="Arial"/>
          <w:color w:val="53565A"/>
          <w:sz w:val="20"/>
          <w:szCs w:val="20"/>
        </w:rPr>
        <w:t xml:space="preserve"> </w:t>
      </w:r>
    </w:p>
    <w:p w14:paraId="3D14EDF2" w14:textId="2386AD41" w:rsidR="000364AC" w:rsidRPr="00A90DFB" w:rsidRDefault="000364AC" w:rsidP="00CF3034">
      <w:pPr>
        <w:pStyle w:val="Heading2"/>
        <w:rPr>
          <w:rFonts w:ascii="Arial" w:hAnsi="Arial" w:cs="Arial"/>
          <w:color w:val="auto"/>
        </w:rPr>
      </w:pPr>
      <w:bookmarkStart w:id="43" w:name="_Toc52883533"/>
      <w:bookmarkStart w:id="44" w:name="_Toc80955588"/>
      <w:r w:rsidRPr="00A90DFB">
        <w:rPr>
          <w:rFonts w:ascii="Arial" w:hAnsi="Arial" w:cs="Arial"/>
          <w:color w:val="auto"/>
        </w:rPr>
        <w:t>Other (</w:t>
      </w:r>
      <w:proofErr w:type="gramStart"/>
      <w:r w:rsidRPr="00A90DFB">
        <w:rPr>
          <w:rFonts w:ascii="Arial" w:hAnsi="Arial" w:cs="Arial"/>
          <w:color w:val="auto"/>
        </w:rPr>
        <w:t>e.g.</w:t>
      </w:r>
      <w:proofErr w:type="gramEnd"/>
      <w:r w:rsidRPr="00A90DFB">
        <w:rPr>
          <w:rFonts w:ascii="Arial" w:hAnsi="Arial" w:cs="Arial"/>
          <w:color w:val="auto"/>
        </w:rPr>
        <w:t xml:space="preserve"> Ministerial Directions, Codes of Conduct, Agreements)</w:t>
      </w:r>
      <w:bookmarkEnd w:id="43"/>
      <w:bookmarkEnd w:id="44"/>
    </w:p>
    <w:p w14:paraId="66F93720" w14:textId="4086903B" w:rsidR="000364AC" w:rsidRPr="000364AC" w:rsidRDefault="000364AC" w:rsidP="000364AC">
      <w:pPr>
        <w:spacing w:after="120"/>
        <w:ind w:left="340" w:hanging="340"/>
        <w:rPr>
          <w:rFonts w:ascii="Arial" w:hAnsi="Arial" w:cs="Arial"/>
          <w:color w:val="53565A"/>
          <w:sz w:val="20"/>
          <w:szCs w:val="20"/>
        </w:rPr>
      </w:pPr>
      <w:r w:rsidRPr="000364AC">
        <w:rPr>
          <w:rFonts w:ascii="Arial" w:hAnsi="Arial" w:cs="Arial"/>
          <w:color w:val="53565A"/>
          <w:sz w:val="20"/>
          <w:szCs w:val="20"/>
        </w:rPr>
        <w:t>Fate of seized, surrendered</w:t>
      </w:r>
      <w:r w:rsidR="00186DFA">
        <w:rPr>
          <w:rFonts w:ascii="Arial" w:hAnsi="Arial" w:cs="Arial"/>
          <w:color w:val="53565A"/>
          <w:sz w:val="20"/>
          <w:szCs w:val="20"/>
        </w:rPr>
        <w:t>,</w:t>
      </w:r>
      <w:r w:rsidRPr="000364AC">
        <w:rPr>
          <w:rFonts w:ascii="Arial" w:hAnsi="Arial" w:cs="Arial"/>
          <w:color w:val="53565A"/>
          <w:sz w:val="20"/>
          <w:szCs w:val="20"/>
        </w:rPr>
        <w:t xml:space="preserve"> or otherwise obtained pest animal policy </w:t>
      </w:r>
    </w:p>
    <w:p w14:paraId="01C4BB25" w14:textId="3EA6F5DA" w:rsidR="000364AC" w:rsidRPr="000364AC" w:rsidRDefault="000364AC" w:rsidP="000364AC">
      <w:pPr>
        <w:spacing w:after="120"/>
        <w:ind w:left="340" w:hanging="340"/>
        <w:rPr>
          <w:rFonts w:ascii="Arial" w:hAnsi="Arial" w:cs="Arial"/>
          <w:color w:val="53565A"/>
          <w:sz w:val="20"/>
          <w:szCs w:val="20"/>
        </w:rPr>
      </w:pPr>
      <w:r w:rsidRPr="000364AC">
        <w:rPr>
          <w:rFonts w:ascii="Arial" w:hAnsi="Arial" w:cs="Arial"/>
          <w:color w:val="53565A"/>
          <w:sz w:val="20"/>
          <w:szCs w:val="20"/>
        </w:rPr>
        <w:t xml:space="preserve">Pest Animals – Interpretation of pest animal declarations under the </w:t>
      </w:r>
      <w:r w:rsidRPr="00C81EF7">
        <w:rPr>
          <w:rFonts w:ascii="Arial" w:hAnsi="Arial" w:cs="Arial"/>
          <w:i/>
          <w:iCs/>
          <w:color w:val="53565A"/>
          <w:sz w:val="20"/>
          <w:szCs w:val="20"/>
        </w:rPr>
        <w:t>Catchment and Land Protection</w:t>
      </w:r>
      <w:r w:rsidR="00A6403E">
        <w:rPr>
          <w:rFonts w:ascii="Arial" w:hAnsi="Arial" w:cs="Arial"/>
          <w:i/>
          <w:iCs/>
          <w:color w:val="53565A"/>
          <w:sz w:val="20"/>
          <w:szCs w:val="20"/>
        </w:rPr>
        <w:t xml:space="preserve"> </w:t>
      </w:r>
      <w:r w:rsidRPr="00C81EF7">
        <w:rPr>
          <w:rFonts w:ascii="Arial" w:hAnsi="Arial" w:cs="Arial"/>
          <w:i/>
          <w:iCs/>
          <w:color w:val="53565A"/>
          <w:sz w:val="20"/>
          <w:szCs w:val="20"/>
        </w:rPr>
        <w:t>Act 1994</w:t>
      </w:r>
    </w:p>
    <w:p w14:paraId="1C0E65BE" w14:textId="5561B72A" w:rsidR="00B93334" w:rsidRPr="00C23EBB" w:rsidRDefault="00A4453D" w:rsidP="000364AC">
      <w:pPr>
        <w:spacing w:after="120"/>
        <w:ind w:left="340" w:hanging="340"/>
        <w:rPr>
          <w:rFonts w:ascii="Arial" w:hAnsi="Arial" w:cs="Arial"/>
          <w:color w:val="53565A"/>
          <w:sz w:val="20"/>
          <w:szCs w:val="20"/>
        </w:rPr>
      </w:pPr>
      <w:r>
        <w:rPr>
          <w:rFonts w:ascii="Arial" w:hAnsi="Arial" w:cs="Arial"/>
          <w:color w:val="53565A"/>
          <w:sz w:val="20"/>
          <w:szCs w:val="20"/>
        </w:rPr>
        <w:t>Ground Shooting of High</w:t>
      </w:r>
      <w:r w:rsidR="00DF2005">
        <w:rPr>
          <w:rFonts w:ascii="Arial" w:hAnsi="Arial" w:cs="Arial"/>
          <w:color w:val="53565A"/>
          <w:sz w:val="20"/>
          <w:szCs w:val="20"/>
        </w:rPr>
        <w:t>-</w:t>
      </w:r>
      <w:r>
        <w:rPr>
          <w:rFonts w:ascii="Arial" w:hAnsi="Arial" w:cs="Arial"/>
          <w:color w:val="53565A"/>
          <w:sz w:val="20"/>
          <w:szCs w:val="20"/>
        </w:rPr>
        <w:t>Risk Invasive Animals</w:t>
      </w:r>
      <w:r w:rsidR="00B93334">
        <w:rPr>
          <w:rFonts w:ascii="Arial" w:hAnsi="Arial" w:cs="Arial"/>
          <w:color w:val="53565A"/>
          <w:sz w:val="20"/>
          <w:szCs w:val="20"/>
        </w:rPr>
        <w:t xml:space="preserve"> – Standard Operating Proc</w:t>
      </w:r>
      <w:r w:rsidR="007C502F">
        <w:rPr>
          <w:rFonts w:ascii="Arial" w:hAnsi="Arial" w:cs="Arial"/>
          <w:color w:val="53565A"/>
          <w:sz w:val="20"/>
          <w:szCs w:val="20"/>
        </w:rPr>
        <w:t>edure</w:t>
      </w:r>
    </w:p>
    <w:p w14:paraId="6895F51C" w14:textId="2CD02438" w:rsidR="000364AC" w:rsidRPr="000364AC" w:rsidRDefault="00F80CD4" w:rsidP="000364AC">
      <w:pPr>
        <w:spacing w:after="120"/>
        <w:ind w:left="340" w:hanging="340"/>
        <w:rPr>
          <w:rFonts w:ascii="Arial" w:hAnsi="Arial" w:cs="Arial"/>
          <w:color w:val="53565A"/>
          <w:sz w:val="20"/>
          <w:szCs w:val="20"/>
        </w:rPr>
      </w:pPr>
      <w:hyperlink r:id="rId17" w:anchor="h2-1" w:history="1">
        <w:r w:rsidR="000364AC" w:rsidRPr="000364AC">
          <w:rPr>
            <w:rStyle w:val="Hyperlink"/>
            <w:rFonts w:ascii="Arial" w:hAnsi="Arial" w:cs="Arial"/>
            <w:sz w:val="20"/>
            <w:szCs w:val="20"/>
          </w:rPr>
          <w:t>Ministerial Statements of Expectations – Biosecurity</w:t>
        </w:r>
      </w:hyperlink>
    </w:p>
    <w:p w14:paraId="5BE92882" w14:textId="28D225A9" w:rsidR="000364AC" w:rsidRPr="000364AC" w:rsidRDefault="00F80CD4" w:rsidP="000364AC">
      <w:pPr>
        <w:spacing w:after="120"/>
        <w:ind w:left="340" w:hanging="340"/>
        <w:rPr>
          <w:rFonts w:ascii="Arial" w:hAnsi="Arial" w:cs="Arial"/>
          <w:color w:val="53565A"/>
          <w:sz w:val="20"/>
          <w:szCs w:val="20"/>
        </w:rPr>
      </w:pPr>
      <w:hyperlink r:id="rId18" w:history="1">
        <w:r w:rsidR="000364AC" w:rsidRPr="000364AC">
          <w:rPr>
            <w:rStyle w:val="Hyperlink"/>
            <w:rFonts w:ascii="Arial" w:hAnsi="Arial" w:cs="Arial"/>
            <w:sz w:val="20"/>
            <w:szCs w:val="20"/>
          </w:rPr>
          <w:t>Consolidated list of declared pest animals</w:t>
        </w:r>
      </w:hyperlink>
      <w:r w:rsidR="000364AC" w:rsidRPr="000364AC">
        <w:rPr>
          <w:rFonts w:ascii="Arial" w:hAnsi="Arial" w:cs="Arial"/>
          <w:color w:val="53565A"/>
          <w:sz w:val="20"/>
          <w:szCs w:val="20"/>
        </w:rPr>
        <w:t xml:space="preserve"> </w:t>
      </w:r>
    </w:p>
    <w:p w14:paraId="1AC3EE4D" w14:textId="6B26F081" w:rsidR="000364AC" w:rsidRPr="00E13D60" w:rsidRDefault="000364AC" w:rsidP="00E13D60">
      <w:pPr>
        <w:pStyle w:val="PolicyNormal"/>
      </w:pPr>
    </w:p>
    <w:p w14:paraId="4FE58511" w14:textId="1CE786D3" w:rsidR="00E13D60" w:rsidRPr="00E13D60" w:rsidRDefault="00E13D60" w:rsidP="00E13D60">
      <w:pPr>
        <w:pStyle w:val="PolicyNormal"/>
      </w:pPr>
    </w:p>
    <w:p w14:paraId="792C18C7" w14:textId="786BF6D3" w:rsidR="00E13D60" w:rsidRPr="00E13D60" w:rsidRDefault="00E13D60" w:rsidP="00E13D60">
      <w:pPr>
        <w:pStyle w:val="PolicyNormal"/>
      </w:pPr>
    </w:p>
    <w:p w14:paraId="60E8E314" w14:textId="5198E2FA" w:rsidR="00E13D60" w:rsidRPr="00E13D60" w:rsidRDefault="00E13D60" w:rsidP="00E13D60">
      <w:pPr>
        <w:pStyle w:val="PolicyNormal"/>
      </w:pPr>
    </w:p>
    <w:p w14:paraId="20D3AFA4" w14:textId="77777777" w:rsidR="00E13D60" w:rsidRPr="00E13D60" w:rsidRDefault="00E13D60" w:rsidP="00E13D60">
      <w:pPr>
        <w:pStyle w:val="PolicyNormal"/>
      </w:pPr>
      <w:bookmarkStart w:id="45" w:name="_Toc52883534"/>
      <w:bookmarkStart w:id="46" w:name="_Toc80955589"/>
    </w:p>
    <w:p w14:paraId="0E9BCA97" w14:textId="2BDEE3BE" w:rsidR="000364AC" w:rsidRPr="000364AC" w:rsidRDefault="000364AC" w:rsidP="00497C6C">
      <w:pPr>
        <w:pStyle w:val="Heading1"/>
      </w:pPr>
      <w:r w:rsidRPr="000364AC">
        <w:lastRenderedPageBreak/>
        <w:t>References</w:t>
      </w:r>
      <w:bookmarkEnd w:id="45"/>
      <w:bookmarkEnd w:id="46"/>
    </w:p>
    <w:p w14:paraId="09B7CB9D" w14:textId="5A6AA09C" w:rsidR="000364AC" w:rsidRPr="000364AC" w:rsidRDefault="000364AC" w:rsidP="001618C1">
      <w:pPr>
        <w:spacing w:after="120"/>
        <w:ind w:left="340" w:hanging="340"/>
        <w:rPr>
          <w:rFonts w:ascii="Arial" w:hAnsi="Arial" w:cs="Arial"/>
          <w:color w:val="53565A"/>
          <w:sz w:val="20"/>
          <w:szCs w:val="20"/>
        </w:rPr>
      </w:pPr>
      <w:proofErr w:type="spellStart"/>
      <w:r w:rsidRPr="000364AC">
        <w:rPr>
          <w:rFonts w:ascii="Arial" w:hAnsi="Arial" w:cs="Arial"/>
          <w:color w:val="53565A"/>
          <w:sz w:val="20"/>
          <w:szCs w:val="20"/>
        </w:rPr>
        <w:t>Bomford</w:t>
      </w:r>
      <w:proofErr w:type="spellEnd"/>
      <w:r w:rsidRPr="000364AC">
        <w:rPr>
          <w:rFonts w:ascii="Arial" w:hAnsi="Arial" w:cs="Arial"/>
          <w:color w:val="53565A"/>
          <w:sz w:val="20"/>
          <w:szCs w:val="20"/>
        </w:rPr>
        <w:t>, M. (2008). Risk assessment models for establishment of exotic vertebrates in Australia and New Zealand. Invasive Animals Cooperative Research Centre. Canberra.</w:t>
      </w:r>
    </w:p>
    <w:p w14:paraId="6B0B07D2" w14:textId="18B2CEED" w:rsidR="000364AC" w:rsidRPr="000364AC" w:rsidRDefault="000364AC" w:rsidP="001618C1">
      <w:pPr>
        <w:spacing w:after="120"/>
        <w:ind w:left="340" w:hanging="340"/>
        <w:rPr>
          <w:rFonts w:ascii="Arial" w:hAnsi="Arial" w:cs="Arial"/>
          <w:color w:val="53565A"/>
          <w:sz w:val="20"/>
          <w:szCs w:val="20"/>
        </w:rPr>
      </w:pPr>
      <w:proofErr w:type="spellStart"/>
      <w:r w:rsidRPr="000364AC">
        <w:rPr>
          <w:rFonts w:ascii="Arial" w:hAnsi="Arial" w:cs="Arial"/>
          <w:color w:val="53565A"/>
          <w:sz w:val="20"/>
          <w:szCs w:val="20"/>
        </w:rPr>
        <w:t>Bomford</w:t>
      </w:r>
      <w:proofErr w:type="spellEnd"/>
      <w:r w:rsidRPr="000364AC">
        <w:rPr>
          <w:rFonts w:ascii="Arial" w:hAnsi="Arial" w:cs="Arial"/>
          <w:color w:val="53565A"/>
          <w:sz w:val="20"/>
          <w:szCs w:val="20"/>
        </w:rPr>
        <w:t xml:space="preserve"> M. (2006). Risk assessment for the establishment of exotic vertebrates in Australia: recalibration and refinement of models - A report produced for the Department of Environment and Heritage. Bureau of Rural Sciences. Canberra. </w:t>
      </w:r>
    </w:p>
    <w:p w14:paraId="2137EF90" w14:textId="671B5663" w:rsidR="000364AC" w:rsidRPr="000364AC" w:rsidRDefault="000364AC" w:rsidP="001618C1">
      <w:pPr>
        <w:spacing w:after="120"/>
        <w:ind w:left="340" w:hanging="340"/>
        <w:rPr>
          <w:rFonts w:ascii="Arial" w:hAnsi="Arial" w:cs="Arial"/>
          <w:color w:val="53565A"/>
          <w:sz w:val="20"/>
          <w:szCs w:val="20"/>
        </w:rPr>
      </w:pPr>
      <w:proofErr w:type="spellStart"/>
      <w:r w:rsidRPr="000364AC">
        <w:rPr>
          <w:rFonts w:ascii="Arial" w:hAnsi="Arial" w:cs="Arial"/>
          <w:color w:val="53565A"/>
          <w:sz w:val="20"/>
          <w:szCs w:val="20"/>
        </w:rPr>
        <w:t>Bomford</w:t>
      </w:r>
      <w:proofErr w:type="spellEnd"/>
      <w:r w:rsidRPr="000364AC">
        <w:rPr>
          <w:rFonts w:ascii="Arial" w:hAnsi="Arial" w:cs="Arial"/>
          <w:color w:val="53565A"/>
          <w:sz w:val="20"/>
          <w:szCs w:val="20"/>
        </w:rPr>
        <w:t xml:space="preserve"> M., Kraus F., </w:t>
      </w:r>
      <w:proofErr w:type="spellStart"/>
      <w:r w:rsidRPr="000364AC">
        <w:rPr>
          <w:rFonts w:ascii="Arial" w:hAnsi="Arial" w:cs="Arial"/>
          <w:color w:val="53565A"/>
          <w:sz w:val="20"/>
          <w:szCs w:val="20"/>
        </w:rPr>
        <w:t>Braysher</w:t>
      </w:r>
      <w:proofErr w:type="spellEnd"/>
      <w:r w:rsidRPr="000364AC">
        <w:rPr>
          <w:rFonts w:ascii="Arial" w:hAnsi="Arial" w:cs="Arial"/>
          <w:color w:val="53565A"/>
          <w:sz w:val="20"/>
          <w:szCs w:val="20"/>
        </w:rPr>
        <w:t xml:space="preserve"> M., Walter </w:t>
      </w:r>
      <w:proofErr w:type="gramStart"/>
      <w:r w:rsidRPr="000364AC">
        <w:rPr>
          <w:rFonts w:ascii="Arial" w:hAnsi="Arial" w:cs="Arial"/>
          <w:color w:val="53565A"/>
          <w:sz w:val="20"/>
          <w:szCs w:val="20"/>
        </w:rPr>
        <w:t>L.</w:t>
      </w:r>
      <w:proofErr w:type="gramEnd"/>
      <w:r w:rsidRPr="000364AC">
        <w:rPr>
          <w:rFonts w:ascii="Arial" w:hAnsi="Arial" w:cs="Arial"/>
          <w:color w:val="53565A"/>
          <w:sz w:val="20"/>
          <w:szCs w:val="20"/>
        </w:rPr>
        <w:t xml:space="preserve"> and Brown L. (2005). Risk Assessment Model for the Import and Keeping of Exotic Reptiles and Amphibians. A report produced for the Department of Environment and Heritage. Bureau of Rural Sciences. Canberra. </w:t>
      </w:r>
    </w:p>
    <w:p w14:paraId="79EE2CEB" w14:textId="63594B57" w:rsidR="000364AC" w:rsidRPr="000364AC" w:rsidRDefault="000364AC" w:rsidP="001618C1">
      <w:pPr>
        <w:spacing w:after="120"/>
        <w:ind w:left="340" w:hanging="340"/>
        <w:rPr>
          <w:rFonts w:ascii="Arial" w:hAnsi="Arial" w:cs="Arial"/>
          <w:color w:val="53565A"/>
          <w:sz w:val="20"/>
          <w:szCs w:val="20"/>
        </w:rPr>
      </w:pPr>
      <w:proofErr w:type="spellStart"/>
      <w:r w:rsidRPr="000364AC">
        <w:rPr>
          <w:rFonts w:ascii="Arial" w:hAnsi="Arial" w:cs="Arial"/>
          <w:color w:val="53565A"/>
          <w:sz w:val="20"/>
          <w:szCs w:val="20"/>
        </w:rPr>
        <w:t>Bomford</w:t>
      </w:r>
      <w:proofErr w:type="spellEnd"/>
      <w:r w:rsidRPr="000364AC">
        <w:rPr>
          <w:rFonts w:ascii="Arial" w:hAnsi="Arial" w:cs="Arial"/>
          <w:color w:val="53565A"/>
          <w:sz w:val="20"/>
          <w:szCs w:val="20"/>
        </w:rPr>
        <w:t xml:space="preserve">, M. (2003). Risk Assessment for the Import and Keeping of Exotic Vertebrates in Australia. Bureau of Rural Sciences. Canberra. </w:t>
      </w:r>
    </w:p>
    <w:p w14:paraId="413E29C2" w14:textId="25CB2F48" w:rsidR="000364AC" w:rsidRPr="000364AC" w:rsidRDefault="000364AC" w:rsidP="000364AC">
      <w:pPr>
        <w:spacing w:after="120"/>
        <w:rPr>
          <w:rFonts w:ascii="Arial" w:hAnsi="Arial" w:cs="Arial"/>
          <w:color w:val="000000" w:themeColor="text1"/>
          <w:sz w:val="20"/>
          <w:szCs w:val="20"/>
        </w:rPr>
      </w:pPr>
    </w:p>
    <w:p w14:paraId="08D4D105" w14:textId="4AEABA70" w:rsidR="000364AC" w:rsidRPr="000364AC" w:rsidRDefault="000364AC" w:rsidP="000364AC">
      <w:pPr>
        <w:spacing w:after="120"/>
        <w:rPr>
          <w:rFonts w:ascii="Arial" w:hAnsi="Arial" w:cs="Arial"/>
          <w:color w:val="000000" w:themeColor="text1"/>
          <w:sz w:val="20"/>
          <w:szCs w:val="20"/>
        </w:rPr>
      </w:pPr>
      <w:bookmarkStart w:id="47" w:name="_Toc319661924"/>
      <w:bookmarkEnd w:id="47"/>
    </w:p>
    <w:p w14:paraId="6763629D" w14:textId="3028DCDB" w:rsidR="000364AC" w:rsidRPr="000364AC" w:rsidRDefault="000364AC" w:rsidP="00497C6C">
      <w:pPr>
        <w:pStyle w:val="Heading1"/>
      </w:pPr>
      <w:bookmarkStart w:id="48" w:name="_Toc52883535"/>
      <w:bookmarkStart w:id="49" w:name="_Toc80955590"/>
      <w:r w:rsidRPr="000364AC">
        <w:t>Policy authorisation</w:t>
      </w:r>
      <w:bookmarkEnd w:id="48"/>
      <w:bookmarkEnd w:id="49"/>
    </w:p>
    <w:p w14:paraId="6ACB0AE8" w14:textId="31F8B8D6" w:rsidR="000364AC" w:rsidRPr="000364AC" w:rsidRDefault="000364AC" w:rsidP="000364AC">
      <w:pPr>
        <w:spacing w:after="120"/>
        <w:ind w:left="3402" w:hanging="3402"/>
        <w:rPr>
          <w:rFonts w:ascii="Arial" w:hAnsi="Arial" w:cs="Arial"/>
          <w:b/>
          <w:color w:val="000000" w:themeColor="text1"/>
          <w:sz w:val="20"/>
          <w:szCs w:val="20"/>
        </w:rPr>
      </w:pPr>
      <w:r w:rsidRPr="000364AC">
        <w:rPr>
          <w:rFonts w:ascii="Arial" w:hAnsi="Arial" w:cs="Arial"/>
          <w:b/>
          <w:bCs/>
          <w:color w:val="53565A"/>
          <w:sz w:val="20"/>
          <w:szCs w:val="20"/>
        </w:rPr>
        <w:t>Issuing group / branch:</w:t>
      </w:r>
      <w:r w:rsidRPr="000364AC">
        <w:rPr>
          <w:rFonts w:ascii="Arial" w:hAnsi="Arial" w:cs="Arial"/>
          <w:b/>
          <w:color w:val="000000" w:themeColor="text1"/>
          <w:sz w:val="20"/>
          <w:szCs w:val="20"/>
        </w:rPr>
        <w:tab/>
      </w:r>
      <w:sdt>
        <w:sdtPr>
          <w:rPr>
            <w:rFonts w:ascii="Arial" w:hAnsi="Arial" w:cs="Arial"/>
            <w:b/>
            <w:color w:val="000000" w:themeColor="text1"/>
            <w:sz w:val="20"/>
            <w:szCs w:val="20"/>
          </w:rPr>
          <w:alias w:val="Group/branch"/>
          <w:tag w:val="Group/branch"/>
          <w:id w:val="796802596"/>
          <w:placeholder>
            <w:docPart w:val="E34EFD7AAB2444F69D99CF25A442F180"/>
          </w:placeholder>
          <w15:color w:val="FF0000"/>
        </w:sdtPr>
        <w:sdtEndPr/>
        <w:sdtContent>
          <w:r w:rsidRPr="000364AC">
            <w:rPr>
              <w:rFonts w:ascii="Arial" w:hAnsi="Arial" w:cs="Arial"/>
              <w:color w:val="53565A"/>
              <w:sz w:val="20"/>
              <w:szCs w:val="20"/>
            </w:rPr>
            <w:t>Agriculture, Food and Fibre / Food Regulation and Biosecurity Policy</w:t>
          </w:r>
        </w:sdtContent>
      </w:sdt>
    </w:p>
    <w:p w14:paraId="0A6E5960" w14:textId="1B4840D5" w:rsidR="000364AC" w:rsidRPr="000364AC" w:rsidRDefault="000364AC" w:rsidP="000364AC">
      <w:pPr>
        <w:spacing w:after="120"/>
        <w:ind w:left="3402" w:hanging="3402"/>
        <w:rPr>
          <w:rFonts w:ascii="Arial" w:hAnsi="Arial" w:cs="Arial"/>
          <w:b/>
          <w:color w:val="000000" w:themeColor="text1"/>
          <w:sz w:val="20"/>
          <w:szCs w:val="20"/>
        </w:rPr>
      </w:pPr>
      <w:r w:rsidRPr="000364AC">
        <w:rPr>
          <w:rFonts w:ascii="Arial" w:hAnsi="Arial" w:cs="Arial"/>
          <w:b/>
          <w:bCs/>
          <w:color w:val="53565A"/>
          <w:sz w:val="20"/>
          <w:szCs w:val="20"/>
        </w:rPr>
        <w:t>Date effective:</w:t>
      </w:r>
      <w:r w:rsidRPr="000364AC">
        <w:rPr>
          <w:rFonts w:ascii="Arial" w:hAnsi="Arial" w:cs="Arial"/>
          <w:b/>
          <w:color w:val="000000" w:themeColor="text1"/>
          <w:sz w:val="20"/>
          <w:szCs w:val="20"/>
        </w:rPr>
        <w:tab/>
      </w:r>
      <w:sdt>
        <w:sdtPr>
          <w:rPr>
            <w:rFonts w:ascii="Arial" w:hAnsi="Arial" w:cs="Arial"/>
            <w:color w:val="53565A"/>
            <w:sz w:val="20"/>
            <w:szCs w:val="20"/>
          </w:rPr>
          <w:alias w:val="Date effective"/>
          <w:tag w:val="Date effective"/>
          <w:id w:val="358556150"/>
          <w:placeholder>
            <w:docPart w:val="00E393E53A8544D1981C5392C167E74A"/>
          </w:placeholder>
          <w15:color w:val="FF0000"/>
          <w:date w:fullDate="2021-08-26T00:00:00Z">
            <w:dateFormat w:val="d MMMM yyyy"/>
            <w:lid w:val="en-AU"/>
            <w:storeMappedDataAs w:val="dateTime"/>
            <w:calendar w:val="gregorian"/>
          </w:date>
        </w:sdtPr>
        <w:sdtEndPr/>
        <w:sdtContent>
          <w:r w:rsidR="005841FE">
            <w:rPr>
              <w:rFonts w:ascii="Arial" w:hAnsi="Arial" w:cs="Arial"/>
              <w:color w:val="53565A"/>
              <w:sz w:val="20"/>
              <w:szCs w:val="20"/>
            </w:rPr>
            <w:t>26 August 2021</w:t>
          </w:r>
        </w:sdtContent>
      </w:sdt>
    </w:p>
    <w:p w14:paraId="75E06050" w14:textId="1E52CD1B" w:rsidR="00840DC4" w:rsidRDefault="00A316BD" w:rsidP="000364AC">
      <w:pPr>
        <w:spacing w:after="120"/>
        <w:ind w:left="3402" w:hanging="3402"/>
        <w:rPr>
          <w:rFonts w:ascii="Arial" w:hAnsi="Arial" w:cs="Arial"/>
          <w:b/>
          <w:bCs/>
          <w:color w:val="53565A"/>
          <w:sz w:val="20"/>
          <w:szCs w:val="20"/>
        </w:rPr>
      </w:pPr>
      <w:r>
        <w:rPr>
          <w:rFonts w:ascii="Arial" w:hAnsi="Arial" w:cs="Arial"/>
          <w:b/>
          <w:bCs/>
          <w:color w:val="53565A"/>
          <w:sz w:val="20"/>
          <w:szCs w:val="20"/>
        </w:rPr>
        <w:t>*</w:t>
      </w:r>
      <w:r w:rsidR="00840DC4">
        <w:rPr>
          <w:rFonts w:ascii="Arial" w:hAnsi="Arial" w:cs="Arial"/>
          <w:b/>
          <w:bCs/>
          <w:color w:val="53565A"/>
          <w:sz w:val="20"/>
          <w:szCs w:val="20"/>
        </w:rPr>
        <w:t>Minor review</w:t>
      </w:r>
      <w:r>
        <w:rPr>
          <w:rFonts w:ascii="Arial" w:hAnsi="Arial" w:cs="Arial"/>
          <w:b/>
          <w:bCs/>
          <w:color w:val="53565A"/>
          <w:sz w:val="20"/>
          <w:szCs w:val="20"/>
        </w:rPr>
        <w:t>:</w:t>
      </w:r>
      <w:r w:rsidR="00840DC4">
        <w:rPr>
          <w:rFonts w:ascii="Arial" w:hAnsi="Arial" w:cs="Arial"/>
          <w:b/>
          <w:bCs/>
          <w:color w:val="53565A"/>
          <w:sz w:val="20"/>
          <w:szCs w:val="20"/>
        </w:rPr>
        <w:tab/>
      </w:r>
      <w:r w:rsidR="00840DC4" w:rsidRPr="00C23EBB">
        <w:rPr>
          <w:rFonts w:ascii="Arial" w:hAnsi="Arial" w:cs="Arial"/>
          <w:color w:val="53565A"/>
          <w:sz w:val="20"/>
          <w:szCs w:val="20"/>
        </w:rPr>
        <w:t>2022</w:t>
      </w:r>
    </w:p>
    <w:p w14:paraId="46676B5A" w14:textId="70A3BF97" w:rsidR="000364AC" w:rsidRPr="000364AC" w:rsidRDefault="000364AC" w:rsidP="000364AC">
      <w:pPr>
        <w:spacing w:after="120"/>
        <w:ind w:left="3402" w:hanging="3402"/>
        <w:rPr>
          <w:rFonts w:ascii="Arial" w:hAnsi="Arial" w:cs="Arial"/>
          <w:b/>
          <w:color w:val="000000" w:themeColor="text1"/>
          <w:sz w:val="20"/>
          <w:szCs w:val="20"/>
        </w:rPr>
      </w:pPr>
      <w:r w:rsidRPr="000364AC">
        <w:rPr>
          <w:rFonts w:ascii="Arial" w:hAnsi="Arial" w:cs="Arial"/>
          <w:b/>
          <w:bCs/>
          <w:color w:val="53565A"/>
          <w:sz w:val="20"/>
          <w:szCs w:val="20"/>
        </w:rPr>
        <w:t>Next review:</w:t>
      </w:r>
      <w:r w:rsidRPr="000364AC">
        <w:rPr>
          <w:rFonts w:ascii="Arial" w:hAnsi="Arial" w:cs="Arial"/>
          <w:b/>
          <w:color w:val="000000" w:themeColor="text1"/>
          <w:sz w:val="20"/>
          <w:szCs w:val="20"/>
        </w:rPr>
        <w:tab/>
      </w:r>
      <w:sdt>
        <w:sdtPr>
          <w:rPr>
            <w:rFonts w:ascii="Arial" w:hAnsi="Arial" w:cs="Arial"/>
            <w:color w:val="53565A"/>
            <w:sz w:val="20"/>
            <w:szCs w:val="20"/>
          </w:rPr>
          <w:alias w:val="Next review"/>
          <w:tag w:val="Next review"/>
          <w:id w:val="1482429956"/>
          <w:placeholder>
            <w:docPart w:val="570D686805EA4356BA13B6097F8DBA78"/>
          </w:placeholder>
          <w15:color w:val="FF0000"/>
          <w:date>
            <w:dateFormat w:val="d MMMM yyyy"/>
            <w:lid w:val="en-AU"/>
            <w:storeMappedDataAs w:val="dateTime"/>
            <w:calendar w:val="gregorian"/>
          </w:date>
        </w:sdtPr>
        <w:sdtEndPr/>
        <w:sdtContent>
          <w:r w:rsidR="00884372" w:rsidRPr="000364AC">
            <w:rPr>
              <w:rFonts w:ascii="Arial" w:hAnsi="Arial" w:cs="Arial"/>
              <w:color w:val="53565A"/>
              <w:sz w:val="20"/>
              <w:szCs w:val="20"/>
            </w:rPr>
            <w:t>202</w:t>
          </w:r>
          <w:r w:rsidR="00E46887">
            <w:rPr>
              <w:rFonts w:ascii="Arial" w:hAnsi="Arial" w:cs="Arial"/>
              <w:color w:val="53565A"/>
              <w:sz w:val="20"/>
              <w:szCs w:val="20"/>
            </w:rPr>
            <w:t>6</w:t>
          </w:r>
        </w:sdtContent>
      </w:sdt>
    </w:p>
    <w:p w14:paraId="55115366" w14:textId="77777777" w:rsidR="0046587C" w:rsidRDefault="009E6209" w:rsidP="00414B16">
      <w:pPr>
        <w:spacing w:after="120"/>
        <w:rPr>
          <w:noProof/>
          <w:sz w:val="18"/>
          <w:szCs w:val="18"/>
        </w:rPr>
      </w:pPr>
      <w:r>
        <w:rPr>
          <w:rFonts w:ascii="Arial" w:hAnsi="Arial" w:cs="Arial"/>
          <w:color w:val="000000" w:themeColor="text1"/>
          <w:sz w:val="20"/>
          <w:szCs w:val="20"/>
        </w:rPr>
        <w:t>*</w:t>
      </w:r>
      <w:r w:rsidR="00F47BBD">
        <w:rPr>
          <w:rFonts w:ascii="Arial" w:hAnsi="Arial" w:cs="Arial"/>
          <w:color w:val="000000" w:themeColor="text1"/>
          <w:sz w:val="20"/>
          <w:szCs w:val="20"/>
        </w:rPr>
        <w:t>A minor</w:t>
      </w:r>
      <w:r w:rsidR="00A316BD">
        <w:rPr>
          <w:rFonts w:ascii="Arial" w:hAnsi="Arial" w:cs="Arial"/>
          <w:color w:val="000000" w:themeColor="text1"/>
          <w:sz w:val="20"/>
          <w:szCs w:val="20"/>
        </w:rPr>
        <w:t xml:space="preserve"> update</w:t>
      </w:r>
      <w:r w:rsidR="00F47BBD">
        <w:rPr>
          <w:rFonts w:ascii="Arial" w:hAnsi="Arial" w:cs="Arial"/>
          <w:color w:val="000000" w:themeColor="text1"/>
          <w:sz w:val="20"/>
          <w:szCs w:val="20"/>
        </w:rPr>
        <w:t xml:space="preserve"> maybe required</w:t>
      </w:r>
      <w:r w:rsidR="003E42E2">
        <w:rPr>
          <w:rFonts w:ascii="Arial" w:hAnsi="Arial" w:cs="Arial"/>
          <w:color w:val="000000" w:themeColor="text1"/>
          <w:sz w:val="20"/>
          <w:szCs w:val="20"/>
        </w:rPr>
        <w:t xml:space="preserve"> to Section 4</w:t>
      </w:r>
      <w:r w:rsidR="00A316BD">
        <w:rPr>
          <w:rFonts w:ascii="Arial" w:hAnsi="Arial" w:cs="Arial"/>
          <w:color w:val="000000" w:themeColor="text1"/>
          <w:sz w:val="20"/>
          <w:szCs w:val="20"/>
        </w:rPr>
        <w:t xml:space="preserve"> (</w:t>
      </w:r>
      <w:r w:rsidR="00A316BD" w:rsidRPr="00A316BD">
        <w:rPr>
          <w:rFonts w:ascii="Arial" w:hAnsi="Arial" w:cs="Arial"/>
          <w:color w:val="000000" w:themeColor="text1"/>
          <w:sz w:val="20"/>
          <w:szCs w:val="20"/>
        </w:rPr>
        <w:t>Non-indigenous quail, pheasants</w:t>
      </w:r>
      <w:r w:rsidR="0010321C">
        <w:rPr>
          <w:rFonts w:ascii="Arial" w:hAnsi="Arial" w:cs="Arial"/>
          <w:color w:val="000000" w:themeColor="text1"/>
          <w:sz w:val="20"/>
          <w:szCs w:val="20"/>
        </w:rPr>
        <w:t>,</w:t>
      </w:r>
      <w:r w:rsidR="00A316BD" w:rsidRPr="00A316BD">
        <w:rPr>
          <w:rFonts w:ascii="Arial" w:hAnsi="Arial" w:cs="Arial"/>
          <w:color w:val="000000" w:themeColor="text1"/>
          <w:sz w:val="20"/>
          <w:szCs w:val="20"/>
        </w:rPr>
        <w:t xml:space="preserve"> and partridges, classified as game species</w:t>
      </w:r>
      <w:r w:rsidR="00A316BD">
        <w:rPr>
          <w:rFonts w:ascii="Arial" w:hAnsi="Arial" w:cs="Arial"/>
          <w:color w:val="000000" w:themeColor="text1"/>
          <w:sz w:val="20"/>
          <w:szCs w:val="20"/>
        </w:rPr>
        <w:t>)</w:t>
      </w:r>
      <w:r w:rsidR="003E42E2">
        <w:rPr>
          <w:rFonts w:ascii="Arial" w:hAnsi="Arial" w:cs="Arial"/>
          <w:color w:val="000000" w:themeColor="text1"/>
          <w:sz w:val="20"/>
          <w:szCs w:val="20"/>
        </w:rPr>
        <w:t xml:space="preserve"> of this policy aft</w:t>
      </w:r>
      <w:r w:rsidR="00A316BD">
        <w:rPr>
          <w:rFonts w:ascii="Arial" w:hAnsi="Arial" w:cs="Arial"/>
          <w:color w:val="000000" w:themeColor="text1"/>
          <w:sz w:val="20"/>
          <w:szCs w:val="20"/>
        </w:rPr>
        <w:t xml:space="preserve">er the Wildlife (Game) Regulations 2012 have been reviewed and updated. </w:t>
      </w:r>
    </w:p>
    <w:p w14:paraId="24F854FC" w14:textId="77777777" w:rsidR="0046587C" w:rsidRDefault="0046587C" w:rsidP="00414B16">
      <w:pPr>
        <w:spacing w:after="120"/>
        <w:rPr>
          <w:noProof/>
          <w:sz w:val="18"/>
          <w:szCs w:val="18"/>
        </w:rPr>
      </w:pPr>
    </w:p>
    <w:p w14:paraId="04CB52AE" w14:textId="77777777" w:rsidR="0046587C" w:rsidRDefault="0046587C" w:rsidP="00414B16">
      <w:pPr>
        <w:spacing w:after="120"/>
        <w:rPr>
          <w:noProof/>
          <w:sz w:val="18"/>
          <w:szCs w:val="18"/>
        </w:rPr>
      </w:pPr>
    </w:p>
    <w:p w14:paraId="4821B259" w14:textId="77777777" w:rsidR="0046587C" w:rsidRDefault="0046587C" w:rsidP="00414B16">
      <w:pPr>
        <w:spacing w:after="120"/>
        <w:rPr>
          <w:noProof/>
          <w:sz w:val="18"/>
          <w:szCs w:val="18"/>
        </w:rPr>
      </w:pPr>
    </w:p>
    <w:p w14:paraId="296186F7" w14:textId="77777777" w:rsidR="0046587C" w:rsidRDefault="0046587C" w:rsidP="00414B16">
      <w:pPr>
        <w:spacing w:after="120"/>
        <w:rPr>
          <w:noProof/>
          <w:sz w:val="18"/>
          <w:szCs w:val="18"/>
        </w:rPr>
      </w:pPr>
    </w:p>
    <w:p w14:paraId="5968FEE7" w14:textId="77777777" w:rsidR="0046587C" w:rsidRDefault="0046587C" w:rsidP="00414B16">
      <w:pPr>
        <w:spacing w:after="120"/>
        <w:rPr>
          <w:noProof/>
          <w:sz w:val="18"/>
          <w:szCs w:val="18"/>
        </w:rPr>
      </w:pPr>
    </w:p>
    <w:p w14:paraId="3FB710C5" w14:textId="77777777" w:rsidR="0046587C" w:rsidRDefault="0046587C" w:rsidP="00414B16">
      <w:pPr>
        <w:spacing w:after="120"/>
        <w:rPr>
          <w:noProof/>
          <w:sz w:val="18"/>
          <w:szCs w:val="18"/>
        </w:rPr>
      </w:pPr>
    </w:p>
    <w:p w14:paraId="6120BAB6" w14:textId="77777777" w:rsidR="0046587C" w:rsidRDefault="0046587C" w:rsidP="00414B16">
      <w:pPr>
        <w:spacing w:after="120"/>
        <w:rPr>
          <w:noProof/>
          <w:sz w:val="18"/>
          <w:szCs w:val="18"/>
        </w:rPr>
      </w:pPr>
    </w:p>
    <w:p w14:paraId="208DC83A" w14:textId="77777777" w:rsidR="0046587C" w:rsidRDefault="0046587C" w:rsidP="00414B16">
      <w:pPr>
        <w:spacing w:after="120"/>
        <w:rPr>
          <w:noProof/>
          <w:sz w:val="18"/>
          <w:szCs w:val="18"/>
        </w:rPr>
      </w:pPr>
    </w:p>
    <w:p w14:paraId="176AB27A" w14:textId="77777777" w:rsidR="0046587C" w:rsidRDefault="0046587C" w:rsidP="00414B16">
      <w:pPr>
        <w:spacing w:after="120"/>
        <w:rPr>
          <w:noProof/>
          <w:sz w:val="18"/>
          <w:szCs w:val="18"/>
        </w:rPr>
      </w:pPr>
    </w:p>
    <w:p w14:paraId="055CCF18" w14:textId="77777777" w:rsidR="0046587C" w:rsidRDefault="0046587C" w:rsidP="00414B16">
      <w:pPr>
        <w:spacing w:after="120"/>
        <w:rPr>
          <w:noProof/>
          <w:sz w:val="18"/>
          <w:szCs w:val="18"/>
        </w:rPr>
      </w:pPr>
    </w:p>
    <w:p w14:paraId="08806140" w14:textId="77777777" w:rsidR="0046587C" w:rsidRDefault="0046587C" w:rsidP="00414B16">
      <w:pPr>
        <w:spacing w:after="120"/>
        <w:rPr>
          <w:noProof/>
          <w:sz w:val="18"/>
          <w:szCs w:val="18"/>
        </w:rPr>
      </w:pPr>
    </w:p>
    <w:p w14:paraId="16D46328" w14:textId="77777777" w:rsidR="0046587C" w:rsidRDefault="0046587C" w:rsidP="00414B16">
      <w:pPr>
        <w:spacing w:after="120"/>
        <w:rPr>
          <w:noProof/>
          <w:sz w:val="18"/>
          <w:szCs w:val="18"/>
        </w:rPr>
      </w:pPr>
    </w:p>
    <w:p w14:paraId="4EF6F992" w14:textId="77777777" w:rsidR="0046587C" w:rsidRDefault="0046587C" w:rsidP="00414B16">
      <w:pPr>
        <w:spacing w:after="120"/>
        <w:rPr>
          <w:noProof/>
          <w:sz w:val="18"/>
          <w:szCs w:val="18"/>
        </w:rPr>
      </w:pPr>
    </w:p>
    <w:p w14:paraId="3A29A7CB" w14:textId="77777777" w:rsidR="0046587C" w:rsidRDefault="0046587C" w:rsidP="00414B16">
      <w:pPr>
        <w:spacing w:after="120"/>
        <w:rPr>
          <w:noProof/>
          <w:sz w:val="18"/>
          <w:szCs w:val="18"/>
        </w:rPr>
      </w:pPr>
    </w:p>
    <w:p w14:paraId="66E820E4" w14:textId="77777777" w:rsidR="0046587C" w:rsidRDefault="0046587C" w:rsidP="00414B16">
      <w:pPr>
        <w:spacing w:after="120"/>
        <w:rPr>
          <w:noProof/>
          <w:sz w:val="18"/>
          <w:szCs w:val="18"/>
        </w:rPr>
      </w:pPr>
    </w:p>
    <w:p w14:paraId="0493E4B1" w14:textId="77777777" w:rsidR="0046587C" w:rsidRDefault="0046587C" w:rsidP="00414B16">
      <w:pPr>
        <w:spacing w:after="120"/>
        <w:rPr>
          <w:noProof/>
          <w:sz w:val="18"/>
          <w:szCs w:val="18"/>
        </w:rPr>
      </w:pPr>
    </w:p>
    <w:p w14:paraId="2B66FE97" w14:textId="77777777" w:rsidR="0046587C" w:rsidRDefault="0046587C" w:rsidP="00414B16">
      <w:pPr>
        <w:spacing w:after="120"/>
        <w:rPr>
          <w:noProof/>
          <w:sz w:val="18"/>
          <w:szCs w:val="18"/>
        </w:rPr>
      </w:pPr>
    </w:p>
    <w:p w14:paraId="5A1183C4" w14:textId="77777777" w:rsidR="0046587C" w:rsidRDefault="0046587C" w:rsidP="00414B16">
      <w:pPr>
        <w:spacing w:after="120"/>
        <w:rPr>
          <w:noProof/>
          <w:sz w:val="18"/>
          <w:szCs w:val="18"/>
        </w:rPr>
      </w:pPr>
    </w:p>
    <w:p w14:paraId="2331E690" w14:textId="77777777" w:rsidR="0046587C" w:rsidRDefault="0046587C" w:rsidP="00414B16">
      <w:pPr>
        <w:spacing w:after="120"/>
        <w:rPr>
          <w:noProof/>
          <w:sz w:val="18"/>
          <w:szCs w:val="18"/>
        </w:rPr>
      </w:pPr>
    </w:p>
    <w:p w14:paraId="22F8D777" w14:textId="77777777" w:rsidR="0046587C" w:rsidRDefault="0046587C" w:rsidP="00414B16">
      <w:pPr>
        <w:spacing w:after="120"/>
        <w:rPr>
          <w:noProof/>
          <w:sz w:val="18"/>
          <w:szCs w:val="18"/>
        </w:rPr>
      </w:pPr>
    </w:p>
    <w:p w14:paraId="20A7EDB5" w14:textId="6055912B" w:rsidR="00514040" w:rsidRPr="00414B16" w:rsidRDefault="0046587C" w:rsidP="0046587C">
      <w:pPr>
        <w:spacing w:after="120"/>
        <w:jc w:val="right"/>
        <w:rPr>
          <w:rFonts w:ascii="Arial" w:hAnsi="Arial" w:cs="Arial"/>
          <w:color w:val="000000" w:themeColor="text1"/>
          <w:sz w:val="20"/>
          <w:szCs w:val="20"/>
        </w:rPr>
      </w:pPr>
      <w:r w:rsidRPr="005D18A5">
        <w:rPr>
          <w:noProof/>
          <w:sz w:val="18"/>
          <w:szCs w:val="18"/>
        </w:rPr>
        <w:drawing>
          <wp:inline distT="0" distB="0" distL="0" distR="0" wp14:anchorId="6A33085E" wp14:editId="42D4FE33">
            <wp:extent cx="1335405" cy="402590"/>
            <wp:effectExtent l="0" t="0" r="0" b="0"/>
            <wp:docPr id="24" name="Picture 24"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1">
                      <a:extLst>
                        <a:ext uri="{28A0092B-C50C-407E-A947-70E740481C1C}">
                          <a14:useLocalDpi xmlns:a14="http://schemas.microsoft.com/office/drawing/2010/main" val="0"/>
                        </a:ext>
                      </a:extLst>
                    </a:blip>
                    <a:stretch>
                      <a:fillRect/>
                    </a:stretch>
                  </pic:blipFill>
                  <pic:spPr>
                    <a:xfrm>
                      <a:off x="0" y="0"/>
                      <a:ext cx="1335405" cy="402590"/>
                    </a:xfrm>
                    <a:prstGeom prst="rect">
                      <a:avLst/>
                    </a:prstGeom>
                  </pic:spPr>
                </pic:pic>
              </a:graphicData>
            </a:graphic>
          </wp:inline>
        </w:drawing>
      </w:r>
    </w:p>
    <w:sectPr w:rsidR="00514040" w:rsidRPr="00414B16" w:rsidSect="007A788C">
      <w:headerReference w:type="even" r:id="rId19"/>
      <w:headerReference w:type="default" r:id="rId20"/>
      <w:footerReference w:type="even" r:id="rId21"/>
      <w:footerReference w:type="default" r:id="rId22"/>
      <w:headerReference w:type="first" r:id="rId23"/>
      <w:footerReference w:type="first" r:id="rId24"/>
      <w:pgSz w:w="11906" w:h="16838"/>
      <w:pgMar w:top="-1134" w:right="1440" w:bottom="1418" w:left="1440" w:header="567" w:footer="8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C899" w14:textId="77777777" w:rsidR="00F80CD4" w:rsidRDefault="00F80CD4" w:rsidP="004F16E5">
      <w:r>
        <w:separator/>
      </w:r>
    </w:p>
  </w:endnote>
  <w:endnote w:type="continuationSeparator" w:id="0">
    <w:p w14:paraId="5681F588" w14:textId="77777777" w:rsidR="00F80CD4" w:rsidRDefault="00F80CD4" w:rsidP="004F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Bold">
    <w:altName w:val="Tahom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VIC-SemiBold">
    <w:altName w:val="Times New Roman"/>
    <w:charset w:val="4D"/>
    <w:family w:val="auto"/>
    <w:pitch w:val="default"/>
    <w:sig w:usb0="00000003" w:usb1="00000000" w:usb2="00000000" w:usb3="00000000" w:csb0="00000001" w:csb1="00000000"/>
  </w:font>
  <w:font w:name="VIC-ExtraLight">
    <w:altName w:val="Times New Roman"/>
    <w:charset w:val="00"/>
    <w:family w:val="auto"/>
    <w:pitch w:val="variable"/>
    <w:sig w:usb0="00000001"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A91D" w14:textId="77777777" w:rsidR="005F1122" w:rsidRDefault="005F1122" w:rsidP="00772342">
    <w:pPr>
      <w:pStyle w:val="Footer"/>
      <w:jc w:val="center"/>
      <w:rPr>
        <w:rFonts w:ascii="Arial" w:hAnsi="Arial" w:cs="Arial"/>
        <w:color w:val="000000"/>
        <w:sz w:val="18"/>
      </w:rPr>
    </w:pPr>
    <w:bookmarkStart w:id="51" w:name="aliashAdvancedHeaderFoot1FooterEvenPages"/>
    <w:r>
      <w:rPr>
        <w:rFonts w:ascii="Arial" w:hAnsi="Arial" w:cs="Arial"/>
        <w:color w:val="000000"/>
        <w:sz w:val="18"/>
      </w:rPr>
      <w:t>UNCLASSIFIED</w:t>
    </w:r>
  </w:p>
  <w:bookmarkEnd w:id="51"/>
  <w:p w14:paraId="232BA17E" w14:textId="77777777" w:rsidR="005F1122" w:rsidRDefault="005F1122" w:rsidP="00250E64">
    <w:pPr>
      <w:pStyle w:val="Footer"/>
      <w:jc w:val="center"/>
    </w:pPr>
  </w:p>
  <w:p w14:paraId="641F2FF7" w14:textId="77777777" w:rsidR="00155F46" w:rsidRDefault="00155F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F8CA" w14:textId="526E6DBD" w:rsidR="00966C1F" w:rsidRPr="00966C1F" w:rsidRDefault="00966C1F">
    <w:pPr>
      <w:pStyle w:val="Footer"/>
      <w:jc w:val="center"/>
      <w:rPr>
        <w:rFonts w:ascii="Tahoma" w:hAnsi="Tahoma" w:cs="Tahoma"/>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60"/>
      <w:gridCol w:w="3465"/>
    </w:tblGrid>
    <w:tr w:rsidR="000364AC" w:rsidRPr="005D18A5" w14:paraId="7914ACFC" w14:textId="77777777" w:rsidTr="00282CA1">
      <w:tc>
        <w:tcPr>
          <w:tcW w:w="4140" w:type="dxa"/>
          <w:vAlign w:val="center"/>
        </w:tcPr>
        <w:p w14:paraId="4FE1BC0C" w14:textId="2E12C74A" w:rsidR="000364AC" w:rsidRPr="005D18A5" w:rsidRDefault="000364AC" w:rsidP="000364AC">
          <w:pPr>
            <w:pStyle w:val="Footer"/>
            <w:rPr>
              <w:rStyle w:val="PageNumber"/>
              <w:rFonts w:ascii="Arial" w:hAnsi="Arial" w:cs="Arial"/>
              <w:sz w:val="18"/>
              <w:szCs w:val="18"/>
            </w:rPr>
          </w:pPr>
        </w:p>
      </w:tc>
      <w:tc>
        <w:tcPr>
          <w:tcW w:w="2460" w:type="dxa"/>
          <w:vAlign w:val="center"/>
        </w:tcPr>
        <w:p w14:paraId="21F80349" w14:textId="5D5F5A29" w:rsidR="000364AC" w:rsidRPr="005D18A5" w:rsidRDefault="000364AC" w:rsidP="000364AC">
          <w:pPr>
            <w:pStyle w:val="Footer"/>
            <w:jc w:val="center"/>
            <w:rPr>
              <w:rStyle w:val="PageNumber"/>
              <w:rFonts w:ascii="Arial" w:hAnsi="Arial" w:cs="Arial"/>
              <w:sz w:val="18"/>
              <w:szCs w:val="18"/>
            </w:rPr>
          </w:pPr>
        </w:p>
      </w:tc>
      <w:tc>
        <w:tcPr>
          <w:tcW w:w="3465" w:type="dxa"/>
        </w:tcPr>
        <w:p w14:paraId="42A2C2B7" w14:textId="4215ADA7" w:rsidR="000364AC" w:rsidRPr="005D18A5" w:rsidRDefault="000364AC" w:rsidP="000364AC">
          <w:pPr>
            <w:pStyle w:val="Footer"/>
            <w:jc w:val="right"/>
            <w:rPr>
              <w:rFonts w:ascii="Arial" w:hAnsi="Arial" w:cs="Arial"/>
              <w:sz w:val="18"/>
              <w:szCs w:val="18"/>
            </w:rPr>
          </w:pPr>
        </w:p>
      </w:tc>
    </w:tr>
  </w:tbl>
  <w:tbl>
    <w:tblPr>
      <w:tblStyle w:val="TableGrid"/>
      <w:tblpPr w:leftFromText="180" w:rightFromText="180" w:vertAnchor="text" w:horzAnchor="margin" w:tblpY="34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60"/>
      <w:gridCol w:w="2864"/>
    </w:tblGrid>
    <w:tr w:rsidR="006202DB" w:rsidRPr="005D18A5" w14:paraId="6B6002AD" w14:textId="77777777" w:rsidTr="001D11FC">
      <w:tc>
        <w:tcPr>
          <w:tcW w:w="4140" w:type="dxa"/>
        </w:tcPr>
        <w:p w14:paraId="21D23B45" w14:textId="1BCC2B5E" w:rsidR="006202DB" w:rsidRPr="005D18A5" w:rsidRDefault="006202DB" w:rsidP="006202DB">
          <w:pPr>
            <w:pStyle w:val="Footer"/>
            <w:rPr>
              <w:rStyle w:val="PageNumber"/>
              <w:sz w:val="18"/>
              <w:szCs w:val="18"/>
            </w:rPr>
          </w:pPr>
          <w:r w:rsidRPr="005D18A5">
            <w:rPr>
              <w:rFonts w:ascii="Arial" w:hAnsi="Arial" w:cs="Arial"/>
              <w:sz w:val="18"/>
              <w:szCs w:val="18"/>
            </w:rPr>
            <w:t xml:space="preserve">Non-indigenous Bird </w:t>
          </w:r>
          <w:r w:rsidR="003E0702">
            <w:rPr>
              <w:rFonts w:ascii="Arial" w:hAnsi="Arial" w:cs="Arial"/>
              <w:sz w:val="18"/>
              <w:szCs w:val="18"/>
            </w:rPr>
            <w:t>Declaration</w:t>
          </w:r>
          <w:r w:rsidRPr="005D18A5">
            <w:rPr>
              <w:rFonts w:ascii="Arial" w:hAnsi="Arial" w:cs="Arial"/>
              <w:sz w:val="18"/>
              <w:szCs w:val="18"/>
            </w:rPr>
            <w:t xml:space="preserve"> Policy</w:t>
          </w:r>
        </w:p>
      </w:tc>
      <w:tc>
        <w:tcPr>
          <w:tcW w:w="2460" w:type="dxa"/>
        </w:tcPr>
        <w:p w14:paraId="19388C47" w14:textId="77777777" w:rsidR="006202DB" w:rsidRPr="005D18A5" w:rsidRDefault="006202DB" w:rsidP="006202DB">
          <w:pPr>
            <w:pStyle w:val="Footer"/>
            <w:jc w:val="center"/>
            <w:rPr>
              <w:rStyle w:val="PageNumber"/>
              <w:rFonts w:ascii="Arial" w:hAnsi="Arial" w:cs="Arial"/>
              <w:sz w:val="18"/>
              <w:szCs w:val="18"/>
            </w:rPr>
          </w:pPr>
          <w:r w:rsidRPr="005D18A5">
            <w:rPr>
              <w:rStyle w:val="PageNumber"/>
              <w:rFonts w:ascii="Arial" w:hAnsi="Arial" w:cs="Arial"/>
              <w:sz w:val="18"/>
              <w:szCs w:val="18"/>
            </w:rPr>
            <w:fldChar w:fldCharType="begin"/>
          </w:r>
          <w:r w:rsidRPr="005D18A5">
            <w:rPr>
              <w:rStyle w:val="PageNumber"/>
              <w:rFonts w:ascii="Arial" w:hAnsi="Arial" w:cs="Arial"/>
              <w:sz w:val="18"/>
              <w:szCs w:val="18"/>
            </w:rPr>
            <w:instrText xml:space="preserve"> PAGE </w:instrText>
          </w:r>
          <w:r w:rsidRPr="005D18A5">
            <w:rPr>
              <w:rStyle w:val="PageNumber"/>
              <w:rFonts w:ascii="Arial" w:hAnsi="Arial" w:cs="Arial"/>
              <w:sz w:val="18"/>
              <w:szCs w:val="18"/>
            </w:rPr>
            <w:fldChar w:fldCharType="separate"/>
          </w:r>
          <w:r w:rsidRPr="005D18A5">
            <w:rPr>
              <w:rStyle w:val="PageNumber"/>
              <w:rFonts w:ascii="Arial" w:hAnsi="Arial" w:cs="Arial"/>
              <w:sz w:val="18"/>
              <w:szCs w:val="18"/>
            </w:rPr>
            <w:t>1</w:t>
          </w:r>
          <w:r w:rsidRPr="005D18A5">
            <w:rPr>
              <w:rStyle w:val="PageNumber"/>
              <w:rFonts w:ascii="Arial" w:hAnsi="Arial" w:cs="Arial"/>
              <w:sz w:val="18"/>
              <w:szCs w:val="18"/>
            </w:rPr>
            <w:fldChar w:fldCharType="end"/>
          </w:r>
          <w:r w:rsidRPr="005D18A5">
            <w:rPr>
              <w:rStyle w:val="PageNumber"/>
              <w:rFonts w:ascii="Arial" w:hAnsi="Arial" w:cs="Arial"/>
              <w:sz w:val="18"/>
              <w:szCs w:val="18"/>
            </w:rPr>
            <w:t xml:space="preserve"> of </w:t>
          </w:r>
          <w:r w:rsidRPr="005D18A5">
            <w:rPr>
              <w:rStyle w:val="PageNumber"/>
              <w:rFonts w:ascii="Arial" w:hAnsi="Arial" w:cs="Arial"/>
              <w:sz w:val="18"/>
              <w:szCs w:val="18"/>
            </w:rPr>
            <w:fldChar w:fldCharType="begin"/>
          </w:r>
          <w:r w:rsidRPr="005D18A5">
            <w:rPr>
              <w:rStyle w:val="PageNumber"/>
              <w:rFonts w:ascii="Arial" w:hAnsi="Arial" w:cs="Arial"/>
              <w:sz w:val="18"/>
              <w:szCs w:val="18"/>
            </w:rPr>
            <w:instrText xml:space="preserve"> NUMPAGES </w:instrText>
          </w:r>
          <w:r w:rsidRPr="005D18A5">
            <w:rPr>
              <w:rStyle w:val="PageNumber"/>
              <w:rFonts w:ascii="Arial" w:hAnsi="Arial" w:cs="Arial"/>
              <w:sz w:val="18"/>
              <w:szCs w:val="18"/>
            </w:rPr>
            <w:fldChar w:fldCharType="separate"/>
          </w:r>
          <w:r w:rsidRPr="005D18A5">
            <w:rPr>
              <w:rStyle w:val="PageNumber"/>
              <w:rFonts w:ascii="Arial" w:hAnsi="Arial" w:cs="Arial"/>
              <w:sz w:val="18"/>
              <w:szCs w:val="18"/>
            </w:rPr>
            <w:t>2</w:t>
          </w:r>
          <w:r w:rsidRPr="005D18A5">
            <w:rPr>
              <w:rStyle w:val="PageNumber"/>
              <w:rFonts w:ascii="Arial" w:hAnsi="Arial" w:cs="Arial"/>
              <w:sz w:val="18"/>
              <w:szCs w:val="18"/>
            </w:rPr>
            <w:fldChar w:fldCharType="end"/>
          </w:r>
        </w:p>
      </w:tc>
      <w:tc>
        <w:tcPr>
          <w:tcW w:w="2864" w:type="dxa"/>
        </w:tcPr>
        <w:p w14:paraId="296A3AD7" w14:textId="77777777" w:rsidR="006202DB" w:rsidRPr="005D18A5" w:rsidRDefault="006202DB" w:rsidP="006202DB">
          <w:pPr>
            <w:pStyle w:val="Footer"/>
            <w:jc w:val="right"/>
            <w:rPr>
              <w:sz w:val="18"/>
              <w:szCs w:val="18"/>
            </w:rPr>
          </w:pPr>
        </w:p>
      </w:tc>
    </w:tr>
  </w:tbl>
  <w:p w14:paraId="5BD1456D" w14:textId="79125475" w:rsidR="00155F46" w:rsidRDefault="00155F46" w:rsidP="000364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9141" w14:textId="58AA5350" w:rsidR="000106CD" w:rsidRDefault="000106CD">
    <w:pPr>
      <w:pStyle w:val="Footer"/>
    </w:pPr>
  </w:p>
  <w:tbl>
    <w:tblPr>
      <w:tblStyle w:val="TableGrid"/>
      <w:tblpPr w:leftFromText="180" w:rightFromText="180" w:vertAnchor="text" w:horzAnchor="margin" w:tblpY="34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60"/>
      <w:gridCol w:w="2864"/>
    </w:tblGrid>
    <w:tr w:rsidR="000106CD" w:rsidRPr="005D18A5" w14:paraId="3E56038B" w14:textId="77777777" w:rsidTr="00746DD2">
      <w:tc>
        <w:tcPr>
          <w:tcW w:w="4140" w:type="dxa"/>
        </w:tcPr>
        <w:p w14:paraId="392815C6" w14:textId="49E85E6A" w:rsidR="000106CD" w:rsidRPr="005D18A5" w:rsidRDefault="000106CD" w:rsidP="000106CD">
          <w:pPr>
            <w:pStyle w:val="Footer"/>
            <w:rPr>
              <w:rStyle w:val="PageNumber"/>
              <w:sz w:val="18"/>
              <w:szCs w:val="18"/>
            </w:rPr>
          </w:pPr>
          <w:r w:rsidRPr="005D18A5">
            <w:rPr>
              <w:rFonts w:ascii="Arial" w:hAnsi="Arial" w:cs="Arial"/>
              <w:sz w:val="18"/>
              <w:szCs w:val="18"/>
            </w:rPr>
            <w:t xml:space="preserve">Non-indigenous Bird </w:t>
          </w:r>
          <w:r w:rsidR="003E0702">
            <w:rPr>
              <w:rFonts w:ascii="Arial" w:hAnsi="Arial" w:cs="Arial"/>
              <w:sz w:val="18"/>
              <w:szCs w:val="18"/>
            </w:rPr>
            <w:t>Declaration</w:t>
          </w:r>
          <w:r w:rsidRPr="005D18A5">
            <w:rPr>
              <w:rFonts w:ascii="Arial" w:hAnsi="Arial" w:cs="Arial"/>
              <w:sz w:val="18"/>
              <w:szCs w:val="18"/>
            </w:rPr>
            <w:t xml:space="preserve"> Policy</w:t>
          </w:r>
        </w:p>
      </w:tc>
      <w:tc>
        <w:tcPr>
          <w:tcW w:w="2460" w:type="dxa"/>
        </w:tcPr>
        <w:p w14:paraId="51D81862" w14:textId="77777777" w:rsidR="000106CD" w:rsidRPr="005D18A5" w:rsidRDefault="000106CD" w:rsidP="000106CD">
          <w:pPr>
            <w:pStyle w:val="Footer"/>
            <w:jc w:val="center"/>
            <w:rPr>
              <w:rStyle w:val="PageNumber"/>
              <w:rFonts w:ascii="Arial" w:hAnsi="Arial" w:cs="Arial"/>
              <w:sz w:val="18"/>
              <w:szCs w:val="18"/>
            </w:rPr>
          </w:pPr>
          <w:r w:rsidRPr="005D18A5">
            <w:rPr>
              <w:rStyle w:val="PageNumber"/>
              <w:rFonts w:ascii="Arial" w:hAnsi="Arial" w:cs="Arial"/>
              <w:sz w:val="18"/>
              <w:szCs w:val="18"/>
            </w:rPr>
            <w:fldChar w:fldCharType="begin"/>
          </w:r>
          <w:r w:rsidRPr="005D18A5">
            <w:rPr>
              <w:rStyle w:val="PageNumber"/>
              <w:rFonts w:ascii="Arial" w:hAnsi="Arial" w:cs="Arial"/>
              <w:sz w:val="18"/>
              <w:szCs w:val="18"/>
            </w:rPr>
            <w:instrText xml:space="preserve"> PAGE </w:instrText>
          </w:r>
          <w:r w:rsidRPr="005D18A5">
            <w:rPr>
              <w:rStyle w:val="PageNumber"/>
              <w:rFonts w:ascii="Arial" w:hAnsi="Arial" w:cs="Arial"/>
              <w:sz w:val="18"/>
              <w:szCs w:val="18"/>
            </w:rPr>
            <w:fldChar w:fldCharType="separate"/>
          </w:r>
          <w:r w:rsidRPr="005D18A5">
            <w:rPr>
              <w:rStyle w:val="PageNumber"/>
              <w:rFonts w:ascii="Arial" w:hAnsi="Arial" w:cs="Arial"/>
              <w:sz w:val="18"/>
              <w:szCs w:val="18"/>
            </w:rPr>
            <w:t>1</w:t>
          </w:r>
          <w:r w:rsidRPr="005D18A5">
            <w:rPr>
              <w:rStyle w:val="PageNumber"/>
              <w:rFonts w:ascii="Arial" w:hAnsi="Arial" w:cs="Arial"/>
              <w:sz w:val="18"/>
              <w:szCs w:val="18"/>
            </w:rPr>
            <w:fldChar w:fldCharType="end"/>
          </w:r>
          <w:r w:rsidRPr="005D18A5">
            <w:rPr>
              <w:rStyle w:val="PageNumber"/>
              <w:rFonts w:ascii="Arial" w:hAnsi="Arial" w:cs="Arial"/>
              <w:sz w:val="18"/>
              <w:szCs w:val="18"/>
            </w:rPr>
            <w:t xml:space="preserve"> of </w:t>
          </w:r>
          <w:r w:rsidRPr="005D18A5">
            <w:rPr>
              <w:rStyle w:val="PageNumber"/>
              <w:rFonts w:ascii="Arial" w:hAnsi="Arial" w:cs="Arial"/>
              <w:sz w:val="18"/>
              <w:szCs w:val="18"/>
            </w:rPr>
            <w:fldChar w:fldCharType="begin"/>
          </w:r>
          <w:r w:rsidRPr="005D18A5">
            <w:rPr>
              <w:rStyle w:val="PageNumber"/>
              <w:rFonts w:ascii="Arial" w:hAnsi="Arial" w:cs="Arial"/>
              <w:sz w:val="18"/>
              <w:szCs w:val="18"/>
            </w:rPr>
            <w:instrText xml:space="preserve"> NUMPAGES </w:instrText>
          </w:r>
          <w:r w:rsidRPr="005D18A5">
            <w:rPr>
              <w:rStyle w:val="PageNumber"/>
              <w:rFonts w:ascii="Arial" w:hAnsi="Arial" w:cs="Arial"/>
              <w:sz w:val="18"/>
              <w:szCs w:val="18"/>
            </w:rPr>
            <w:fldChar w:fldCharType="separate"/>
          </w:r>
          <w:r w:rsidRPr="005D18A5">
            <w:rPr>
              <w:rStyle w:val="PageNumber"/>
              <w:rFonts w:ascii="Arial" w:hAnsi="Arial" w:cs="Arial"/>
              <w:sz w:val="18"/>
              <w:szCs w:val="18"/>
            </w:rPr>
            <w:t>2</w:t>
          </w:r>
          <w:r w:rsidRPr="005D18A5">
            <w:rPr>
              <w:rStyle w:val="PageNumber"/>
              <w:rFonts w:ascii="Arial" w:hAnsi="Arial" w:cs="Arial"/>
              <w:sz w:val="18"/>
              <w:szCs w:val="18"/>
            </w:rPr>
            <w:fldChar w:fldCharType="end"/>
          </w:r>
        </w:p>
      </w:tc>
      <w:tc>
        <w:tcPr>
          <w:tcW w:w="2864" w:type="dxa"/>
        </w:tcPr>
        <w:p w14:paraId="6A2C3E11" w14:textId="51FC98EF" w:rsidR="000106CD" w:rsidRPr="005D18A5" w:rsidRDefault="000106CD" w:rsidP="000106CD">
          <w:pPr>
            <w:pStyle w:val="Footer"/>
            <w:jc w:val="right"/>
            <w:rPr>
              <w:sz w:val="18"/>
              <w:szCs w:val="18"/>
            </w:rPr>
          </w:pPr>
        </w:p>
      </w:tc>
    </w:tr>
  </w:tbl>
  <w:p w14:paraId="5BD19065" w14:textId="77777777" w:rsidR="005F1122" w:rsidRPr="005D18A5" w:rsidRDefault="005F1122" w:rsidP="005D18A5">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31EA1" w14:textId="77777777" w:rsidR="00F80CD4" w:rsidRDefault="00F80CD4" w:rsidP="004F16E5">
      <w:r>
        <w:separator/>
      </w:r>
    </w:p>
  </w:footnote>
  <w:footnote w:type="continuationSeparator" w:id="0">
    <w:p w14:paraId="35CDC0F2" w14:textId="77777777" w:rsidR="00F80CD4" w:rsidRDefault="00F80CD4" w:rsidP="004F16E5">
      <w:r>
        <w:continuationSeparator/>
      </w:r>
    </w:p>
  </w:footnote>
  <w:footnote w:id="1">
    <w:p w14:paraId="01FBE1C1" w14:textId="26B9187C" w:rsidR="00FC2A67" w:rsidRDefault="00FC2A67">
      <w:pPr>
        <w:pStyle w:val="FootnoteText"/>
        <w:rPr>
          <w:rFonts w:ascii="Arial" w:hAnsi="Arial" w:cs="Arial"/>
          <w:color w:val="53565A"/>
        </w:rPr>
      </w:pPr>
      <w:r>
        <w:rPr>
          <w:rStyle w:val="FootnoteReference"/>
        </w:rPr>
        <w:footnoteRef/>
      </w:r>
      <w:r>
        <w:t xml:space="preserve"> </w:t>
      </w:r>
      <w:r w:rsidRPr="00FC2A67">
        <w:rPr>
          <w:rFonts w:ascii="Arial" w:hAnsi="Arial" w:cs="Arial"/>
          <w:color w:val="53565A"/>
        </w:rPr>
        <w:t>Plant and animal specimens considered to be suitable for live import into Australia are listed in the live import list, which is administered by the Australian Government Department of Agriculture, Water</w:t>
      </w:r>
      <w:r w:rsidR="00EF0127">
        <w:rPr>
          <w:rFonts w:ascii="Arial" w:hAnsi="Arial" w:cs="Arial"/>
          <w:color w:val="53565A"/>
        </w:rPr>
        <w:t>,</w:t>
      </w:r>
      <w:r w:rsidRPr="00FC2A67">
        <w:rPr>
          <w:rFonts w:ascii="Arial" w:hAnsi="Arial" w:cs="Arial"/>
          <w:color w:val="53565A"/>
        </w:rPr>
        <w:t xml:space="preserve"> and the Environment</w:t>
      </w:r>
    </w:p>
    <w:p w14:paraId="25ED1521" w14:textId="77777777" w:rsidR="008356F8" w:rsidRDefault="008356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E7FD" w14:textId="77777777" w:rsidR="005F1122" w:rsidRDefault="005F1122" w:rsidP="00772342">
    <w:pPr>
      <w:pStyle w:val="Header"/>
      <w:jc w:val="center"/>
      <w:rPr>
        <w:rFonts w:ascii="Arial" w:hAnsi="Arial" w:cs="Arial"/>
        <w:color w:val="000000"/>
        <w:sz w:val="18"/>
      </w:rPr>
    </w:pPr>
    <w:bookmarkStart w:id="50" w:name="aliashAdvancedHeaderFoot1HeaderEvenPages"/>
    <w:r>
      <w:rPr>
        <w:rFonts w:ascii="Arial" w:hAnsi="Arial" w:cs="Arial"/>
        <w:color w:val="000000"/>
        <w:sz w:val="18"/>
      </w:rPr>
      <w:t>UNCLASSIFIED</w:t>
    </w:r>
  </w:p>
  <w:bookmarkEnd w:id="50"/>
  <w:p w14:paraId="6AF67906" w14:textId="77777777" w:rsidR="005F1122" w:rsidRDefault="005F1122" w:rsidP="00250E64">
    <w:pPr>
      <w:pStyle w:val="Header"/>
      <w:jc w:val="center"/>
    </w:pPr>
  </w:p>
  <w:p w14:paraId="5054C9EB" w14:textId="77777777" w:rsidR="00155F46" w:rsidRDefault="00155F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7CE7" w14:textId="23CB8641" w:rsidR="00155F46" w:rsidRDefault="00155F46" w:rsidP="00775A2B">
    <w:pPr>
      <w:ind w:right="-46"/>
    </w:pPr>
  </w:p>
  <w:p w14:paraId="1255918C" w14:textId="7EE72D28" w:rsidR="005F1122" w:rsidRDefault="005F1122" w:rsidP="00775A2B">
    <w:pPr>
      <w:pStyle w:val="Footer"/>
      <w:spacing w:after="480"/>
      <w:jc w:val="center"/>
      <w:rPr>
        <w:rFonts w:ascii="Arial" w:hAnsi="Arial" w:cs="Arial"/>
        <w:color w:val="00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044B" w14:textId="26198925" w:rsidR="00775A2B" w:rsidRPr="00775A2B" w:rsidRDefault="00A43A57" w:rsidP="00775A2B">
    <w:pPr>
      <w:spacing w:after="2160" w:line="22" w:lineRule="atLeast"/>
      <w:rPr>
        <w:rFonts w:ascii="Arial Bold" w:hAnsi="Arial Bold" w:cs="Arial"/>
        <w:b/>
        <w:noProof/>
        <w:color w:val="FFFFFF"/>
        <w:sz w:val="44"/>
        <w:szCs w:val="40"/>
      </w:rPr>
    </w:pPr>
    <w:bookmarkStart w:id="52" w:name="aliashAdvancedHeaderFoot1HeaderFirstPage"/>
    <w:r>
      <w:rPr>
        <w:rFonts w:ascii="Arial Bold" w:hAnsi="Arial Bold" w:cs="Arial"/>
        <w:b/>
        <w:noProof/>
        <w:color w:val="FFFFFF"/>
        <w:sz w:val="44"/>
        <w:szCs w:val="40"/>
      </w:rPr>
      <w:t>N</w:t>
    </w:r>
  </w:p>
  <w:p w14:paraId="7BA416E2" w14:textId="3CAF0E2F" w:rsidR="005F1122" w:rsidRDefault="00775A2B" w:rsidP="00775A2B">
    <w:pPr>
      <w:pStyle w:val="Header"/>
      <w:jc w:val="center"/>
      <w:rPr>
        <w:rFonts w:ascii="Arial" w:hAnsi="Arial" w:cs="Arial"/>
        <w:color w:val="000000"/>
        <w:sz w:val="18"/>
      </w:rPr>
    </w:pPr>
    <w:r>
      <w:rPr>
        <w:noProof/>
        <w:lang w:val="en-GB" w:eastAsia="en-GB"/>
      </w:rPr>
      <w:t xml:space="preserve"> </w:t>
    </w:r>
  </w:p>
  <w:bookmarkEnd w:id="52"/>
  <w:p w14:paraId="610EE13F" w14:textId="77777777" w:rsidR="005F1122" w:rsidRDefault="005F1122" w:rsidP="00250E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13DB"/>
    <w:multiLevelType w:val="hybridMultilevel"/>
    <w:tmpl w:val="CCEAE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F57BA"/>
    <w:multiLevelType w:val="hybridMultilevel"/>
    <w:tmpl w:val="6576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2F6B52"/>
    <w:multiLevelType w:val="hybridMultilevel"/>
    <w:tmpl w:val="05EE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C09A8"/>
    <w:multiLevelType w:val="hybridMultilevel"/>
    <w:tmpl w:val="D35C188C"/>
    <w:lvl w:ilvl="0" w:tplc="DEE6C282">
      <w:start w:val="1"/>
      <w:numFmt w:val="bullet"/>
      <w:pStyle w:val="Policycopy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904559"/>
    <w:multiLevelType w:val="multilevel"/>
    <w:tmpl w:val="B29E0CD4"/>
    <w:lvl w:ilvl="0">
      <w:start w:val="1"/>
      <w:numFmt w:val="decimal"/>
      <w:pStyle w:val="PolicyH1"/>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6E5"/>
    <w:rsid w:val="000106CD"/>
    <w:rsid w:val="00011C5D"/>
    <w:rsid w:val="00017E33"/>
    <w:rsid w:val="0002198D"/>
    <w:rsid w:val="0003233B"/>
    <w:rsid w:val="000364AC"/>
    <w:rsid w:val="0003781E"/>
    <w:rsid w:val="00041ABA"/>
    <w:rsid w:val="00046C49"/>
    <w:rsid w:val="00065A01"/>
    <w:rsid w:val="000679B8"/>
    <w:rsid w:val="0007292A"/>
    <w:rsid w:val="0007329D"/>
    <w:rsid w:val="00077660"/>
    <w:rsid w:val="00080287"/>
    <w:rsid w:val="000939DD"/>
    <w:rsid w:val="000A5034"/>
    <w:rsid w:val="000C0A78"/>
    <w:rsid w:val="000C162B"/>
    <w:rsid w:val="000C5E09"/>
    <w:rsid w:val="000C6E4D"/>
    <w:rsid w:val="000D2034"/>
    <w:rsid w:val="000E00A7"/>
    <w:rsid w:val="000E449C"/>
    <w:rsid w:val="000E5184"/>
    <w:rsid w:val="000F0721"/>
    <w:rsid w:val="000F6785"/>
    <w:rsid w:val="0010321C"/>
    <w:rsid w:val="00111357"/>
    <w:rsid w:val="00112A74"/>
    <w:rsid w:val="0011353A"/>
    <w:rsid w:val="00115D07"/>
    <w:rsid w:val="00116FFC"/>
    <w:rsid w:val="001205C9"/>
    <w:rsid w:val="00125EF7"/>
    <w:rsid w:val="001316DA"/>
    <w:rsid w:val="00152427"/>
    <w:rsid w:val="00154F34"/>
    <w:rsid w:val="00155F46"/>
    <w:rsid w:val="00157DEB"/>
    <w:rsid w:val="001618C1"/>
    <w:rsid w:val="001622ED"/>
    <w:rsid w:val="00166DA4"/>
    <w:rsid w:val="001722DC"/>
    <w:rsid w:val="001817DD"/>
    <w:rsid w:val="00186DFA"/>
    <w:rsid w:val="001916DB"/>
    <w:rsid w:val="001963A8"/>
    <w:rsid w:val="00196595"/>
    <w:rsid w:val="001A28B3"/>
    <w:rsid w:val="001A45BF"/>
    <w:rsid w:val="001A487B"/>
    <w:rsid w:val="001A5272"/>
    <w:rsid w:val="001B0E31"/>
    <w:rsid w:val="001C4BC2"/>
    <w:rsid w:val="001D1FEE"/>
    <w:rsid w:val="001D4AD5"/>
    <w:rsid w:val="001D4D9C"/>
    <w:rsid w:val="001E64A8"/>
    <w:rsid w:val="001F2E6C"/>
    <w:rsid w:val="001F41ED"/>
    <w:rsid w:val="001F6FA4"/>
    <w:rsid w:val="0020152D"/>
    <w:rsid w:val="0020182A"/>
    <w:rsid w:val="00202842"/>
    <w:rsid w:val="0020287D"/>
    <w:rsid w:val="00206292"/>
    <w:rsid w:val="002062DF"/>
    <w:rsid w:val="00224B04"/>
    <w:rsid w:val="00244B5E"/>
    <w:rsid w:val="00246018"/>
    <w:rsid w:val="00250E64"/>
    <w:rsid w:val="002512C2"/>
    <w:rsid w:val="002527DA"/>
    <w:rsid w:val="00263440"/>
    <w:rsid w:val="00265052"/>
    <w:rsid w:val="00291649"/>
    <w:rsid w:val="00292531"/>
    <w:rsid w:val="00292904"/>
    <w:rsid w:val="002A2574"/>
    <w:rsid w:val="002B0897"/>
    <w:rsid w:val="002B7F24"/>
    <w:rsid w:val="002C35AB"/>
    <w:rsid w:val="002C58FA"/>
    <w:rsid w:val="002D373C"/>
    <w:rsid w:val="003043A2"/>
    <w:rsid w:val="00307F15"/>
    <w:rsid w:val="00314B6E"/>
    <w:rsid w:val="00315543"/>
    <w:rsid w:val="00320111"/>
    <w:rsid w:val="00320244"/>
    <w:rsid w:val="00332395"/>
    <w:rsid w:val="00332995"/>
    <w:rsid w:val="00337E19"/>
    <w:rsid w:val="00342211"/>
    <w:rsid w:val="003454D7"/>
    <w:rsid w:val="00351E85"/>
    <w:rsid w:val="00355B53"/>
    <w:rsid w:val="00356BC8"/>
    <w:rsid w:val="00364C7B"/>
    <w:rsid w:val="00376433"/>
    <w:rsid w:val="00376BB4"/>
    <w:rsid w:val="0039176F"/>
    <w:rsid w:val="00392BBC"/>
    <w:rsid w:val="003A1035"/>
    <w:rsid w:val="003A2840"/>
    <w:rsid w:val="003A6741"/>
    <w:rsid w:val="003B6591"/>
    <w:rsid w:val="003B6DD2"/>
    <w:rsid w:val="003C0E88"/>
    <w:rsid w:val="003C4A88"/>
    <w:rsid w:val="003D580D"/>
    <w:rsid w:val="003E05A9"/>
    <w:rsid w:val="003E0702"/>
    <w:rsid w:val="003E42E2"/>
    <w:rsid w:val="003F03B7"/>
    <w:rsid w:val="003F1D90"/>
    <w:rsid w:val="003F3A99"/>
    <w:rsid w:val="0040131C"/>
    <w:rsid w:val="00403336"/>
    <w:rsid w:val="00404297"/>
    <w:rsid w:val="0041251E"/>
    <w:rsid w:val="00414B16"/>
    <w:rsid w:val="00426BF7"/>
    <w:rsid w:val="00431739"/>
    <w:rsid w:val="0043344A"/>
    <w:rsid w:val="004404F9"/>
    <w:rsid w:val="004443D3"/>
    <w:rsid w:val="00446630"/>
    <w:rsid w:val="004501B7"/>
    <w:rsid w:val="0045328F"/>
    <w:rsid w:val="00456134"/>
    <w:rsid w:val="004613DB"/>
    <w:rsid w:val="00464B99"/>
    <w:rsid w:val="0046587C"/>
    <w:rsid w:val="00466A14"/>
    <w:rsid w:val="00470620"/>
    <w:rsid w:val="00477070"/>
    <w:rsid w:val="004832E1"/>
    <w:rsid w:val="004963AD"/>
    <w:rsid w:val="00497C6C"/>
    <w:rsid w:val="004A099D"/>
    <w:rsid w:val="004A3671"/>
    <w:rsid w:val="004A4E1F"/>
    <w:rsid w:val="004A5287"/>
    <w:rsid w:val="004B3D10"/>
    <w:rsid w:val="004B6765"/>
    <w:rsid w:val="004C3911"/>
    <w:rsid w:val="004C4C86"/>
    <w:rsid w:val="004C6A4E"/>
    <w:rsid w:val="004E1F17"/>
    <w:rsid w:val="004F16E5"/>
    <w:rsid w:val="005043CC"/>
    <w:rsid w:val="00514040"/>
    <w:rsid w:val="00517F91"/>
    <w:rsid w:val="005206ED"/>
    <w:rsid w:val="0052683D"/>
    <w:rsid w:val="0053215A"/>
    <w:rsid w:val="00534A85"/>
    <w:rsid w:val="00540CC8"/>
    <w:rsid w:val="00547588"/>
    <w:rsid w:val="00547CFD"/>
    <w:rsid w:val="00556911"/>
    <w:rsid w:val="0056461C"/>
    <w:rsid w:val="00564FC2"/>
    <w:rsid w:val="00565BC7"/>
    <w:rsid w:val="00567DF4"/>
    <w:rsid w:val="005740DE"/>
    <w:rsid w:val="00575FD5"/>
    <w:rsid w:val="0058018B"/>
    <w:rsid w:val="005841FE"/>
    <w:rsid w:val="00584628"/>
    <w:rsid w:val="005853E5"/>
    <w:rsid w:val="0058660B"/>
    <w:rsid w:val="005867E0"/>
    <w:rsid w:val="00591C27"/>
    <w:rsid w:val="005A3180"/>
    <w:rsid w:val="005C1815"/>
    <w:rsid w:val="005C2E22"/>
    <w:rsid w:val="005C35CA"/>
    <w:rsid w:val="005D18A5"/>
    <w:rsid w:val="005D5D31"/>
    <w:rsid w:val="005E01B6"/>
    <w:rsid w:val="005F0A66"/>
    <w:rsid w:val="005F1122"/>
    <w:rsid w:val="005F2153"/>
    <w:rsid w:val="005F2F29"/>
    <w:rsid w:val="005F7851"/>
    <w:rsid w:val="00600F1B"/>
    <w:rsid w:val="00607023"/>
    <w:rsid w:val="0061232E"/>
    <w:rsid w:val="006202DB"/>
    <w:rsid w:val="00623A3C"/>
    <w:rsid w:val="00631012"/>
    <w:rsid w:val="00637279"/>
    <w:rsid w:val="00637382"/>
    <w:rsid w:val="00645A02"/>
    <w:rsid w:val="00647BD7"/>
    <w:rsid w:val="00647F33"/>
    <w:rsid w:val="00650DD8"/>
    <w:rsid w:val="006515C0"/>
    <w:rsid w:val="00654A00"/>
    <w:rsid w:val="00657246"/>
    <w:rsid w:val="00663E3B"/>
    <w:rsid w:val="00671022"/>
    <w:rsid w:val="00672122"/>
    <w:rsid w:val="00675C26"/>
    <w:rsid w:val="006770ED"/>
    <w:rsid w:val="00680C2D"/>
    <w:rsid w:val="00682FCF"/>
    <w:rsid w:val="00683062"/>
    <w:rsid w:val="006A3DF1"/>
    <w:rsid w:val="006A7D40"/>
    <w:rsid w:val="006B3AE7"/>
    <w:rsid w:val="006C03B9"/>
    <w:rsid w:val="006C40F8"/>
    <w:rsid w:val="006C5877"/>
    <w:rsid w:val="006C6D39"/>
    <w:rsid w:val="006C75F7"/>
    <w:rsid w:val="006D03AE"/>
    <w:rsid w:val="006D202A"/>
    <w:rsid w:val="006F3780"/>
    <w:rsid w:val="006F4EC7"/>
    <w:rsid w:val="006F7933"/>
    <w:rsid w:val="00704A99"/>
    <w:rsid w:val="0071136E"/>
    <w:rsid w:val="0071550A"/>
    <w:rsid w:val="00720C79"/>
    <w:rsid w:val="00720D09"/>
    <w:rsid w:val="00721A49"/>
    <w:rsid w:val="007311D7"/>
    <w:rsid w:val="00734AC2"/>
    <w:rsid w:val="0074070C"/>
    <w:rsid w:val="007419E9"/>
    <w:rsid w:val="00746DD2"/>
    <w:rsid w:val="00752C9C"/>
    <w:rsid w:val="007568BF"/>
    <w:rsid w:val="007600A1"/>
    <w:rsid w:val="00772342"/>
    <w:rsid w:val="00775A2B"/>
    <w:rsid w:val="00775E5B"/>
    <w:rsid w:val="0078066B"/>
    <w:rsid w:val="00783115"/>
    <w:rsid w:val="007849B4"/>
    <w:rsid w:val="0079381B"/>
    <w:rsid w:val="00794117"/>
    <w:rsid w:val="00795C78"/>
    <w:rsid w:val="007A41DA"/>
    <w:rsid w:val="007A6ED3"/>
    <w:rsid w:val="007A788C"/>
    <w:rsid w:val="007A7BE4"/>
    <w:rsid w:val="007B0BD5"/>
    <w:rsid w:val="007B60E5"/>
    <w:rsid w:val="007B6EC4"/>
    <w:rsid w:val="007C1FFA"/>
    <w:rsid w:val="007C502F"/>
    <w:rsid w:val="007C5067"/>
    <w:rsid w:val="007C5C6F"/>
    <w:rsid w:val="007C7D35"/>
    <w:rsid w:val="007E2FD7"/>
    <w:rsid w:val="007E5320"/>
    <w:rsid w:val="007F0BC2"/>
    <w:rsid w:val="007F41D8"/>
    <w:rsid w:val="008174B5"/>
    <w:rsid w:val="00821CB5"/>
    <w:rsid w:val="0083044E"/>
    <w:rsid w:val="008356F8"/>
    <w:rsid w:val="00840DC4"/>
    <w:rsid w:val="00855221"/>
    <w:rsid w:val="0087018F"/>
    <w:rsid w:val="008705F4"/>
    <w:rsid w:val="00874A4C"/>
    <w:rsid w:val="00881235"/>
    <w:rsid w:val="0088128F"/>
    <w:rsid w:val="00881A61"/>
    <w:rsid w:val="00882EE9"/>
    <w:rsid w:val="00884372"/>
    <w:rsid w:val="00886F41"/>
    <w:rsid w:val="00890D09"/>
    <w:rsid w:val="00891F0F"/>
    <w:rsid w:val="0089310F"/>
    <w:rsid w:val="008A50B4"/>
    <w:rsid w:val="008B2DD0"/>
    <w:rsid w:val="008C1553"/>
    <w:rsid w:val="008C20A5"/>
    <w:rsid w:val="008C715E"/>
    <w:rsid w:val="008D66F5"/>
    <w:rsid w:val="008E2CAE"/>
    <w:rsid w:val="008F3DD8"/>
    <w:rsid w:val="009027F8"/>
    <w:rsid w:val="00907BC5"/>
    <w:rsid w:val="0091397C"/>
    <w:rsid w:val="00922FC9"/>
    <w:rsid w:val="00923703"/>
    <w:rsid w:val="00927511"/>
    <w:rsid w:val="009302E6"/>
    <w:rsid w:val="0093244D"/>
    <w:rsid w:val="00932520"/>
    <w:rsid w:val="009354F5"/>
    <w:rsid w:val="00937742"/>
    <w:rsid w:val="009414BA"/>
    <w:rsid w:val="00941DD6"/>
    <w:rsid w:val="00944A6F"/>
    <w:rsid w:val="00945C1E"/>
    <w:rsid w:val="0095125E"/>
    <w:rsid w:val="00961599"/>
    <w:rsid w:val="00966C1F"/>
    <w:rsid w:val="00970C2D"/>
    <w:rsid w:val="00975F22"/>
    <w:rsid w:val="009767A9"/>
    <w:rsid w:val="00983BD0"/>
    <w:rsid w:val="00986240"/>
    <w:rsid w:val="00995AA4"/>
    <w:rsid w:val="009A21DA"/>
    <w:rsid w:val="009A6864"/>
    <w:rsid w:val="009A70F7"/>
    <w:rsid w:val="009A7B19"/>
    <w:rsid w:val="009B33E1"/>
    <w:rsid w:val="009B4136"/>
    <w:rsid w:val="009C5E07"/>
    <w:rsid w:val="009D227E"/>
    <w:rsid w:val="009D3E32"/>
    <w:rsid w:val="009D4D46"/>
    <w:rsid w:val="009D7351"/>
    <w:rsid w:val="009E6209"/>
    <w:rsid w:val="009E6B4C"/>
    <w:rsid w:val="009F1206"/>
    <w:rsid w:val="009F6F9D"/>
    <w:rsid w:val="00A12E8A"/>
    <w:rsid w:val="00A1782B"/>
    <w:rsid w:val="00A274C0"/>
    <w:rsid w:val="00A316BD"/>
    <w:rsid w:val="00A37B90"/>
    <w:rsid w:val="00A43A57"/>
    <w:rsid w:val="00A4453D"/>
    <w:rsid w:val="00A45749"/>
    <w:rsid w:val="00A57A49"/>
    <w:rsid w:val="00A61A58"/>
    <w:rsid w:val="00A629DC"/>
    <w:rsid w:val="00A6403E"/>
    <w:rsid w:val="00A64081"/>
    <w:rsid w:val="00A71135"/>
    <w:rsid w:val="00A716E9"/>
    <w:rsid w:val="00A850C2"/>
    <w:rsid w:val="00A85BA6"/>
    <w:rsid w:val="00A8757D"/>
    <w:rsid w:val="00A90DFB"/>
    <w:rsid w:val="00A927AB"/>
    <w:rsid w:val="00A939D2"/>
    <w:rsid w:val="00AA03BC"/>
    <w:rsid w:val="00AB0ED3"/>
    <w:rsid w:val="00AB38EC"/>
    <w:rsid w:val="00AB52F5"/>
    <w:rsid w:val="00AC008A"/>
    <w:rsid w:val="00AC1E41"/>
    <w:rsid w:val="00AC379A"/>
    <w:rsid w:val="00AE25E4"/>
    <w:rsid w:val="00AE2E4C"/>
    <w:rsid w:val="00AE4F5C"/>
    <w:rsid w:val="00AF2C12"/>
    <w:rsid w:val="00B176FD"/>
    <w:rsid w:val="00B20139"/>
    <w:rsid w:val="00B36027"/>
    <w:rsid w:val="00B427AF"/>
    <w:rsid w:val="00B44131"/>
    <w:rsid w:val="00B45DEF"/>
    <w:rsid w:val="00B55F46"/>
    <w:rsid w:val="00B57808"/>
    <w:rsid w:val="00B8306D"/>
    <w:rsid w:val="00B85654"/>
    <w:rsid w:val="00B91C3C"/>
    <w:rsid w:val="00B93334"/>
    <w:rsid w:val="00B967F8"/>
    <w:rsid w:val="00BA09CE"/>
    <w:rsid w:val="00BA35CB"/>
    <w:rsid w:val="00BC0996"/>
    <w:rsid w:val="00BD61D2"/>
    <w:rsid w:val="00BD783A"/>
    <w:rsid w:val="00BF20ED"/>
    <w:rsid w:val="00C01BF2"/>
    <w:rsid w:val="00C0651D"/>
    <w:rsid w:val="00C16B4B"/>
    <w:rsid w:val="00C22C1F"/>
    <w:rsid w:val="00C23EBB"/>
    <w:rsid w:val="00C3320F"/>
    <w:rsid w:val="00C33E1C"/>
    <w:rsid w:val="00C44C2A"/>
    <w:rsid w:val="00C47BAC"/>
    <w:rsid w:val="00C524B2"/>
    <w:rsid w:val="00C5486D"/>
    <w:rsid w:val="00C56302"/>
    <w:rsid w:val="00C67BAC"/>
    <w:rsid w:val="00C72F79"/>
    <w:rsid w:val="00C75B3B"/>
    <w:rsid w:val="00C81EF7"/>
    <w:rsid w:val="00CB043E"/>
    <w:rsid w:val="00CB5E30"/>
    <w:rsid w:val="00CB78D9"/>
    <w:rsid w:val="00CD5634"/>
    <w:rsid w:val="00CD6FBD"/>
    <w:rsid w:val="00CE139A"/>
    <w:rsid w:val="00CE619B"/>
    <w:rsid w:val="00CF21DE"/>
    <w:rsid w:val="00CF3034"/>
    <w:rsid w:val="00CF5831"/>
    <w:rsid w:val="00CF6EA9"/>
    <w:rsid w:val="00CF788F"/>
    <w:rsid w:val="00D12A78"/>
    <w:rsid w:val="00D13108"/>
    <w:rsid w:val="00D17147"/>
    <w:rsid w:val="00D32A85"/>
    <w:rsid w:val="00D331E5"/>
    <w:rsid w:val="00D33D09"/>
    <w:rsid w:val="00D36E3A"/>
    <w:rsid w:val="00D417F9"/>
    <w:rsid w:val="00D424C4"/>
    <w:rsid w:val="00D4431F"/>
    <w:rsid w:val="00D45F5B"/>
    <w:rsid w:val="00D46BBC"/>
    <w:rsid w:val="00D531D7"/>
    <w:rsid w:val="00D547D6"/>
    <w:rsid w:val="00D623AB"/>
    <w:rsid w:val="00D64F8E"/>
    <w:rsid w:val="00D71113"/>
    <w:rsid w:val="00D760E2"/>
    <w:rsid w:val="00D766EC"/>
    <w:rsid w:val="00D80370"/>
    <w:rsid w:val="00D80EE3"/>
    <w:rsid w:val="00D81628"/>
    <w:rsid w:val="00D827F7"/>
    <w:rsid w:val="00D833C2"/>
    <w:rsid w:val="00D9269E"/>
    <w:rsid w:val="00D93284"/>
    <w:rsid w:val="00D97275"/>
    <w:rsid w:val="00DA4FB6"/>
    <w:rsid w:val="00DB0215"/>
    <w:rsid w:val="00DB3417"/>
    <w:rsid w:val="00DC2125"/>
    <w:rsid w:val="00DC22D2"/>
    <w:rsid w:val="00DC3E07"/>
    <w:rsid w:val="00DC617E"/>
    <w:rsid w:val="00DC76A5"/>
    <w:rsid w:val="00DD0820"/>
    <w:rsid w:val="00DD6446"/>
    <w:rsid w:val="00DD7038"/>
    <w:rsid w:val="00DD75A9"/>
    <w:rsid w:val="00DD7A06"/>
    <w:rsid w:val="00DE0E89"/>
    <w:rsid w:val="00DE4C04"/>
    <w:rsid w:val="00DE5EFF"/>
    <w:rsid w:val="00DE7C31"/>
    <w:rsid w:val="00DF148B"/>
    <w:rsid w:val="00DF2005"/>
    <w:rsid w:val="00DF3888"/>
    <w:rsid w:val="00DF6C6A"/>
    <w:rsid w:val="00E06797"/>
    <w:rsid w:val="00E13D60"/>
    <w:rsid w:val="00E15B0F"/>
    <w:rsid w:val="00E17AC2"/>
    <w:rsid w:val="00E25756"/>
    <w:rsid w:val="00E26A2B"/>
    <w:rsid w:val="00E32BA6"/>
    <w:rsid w:val="00E34A7D"/>
    <w:rsid w:val="00E448ED"/>
    <w:rsid w:val="00E46887"/>
    <w:rsid w:val="00E52B4B"/>
    <w:rsid w:val="00E53148"/>
    <w:rsid w:val="00E56864"/>
    <w:rsid w:val="00E65145"/>
    <w:rsid w:val="00E72F1D"/>
    <w:rsid w:val="00E82026"/>
    <w:rsid w:val="00E83FF9"/>
    <w:rsid w:val="00E84A60"/>
    <w:rsid w:val="00E86230"/>
    <w:rsid w:val="00E936F6"/>
    <w:rsid w:val="00EB0142"/>
    <w:rsid w:val="00EC5568"/>
    <w:rsid w:val="00EC5BDB"/>
    <w:rsid w:val="00ED0624"/>
    <w:rsid w:val="00ED1639"/>
    <w:rsid w:val="00EE135A"/>
    <w:rsid w:val="00EF0127"/>
    <w:rsid w:val="00F00DF3"/>
    <w:rsid w:val="00F05676"/>
    <w:rsid w:val="00F12AC3"/>
    <w:rsid w:val="00F20FE8"/>
    <w:rsid w:val="00F34EA3"/>
    <w:rsid w:val="00F36DE7"/>
    <w:rsid w:val="00F46F1B"/>
    <w:rsid w:val="00F47BBD"/>
    <w:rsid w:val="00F50729"/>
    <w:rsid w:val="00F6240F"/>
    <w:rsid w:val="00F66629"/>
    <w:rsid w:val="00F67543"/>
    <w:rsid w:val="00F72E08"/>
    <w:rsid w:val="00F75B02"/>
    <w:rsid w:val="00F7653A"/>
    <w:rsid w:val="00F80CD4"/>
    <w:rsid w:val="00F83DD3"/>
    <w:rsid w:val="00F85A54"/>
    <w:rsid w:val="00F90D30"/>
    <w:rsid w:val="00F91E5B"/>
    <w:rsid w:val="00F9515A"/>
    <w:rsid w:val="00FA5851"/>
    <w:rsid w:val="00FA6519"/>
    <w:rsid w:val="00FB6BD1"/>
    <w:rsid w:val="00FB701C"/>
    <w:rsid w:val="00FC2A67"/>
    <w:rsid w:val="00FD27AD"/>
    <w:rsid w:val="00FD3467"/>
    <w:rsid w:val="00FD49DF"/>
    <w:rsid w:val="00FD4B6B"/>
    <w:rsid w:val="00FD7ADB"/>
    <w:rsid w:val="00FD7CD4"/>
    <w:rsid w:val="00FE4E26"/>
    <w:rsid w:val="00FF0529"/>
    <w:rsid w:val="00FF57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FD3F0"/>
  <w15:docId w15:val="{70F81B36-65C0-4FF3-913A-74EA49B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16E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rsid w:val="004F16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rsid w:val="00C332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C3320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716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E5"/>
    <w:pPr>
      <w:tabs>
        <w:tab w:val="center" w:pos="4513"/>
        <w:tab w:val="right" w:pos="9026"/>
      </w:tabs>
    </w:pPr>
  </w:style>
  <w:style w:type="character" w:customStyle="1" w:styleId="HeaderChar">
    <w:name w:val="Header Char"/>
    <w:basedOn w:val="DefaultParagraphFont"/>
    <w:link w:val="Header"/>
    <w:uiPriority w:val="99"/>
    <w:rsid w:val="004F16E5"/>
  </w:style>
  <w:style w:type="paragraph" w:styleId="Footer">
    <w:name w:val="footer"/>
    <w:basedOn w:val="Normal"/>
    <w:link w:val="FooterChar"/>
    <w:uiPriority w:val="99"/>
    <w:unhideWhenUsed/>
    <w:rsid w:val="004F16E5"/>
    <w:pPr>
      <w:tabs>
        <w:tab w:val="center" w:pos="4513"/>
        <w:tab w:val="right" w:pos="9026"/>
      </w:tabs>
    </w:pPr>
  </w:style>
  <w:style w:type="character" w:customStyle="1" w:styleId="FooterChar">
    <w:name w:val="Footer Char"/>
    <w:basedOn w:val="DefaultParagraphFont"/>
    <w:link w:val="Footer"/>
    <w:uiPriority w:val="99"/>
    <w:rsid w:val="004F16E5"/>
  </w:style>
  <w:style w:type="character" w:customStyle="1" w:styleId="Heading1Char">
    <w:name w:val="Heading 1 Char"/>
    <w:basedOn w:val="DefaultParagraphFont"/>
    <w:link w:val="Heading1"/>
    <w:rsid w:val="004F16E5"/>
    <w:rPr>
      <w:rFonts w:ascii="Arial" w:eastAsia="Times New Roman" w:hAnsi="Arial" w:cs="Arial"/>
      <w:b/>
      <w:bCs/>
      <w:kern w:val="32"/>
      <w:sz w:val="32"/>
      <w:szCs w:val="32"/>
      <w:lang w:eastAsia="en-AU"/>
    </w:rPr>
  </w:style>
  <w:style w:type="paragraph" w:styleId="BodyText2">
    <w:name w:val="Body Text 2"/>
    <w:basedOn w:val="Normal"/>
    <w:link w:val="BodyText2Char"/>
    <w:rsid w:val="004F16E5"/>
    <w:pPr>
      <w:tabs>
        <w:tab w:val="left" w:pos="-720"/>
      </w:tabs>
      <w:suppressAutoHyphens/>
    </w:pPr>
    <w:rPr>
      <w:szCs w:val="20"/>
    </w:rPr>
  </w:style>
  <w:style w:type="character" w:customStyle="1" w:styleId="BodyText2Char">
    <w:name w:val="Body Text 2 Char"/>
    <w:basedOn w:val="DefaultParagraphFont"/>
    <w:link w:val="BodyText2"/>
    <w:rsid w:val="004F16E5"/>
    <w:rPr>
      <w:rFonts w:ascii="Times New Roman" w:eastAsia="Times New Roman" w:hAnsi="Times New Roman" w:cs="Times New Roman"/>
      <w:sz w:val="24"/>
      <w:szCs w:val="20"/>
      <w:lang w:eastAsia="en-AU"/>
    </w:rPr>
  </w:style>
  <w:style w:type="paragraph" w:customStyle="1" w:styleId="Headertitle">
    <w:name w:val="Header title"/>
    <w:basedOn w:val="Normal"/>
    <w:rsid w:val="004832E1"/>
    <w:pPr>
      <w:spacing w:before="80"/>
    </w:pPr>
    <w:rPr>
      <w:rFonts w:ascii="Tahoma" w:hAnsi="Tahoma"/>
      <w:b/>
      <w:noProof/>
      <w:color w:val="A6A6A6" w:themeColor="background1" w:themeShade="A6"/>
      <w:sz w:val="28"/>
      <w:szCs w:val="28"/>
    </w:rPr>
  </w:style>
  <w:style w:type="paragraph" w:styleId="BalloonText">
    <w:name w:val="Balloon Text"/>
    <w:basedOn w:val="Normal"/>
    <w:link w:val="BalloonTextChar"/>
    <w:uiPriority w:val="99"/>
    <w:semiHidden/>
    <w:unhideWhenUsed/>
    <w:rsid w:val="000F0721"/>
    <w:rPr>
      <w:rFonts w:ascii="Tahoma" w:hAnsi="Tahoma" w:cs="Tahoma"/>
      <w:sz w:val="16"/>
      <w:szCs w:val="16"/>
    </w:rPr>
  </w:style>
  <w:style w:type="character" w:customStyle="1" w:styleId="BalloonTextChar">
    <w:name w:val="Balloon Text Char"/>
    <w:basedOn w:val="DefaultParagraphFont"/>
    <w:link w:val="BalloonText"/>
    <w:uiPriority w:val="99"/>
    <w:semiHidden/>
    <w:rsid w:val="000F072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F0721"/>
    <w:rPr>
      <w:sz w:val="16"/>
      <w:szCs w:val="16"/>
    </w:rPr>
  </w:style>
  <w:style w:type="paragraph" w:styleId="CommentText">
    <w:name w:val="annotation text"/>
    <w:basedOn w:val="Normal"/>
    <w:link w:val="CommentTextChar"/>
    <w:uiPriority w:val="99"/>
    <w:unhideWhenUsed/>
    <w:rsid w:val="000F0721"/>
    <w:rPr>
      <w:sz w:val="20"/>
      <w:szCs w:val="20"/>
    </w:rPr>
  </w:style>
  <w:style w:type="character" w:customStyle="1" w:styleId="CommentTextChar">
    <w:name w:val="Comment Text Char"/>
    <w:basedOn w:val="DefaultParagraphFont"/>
    <w:link w:val="CommentText"/>
    <w:uiPriority w:val="99"/>
    <w:rsid w:val="000F07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F0721"/>
    <w:rPr>
      <w:b/>
      <w:bCs/>
    </w:rPr>
  </w:style>
  <w:style w:type="character" w:customStyle="1" w:styleId="CommentSubjectChar">
    <w:name w:val="Comment Subject Char"/>
    <w:basedOn w:val="CommentTextChar"/>
    <w:link w:val="CommentSubject"/>
    <w:uiPriority w:val="99"/>
    <w:semiHidden/>
    <w:rsid w:val="000F072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0F0721"/>
    <w:pPr>
      <w:ind w:left="720"/>
      <w:contextualSpacing/>
    </w:pPr>
  </w:style>
  <w:style w:type="paragraph" w:customStyle="1" w:styleId="PolicyH10">
    <w:name w:val="PolicyH1"/>
    <w:basedOn w:val="Heading1"/>
    <w:link w:val="PolicyH1Char"/>
    <w:rsid w:val="00C3320F"/>
    <w:pPr>
      <w:keepLines/>
      <w:tabs>
        <w:tab w:val="left" w:pos="426"/>
      </w:tabs>
    </w:pPr>
    <w:rPr>
      <w:rFonts w:ascii="Verdana" w:hAnsi="Verdana"/>
      <w:b w:val="0"/>
      <w:sz w:val="18"/>
      <w:szCs w:val="18"/>
    </w:rPr>
  </w:style>
  <w:style w:type="paragraph" w:customStyle="1" w:styleId="PolicyH2">
    <w:name w:val="Policy H2"/>
    <w:basedOn w:val="Heading2"/>
    <w:link w:val="PolicyH2Char"/>
    <w:qFormat/>
    <w:rsid w:val="00E83FF9"/>
    <w:pPr>
      <w:tabs>
        <w:tab w:val="left" w:pos="426"/>
      </w:tabs>
      <w:spacing w:before="120"/>
    </w:pPr>
    <w:rPr>
      <w:rFonts w:ascii="Tahoma" w:hAnsi="Tahoma"/>
      <w:color w:val="000000" w:themeColor="text1"/>
      <w:sz w:val="20"/>
      <w:szCs w:val="18"/>
    </w:rPr>
  </w:style>
  <w:style w:type="character" w:customStyle="1" w:styleId="PolicyH1Char">
    <w:name w:val="PolicyH1 Char"/>
    <w:basedOn w:val="Heading1Char"/>
    <w:link w:val="PolicyH10"/>
    <w:rsid w:val="00C3320F"/>
    <w:rPr>
      <w:rFonts w:ascii="Verdana" w:eastAsia="Times New Roman" w:hAnsi="Verdana" w:cs="Arial"/>
      <w:b w:val="0"/>
      <w:bCs/>
      <w:kern w:val="32"/>
      <w:sz w:val="18"/>
      <w:szCs w:val="18"/>
      <w:lang w:eastAsia="en-AU"/>
    </w:rPr>
  </w:style>
  <w:style w:type="paragraph" w:customStyle="1" w:styleId="PolicyH3">
    <w:name w:val="PolicyH3"/>
    <w:basedOn w:val="Heading3"/>
    <w:link w:val="PolicyH3Char"/>
    <w:qFormat/>
    <w:rsid w:val="007C5C6F"/>
    <w:pPr>
      <w:tabs>
        <w:tab w:val="left" w:pos="426"/>
      </w:tabs>
      <w:ind w:left="426"/>
    </w:pPr>
    <w:rPr>
      <w:rFonts w:ascii="Tahoma" w:hAnsi="Tahoma"/>
      <w:color w:val="000000" w:themeColor="text1"/>
      <w:sz w:val="22"/>
      <w:szCs w:val="18"/>
    </w:rPr>
  </w:style>
  <w:style w:type="character" w:customStyle="1" w:styleId="Heading2Char">
    <w:name w:val="Heading 2 Char"/>
    <w:basedOn w:val="DefaultParagraphFont"/>
    <w:link w:val="Heading2"/>
    <w:uiPriority w:val="9"/>
    <w:rsid w:val="00C3320F"/>
    <w:rPr>
      <w:rFonts w:asciiTheme="majorHAnsi" w:eastAsiaTheme="majorEastAsia" w:hAnsiTheme="majorHAnsi" w:cstheme="majorBidi"/>
      <w:b/>
      <w:bCs/>
      <w:color w:val="4F81BD" w:themeColor="accent1"/>
      <w:sz w:val="26"/>
      <w:szCs w:val="26"/>
      <w:lang w:eastAsia="en-AU"/>
    </w:rPr>
  </w:style>
  <w:style w:type="character" w:customStyle="1" w:styleId="PolicyH2Char">
    <w:name w:val="Policy H2 Char"/>
    <w:basedOn w:val="Heading2Char"/>
    <w:link w:val="PolicyH2"/>
    <w:rsid w:val="00E83FF9"/>
    <w:rPr>
      <w:rFonts w:ascii="Tahoma" w:eastAsiaTheme="majorEastAsia" w:hAnsi="Tahoma" w:cstheme="majorBidi"/>
      <w:b/>
      <w:bCs/>
      <w:color w:val="000000" w:themeColor="text1"/>
      <w:sz w:val="20"/>
      <w:szCs w:val="18"/>
      <w:lang w:eastAsia="en-AU"/>
    </w:rPr>
  </w:style>
  <w:style w:type="paragraph" w:styleId="TOCHeading">
    <w:name w:val="TOC Heading"/>
    <w:basedOn w:val="Heading1"/>
    <w:next w:val="Normal"/>
    <w:uiPriority w:val="39"/>
    <w:unhideWhenUsed/>
    <w:qFormat/>
    <w:rsid w:val="00C332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3Char">
    <w:name w:val="Heading 3 Char"/>
    <w:basedOn w:val="DefaultParagraphFont"/>
    <w:link w:val="Heading3"/>
    <w:uiPriority w:val="9"/>
    <w:rsid w:val="00C3320F"/>
    <w:rPr>
      <w:rFonts w:asciiTheme="majorHAnsi" w:eastAsiaTheme="majorEastAsia" w:hAnsiTheme="majorHAnsi" w:cstheme="majorBidi"/>
      <w:b/>
      <w:bCs/>
      <w:color w:val="4F81BD" w:themeColor="accent1"/>
      <w:sz w:val="24"/>
      <w:szCs w:val="24"/>
      <w:lang w:eastAsia="en-AU"/>
    </w:rPr>
  </w:style>
  <w:style w:type="character" w:customStyle="1" w:styleId="PolicyH3Char">
    <w:name w:val="PolicyH3 Char"/>
    <w:basedOn w:val="Heading3Char"/>
    <w:link w:val="PolicyH3"/>
    <w:rsid w:val="007C5C6F"/>
    <w:rPr>
      <w:rFonts w:ascii="Tahoma" w:eastAsiaTheme="majorEastAsia" w:hAnsi="Tahoma" w:cstheme="majorBidi"/>
      <w:b/>
      <w:bCs/>
      <w:color w:val="000000" w:themeColor="text1"/>
      <w:sz w:val="24"/>
      <w:szCs w:val="18"/>
      <w:lang w:eastAsia="en-AU"/>
    </w:rPr>
  </w:style>
  <w:style w:type="paragraph" w:styleId="TOC1">
    <w:name w:val="toc 1"/>
    <w:basedOn w:val="Normal"/>
    <w:next w:val="Normal"/>
    <w:autoRedefine/>
    <w:uiPriority w:val="39"/>
    <w:unhideWhenUsed/>
    <w:rsid w:val="008B2DD0"/>
    <w:pPr>
      <w:tabs>
        <w:tab w:val="left" w:pos="426"/>
        <w:tab w:val="right" w:leader="dot" w:pos="9016"/>
      </w:tabs>
      <w:spacing w:after="100"/>
    </w:pPr>
    <w:rPr>
      <w:rFonts w:ascii="Tahoma" w:hAnsi="Tahoma"/>
      <w:sz w:val="20"/>
    </w:rPr>
  </w:style>
  <w:style w:type="paragraph" w:styleId="TOC2">
    <w:name w:val="toc 2"/>
    <w:basedOn w:val="Normal"/>
    <w:next w:val="Normal"/>
    <w:autoRedefine/>
    <w:uiPriority w:val="39"/>
    <w:unhideWhenUsed/>
    <w:rsid w:val="008B2DD0"/>
    <w:pPr>
      <w:tabs>
        <w:tab w:val="right" w:leader="dot" w:pos="9016"/>
      </w:tabs>
      <w:spacing w:after="100"/>
      <w:ind w:left="851"/>
    </w:pPr>
    <w:rPr>
      <w:rFonts w:ascii="Tahoma" w:hAnsi="Tahoma"/>
      <w:sz w:val="20"/>
    </w:rPr>
  </w:style>
  <w:style w:type="paragraph" w:styleId="TOC3">
    <w:name w:val="toc 3"/>
    <w:basedOn w:val="Normal"/>
    <w:next w:val="Normal"/>
    <w:autoRedefine/>
    <w:uiPriority w:val="39"/>
    <w:unhideWhenUsed/>
    <w:rsid w:val="00C3320F"/>
    <w:pPr>
      <w:spacing w:after="100"/>
      <w:ind w:left="480"/>
    </w:pPr>
  </w:style>
  <w:style w:type="character" w:styleId="Hyperlink">
    <w:name w:val="Hyperlink"/>
    <w:basedOn w:val="DefaultParagraphFont"/>
    <w:uiPriority w:val="99"/>
    <w:unhideWhenUsed/>
    <w:rsid w:val="00C3320F"/>
    <w:rPr>
      <w:color w:val="0000FF" w:themeColor="hyperlink"/>
      <w:u w:val="single"/>
    </w:rPr>
  </w:style>
  <w:style w:type="character" w:customStyle="1" w:styleId="Heading6Char">
    <w:name w:val="Heading 6 Char"/>
    <w:basedOn w:val="DefaultParagraphFont"/>
    <w:link w:val="Heading6"/>
    <w:uiPriority w:val="9"/>
    <w:semiHidden/>
    <w:rsid w:val="00A716E9"/>
    <w:rPr>
      <w:rFonts w:asciiTheme="majorHAnsi" w:eastAsiaTheme="majorEastAsia" w:hAnsiTheme="majorHAnsi" w:cstheme="majorBidi"/>
      <w:i/>
      <w:iCs/>
      <w:color w:val="243F60" w:themeColor="accent1" w:themeShade="7F"/>
      <w:sz w:val="24"/>
      <w:szCs w:val="24"/>
      <w:lang w:eastAsia="en-AU"/>
    </w:rPr>
  </w:style>
  <w:style w:type="paragraph" w:styleId="BodyText3">
    <w:name w:val="Body Text 3"/>
    <w:basedOn w:val="Normal"/>
    <w:link w:val="BodyText3Char"/>
    <w:uiPriority w:val="99"/>
    <w:semiHidden/>
    <w:unhideWhenUsed/>
    <w:rsid w:val="00A716E9"/>
    <w:pPr>
      <w:spacing w:after="120"/>
    </w:pPr>
    <w:rPr>
      <w:sz w:val="16"/>
      <w:szCs w:val="16"/>
    </w:rPr>
  </w:style>
  <w:style w:type="character" w:customStyle="1" w:styleId="BodyText3Char">
    <w:name w:val="Body Text 3 Char"/>
    <w:basedOn w:val="DefaultParagraphFont"/>
    <w:link w:val="BodyText3"/>
    <w:uiPriority w:val="99"/>
    <w:semiHidden/>
    <w:rsid w:val="00A716E9"/>
    <w:rPr>
      <w:rFonts w:ascii="Times New Roman" w:eastAsia="Times New Roman" w:hAnsi="Times New Roman" w:cs="Times New Roman"/>
      <w:sz w:val="16"/>
      <w:szCs w:val="16"/>
      <w:lang w:eastAsia="en-AU"/>
    </w:rPr>
  </w:style>
  <w:style w:type="paragraph" w:styleId="Revision">
    <w:name w:val="Revision"/>
    <w:hidden/>
    <w:uiPriority w:val="99"/>
    <w:semiHidden/>
    <w:rsid w:val="00DF148B"/>
    <w:pPr>
      <w:spacing w:after="0" w:line="240" w:lineRule="auto"/>
    </w:pPr>
    <w:rPr>
      <w:rFonts w:ascii="Times New Roman" w:eastAsia="Times New Roman" w:hAnsi="Times New Roman" w:cs="Times New Roman"/>
      <w:sz w:val="24"/>
      <w:szCs w:val="24"/>
      <w:lang w:eastAsia="en-AU"/>
    </w:rPr>
  </w:style>
  <w:style w:type="paragraph" w:customStyle="1" w:styleId="PolicyH1">
    <w:name w:val="Policy H1"/>
    <w:basedOn w:val="Heading1"/>
    <w:link w:val="PolicyH1Char0"/>
    <w:qFormat/>
    <w:rsid w:val="00945C1E"/>
    <w:pPr>
      <w:numPr>
        <w:numId w:val="1"/>
      </w:numPr>
      <w:spacing w:before="520" w:after="360"/>
    </w:pPr>
    <w:rPr>
      <w:rFonts w:ascii="Tahoma Bold" w:hAnsi="Tahoma Bold" w:cs="Tahoma"/>
      <w:caps/>
      <w:color w:val="1F497D" w:themeColor="text2"/>
      <w:sz w:val="28"/>
      <w:szCs w:val="22"/>
    </w:rPr>
  </w:style>
  <w:style w:type="paragraph" w:customStyle="1" w:styleId="PolicyNormal">
    <w:name w:val="PolicyNormal"/>
    <w:basedOn w:val="Normal"/>
    <w:link w:val="PolicyNormalChar"/>
    <w:qFormat/>
    <w:rsid w:val="00E83FF9"/>
    <w:pPr>
      <w:spacing w:before="120" w:after="200"/>
    </w:pPr>
    <w:rPr>
      <w:rFonts w:ascii="Tahoma" w:hAnsi="Tahoma" w:cs="Tahoma"/>
      <w:sz w:val="20"/>
      <w:szCs w:val="22"/>
    </w:rPr>
  </w:style>
  <w:style w:type="character" w:customStyle="1" w:styleId="PolicyH1Char0">
    <w:name w:val="Policy H1 Char"/>
    <w:basedOn w:val="Heading1Char"/>
    <w:link w:val="PolicyH1"/>
    <w:rsid w:val="00945C1E"/>
    <w:rPr>
      <w:rFonts w:ascii="Tahoma Bold" w:eastAsia="Times New Roman" w:hAnsi="Tahoma Bold" w:cs="Tahoma"/>
      <w:b/>
      <w:bCs/>
      <w:caps/>
      <w:color w:val="1F497D" w:themeColor="text2"/>
      <w:kern w:val="32"/>
      <w:sz w:val="28"/>
      <w:szCs w:val="32"/>
      <w:lang w:eastAsia="en-AU"/>
    </w:rPr>
  </w:style>
  <w:style w:type="character" w:customStyle="1" w:styleId="PolicyNormalChar">
    <w:name w:val="PolicyNormal Char"/>
    <w:basedOn w:val="DefaultParagraphFont"/>
    <w:link w:val="PolicyNormal"/>
    <w:rsid w:val="00E83FF9"/>
    <w:rPr>
      <w:rFonts w:ascii="Tahoma" w:eastAsia="Times New Roman" w:hAnsi="Tahoma" w:cs="Tahoma"/>
      <w:sz w:val="20"/>
      <w:lang w:eastAsia="en-AU"/>
    </w:rPr>
  </w:style>
  <w:style w:type="paragraph" w:customStyle="1" w:styleId="Tablecontentsheading">
    <w:name w:val="Table contents heading"/>
    <w:basedOn w:val="PolicyNormal"/>
    <w:rsid w:val="00945C1E"/>
    <w:pPr>
      <w:spacing w:after="280"/>
    </w:pPr>
    <w:rPr>
      <w:rFonts w:ascii="Tahoma Bold" w:hAnsi="Tahoma Bold"/>
      <w:b/>
      <w:caps/>
      <w:color w:val="17365D" w:themeColor="text2" w:themeShade="BF"/>
      <w:sz w:val="28"/>
      <w:szCs w:val="40"/>
    </w:rPr>
  </w:style>
  <w:style w:type="paragraph" w:customStyle="1" w:styleId="Policycopybullet">
    <w:name w:val="Policy copy bullet"/>
    <w:basedOn w:val="PolicyNormal"/>
    <w:rsid w:val="004832E1"/>
    <w:pPr>
      <w:numPr>
        <w:numId w:val="2"/>
      </w:numPr>
    </w:pPr>
  </w:style>
  <w:style w:type="paragraph" w:styleId="BlockText">
    <w:name w:val="Block Text"/>
    <w:basedOn w:val="Normal"/>
    <w:rsid w:val="00F90D30"/>
    <w:rPr>
      <w:rFonts w:ascii="Arial" w:hAnsi="Arial"/>
      <w:sz w:val="20"/>
      <w:szCs w:val="20"/>
    </w:rPr>
  </w:style>
  <w:style w:type="character" w:styleId="FollowedHyperlink">
    <w:name w:val="FollowedHyperlink"/>
    <w:basedOn w:val="DefaultParagraphFont"/>
    <w:uiPriority w:val="99"/>
    <w:semiHidden/>
    <w:unhideWhenUsed/>
    <w:rsid w:val="00A8757D"/>
    <w:rPr>
      <w:color w:val="800080" w:themeColor="followedHyperlink"/>
      <w:u w:val="single"/>
    </w:rPr>
  </w:style>
  <w:style w:type="paragraph" w:styleId="NormalWeb">
    <w:name w:val="Normal (Web)"/>
    <w:basedOn w:val="Normal"/>
    <w:uiPriority w:val="99"/>
    <w:semiHidden/>
    <w:unhideWhenUsed/>
    <w:rsid w:val="003A2840"/>
    <w:pPr>
      <w:spacing w:before="100" w:beforeAutospacing="1" w:after="100" w:afterAutospacing="1"/>
    </w:pPr>
  </w:style>
  <w:style w:type="paragraph" w:styleId="NoSpacing">
    <w:name w:val="No Spacing"/>
    <w:link w:val="NoSpacingChar"/>
    <w:uiPriority w:val="1"/>
    <w:qFormat/>
    <w:rsid w:val="00D8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1628"/>
    <w:rPr>
      <w:rFonts w:eastAsiaTheme="minorEastAsia"/>
      <w:lang w:val="en-US" w:eastAsia="ja-JP"/>
    </w:rPr>
  </w:style>
  <w:style w:type="paragraph" w:styleId="ListBullet">
    <w:name w:val="List Bullet"/>
    <w:basedOn w:val="Normal"/>
    <w:uiPriority w:val="99"/>
    <w:unhideWhenUsed/>
    <w:rsid w:val="00D81628"/>
    <w:pPr>
      <w:numPr>
        <w:numId w:val="3"/>
      </w:numPr>
      <w:spacing w:after="120" w:line="220" w:lineRule="exact"/>
    </w:pPr>
    <w:rPr>
      <w:rFonts w:ascii="Arial" w:eastAsiaTheme="minorHAnsi" w:hAnsi="Arial" w:cs="VIC-SemiBold"/>
      <w:color w:val="000000" w:themeColor="text1"/>
      <w:sz w:val="18"/>
      <w:szCs w:val="52"/>
      <w:lang w:val="en-US" w:eastAsia="en-US"/>
    </w:rPr>
  </w:style>
  <w:style w:type="paragraph" w:customStyle="1" w:styleId="AgTitle1white">
    <w:name w:val="Ag_Title1_white"/>
    <w:basedOn w:val="Normal"/>
    <w:uiPriority w:val="99"/>
    <w:rsid w:val="00D81628"/>
    <w:pPr>
      <w:widowControl w:val="0"/>
      <w:suppressAutoHyphens/>
      <w:autoSpaceDE w:val="0"/>
      <w:autoSpaceDN w:val="0"/>
      <w:adjustRightInd w:val="0"/>
      <w:spacing w:after="283" w:line="620" w:lineRule="atLeast"/>
      <w:ind w:left="4395"/>
      <w:jc w:val="right"/>
      <w:textAlignment w:val="center"/>
    </w:pPr>
    <w:rPr>
      <w:rFonts w:ascii="Arial" w:eastAsiaTheme="minorHAnsi" w:hAnsi="Arial" w:cs="VIC-SemiBold"/>
      <w:b/>
      <w:bCs/>
      <w:noProof/>
      <w:color w:val="FFFFFF" w:themeColor="background1"/>
      <w:sz w:val="52"/>
      <w:szCs w:val="52"/>
      <w:lang w:val="en-US" w:eastAsia="en-US"/>
    </w:rPr>
  </w:style>
  <w:style w:type="paragraph" w:customStyle="1" w:styleId="AgTitle2white">
    <w:name w:val="Ag_Title2_white"/>
    <w:basedOn w:val="Normal"/>
    <w:uiPriority w:val="99"/>
    <w:rsid w:val="00D81628"/>
    <w:pPr>
      <w:widowControl w:val="0"/>
      <w:suppressAutoHyphens/>
      <w:autoSpaceDE w:val="0"/>
      <w:autoSpaceDN w:val="0"/>
      <w:adjustRightInd w:val="0"/>
      <w:spacing w:line="400" w:lineRule="atLeast"/>
      <w:jc w:val="right"/>
      <w:textAlignment w:val="center"/>
    </w:pPr>
    <w:rPr>
      <w:rFonts w:ascii="Arial" w:eastAsiaTheme="minorHAnsi" w:hAnsi="Arial" w:cs="VIC-ExtraLight"/>
      <w:color w:val="FFFFFF" w:themeColor="background1"/>
      <w:sz w:val="32"/>
      <w:szCs w:val="32"/>
      <w:lang w:val="en-GB" w:eastAsia="en-US"/>
    </w:rPr>
  </w:style>
  <w:style w:type="character" w:styleId="PageNumber">
    <w:name w:val="page number"/>
    <w:basedOn w:val="DefaultParagraphFont"/>
    <w:unhideWhenUsed/>
    <w:rsid w:val="00D81628"/>
  </w:style>
  <w:style w:type="table" w:styleId="TableGrid">
    <w:name w:val="Table Grid"/>
    <w:basedOn w:val="TableNormal"/>
    <w:uiPriority w:val="59"/>
    <w:rsid w:val="000364AC"/>
    <w:pPr>
      <w:spacing w:after="0" w:line="240" w:lineRule="auto"/>
    </w:pPr>
    <w:rPr>
      <w:rFonts w:ascii="Arial" w:eastAsia="Times New Roman" w:hAnsi="Arial" w:cs="Arial"/>
      <w:color w:val="53565A"/>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75A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A2B"/>
    <w:rPr>
      <w:rFonts w:asciiTheme="majorHAnsi" w:eastAsiaTheme="majorEastAsia" w:hAnsiTheme="majorHAnsi" w:cstheme="majorBidi"/>
      <w:spacing w:val="-10"/>
      <w:kern w:val="28"/>
      <w:sz w:val="56"/>
      <w:szCs w:val="56"/>
      <w:lang w:eastAsia="en-AU"/>
    </w:rPr>
  </w:style>
  <w:style w:type="paragraph" w:styleId="FootnoteText">
    <w:name w:val="footnote text"/>
    <w:basedOn w:val="Normal"/>
    <w:link w:val="FootnoteTextChar"/>
    <w:uiPriority w:val="99"/>
    <w:semiHidden/>
    <w:unhideWhenUsed/>
    <w:rsid w:val="00FC2A67"/>
    <w:rPr>
      <w:sz w:val="20"/>
      <w:szCs w:val="20"/>
    </w:rPr>
  </w:style>
  <w:style w:type="character" w:customStyle="1" w:styleId="FootnoteTextChar">
    <w:name w:val="Footnote Text Char"/>
    <w:basedOn w:val="DefaultParagraphFont"/>
    <w:link w:val="FootnoteText"/>
    <w:uiPriority w:val="99"/>
    <w:semiHidden/>
    <w:rsid w:val="00FC2A6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FC2A67"/>
    <w:rPr>
      <w:vertAlign w:val="superscript"/>
    </w:rPr>
  </w:style>
  <w:style w:type="character" w:styleId="UnresolvedMention">
    <w:name w:val="Unresolved Mention"/>
    <w:basedOn w:val="DefaultParagraphFont"/>
    <w:uiPriority w:val="99"/>
    <w:semiHidden/>
    <w:unhideWhenUsed/>
    <w:rsid w:val="004C6A4E"/>
    <w:rPr>
      <w:color w:val="605E5C"/>
      <w:shd w:val="clear" w:color="auto" w:fill="E1DFDD"/>
    </w:rPr>
  </w:style>
  <w:style w:type="paragraph" w:customStyle="1" w:styleId="xmsonormal">
    <w:name w:val="x_msonormal"/>
    <w:basedOn w:val="Normal"/>
    <w:rsid w:val="009027F8"/>
    <w:rPr>
      <w:rFonts w:ascii="Calibri" w:eastAsiaTheme="minorHAnsi" w:hAnsi="Calibri" w:cs="Calibri"/>
      <w:sz w:val="22"/>
      <w:szCs w:val="22"/>
    </w:rPr>
  </w:style>
  <w:style w:type="paragraph" w:styleId="Subtitle">
    <w:name w:val="Subtitle"/>
    <w:basedOn w:val="Normal"/>
    <w:next w:val="Normal"/>
    <w:link w:val="SubtitleChar"/>
    <w:uiPriority w:val="11"/>
    <w:qFormat/>
    <w:rsid w:val="006C40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40F8"/>
    <w:rPr>
      <w:rFonts w:eastAsiaTheme="minorEastAsia"/>
      <w:color w:val="5A5A5A" w:themeColor="text1" w:themeTint="A5"/>
      <w:spacing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3349">
      <w:bodyDiv w:val="1"/>
      <w:marLeft w:val="0"/>
      <w:marRight w:val="0"/>
      <w:marTop w:val="0"/>
      <w:marBottom w:val="0"/>
      <w:divBdr>
        <w:top w:val="none" w:sz="0" w:space="0" w:color="auto"/>
        <w:left w:val="none" w:sz="0" w:space="0" w:color="auto"/>
        <w:bottom w:val="none" w:sz="0" w:space="0" w:color="auto"/>
        <w:right w:val="none" w:sz="0" w:space="0" w:color="auto"/>
      </w:divBdr>
    </w:div>
    <w:div w:id="1225337397">
      <w:bodyDiv w:val="1"/>
      <w:marLeft w:val="0"/>
      <w:marRight w:val="0"/>
      <w:marTop w:val="0"/>
      <w:marBottom w:val="0"/>
      <w:divBdr>
        <w:top w:val="none" w:sz="0" w:space="0" w:color="auto"/>
        <w:left w:val="none" w:sz="0" w:space="0" w:color="auto"/>
        <w:bottom w:val="none" w:sz="0" w:space="0" w:color="auto"/>
        <w:right w:val="none" w:sz="0" w:space="0" w:color="auto"/>
      </w:divBdr>
    </w:div>
    <w:div w:id="1466046867">
      <w:bodyDiv w:val="1"/>
      <w:marLeft w:val="0"/>
      <w:marRight w:val="0"/>
      <w:marTop w:val="0"/>
      <w:marBottom w:val="0"/>
      <w:divBdr>
        <w:top w:val="none" w:sz="0" w:space="0" w:color="auto"/>
        <w:left w:val="none" w:sz="0" w:space="0" w:color="auto"/>
        <w:bottom w:val="none" w:sz="0" w:space="0" w:color="auto"/>
        <w:right w:val="none" w:sz="0" w:space="0" w:color="auto"/>
      </w:divBdr>
    </w:div>
    <w:div w:id="1825271286">
      <w:bodyDiv w:val="1"/>
      <w:marLeft w:val="0"/>
      <w:marRight w:val="0"/>
      <w:marTop w:val="0"/>
      <w:marBottom w:val="0"/>
      <w:divBdr>
        <w:top w:val="none" w:sz="0" w:space="0" w:color="auto"/>
        <w:left w:val="none" w:sz="0" w:space="0" w:color="auto"/>
        <w:bottom w:val="none" w:sz="0" w:space="0" w:color="auto"/>
        <w:right w:val="none" w:sz="0" w:space="0" w:color="auto"/>
      </w:divBdr>
    </w:div>
    <w:div w:id="1844002940">
      <w:bodyDiv w:val="1"/>
      <w:marLeft w:val="0"/>
      <w:marRight w:val="0"/>
      <w:marTop w:val="0"/>
      <w:marBottom w:val="0"/>
      <w:divBdr>
        <w:top w:val="none" w:sz="0" w:space="0" w:color="auto"/>
        <w:left w:val="none" w:sz="0" w:space="0" w:color="auto"/>
        <w:bottom w:val="none" w:sz="0" w:space="0" w:color="auto"/>
        <w:right w:val="none" w:sz="0" w:space="0" w:color="auto"/>
      </w:divBdr>
      <w:divsChild>
        <w:div w:id="745372685">
          <w:marLeft w:val="0"/>
          <w:marRight w:val="0"/>
          <w:marTop w:val="0"/>
          <w:marBottom w:val="0"/>
          <w:divBdr>
            <w:top w:val="none" w:sz="0" w:space="0" w:color="auto"/>
            <w:left w:val="none" w:sz="0" w:space="0" w:color="auto"/>
            <w:bottom w:val="none" w:sz="0" w:space="0" w:color="auto"/>
            <w:right w:val="none" w:sz="0" w:space="0" w:color="auto"/>
          </w:divBdr>
        </w:div>
        <w:div w:id="1015114233">
          <w:marLeft w:val="0"/>
          <w:marRight w:val="0"/>
          <w:marTop w:val="0"/>
          <w:marBottom w:val="0"/>
          <w:divBdr>
            <w:top w:val="none" w:sz="0" w:space="0" w:color="auto"/>
            <w:left w:val="none" w:sz="0" w:space="0" w:color="auto"/>
            <w:bottom w:val="none" w:sz="0" w:space="0" w:color="auto"/>
            <w:right w:val="none" w:sz="0" w:space="0" w:color="auto"/>
          </w:divBdr>
        </w:div>
        <w:div w:id="335693911">
          <w:marLeft w:val="0"/>
          <w:marRight w:val="0"/>
          <w:marTop w:val="0"/>
          <w:marBottom w:val="0"/>
          <w:divBdr>
            <w:top w:val="none" w:sz="0" w:space="0" w:color="auto"/>
            <w:left w:val="none" w:sz="0" w:space="0" w:color="auto"/>
            <w:bottom w:val="none" w:sz="0" w:space="0" w:color="auto"/>
            <w:right w:val="none" w:sz="0" w:space="0" w:color="auto"/>
          </w:divBdr>
        </w:div>
        <w:div w:id="1260916813">
          <w:marLeft w:val="0"/>
          <w:marRight w:val="0"/>
          <w:marTop w:val="0"/>
          <w:marBottom w:val="0"/>
          <w:divBdr>
            <w:top w:val="none" w:sz="0" w:space="0" w:color="auto"/>
            <w:left w:val="none" w:sz="0" w:space="0" w:color="auto"/>
            <w:bottom w:val="none" w:sz="0" w:space="0" w:color="auto"/>
            <w:right w:val="none" w:sz="0" w:space="0" w:color="auto"/>
          </w:divBdr>
        </w:div>
        <w:div w:id="1810900961">
          <w:marLeft w:val="0"/>
          <w:marRight w:val="0"/>
          <w:marTop w:val="0"/>
          <w:marBottom w:val="0"/>
          <w:divBdr>
            <w:top w:val="none" w:sz="0" w:space="0" w:color="auto"/>
            <w:left w:val="none" w:sz="0" w:space="0" w:color="auto"/>
            <w:bottom w:val="none" w:sz="0" w:space="0" w:color="auto"/>
            <w:right w:val="none" w:sz="0" w:space="0" w:color="auto"/>
          </w:divBdr>
        </w:div>
        <w:div w:id="1752965699">
          <w:marLeft w:val="0"/>
          <w:marRight w:val="0"/>
          <w:marTop w:val="0"/>
          <w:marBottom w:val="0"/>
          <w:divBdr>
            <w:top w:val="none" w:sz="0" w:space="0" w:color="auto"/>
            <w:left w:val="none" w:sz="0" w:space="0" w:color="auto"/>
            <w:bottom w:val="none" w:sz="0" w:space="0" w:color="auto"/>
            <w:right w:val="none" w:sz="0" w:space="0" w:color="auto"/>
          </w:divBdr>
        </w:div>
      </w:divsChild>
    </w:div>
    <w:div w:id="1879387390">
      <w:bodyDiv w:val="1"/>
      <w:marLeft w:val="0"/>
      <w:marRight w:val="0"/>
      <w:marTop w:val="0"/>
      <w:marBottom w:val="0"/>
      <w:divBdr>
        <w:top w:val="none" w:sz="0" w:space="0" w:color="auto"/>
        <w:left w:val="none" w:sz="0" w:space="0" w:color="auto"/>
        <w:bottom w:val="none" w:sz="0" w:space="0" w:color="auto"/>
        <w:right w:val="none" w:sz="0" w:space="0" w:color="auto"/>
      </w:divBdr>
    </w:div>
    <w:div w:id="21247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biosecurity/protecting-victoria/legislation-policy-and-permits/permits-for-pest-animals-in-victoria" TargetMode="External"/><Relationship Id="rId18" Type="http://schemas.openxmlformats.org/officeDocument/2006/relationships/hyperlink" Target="https://agriculture.vic.gov.au/biosecurity/protecting-victoria/legislation-policy-and-permits/consolidated-lists-of-declared-noxious-weeds-and-pest-animal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vasivespecies.consultation@agriculture.vic.gov.au" TargetMode="External"/><Relationship Id="rId17" Type="http://schemas.openxmlformats.org/officeDocument/2006/relationships/hyperlink" Target="https://agriculture.vic.gov.au/about/our-role/ministerial-statement-of-expect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riculture.vic.gov.au/biosecurity/protecting-victoria/legislation-policy-and-permits/invasive-plants-and-animals-policy-framewo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griculture.vic.gov.au/about/our-role/agriculture-strateg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Speci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4EFD7AAB2444F69D99CF25A442F180"/>
        <w:category>
          <w:name w:val="General"/>
          <w:gallery w:val="placeholder"/>
        </w:category>
        <w:types>
          <w:type w:val="bbPlcHdr"/>
        </w:types>
        <w:behaviors>
          <w:behavior w:val="content"/>
        </w:behaviors>
        <w:guid w:val="{70E12BC5-0602-4B0D-BEAB-31C3A08788D5}"/>
      </w:docPartPr>
      <w:docPartBody>
        <w:p w:rsidR="004642C5" w:rsidRDefault="00397C05" w:rsidP="00397C05">
          <w:pPr>
            <w:pStyle w:val="E34EFD7AAB2444F69D99CF25A442F180"/>
          </w:pPr>
          <w:r w:rsidRPr="005B3065">
            <w:rPr>
              <w:rStyle w:val="PlaceholderText"/>
            </w:rPr>
            <w:t>Click or tap here to enter text.</w:t>
          </w:r>
        </w:p>
      </w:docPartBody>
    </w:docPart>
    <w:docPart>
      <w:docPartPr>
        <w:name w:val="00E393E53A8544D1981C5392C167E74A"/>
        <w:category>
          <w:name w:val="General"/>
          <w:gallery w:val="placeholder"/>
        </w:category>
        <w:types>
          <w:type w:val="bbPlcHdr"/>
        </w:types>
        <w:behaviors>
          <w:behavior w:val="content"/>
        </w:behaviors>
        <w:guid w:val="{F40E9D19-9050-476A-949A-836A5C108E6D}"/>
      </w:docPartPr>
      <w:docPartBody>
        <w:p w:rsidR="004642C5" w:rsidRDefault="00397C05" w:rsidP="00397C05">
          <w:pPr>
            <w:pStyle w:val="00E393E53A8544D1981C5392C167E74A"/>
          </w:pPr>
          <w:r w:rsidRPr="005B3065">
            <w:rPr>
              <w:rStyle w:val="PlaceholderText"/>
            </w:rPr>
            <w:t>Click or tap to enter a date.</w:t>
          </w:r>
        </w:p>
      </w:docPartBody>
    </w:docPart>
    <w:docPart>
      <w:docPartPr>
        <w:name w:val="570D686805EA4356BA13B6097F8DBA78"/>
        <w:category>
          <w:name w:val="General"/>
          <w:gallery w:val="placeholder"/>
        </w:category>
        <w:types>
          <w:type w:val="bbPlcHdr"/>
        </w:types>
        <w:behaviors>
          <w:behavior w:val="content"/>
        </w:behaviors>
        <w:guid w:val="{BC9A08E4-7294-4D85-8842-DF12681011BB}"/>
      </w:docPartPr>
      <w:docPartBody>
        <w:p w:rsidR="004642C5" w:rsidRDefault="00397C05" w:rsidP="00397C05">
          <w:pPr>
            <w:pStyle w:val="570D686805EA4356BA13B6097F8DBA78"/>
          </w:pPr>
          <w:r w:rsidRPr="005B3065">
            <w:rPr>
              <w:rStyle w:val="PlaceholderText"/>
            </w:rPr>
            <w:t>Click or tap to enter a date.</w:t>
          </w:r>
          <w:r>
            <w:rPr>
              <w:rStyle w:val="PlaceholderText"/>
            </w:rPr>
            <w:t xml:space="preserve"> (2 years from the ‘date effective’)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Bold">
    <w:altName w:val="Tahom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VIC-SemiBold">
    <w:altName w:val="Times New Roman"/>
    <w:charset w:val="4D"/>
    <w:family w:val="auto"/>
    <w:pitch w:val="default"/>
    <w:sig w:usb0="00000003" w:usb1="00000000" w:usb2="00000000" w:usb3="00000000" w:csb0="00000001" w:csb1="00000000"/>
  </w:font>
  <w:font w:name="VIC-ExtraLight">
    <w:altName w:val="Times New Roman"/>
    <w:charset w:val="00"/>
    <w:family w:val="auto"/>
    <w:pitch w:val="variable"/>
    <w:sig w:usb0="00000001"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5"/>
    <w:rsid w:val="000A2152"/>
    <w:rsid w:val="00144AE2"/>
    <w:rsid w:val="002772F7"/>
    <w:rsid w:val="00362A78"/>
    <w:rsid w:val="00397C05"/>
    <w:rsid w:val="003A2B33"/>
    <w:rsid w:val="0043017F"/>
    <w:rsid w:val="004642C5"/>
    <w:rsid w:val="004F6266"/>
    <w:rsid w:val="0061069B"/>
    <w:rsid w:val="00A070E2"/>
    <w:rsid w:val="00A31AA1"/>
    <w:rsid w:val="00AA10C1"/>
    <w:rsid w:val="00C341D9"/>
    <w:rsid w:val="00CA5AE5"/>
    <w:rsid w:val="00E65E30"/>
    <w:rsid w:val="00EE27F9"/>
    <w:rsid w:val="00F31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C05"/>
    <w:rPr>
      <w:color w:val="808080"/>
    </w:rPr>
  </w:style>
  <w:style w:type="paragraph" w:customStyle="1" w:styleId="B95C38C8748F4FB8831E76FB9F037312">
    <w:name w:val="B95C38C8748F4FB8831E76FB9F037312"/>
    <w:rsid w:val="00AA10C1"/>
  </w:style>
  <w:style w:type="paragraph" w:customStyle="1" w:styleId="0629178D6FF2484798B5BE11CA5CFBEA">
    <w:name w:val="0629178D6FF2484798B5BE11CA5CFBEA"/>
    <w:rsid w:val="00AA10C1"/>
  </w:style>
  <w:style w:type="paragraph" w:customStyle="1" w:styleId="E34EFD7AAB2444F69D99CF25A442F180">
    <w:name w:val="E34EFD7AAB2444F69D99CF25A442F180"/>
    <w:rsid w:val="00397C05"/>
  </w:style>
  <w:style w:type="paragraph" w:customStyle="1" w:styleId="00E393E53A8544D1981C5392C167E74A">
    <w:name w:val="00E393E53A8544D1981C5392C167E74A"/>
    <w:rsid w:val="00397C05"/>
  </w:style>
  <w:style w:type="paragraph" w:customStyle="1" w:styleId="570D686805EA4356BA13B6097F8DBA78">
    <w:name w:val="570D686805EA4356BA13B6097F8DBA78"/>
    <w:rsid w:val="00397C05"/>
  </w:style>
  <w:style w:type="paragraph" w:customStyle="1" w:styleId="0E349688182342FD8D4AEA386D45B445">
    <w:name w:val="0E349688182342FD8D4AEA386D45B445"/>
    <w:rsid w:val="00AA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Props1.xml><?xml version="1.0" encoding="utf-8"?>
<ds:datastoreItem xmlns:ds="http://schemas.openxmlformats.org/officeDocument/2006/customXml" ds:itemID="{33D5A70F-C917-4DFA-9587-193F01E9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0496D-D4EF-49AB-9030-7DFA2CC3771F}">
  <ds:schemaRefs>
    <ds:schemaRef ds:uri="http://schemas.microsoft.com/sharepoint/v3/contenttype/forms"/>
  </ds:schemaRefs>
</ds:datastoreItem>
</file>

<file path=customXml/itemProps3.xml><?xml version="1.0" encoding="utf-8"?>
<ds:datastoreItem xmlns:ds="http://schemas.openxmlformats.org/officeDocument/2006/customXml" ds:itemID="{1C6B40BA-7DC1-4F23-9BA7-C1BF78EE2DB2}">
  <ds:schemaRefs>
    <ds:schemaRef ds:uri="http://schemas.openxmlformats.org/officeDocument/2006/bibliography"/>
  </ds:schemaRefs>
</ds:datastoreItem>
</file>

<file path=customXml/itemProps4.xml><?xml version="1.0" encoding="utf-8"?>
<ds:datastoreItem xmlns:ds="http://schemas.openxmlformats.org/officeDocument/2006/customXml" ds:itemID="{7E9A48E7-BA5B-4DE9-A1EC-D53D2B7E8E47}">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3056</Words>
  <Characters>17452</Characters>
  <Application>Microsoft Office Word</Application>
  <DocSecurity>0</DocSecurity>
  <Lines>323</Lines>
  <Paragraphs>173</Paragraphs>
  <ScaleCrop>false</ScaleCrop>
  <HeadingPairs>
    <vt:vector size="2" baseType="variant">
      <vt:variant>
        <vt:lpstr>Title</vt:lpstr>
      </vt:variant>
      <vt:variant>
        <vt:i4>1</vt:i4>
      </vt:variant>
    </vt:vector>
  </HeadingPairs>
  <TitlesOfParts>
    <vt:vector size="1" baseType="lpstr">
      <vt:lpstr>Policy template</vt:lpstr>
    </vt:vector>
  </TitlesOfParts>
  <Company>Victorian Government</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Non-indigenous Bird Declaration Policy</dc:title>
  <dc:creator>Holly  Stanton</dc:creator>
  <cp:lastModifiedBy>Priyanka Chakranarayan (DJPR)</cp:lastModifiedBy>
  <cp:revision>46</cp:revision>
  <cp:lastPrinted>2021-09-01T02:27:00Z</cp:lastPrinted>
  <dcterms:created xsi:type="dcterms:W3CDTF">2021-08-31T22:03:00Z</dcterms:created>
  <dcterms:modified xsi:type="dcterms:W3CDTF">2021-09-01T02:27:00Z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f2a23ae5-925f-493d-9bd7-be1793e3cf34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Holly  Stanton</vt:lpwstr>
  </property>
  <property fmtid="{D5CDD505-2E9C-101B-9397-08002B2CF9AE}" pid="6" name="ContentTypeId">
    <vt:lpwstr>0x010100611F6414DFB111E7BA88F9DF1743E3170056496A2DC9E8AF4CB15EAE11C01843D6</vt:lpwstr>
  </property>
  <property fmtid="{D5CDD505-2E9C-101B-9397-08002B2CF9AE}" pid="7" name="DEDJTRDivision">
    <vt:lpwstr>2;#Agriculture Victoria|aa595c92-527f-46eb-8130-f23c3634d9e6</vt:lpwstr>
  </property>
  <property fmtid="{D5CDD505-2E9C-101B-9397-08002B2CF9AE}" pid="8" name="Order">
    <vt:r8>100</vt:r8>
  </property>
  <property fmtid="{D5CDD505-2E9C-101B-9397-08002B2CF9AE}" pid="9" name="DEDJTRGroup">
    <vt:lpwstr>1;#Employment Investment and Trade|55ce1999-68b6-4f37-bdce-009ad410cd2a</vt:lpwstr>
  </property>
  <property fmtid="{D5CDD505-2E9C-101B-9397-08002B2CF9AE}" pid="10" name="DEDJTRSecurityClassification">
    <vt:lpwstr/>
  </property>
  <property fmtid="{D5CDD505-2E9C-101B-9397-08002B2CF9AE}" pid="11" name="DEDJTRBranch">
    <vt:lpwstr/>
  </property>
  <property fmtid="{D5CDD505-2E9C-101B-9397-08002B2CF9AE}" pid="12" name="DEDJTRSection">
    <vt:lpwstr/>
  </property>
  <property fmtid="{D5CDD505-2E9C-101B-9397-08002B2CF9AE}" pid="13" name="_docset_NoMedatataSyncRequired">
    <vt:lpwstr>False</vt:lpwstr>
  </property>
  <property fmtid="{D5CDD505-2E9C-101B-9397-08002B2CF9AE}" pid="14" name="Replytype">
    <vt:lpwstr/>
  </property>
</Properties>
</file>